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A0B91" w:rsidRDefault="00534055" w:rsidP="00534055">
      <w:pPr>
        <w:jc w:val="center"/>
        <w:rPr>
          <w:sz w:val="28"/>
          <w:lang w:val="en-US"/>
        </w:rPr>
      </w:pPr>
      <w:r>
        <w:rPr>
          <w:sz w:val="28"/>
          <w:lang w:val="en-US"/>
        </w:rPr>
        <w:t>Dissertation Reflective Report</w:t>
      </w:r>
    </w:p>
    <w:p w:rsidR="004B58D7" w:rsidRDefault="00D87385" w:rsidP="00D670B3">
      <w:pPr>
        <w:jc w:val="both"/>
        <w:rPr>
          <w:lang w:val="en-US"/>
        </w:rPr>
      </w:pPr>
      <w:r>
        <w:rPr>
          <w:lang w:val="en-US"/>
        </w:rPr>
        <w:t>On the morning of the 18</w:t>
      </w:r>
      <w:r w:rsidRPr="00D87385">
        <w:rPr>
          <w:vertAlign w:val="superscript"/>
          <w:lang w:val="en-US"/>
        </w:rPr>
        <w:t>th</w:t>
      </w:r>
      <w:r>
        <w:rPr>
          <w:lang w:val="en-US"/>
        </w:rPr>
        <w:t xml:space="preserve"> June 1815, Napoleon </w:t>
      </w:r>
      <w:r w:rsidR="00D55BD7">
        <w:rPr>
          <w:lang w:val="en-US"/>
        </w:rPr>
        <w:t xml:space="preserve">Bonaparte </w:t>
      </w:r>
      <w:r>
        <w:rPr>
          <w:lang w:val="en-US"/>
        </w:rPr>
        <w:t>remarked to his generals thus: ‘I tell you Wellington is a bad general, the English are bad troops, and this affair is nothing more than eating breakfast’.</w:t>
      </w:r>
      <w:r>
        <w:rPr>
          <w:rStyle w:val="FootnoteReference"/>
          <w:lang w:val="en-US"/>
        </w:rPr>
        <w:footnoteReference w:id="1"/>
      </w:r>
      <w:r w:rsidR="00BE374A">
        <w:rPr>
          <w:lang w:val="en-US"/>
        </w:rPr>
        <w:t xml:space="preserve"> By dusk that evening</w:t>
      </w:r>
      <w:r w:rsidR="00611DA6">
        <w:rPr>
          <w:lang w:val="en-US"/>
        </w:rPr>
        <w:t xml:space="preserve"> t</w:t>
      </w:r>
      <w:r w:rsidR="00D55283">
        <w:rPr>
          <w:lang w:val="en-US"/>
        </w:rPr>
        <w:t>he Grande Armee had been physically and mentally shattered</w:t>
      </w:r>
      <w:r w:rsidR="00B3192D">
        <w:rPr>
          <w:lang w:val="en-US"/>
        </w:rPr>
        <w:t xml:space="preserve">. </w:t>
      </w:r>
    </w:p>
    <w:p w:rsidR="00534055" w:rsidRDefault="004744C1" w:rsidP="00D670B3">
      <w:pPr>
        <w:jc w:val="both"/>
        <w:rPr>
          <w:lang w:val="en-US"/>
        </w:rPr>
      </w:pPr>
      <w:r>
        <w:rPr>
          <w:lang w:val="en-US"/>
        </w:rPr>
        <w:t xml:space="preserve">For several years </w:t>
      </w:r>
      <w:r w:rsidR="00D55283">
        <w:rPr>
          <w:lang w:val="en-US"/>
        </w:rPr>
        <w:t>now,</w:t>
      </w:r>
      <w:r>
        <w:rPr>
          <w:lang w:val="en-US"/>
        </w:rPr>
        <w:t xml:space="preserve"> I have maintained a firm interest </w:t>
      </w:r>
      <w:r w:rsidR="00D55283">
        <w:rPr>
          <w:lang w:val="en-US"/>
        </w:rPr>
        <w:t>in the Napoleonic Era, further compounded by my weekends spent re-enacting the period all over Britain and Northwest Europe, and so a study of the Battle of Waterloo</w:t>
      </w:r>
      <w:r w:rsidR="004955A6">
        <w:rPr>
          <w:lang w:val="en-US"/>
        </w:rPr>
        <w:t xml:space="preserve"> was inevitable for my dissertation. </w:t>
      </w:r>
      <w:r w:rsidR="00A60C0F">
        <w:rPr>
          <w:lang w:val="en-US"/>
        </w:rPr>
        <w:t>I have more recently dev</w:t>
      </w:r>
      <w:r w:rsidR="00DD540E">
        <w:rPr>
          <w:lang w:val="en-US"/>
        </w:rPr>
        <w:t>eloped a more specific focus on errors and mistakes made in military campaigns and on the battlefield</w:t>
      </w:r>
      <w:r w:rsidR="00952CF4">
        <w:rPr>
          <w:lang w:val="en-US"/>
        </w:rPr>
        <w:t xml:space="preserve">; </w:t>
      </w:r>
      <w:r w:rsidR="0012526A">
        <w:rPr>
          <w:lang w:val="en-US"/>
        </w:rPr>
        <w:t xml:space="preserve">my choice was therefore to perform an examination of both </w:t>
      </w:r>
      <w:r w:rsidR="00D55BD7">
        <w:rPr>
          <w:lang w:val="en-US"/>
        </w:rPr>
        <w:t xml:space="preserve">the Duke of </w:t>
      </w:r>
      <w:r w:rsidR="0012526A">
        <w:rPr>
          <w:lang w:val="en-US"/>
        </w:rPr>
        <w:t xml:space="preserve">Wellington and Napoleon </w:t>
      </w:r>
      <w:r w:rsidR="008C2CFC">
        <w:rPr>
          <w:lang w:val="en-US"/>
        </w:rPr>
        <w:t>during the Hundred Days Campaign in 1815</w:t>
      </w:r>
      <w:r w:rsidR="00AB6DDA">
        <w:rPr>
          <w:lang w:val="en-US"/>
        </w:rPr>
        <w:t xml:space="preserve">. I believe that any study of Waterloo on its own would be severely in want of further context, as the entire </w:t>
      </w:r>
      <w:r w:rsidR="003F493D">
        <w:rPr>
          <w:lang w:val="en-US"/>
        </w:rPr>
        <w:t>campaign surrounding Waterloo was crucial to how events</w:t>
      </w:r>
      <w:r w:rsidR="00AA170D">
        <w:rPr>
          <w:lang w:val="en-US"/>
        </w:rPr>
        <w:t xml:space="preserve"> played out on</w:t>
      </w:r>
      <w:r w:rsidR="003F493D">
        <w:rPr>
          <w:lang w:val="en-US"/>
        </w:rPr>
        <w:t xml:space="preserve"> that day, and so I wanted to include </w:t>
      </w:r>
      <w:r w:rsidR="0080544F">
        <w:rPr>
          <w:lang w:val="en-US"/>
        </w:rPr>
        <w:t>events from the moment Napoleon took power in March 1815</w:t>
      </w:r>
      <w:r w:rsidR="00CA3FFC">
        <w:rPr>
          <w:lang w:val="en-US"/>
        </w:rPr>
        <w:t xml:space="preserve"> until the battle in June.</w:t>
      </w:r>
      <w:r w:rsidR="008505D1">
        <w:rPr>
          <w:lang w:val="en-US"/>
        </w:rPr>
        <w:t xml:space="preserve"> I also intended to </w:t>
      </w:r>
      <w:r w:rsidR="00993238">
        <w:rPr>
          <w:lang w:val="en-US"/>
        </w:rPr>
        <w:t>examine both, so a</w:t>
      </w:r>
      <w:r w:rsidR="00E442AC">
        <w:rPr>
          <w:lang w:val="en-US"/>
        </w:rPr>
        <w:t>s to give a fa</w:t>
      </w:r>
      <w:r w:rsidR="00422CC0">
        <w:rPr>
          <w:lang w:val="en-US"/>
        </w:rPr>
        <w:t>i</w:t>
      </w:r>
      <w:r w:rsidR="00E442AC">
        <w:rPr>
          <w:lang w:val="en-US"/>
        </w:rPr>
        <w:t>r assessment of the general with the greater skill during the campaign</w:t>
      </w:r>
      <w:r w:rsidR="00E7428A">
        <w:rPr>
          <w:lang w:val="en-US"/>
        </w:rPr>
        <w:t xml:space="preserve">. </w:t>
      </w:r>
      <w:r w:rsidR="00E2094E">
        <w:rPr>
          <w:lang w:val="en-US"/>
        </w:rPr>
        <w:t>This is somewhat more difficult -</w:t>
      </w:r>
      <w:r w:rsidR="00E442AC">
        <w:rPr>
          <w:lang w:val="en-US"/>
        </w:rPr>
        <w:t xml:space="preserve"> as Peter Hofschröer noted in the 1990s, ‘French-language works tend not to want to concede that their Emperor was defeated at all…defeat was partly at the hand of incompetent and treacherous subordinates, and partly at the hands of an English aristocrat’</w:t>
      </w:r>
      <w:r w:rsidR="00E442AC">
        <w:rPr>
          <w:rStyle w:val="FootnoteReference"/>
          <w:lang w:val="en-US"/>
        </w:rPr>
        <w:footnoteReference w:id="2"/>
      </w:r>
      <w:r w:rsidR="00E7428A">
        <w:rPr>
          <w:lang w:val="en-US"/>
        </w:rPr>
        <w:t xml:space="preserve">; </w:t>
      </w:r>
      <w:r w:rsidR="00316A24">
        <w:rPr>
          <w:lang w:val="en-US"/>
        </w:rPr>
        <w:t>it is also remarkable how few English</w:t>
      </w:r>
      <w:r w:rsidR="00306FD7">
        <w:rPr>
          <w:lang w:val="en-US"/>
        </w:rPr>
        <w:t xml:space="preserve"> </w:t>
      </w:r>
      <w:r w:rsidR="00F44781">
        <w:rPr>
          <w:lang w:val="en-US"/>
        </w:rPr>
        <w:t>language</w:t>
      </w:r>
      <w:r w:rsidR="00316A24">
        <w:rPr>
          <w:lang w:val="en-US"/>
        </w:rPr>
        <w:t xml:space="preserve"> histories of the battle are willing to admit any flaw in Wellington’s strategy</w:t>
      </w:r>
      <w:r w:rsidR="00A265AE">
        <w:rPr>
          <w:lang w:val="en-US"/>
        </w:rPr>
        <w:t>, and cer</w:t>
      </w:r>
      <w:r w:rsidR="0092544D">
        <w:rPr>
          <w:lang w:val="en-US"/>
        </w:rPr>
        <w:t>tainly a significant</w:t>
      </w:r>
      <w:r w:rsidR="00543BDB">
        <w:rPr>
          <w:lang w:val="en-US"/>
        </w:rPr>
        <w:t xml:space="preserve"> minority treat the</w:t>
      </w:r>
      <w:r w:rsidR="0092544D">
        <w:rPr>
          <w:lang w:val="en-US"/>
        </w:rPr>
        <w:t xml:space="preserve"> battle with any thought for</w:t>
      </w:r>
      <w:r w:rsidR="00A265AE">
        <w:rPr>
          <w:lang w:val="en-US"/>
        </w:rPr>
        <w:t xml:space="preserve"> tactical</w:t>
      </w:r>
      <w:r w:rsidR="00543BDB">
        <w:rPr>
          <w:lang w:val="en-US"/>
        </w:rPr>
        <w:t xml:space="preserve"> errors.</w:t>
      </w:r>
      <w:r w:rsidR="00827655">
        <w:rPr>
          <w:lang w:val="en-US"/>
        </w:rPr>
        <w:t xml:space="preserve"> I therefore aimed to give an impartial</w:t>
      </w:r>
      <w:r w:rsidR="004A3DBB">
        <w:rPr>
          <w:lang w:val="en-US"/>
        </w:rPr>
        <w:t xml:space="preserve"> assessment of both generals, and from there compare the two.</w:t>
      </w:r>
      <w:r w:rsidR="00A265AE">
        <w:rPr>
          <w:lang w:val="en-US"/>
        </w:rPr>
        <w:t xml:space="preserve"> </w:t>
      </w:r>
    </w:p>
    <w:p w:rsidR="00901722" w:rsidRDefault="00A43EFB" w:rsidP="00D670B3">
      <w:pPr>
        <w:jc w:val="both"/>
        <w:rPr>
          <w:lang w:val="en-US"/>
        </w:rPr>
      </w:pPr>
      <w:r>
        <w:rPr>
          <w:lang w:val="en-US"/>
        </w:rPr>
        <w:t>However, I was thwarted</w:t>
      </w:r>
      <w:r w:rsidR="001F1E46">
        <w:rPr>
          <w:lang w:val="en-US"/>
        </w:rPr>
        <w:t xml:space="preserve"> by a very simple fact. </w:t>
      </w:r>
      <w:r w:rsidR="00E74B36">
        <w:rPr>
          <w:lang w:val="en-US"/>
        </w:rPr>
        <w:t xml:space="preserve">I am not a Francophone, and so access to French sources is at best reduced, and </w:t>
      </w:r>
      <w:r w:rsidR="00125E4E">
        <w:rPr>
          <w:lang w:val="en-US"/>
        </w:rPr>
        <w:t>in one particular set of memoirs impossible.</w:t>
      </w:r>
      <w:r w:rsidR="000E246C">
        <w:rPr>
          <w:lang w:val="en-US"/>
        </w:rPr>
        <w:t xml:space="preserve"> This led me to </w:t>
      </w:r>
      <w:r w:rsidR="00E50D82">
        <w:rPr>
          <w:lang w:val="en-US"/>
        </w:rPr>
        <w:t>confin</w:t>
      </w:r>
      <w:r w:rsidR="000A4841">
        <w:rPr>
          <w:lang w:val="en-US"/>
        </w:rPr>
        <w:t>e my military assessment to solely</w:t>
      </w:r>
      <w:r w:rsidR="00E50D82">
        <w:rPr>
          <w:lang w:val="en-US"/>
        </w:rPr>
        <w:t xml:space="preserve"> Wellington – and </w:t>
      </w:r>
      <w:r w:rsidR="009654FB">
        <w:rPr>
          <w:lang w:val="en-US"/>
        </w:rPr>
        <w:t xml:space="preserve">I think for the better. </w:t>
      </w:r>
      <w:r w:rsidR="006A1F2B">
        <w:rPr>
          <w:lang w:val="en-US"/>
        </w:rPr>
        <w:t xml:space="preserve">The </w:t>
      </w:r>
      <w:r w:rsidR="0081023D">
        <w:rPr>
          <w:lang w:val="en-US"/>
        </w:rPr>
        <w:t>restriction of my research to just the English language sources (with some e</w:t>
      </w:r>
      <w:r w:rsidR="00D40662">
        <w:rPr>
          <w:lang w:val="en-US"/>
        </w:rPr>
        <w:t xml:space="preserve">xceptions </w:t>
      </w:r>
      <w:r w:rsidR="008E7A7C">
        <w:rPr>
          <w:lang w:val="en-US"/>
        </w:rPr>
        <w:t xml:space="preserve">to be examined later), and to a military </w:t>
      </w:r>
      <w:r w:rsidR="00461482">
        <w:rPr>
          <w:lang w:val="en-US"/>
        </w:rPr>
        <w:t>system I am familiar with</w:t>
      </w:r>
      <w:r w:rsidR="00D04D82">
        <w:rPr>
          <w:lang w:val="en-US"/>
        </w:rPr>
        <w:t xml:space="preserve">, </w:t>
      </w:r>
      <w:r w:rsidR="005B1DC1">
        <w:rPr>
          <w:lang w:val="en-US"/>
        </w:rPr>
        <w:t>has allowed a deeper analysis of certain decisions Wellington made</w:t>
      </w:r>
      <w:r w:rsidR="000A4841">
        <w:rPr>
          <w:lang w:val="en-US"/>
        </w:rPr>
        <w:t xml:space="preserve"> which I would not</w:t>
      </w:r>
      <w:r w:rsidR="008B22E7">
        <w:rPr>
          <w:lang w:val="en-US"/>
        </w:rPr>
        <w:t xml:space="preserve"> have had the time to examin</w:t>
      </w:r>
      <w:r w:rsidR="00F5637A">
        <w:rPr>
          <w:lang w:val="en-US"/>
        </w:rPr>
        <w:t>e if I was studying both. I</w:t>
      </w:r>
      <w:r w:rsidR="008B22E7">
        <w:rPr>
          <w:lang w:val="en-US"/>
        </w:rPr>
        <w:t xml:space="preserve"> can </w:t>
      </w:r>
      <w:r w:rsidR="00F5637A">
        <w:rPr>
          <w:lang w:val="en-US"/>
        </w:rPr>
        <w:t xml:space="preserve">also </w:t>
      </w:r>
      <w:r w:rsidR="008B22E7">
        <w:rPr>
          <w:lang w:val="en-US"/>
        </w:rPr>
        <w:t>provide context for Wellington’s military career, and draw parallels to earlier battles if necessary</w:t>
      </w:r>
      <w:r w:rsidR="00CA3F27">
        <w:rPr>
          <w:lang w:val="en-US"/>
        </w:rPr>
        <w:t>. As mentioned</w:t>
      </w:r>
      <w:r w:rsidR="0022705B">
        <w:rPr>
          <w:lang w:val="en-US"/>
        </w:rPr>
        <w:t xml:space="preserve"> above</w:t>
      </w:r>
      <w:r w:rsidR="00CA3F27">
        <w:rPr>
          <w:lang w:val="en-US"/>
        </w:rPr>
        <w:t xml:space="preserve">, most English </w:t>
      </w:r>
      <w:r w:rsidR="00ED42F0">
        <w:rPr>
          <w:lang w:val="en-US"/>
        </w:rPr>
        <w:t xml:space="preserve">language histories of the battle </w:t>
      </w:r>
      <w:r w:rsidR="00941295">
        <w:rPr>
          <w:lang w:val="en-US"/>
        </w:rPr>
        <w:t xml:space="preserve">fail to </w:t>
      </w:r>
      <w:r w:rsidR="006C7DD9">
        <w:rPr>
          <w:lang w:val="en-US"/>
        </w:rPr>
        <w:t xml:space="preserve">assess </w:t>
      </w:r>
      <w:r w:rsidR="00A51E11">
        <w:rPr>
          <w:lang w:val="en-US"/>
        </w:rPr>
        <w:t xml:space="preserve">the negative implications of </w:t>
      </w:r>
      <w:r w:rsidR="006C7DD9">
        <w:rPr>
          <w:lang w:val="en-US"/>
        </w:rPr>
        <w:t xml:space="preserve">several of the key </w:t>
      </w:r>
      <w:r w:rsidR="00A51E11">
        <w:rPr>
          <w:lang w:val="en-US"/>
        </w:rPr>
        <w:t>decisions</w:t>
      </w:r>
      <w:r w:rsidR="0074643D">
        <w:rPr>
          <w:lang w:val="en-US"/>
        </w:rPr>
        <w:t xml:space="preserve"> made </w:t>
      </w:r>
      <w:r w:rsidR="00F33B56">
        <w:rPr>
          <w:lang w:val="en-US"/>
        </w:rPr>
        <w:t>by Wellington</w:t>
      </w:r>
      <w:r w:rsidR="00F33B56">
        <w:rPr>
          <w:lang w:val="en-US"/>
        </w:rPr>
        <w:t xml:space="preserve"> </w:t>
      </w:r>
      <w:r w:rsidR="0074643D">
        <w:rPr>
          <w:lang w:val="en-US"/>
        </w:rPr>
        <w:t>througho</w:t>
      </w:r>
      <w:r w:rsidR="00F33B56">
        <w:rPr>
          <w:lang w:val="en-US"/>
        </w:rPr>
        <w:t>ut the campaign</w:t>
      </w:r>
      <w:r w:rsidR="003D1856">
        <w:rPr>
          <w:lang w:val="en-US"/>
        </w:rPr>
        <w:t xml:space="preserve">. Even books such as Tim Clayton’s </w:t>
      </w:r>
      <w:r w:rsidR="003D1856">
        <w:rPr>
          <w:i/>
          <w:lang w:val="en-US"/>
        </w:rPr>
        <w:t>Waterloo: Four Days that Changed Europe’s Destiny</w:t>
      </w:r>
      <w:r w:rsidR="003D1856">
        <w:rPr>
          <w:lang w:val="en-US"/>
        </w:rPr>
        <w:t xml:space="preserve">, </w:t>
      </w:r>
      <w:r w:rsidR="0061789C">
        <w:rPr>
          <w:lang w:val="en-US"/>
        </w:rPr>
        <w:t xml:space="preserve">which are part of the more recent </w:t>
      </w:r>
      <w:r w:rsidR="00671B1F">
        <w:rPr>
          <w:lang w:val="en-US"/>
        </w:rPr>
        <w:t xml:space="preserve">historiographical shift towards </w:t>
      </w:r>
      <w:r w:rsidR="008B53A9">
        <w:rPr>
          <w:lang w:val="en-US"/>
        </w:rPr>
        <w:t xml:space="preserve">displaying the battle from all nationalities, </w:t>
      </w:r>
      <w:r w:rsidR="001611A8">
        <w:rPr>
          <w:lang w:val="en-US"/>
        </w:rPr>
        <w:t xml:space="preserve">are still lacking in </w:t>
      </w:r>
      <w:r w:rsidR="007C1EE7">
        <w:rPr>
          <w:lang w:val="en-US"/>
        </w:rPr>
        <w:t xml:space="preserve">adequate critiques of the Duke himself. </w:t>
      </w:r>
      <w:r w:rsidR="0078600A">
        <w:rPr>
          <w:lang w:val="en-US"/>
        </w:rPr>
        <w:t xml:space="preserve">For this reason, I have made my aim to challenge both the traditional and </w:t>
      </w:r>
      <w:r w:rsidR="005C29F6">
        <w:rPr>
          <w:lang w:val="en-US"/>
        </w:rPr>
        <w:t xml:space="preserve">revisionist histories </w:t>
      </w:r>
      <w:r w:rsidR="00E3787C">
        <w:rPr>
          <w:lang w:val="en-US"/>
        </w:rPr>
        <w:t>–</w:t>
      </w:r>
      <w:r w:rsidR="005C29F6">
        <w:rPr>
          <w:lang w:val="en-US"/>
        </w:rPr>
        <w:t xml:space="preserve"> </w:t>
      </w:r>
      <w:r w:rsidR="00E3787C">
        <w:rPr>
          <w:lang w:val="en-US"/>
        </w:rPr>
        <w:t xml:space="preserve">and </w:t>
      </w:r>
      <w:r w:rsidR="00123B60">
        <w:rPr>
          <w:lang w:val="en-US"/>
        </w:rPr>
        <w:t xml:space="preserve">to fully critique and examine several key decisions and </w:t>
      </w:r>
      <w:r w:rsidR="000A7FD3">
        <w:rPr>
          <w:lang w:val="en-US"/>
        </w:rPr>
        <w:t>attitude</w:t>
      </w:r>
      <w:r w:rsidR="00323297">
        <w:rPr>
          <w:lang w:val="en-US"/>
        </w:rPr>
        <w:t>s</w:t>
      </w:r>
      <w:r w:rsidR="000A7FD3">
        <w:rPr>
          <w:lang w:val="en-US"/>
        </w:rPr>
        <w:t xml:space="preserve"> of the Duke of Wellington throughout the Waterloo Campaign.</w:t>
      </w:r>
      <w:r w:rsidR="00F73F04">
        <w:rPr>
          <w:lang w:val="en-US"/>
        </w:rPr>
        <w:t xml:space="preserve"> </w:t>
      </w:r>
      <w:r w:rsidR="00901722">
        <w:rPr>
          <w:lang w:val="en-US"/>
        </w:rPr>
        <w:t>These will be</w:t>
      </w:r>
      <w:r w:rsidR="00F40342">
        <w:rPr>
          <w:lang w:val="en-US"/>
        </w:rPr>
        <w:t>:</w:t>
      </w:r>
      <w:r w:rsidR="00901722">
        <w:rPr>
          <w:lang w:val="en-US"/>
        </w:rPr>
        <w:t xml:space="preserve"> the troops </w:t>
      </w:r>
      <w:r w:rsidR="00E25D53">
        <w:rPr>
          <w:lang w:val="en-US"/>
        </w:rPr>
        <w:t>stationed under Prince Frederick of Orange at Halle on the 18</w:t>
      </w:r>
      <w:r w:rsidR="00E25D53" w:rsidRPr="00E25D53">
        <w:rPr>
          <w:vertAlign w:val="superscript"/>
          <w:lang w:val="en-US"/>
        </w:rPr>
        <w:t>th</w:t>
      </w:r>
      <w:r w:rsidR="00356F7C">
        <w:rPr>
          <w:lang w:val="en-US"/>
        </w:rPr>
        <w:t xml:space="preserve"> June;</w:t>
      </w:r>
      <w:r w:rsidR="00E25D53">
        <w:rPr>
          <w:lang w:val="en-US"/>
        </w:rPr>
        <w:t xml:space="preserve"> </w:t>
      </w:r>
      <w:r w:rsidR="00F719AD">
        <w:rPr>
          <w:lang w:val="en-US"/>
        </w:rPr>
        <w:t xml:space="preserve">the </w:t>
      </w:r>
      <w:r w:rsidR="00686D0D">
        <w:rPr>
          <w:lang w:val="en-US"/>
        </w:rPr>
        <w:t xml:space="preserve">lack of supply and </w:t>
      </w:r>
      <w:r w:rsidR="008771A3">
        <w:rPr>
          <w:lang w:val="en-US"/>
        </w:rPr>
        <w:lastRenderedPageBreak/>
        <w:t>support at Hougoumont;</w:t>
      </w:r>
      <w:r w:rsidR="00686D0D">
        <w:rPr>
          <w:lang w:val="en-US"/>
        </w:rPr>
        <w:t xml:space="preserve"> </w:t>
      </w:r>
      <w:r w:rsidR="00656815">
        <w:rPr>
          <w:lang w:val="en-US"/>
        </w:rPr>
        <w:t xml:space="preserve">and </w:t>
      </w:r>
      <w:r w:rsidR="00323297">
        <w:rPr>
          <w:lang w:val="en-US"/>
        </w:rPr>
        <w:t xml:space="preserve">the conduct of the Duke </w:t>
      </w:r>
      <w:r w:rsidR="00B63820">
        <w:rPr>
          <w:lang w:val="en-US"/>
        </w:rPr>
        <w:t>in regard to</w:t>
      </w:r>
      <w:r w:rsidR="00323297">
        <w:rPr>
          <w:lang w:val="en-US"/>
        </w:rPr>
        <w:t xml:space="preserve"> his Dutch and Belgian troops, his Prussian allies, and his </w:t>
      </w:r>
      <w:r w:rsidR="0066324A">
        <w:rPr>
          <w:lang w:val="en-US"/>
        </w:rPr>
        <w:t>caution</w:t>
      </w:r>
      <w:r w:rsidR="007547DF">
        <w:rPr>
          <w:lang w:val="en-US"/>
        </w:rPr>
        <w:t xml:space="preserve"> in the early stages of the campaign itself.</w:t>
      </w:r>
    </w:p>
    <w:p w:rsidR="00901722" w:rsidRDefault="00901722" w:rsidP="00D670B3">
      <w:pPr>
        <w:jc w:val="both"/>
        <w:rPr>
          <w:lang w:val="en-US"/>
        </w:rPr>
      </w:pPr>
    </w:p>
    <w:p w:rsidR="00A43EFB" w:rsidRDefault="00BE7ED7" w:rsidP="00D670B3">
      <w:pPr>
        <w:jc w:val="both"/>
        <w:rPr>
          <w:lang w:val="en-US"/>
        </w:rPr>
      </w:pPr>
      <w:r>
        <w:rPr>
          <w:lang w:val="en-US"/>
        </w:rPr>
        <w:t xml:space="preserve">The advantage any historian faces </w:t>
      </w:r>
      <w:r w:rsidR="007B1D75">
        <w:rPr>
          <w:lang w:val="en-US"/>
        </w:rPr>
        <w:t>this century</w:t>
      </w:r>
      <w:r w:rsidR="00BB6B95">
        <w:rPr>
          <w:lang w:val="en-US"/>
        </w:rPr>
        <w:t xml:space="preserve"> in assessing any element of the </w:t>
      </w:r>
      <w:r w:rsidR="007038E7">
        <w:rPr>
          <w:lang w:val="en-US"/>
        </w:rPr>
        <w:t xml:space="preserve">Waterloo campaign is the sheer volume of source material available. </w:t>
      </w:r>
      <w:r w:rsidR="00F953C1">
        <w:rPr>
          <w:lang w:val="en-US"/>
        </w:rPr>
        <w:t xml:space="preserve">More specifically, </w:t>
      </w:r>
      <w:r w:rsidR="003113B0">
        <w:rPr>
          <w:lang w:val="en-US"/>
        </w:rPr>
        <w:t xml:space="preserve">the sheer volume of </w:t>
      </w:r>
      <w:r w:rsidR="002615E5">
        <w:rPr>
          <w:lang w:val="en-US"/>
        </w:rPr>
        <w:t xml:space="preserve">translated source material available. </w:t>
      </w:r>
      <w:r w:rsidR="002615E5">
        <w:rPr>
          <w:i/>
          <w:lang w:val="en-US"/>
        </w:rPr>
        <w:t>The Waterloo Archive</w:t>
      </w:r>
      <w:r w:rsidR="00DA43D2">
        <w:rPr>
          <w:lang w:val="en-US"/>
        </w:rPr>
        <w:t xml:space="preserve"> </w:t>
      </w:r>
      <w:r w:rsidR="008609AC">
        <w:rPr>
          <w:lang w:val="en-US"/>
        </w:rPr>
        <w:t xml:space="preserve">was first published seven years ago, with an aim to </w:t>
      </w:r>
      <w:r w:rsidR="00EE38E1">
        <w:rPr>
          <w:lang w:val="en-US"/>
        </w:rPr>
        <w:t xml:space="preserve">presenting more recently acquired and translated </w:t>
      </w:r>
      <w:r w:rsidR="00616B2C">
        <w:rPr>
          <w:lang w:val="en-US"/>
        </w:rPr>
        <w:t xml:space="preserve">documentary evidence. The six volumes are a compilation of British, </w:t>
      </w:r>
      <w:r w:rsidR="00CE6DA1">
        <w:rPr>
          <w:lang w:val="en-US"/>
        </w:rPr>
        <w:t>German, and Nassau</w:t>
      </w:r>
      <w:r w:rsidR="00616B2C">
        <w:rPr>
          <w:lang w:val="en-US"/>
        </w:rPr>
        <w:t xml:space="preserve"> troops’ letters</w:t>
      </w:r>
      <w:r w:rsidR="00F2659A">
        <w:rPr>
          <w:lang w:val="en-US"/>
        </w:rPr>
        <w:t xml:space="preserve"> and recollections</w:t>
      </w:r>
      <w:r w:rsidR="00AD4789">
        <w:rPr>
          <w:lang w:val="en-US"/>
        </w:rPr>
        <w:t xml:space="preserve">, </w:t>
      </w:r>
      <w:r w:rsidR="00616B2C">
        <w:rPr>
          <w:lang w:val="en-US"/>
        </w:rPr>
        <w:t xml:space="preserve">from </w:t>
      </w:r>
      <w:r w:rsidR="00076400">
        <w:rPr>
          <w:lang w:val="en-US"/>
        </w:rPr>
        <w:t xml:space="preserve">high ranking officers </w:t>
      </w:r>
      <w:r w:rsidR="00616B2C">
        <w:rPr>
          <w:lang w:val="en-US"/>
        </w:rPr>
        <w:t>all the way down t</w:t>
      </w:r>
      <w:r w:rsidR="00994C4F">
        <w:rPr>
          <w:lang w:val="en-US"/>
        </w:rPr>
        <w:t xml:space="preserve">o </w:t>
      </w:r>
      <w:r w:rsidR="00DD04F3">
        <w:rPr>
          <w:lang w:val="en-US"/>
        </w:rPr>
        <w:t>battery commanders</w:t>
      </w:r>
      <w:r w:rsidR="005B425E">
        <w:rPr>
          <w:lang w:val="en-US"/>
        </w:rPr>
        <w:t>.</w:t>
      </w:r>
      <w:r w:rsidR="00AD256D">
        <w:rPr>
          <w:lang w:val="en-US"/>
        </w:rPr>
        <w:t xml:space="preserve"> The </w:t>
      </w:r>
      <w:r w:rsidR="00974B49">
        <w:rPr>
          <w:lang w:val="en-US"/>
        </w:rPr>
        <w:t xml:space="preserve">translations have been incredibly insightful </w:t>
      </w:r>
      <w:r w:rsidR="007D225F">
        <w:rPr>
          <w:lang w:val="en-US"/>
        </w:rPr>
        <w:t>–</w:t>
      </w:r>
      <w:r w:rsidR="00974B49">
        <w:rPr>
          <w:lang w:val="en-US"/>
        </w:rPr>
        <w:t xml:space="preserve"> </w:t>
      </w:r>
      <w:r w:rsidR="007D225F">
        <w:rPr>
          <w:lang w:val="en-US"/>
        </w:rPr>
        <w:t xml:space="preserve">much </w:t>
      </w:r>
      <w:r w:rsidR="00A536F8">
        <w:rPr>
          <w:lang w:val="en-US"/>
        </w:rPr>
        <w:t>of the King’s G</w:t>
      </w:r>
      <w:r w:rsidR="00C87501">
        <w:rPr>
          <w:lang w:val="en-US"/>
        </w:rPr>
        <w:t xml:space="preserve">erman Legion is able to be examined in far greater detail than previously due to the </w:t>
      </w:r>
      <w:r w:rsidR="00AE6B20">
        <w:rPr>
          <w:lang w:val="en-US"/>
        </w:rPr>
        <w:t xml:space="preserve">access to documents in English. </w:t>
      </w:r>
      <w:r w:rsidR="00046F6E">
        <w:rPr>
          <w:lang w:val="en-US"/>
        </w:rPr>
        <w:t>Volume</w:t>
      </w:r>
      <w:r w:rsidR="00956C5D">
        <w:rPr>
          <w:lang w:val="en-US"/>
        </w:rPr>
        <w:t>s</w:t>
      </w:r>
      <w:r w:rsidR="00046F6E">
        <w:rPr>
          <w:lang w:val="en-US"/>
        </w:rPr>
        <w:t xml:space="preserve"> 2, 4, and 6 have all been of great use thus far in researching German experiences; </w:t>
      </w:r>
      <w:r w:rsidR="00B94EE1">
        <w:rPr>
          <w:lang w:val="en-US"/>
        </w:rPr>
        <w:t>they are also comparatively cheap</w:t>
      </w:r>
      <w:r w:rsidR="00886609">
        <w:rPr>
          <w:lang w:val="en-US"/>
        </w:rPr>
        <w:t xml:space="preserve">, and so accessibility has also been proven. </w:t>
      </w:r>
      <w:r w:rsidR="00937593">
        <w:rPr>
          <w:lang w:val="en-US"/>
        </w:rPr>
        <w:t xml:space="preserve">In fact, the campaign is so well documented </w:t>
      </w:r>
      <w:r w:rsidR="00107A5B">
        <w:rPr>
          <w:lang w:val="en-US"/>
        </w:rPr>
        <w:t xml:space="preserve">that primary sources are almost as available as scholarly works. </w:t>
      </w:r>
      <w:r w:rsidR="001E5720">
        <w:rPr>
          <w:lang w:val="en-US"/>
        </w:rPr>
        <w:t xml:space="preserve">Memoirs by British veterans such as </w:t>
      </w:r>
      <w:r w:rsidR="00BA23EC">
        <w:rPr>
          <w:lang w:val="en-US"/>
        </w:rPr>
        <w:t xml:space="preserve">Rifleman </w:t>
      </w:r>
      <w:r w:rsidR="00065C58">
        <w:rPr>
          <w:lang w:val="en-US"/>
        </w:rPr>
        <w:t>Edward Costello</w:t>
      </w:r>
      <w:r w:rsidR="005640A3">
        <w:rPr>
          <w:lang w:val="en-US"/>
        </w:rPr>
        <w:t xml:space="preserve"> and Sergeant William Lawrence</w:t>
      </w:r>
      <w:r w:rsidR="00936D23">
        <w:rPr>
          <w:lang w:val="en-US"/>
        </w:rPr>
        <w:t xml:space="preserve">, and </w:t>
      </w:r>
      <w:r w:rsidR="00161155">
        <w:rPr>
          <w:lang w:val="en-US"/>
        </w:rPr>
        <w:t xml:space="preserve">Count Gneisenau’s biography of Field-Marshal Blücher, further enhance </w:t>
      </w:r>
      <w:r w:rsidR="005616DB">
        <w:rPr>
          <w:lang w:val="en-US"/>
        </w:rPr>
        <w:t xml:space="preserve">the pool from which to draw my </w:t>
      </w:r>
      <w:r w:rsidR="00733774">
        <w:rPr>
          <w:lang w:val="en-US"/>
        </w:rPr>
        <w:t xml:space="preserve">material and therefore the supporting evidence for my hypotheses. </w:t>
      </w:r>
      <w:r w:rsidR="000360CA">
        <w:rPr>
          <w:lang w:val="en-US"/>
        </w:rPr>
        <w:t xml:space="preserve"> </w:t>
      </w:r>
    </w:p>
    <w:p w:rsidR="000360CA" w:rsidRDefault="000360CA" w:rsidP="00D670B3">
      <w:pPr>
        <w:jc w:val="both"/>
        <w:rPr>
          <w:lang w:val="en-US"/>
        </w:rPr>
      </w:pPr>
      <w:r>
        <w:rPr>
          <w:lang w:val="en-US"/>
        </w:rPr>
        <w:t>Mor</w:t>
      </w:r>
      <w:r w:rsidR="00D83324">
        <w:rPr>
          <w:lang w:val="en-US"/>
        </w:rPr>
        <w:t xml:space="preserve">e modern secondary works </w:t>
      </w:r>
      <w:r w:rsidR="002D18A3">
        <w:rPr>
          <w:lang w:val="en-US"/>
        </w:rPr>
        <w:t xml:space="preserve">also make a valuable </w:t>
      </w:r>
      <w:r w:rsidR="004E1C61">
        <w:rPr>
          <w:lang w:val="en-US"/>
        </w:rPr>
        <w:t xml:space="preserve">contribution to </w:t>
      </w:r>
      <w:r w:rsidR="0082356B">
        <w:rPr>
          <w:lang w:val="en-US"/>
        </w:rPr>
        <w:t xml:space="preserve">my evidence. </w:t>
      </w:r>
      <w:r w:rsidR="00C71902">
        <w:rPr>
          <w:lang w:val="en-US"/>
        </w:rPr>
        <w:t xml:space="preserve">My main inspiration for the </w:t>
      </w:r>
      <w:r w:rsidR="00B56174">
        <w:rPr>
          <w:lang w:val="en-US"/>
        </w:rPr>
        <w:t xml:space="preserve">research questions I hope to raise were Saul David’s </w:t>
      </w:r>
      <w:r w:rsidR="00B56174">
        <w:rPr>
          <w:i/>
          <w:lang w:val="en-US"/>
        </w:rPr>
        <w:t>All the King’s Men</w:t>
      </w:r>
      <w:r w:rsidR="00B56174">
        <w:rPr>
          <w:lang w:val="en-US"/>
        </w:rPr>
        <w:t xml:space="preserve">, a history of the British army 1660-1815, and </w:t>
      </w:r>
      <w:r w:rsidR="00B56174">
        <w:rPr>
          <w:i/>
          <w:lang w:val="en-US"/>
        </w:rPr>
        <w:t>Military Blunders</w:t>
      </w:r>
      <w:r w:rsidR="00B56174">
        <w:rPr>
          <w:lang w:val="en-US"/>
        </w:rPr>
        <w:t xml:space="preserve">, a book which studies several </w:t>
      </w:r>
      <w:r w:rsidR="00F32A85">
        <w:rPr>
          <w:lang w:val="en-US"/>
        </w:rPr>
        <w:t xml:space="preserve">key aspects which contribute to military failures. </w:t>
      </w:r>
      <w:r w:rsidR="00BF1225">
        <w:rPr>
          <w:lang w:val="en-US"/>
        </w:rPr>
        <w:t xml:space="preserve">The former </w:t>
      </w:r>
      <w:r w:rsidR="00330B22">
        <w:rPr>
          <w:lang w:val="en-US"/>
        </w:rPr>
        <w:t xml:space="preserve">has encouraged me to study the Battle of Waterloo within the context of the era, and so I shall endeavor to </w:t>
      </w:r>
      <w:r w:rsidR="00393285">
        <w:rPr>
          <w:lang w:val="en-US"/>
        </w:rPr>
        <w:t xml:space="preserve">examine Wellington’s early career, with the hopes of explaining several of the actions he took during the campaign; the latter </w:t>
      </w:r>
      <w:r w:rsidR="009E6432">
        <w:rPr>
          <w:lang w:val="en-US"/>
        </w:rPr>
        <w:t>made me consider the possibility of Welli</w:t>
      </w:r>
      <w:r w:rsidR="007526C7">
        <w:rPr>
          <w:lang w:val="en-US"/>
        </w:rPr>
        <w:t>ngton’s loss, and had he lost</w:t>
      </w:r>
      <w:r w:rsidR="009E6432">
        <w:rPr>
          <w:lang w:val="en-US"/>
        </w:rPr>
        <w:t xml:space="preserve"> what would have been included in the criticisms of him.</w:t>
      </w:r>
      <w:r w:rsidR="00C33076">
        <w:rPr>
          <w:lang w:val="en-US"/>
        </w:rPr>
        <w:t xml:space="preserve"> In particular, the secondary source material is lacking </w:t>
      </w:r>
      <w:r w:rsidR="00B234B0">
        <w:rPr>
          <w:lang w:val="en-US"/>
        </w:rPr>
        <w:t xml:space="preserve">in negative judgements of Wellington because he won. </w:t>
      </w:r>
      <w:r w:rsidR="00C8357D">
        <w:rPr>
          <w:lang w:val="en-US"/>
        </w:rPr>
        <w:t xml:space="preserve">The late </w:t>
      </w:r>
      <w:r w:rsidR="0055188D">
        <w:rPr>
          <w:lang w:val="en-US"/>
        </w:rPr>
        <w:t xml:space="preserve">Richard Holmes’ </w:t>
      </w:r>
      <w:r w:rsidR="003B066D">
        <w:rPr>
          <w:i/>
          <w:lang w:val="en-US"/>
        </w:rPr>
        <w:t>Wellington</w:t>
      </w:r>
      <w:r w:rsidR="00DE6EDE">
        <w:rPr>
          <w:lang w:val="en-US"/>
        </w:rPr>
        <w:t xml:space="preserve"> arrives at the battle itself with nothing to say bar a commendation for </w:t>
      </w:r>
      <w:r w:rsidR="00F7052D">
        <w:rPr>
          <w:lang w:val="en-US"/>
        </w:rPr>
        <w:t>his letter writing</w:t>
      </w:r>
      <w:r w:rsidR="00FF5365">
        <w:rPr>
          <w:lang w:val="en-US"/>
        </w:rPr>
        <w:t>;</w:t>
      </w:r>
      <w:r w:rsidR="00F7052D">
        <w:rPr>
          <w:rStyle w:val="FootnoteReference"/>
          <w:lang w:val="en-US"/>
        </w:rPr>
        <w:footnoteReference w:id="3"/>
      </w:r>
      <w:r w:rsidR="0052250D">
        <w:rPr>
          <w:lang w:val="en-US"/>
        </w:rPr>
        <w:t xml:space="preserve"> </w:t>
      </w:r>
      <w:r w:rsidR="002F5D61">
        <w:rPr>
          <w:lang w:val="en-US"/>
        </w:rPr>
        <w:t xml:space="preserve">Peter Snow’s history of the Peninsula </w:t>
      </w:r>
      <w:r w:rsidR="002F5D61">
        <w:rPr>
          <w:i/>
          <w:lang w:val="en-US"/>
        </w:rPr>
        <w:t>To War With Wellington</w:t>
      </w:r>
      <w:r w:rsidR="002F5D61">
        <w:rPr>
          <w:lang w:val="en-US"/>
        </w:rPr>
        <w:t xml:space="preserve"> is also lax on criticisms of the Duke, instead preferring to </w:t>
      </w:r>
      <w:r w:rsidR="00967B58">
        <w:rPr>
          <w:lang w:val="en-US"/>
        </w:rPr>
        <w:t xml:space="preserve">blame the Spanish and other commanders. </w:t>
      </w:r>
      <w:r w:rsidR="002E760A">
        <w:rPr>
          <w:lang w:val="en-US"/>
        </w:rPr>
        <w:t>Therefore</w:t>
      </w:r>
      <w:r w:rsidR="00577DE5">
        <w:rPr>
          <w:lang w:val="en-US"/>
        </w:rPr>
        <w:t>,</w:t>
      </w:r>
      <w:r w:rsidR="002E760A">
        <w:rPr>
          <w:lang w:val="en-US"/>
        </w:rPr>
        <w:t xml:space="preserve"> one of the </w:t>
      </w:r>
      <w:r w:rsidR="006C3C0B">
        <w:rPr>
          <w:lang w:val="en-US"/>
        </w:rPr>
        <w:t xml:space="preserve">only </w:t>
      </w:r>
      <w:r w:rsidR="002E760A">
        <w:rPr>
          <w:lang w:val="en-US"/>
        </w:rPr>
        <w:t xml:space="preserve">British </w:t>
      </w:r>
      <w:r w:rsidR="000313E9">
        <w:rPr>
          <w:lang w:val="en-US"/>
        </w:rPr>
        <w:t>scholarly work</w:t>
      </w:r>
      <w:r w:rsidR="002E760A">
        <w:rPr>
          <w:lang w:val="en-US"/>
        </w:rPr>
        <w:t>s I shall rely on throughout</w:t>
      </w:r>
      <w:r w:rsidR="00C96E6D">
        <w:rPr>
          <w:lang w:val="en-US"/>
        </w:rPr>
        <w:t xml:space="preserve"> is Mark Adkin’s </w:t>
      </w:r>
      <w:r w:rsidR="001C5B72">
        <w:rPr>
          <w:i/>
          <w:lang w:val="en-US"/>
        </w:rPr>
        <w:t>Waterloo Companion</w:t>
      </w:r>
      <w:r w:rsidR="001C5B72">
        <w:rPr>
          <w:lang w:val="en-US"/>
        </w:rPr>
        <w:t xml:space="preserve">. </w:t>
      </w:r>
      <w:r w:rsidR="00577DE5">
        <w:rPr>
          <w:lang w:val="en-US"/>
        </w:rPr>
        <w:t>Researched</w:t>
      </w:r>
      <w:r w:rsidR="00E44251">
        <w:rPr>
          <w:lang w:val="en-US"/>
        </w:rPr>
        <w:t xml:space="preserve"> during the 1990s, </w:t>
      </w:r>
      <w:r w:rsidR="00921A38">
        <w:rPr>
          <w:lang w:val="en-US"/>
        </w:rPr>
        <w:t xml:space="preserve">this is one of the most detailed reports of the battle currently published. </w:t>
      </w:r>
      <w:r w:rsidR="00A61146">
        <w:rPr>
          <w:lang w:val="en-US"/>
        </w:rPr>
        <w:t xml:space="preserve">Where possible Adkin has identified commanders and troop numbers down to </w:t>
      </w:r>
      <w:r w:rsidR="002765D4">
        <w:rPr>
          <w:lang w:val="en-US"/>
        </w:rPr>
        <w:t xml:space="preserve">company level, for all nationalities, along with full explanations of </w:t>
      </w:r>
      <w:r w:rsidR="00446366">
        <w:rPr>
          <w:lang w:val="en-US"/>
        </w:rPr>
        <w:t>weaponry</w:t>
      </w:r>
      <w:r w:rsidR="00DE563B">
        <w:rPr>
          <w:lang w:val="en-US"/>
        </w:rPr>
        <w:t xml:space="preserve">, strategy, and context – there is even a diagram </w:t>
      </w:r>
      <w:r w:rsidR="00C308F5">
        <w:rPr>
          <w:lang w:val="en-US"/>
        </w:rPr>
        <w:t xml:space="preserve">detailing the physics of parabolic </w:t>
      </w:r>
      <w:r w:rsidR="00822EB1">
        <w:rPr>
          <w:lang w:val="en-US"/>
        </w:rPr>
        <w:t>cannon shot flight</w:t>
      </w:r>
      <w:r w:rsidR="000C3F5B">
        <w:rPr>
          <w:lang w:val="en-US"/>
        </w:rPr>
        <w:t>.</w:t>
      </w:r>
      <w:r w:rsidR="00153A98">
        <w:rPr>
          <w:rStyle w:val="FootnoteReference"/>
          <w:lang w:val="en-US"/>
        </w:rPr>
        <w:footnoteReference w:id="4"/>
      </w:r>
    </w:p>
    <w:p w:rsidR="007D0831" w:rsidRDefault="007D0831" w:rsidP="00D670B3">
      <w:pPr>
        <w:jc w:val="both"/>
        <w:rPr>
          <w:lang w:val="en-US"/>
        </w:rPr>
      </w:pPr>
    </w:p>
    <w:p w:rsidR="007D0831" w:rsidRDefault="00E6606D" w:rsidP="00D670B3">
      <w:pPr>
        <w:jc w:val="both"/>
        <w:rPr>
          <w:lang w:val="en-US"/>
        </w:rPr>
      </w:pPr>
      <w:r>
        <w:rPr>
          <w:lang w:val="en-US"/>
        </w:rPr>
        <w:t>In</w:t>
      </w:r>
      <w:r w:rsidR="005051E6">
        <w:rPr>
          <w:lang w:val="en-US"/>
        </w:rPr>
        <w:t xml:space="preserve"> order to </w:t>
      </w:r>
      <w:r w:rsidR="00BD6A7D">
        <w:rPr>
          <w:lang w:val="en-US"/>
        </w:rPr>
        <w:t>fulfil my target of a complete</w:t>
      </w:r>
      <w:r w:rsidR="00543A7E">
        <w:rPr>
          <w:lang w:val="en-US"/>
        </w:rPr>
        <w:t xml:space="preserve"> and accurate assessment of the </w:t>
      </w:r>
      <w:r w:rsidR="00113C27">
        <w:rPr>
          <w:lang w:val="en-US"/>
        </w:rPr>
        <w:t xml:space="preserve">mistakes I aim to attribute to the Duke, I have set myself three secondary research questions. </w:t>
      </w:r>
      <w:r w:rsidR="00600CE3">
        <w:rPr>
          <w:lang w:val="en-US"/>
        </w:rPr>
        <w:t xml:space="preserve">By keeping these </w:t>
      </w:r>
      <w:r w:rsidR="00600CE3">
        <w:rPr>
          <w:lang w:val="en-US"/>
        </w:rPr>
        <w:lastRenderedPageBreak/>
        <w:t>at the forefront of my research and argument, I hope to keep my dissertation focused. I aim to assess the various decisions and attitudes thus:</w:t>
      </w:r>
    </w:p>
    <w:p w:rsidR="00600CE3" w:rsidRDefault="00600CE3" w:rsidP="00600CE3">
      <w:pPr>
        <w:pStyle w:val="ListParagraph"/>
        <w:numPr>
          <w:ilvl w:val="0"/>
          <w:numId w:val="1"/>
        </w:numPr>
        <w:jc w:val="both"/>
        <w:rPr>
          <w:lang w:val="en-US"/>
        </w:rPr>
      </w:pPr>
      <w:r>
        <w:rPr>
          <w:lang w:val="en-US"/>
        </w:rPr>
        <w:t>Were the decisions and attitudes errors or mistakes?</w:t>
      </w:r>
    </w:p>
    <w:p w:rsidR="0028749A" w:rsidRDefault="002C4190" w:rsidP="0028749A">
      <w:pPr>
        <w:pStyle w:val="ListParagraph"/>
        <w:numPr>
          <w:ilvl w:val="1"/>
          <w:numId w:val="1"/>
        </w:numPr>
        <w:jc w:val="both"/>
        <w:rPr>
          <w:lang w:val="en-US"/>
        </w:rPr>
      </w:pPr>
      <w:r>
        <w:rPr>
          <w:lang w:val="en-US"/>
        </w:rPr>
        <w:t xml:space="preserve">I shall </w:t>
      </w:r>
      <w:r w:rsidR="0028749A">
        <w:rPr>
          <w:lang w:val="en-US"/>
        </w:rPr>
        <w:t xml:space="preserve">examine the decisions taken, and the attitudes expressed by the Duke, </w:t>
      </w:r>
      <w:r>
        <w:rPr>
          <w:lang w:val="en-US"/>
        </w:rPr>
        <w:t xml:space="preserve">and attempt to define if they were errors in judgement, or mistakes which could have been avoided. The important distinction I aim to make clear is that errors are one-time </w:t>
      </w:r>
      <w:r w:rsidR="003C07F7">
        <w:rPr>
          <w:lang w:val="en-US"/>
        </w:rPr>
        <w:t>events, mistakes are repetitive. For the latter I therefore need to examine the Duke</w:t>
      </w:r>
      <w:r w:rsidR="00040269">
        <w:rPr>
          <w:lang w:val="en-US"/>
        </w:rPr>
        <w:t>’s</w:t>
      </w:r>
      <w:r w:rsidR="003C07F7">
        <w:rPr>
          <w:lang w:val="en-US"/>
        </w:rPr>
        <w:t xml:space="preserve"> career in some detail, to look for evidence of past decisions. In particular I aim to compare his attitude to native sepoys</w:t>
      </w:r>
      <w:r w:rsidR="009E004B">
        <w:rPr>
          <w:lang w:val="en-US"/>
        </w:rPr>
        <w:t xml:space="preserve"> in the Indian subcontinent</w:t>
      </w:r>
      <w:r w:rsidR="0089327E">
        <w:rPr>
          <w:lang w:val="en-US"/>
        </w:rPr>
        <w:t xml:space="preserve"> </w:t>
      </w:r>
      <w:r w:rsidR="009E004B">
        <w:rPr>
          <w:lang w:val="en-US"/>
        </w:rPr>
        <w:t>to</w:t>
      </w:r>
      <w:r w:rsidR="003C07F7">
        <w:rPr>
          <w:lang w:val="en-US"/>
        </w:rPr>
        <w:t xml:space="preserve"> native Dutch and Belgian troops at Waterloo.</w:t>
      </w:r>
    </w:p>
    <w:p w:rsidR="00600CE3" w:rsidRDefault="00600CE3" w:rsidP="00600CE3">
      <w:pPr>
        <w:pStyle w:val="ListParagraph"/>
        <w:numPr>
          <w:ilvl w:val="0"/>
          <w:numId w:val="1"/>
        </w:numPr>
        <w:jc w:val="both"/>
        <w:rPr>
          <w:lang w:val="en-US"/>
        </w:rPr>
      </w:pPr>
      <w:r>
        <w:rPr>
          <w:lang w:val="en-US"/>
        </w:rPr>
        <w:t>Was each error, or mistake, avoidable</w:t>
      </w:r>
      <w:r w:rsidR="003C7829">
        <w:rPr>
          <w:lang w:val="en-US"/>
        </w:rPr>
        <w:t xml:space="preserve"> or unnecessary</w:t>
      </w:r>
      <w:r>
        <w:rPr>
          <w:lang w:val="en-US"/>
        </w:rPr>
        <w:t>?</w:t>
      </w:r>
    </w:p>
    <w:p w:rsidR="00BA0D3B" w:rsidRDefault="000332F8" w:rsidP="00BA0D3B">
      <w:pPr>
        <w:pStyle w:val="ListParagraph"/>
        <w:numPr>
          <w:ilvl w:val="1"/>
          <w:numId w:val="1"/>
        </w:numPr>
        <w:jc w:val="both"/>
        <w:rPr>
          <w:lang w:val="en-US"/>
        </w:rPr>
      </w:pPr>
      <w:r>
        <w:rPr>
          <w:lang w:val="en-US"/>
        </w:rPr>
        <w:t xml:space="preserve">This will require the use of </w:t>
      </w:r>
      <w:r w:rsidR="003C7829">
        <w:rPr>
          <w:lang w:val="en-US"/>
        </w:rPr>
        <w:t>the official dispatches, letters the Duke sent, and other primary sources</w:t>
      </w:r>
      <w:r w:rsidR="00D30459">
        <w:rPr>
          <w:lang w:val="en-US"/>
        </w:rPr>
        <w:t>, to understand the situation at the time. The criticism of the troops left at Halle under Princ</w:t>
      </w:r>
      <w:r w:rsidR="005C1F3B">
        <w:rPr>
          <w:lang w:val="en-US"/>
        </w:rPr>
        <w:t xml:space="preserve">e Frederick has been </w:t>
      </w:r>
      <w:r w:rsidR="00D30459">
        <w:rPr>
          <w:lang w:val="en-US"/>
        </w:rPr>
        <w:t>dismissed</w:t>
      </w:r>
      <w:r w:rsidR="005C1F3B">
        <w:rPr>
          <w:lang w:val="en-US"/>
        </w:rPr>
        <w:t xml:space="preserve"> since the battle itself</w:t>
      </w:r>
      <w:r w:rsidR="00D30459">
        <w:rPr>
          <w:lang w:val="en-US"/>
        </w:rPr>
        <w:t>, as ‘fully justified’</w:t>
      </w:r>
      <w:r w:rsidR="00D30459">
        <w:rPr>
          <w:rStyle w:val="FootnoteReference"/>
          <w:lang w:val="en-US"/>
        </w:rPr>
        <w:footnoteReference w:id="5"/>
      </w:r>
      <w:r w:rsidR="00645D72">
        <w:rPr>
          <w:lang w:val="en-US"/>
        </w:rPr>
        <w:t xml:space="preserve"> due to the small French force sent in their direction – however </w:t>
      </w:r>
      <w:r w:rsidR="00574F53">
        <w:rPr>
          <w:lang w:val="en-US"/>
        </w:rPr>
        <w:t>even on the day, this does not account for the mostly unengaged element of Frederick’s troops.</w:t>
      </w:r>
      <w:r w:rsidR="005C1F3B">
        <w:rPr>
          <w:lang w:val="en-US"/>
        </w:rPr>
        <w:t xml:space="preserve"> Therefore</w:t>
      </w:r>
      <w:r w:rsidR="00CD0499">
        <w:rPr>
          <w:lang w:val="en-US"/>
        </w:rPr>
        <w:t>,</w:t>
      </w:r>
      <w:r w:rsidR="005C1F3B">
        <w:rPr>
          <w:lang w:val="en-US"/>
        </w:rPr>
        <w:t xml:space="preserve"> a mixture of primary sources, to give insight into the situation at the time, and scholarly works cross examining the original documentation, shall be necessary.</w:t>
      </w:r>
    </w:p>
    <w:p w:rsidR="00600CE3" w:rsidRDefault="00600CE3" w:rsidP="00600CE3">
      <w:pPr>
        <w:pStyle w:val="ListParagraph"/>
        <w:numPr>
          <w:ilvl w:val="0"/>
          <w:numId w:val="1"/>
        </w:numPr>
        <w:jc w:val="both"/>
        <w:rPr>
          <w:lang w:val="en-US"/>
        </w:rPr>
      </w:pPr>
      <w:r>
        <w:rPr>
          <w:lang w:val="en-US"/>
        </w:rPr>
        <w:t>What impact did these errors or mistakes have, and what impact could they have had?</w:t>
      </w:r>
    </w:p>
    <w:p w:rsidR="00CD0499" w:rsidRDefault="00CD0499" w:rsidP="00CD0499">
      <w:pPr>
        <w:pStyle w:val="ListParagraph"/>
        <w:numPr>
          <w:ilvl w:val="1"/>
          <w:numId w:val="1"/>
        </w:numPr>
        <w:jc w:val="both"/>
        <w:rPr>
          <w:lang w:val="en-US"/>
        </w:rPr>
      </w:pPr>
      <w:r>
        <w:rPr>
          <w:lang w:val="en-US"/>
        </w:rPr>
        <w:t xml:space="preserve">The one aim I have above all else is to avoid engaging in counterfactual history. Niall Ferguson frequently resorts to ‘what ifs’ throughout his work on the summer of 1914, and I want my dissertation to remain strictly within the bounds of history. Bearing that in mind, any assessment of errors made historically must make some comment on the potential consequences. </w:t>
      </w:r>
      <w:r w:rsidR="00192A38">
        <w:rPr>
          <w:lang w:val="en-US"/>
        </w:rPr>
        <w:t xml:space="preserve">For this </w:t>
      </w:r>
      <w:r w:rsidR="00962AD2">
        <w:rPr>
          <w:lang w:val="en-US"/>
        </w:rPr>
        <w:t>reason,</w:t>
      </w:r>
      <w:r w:rsidR="00192A38">
        <w:rPr>
          <w:lang w:val="en-US"/>
        </w:rPr>
        <w:t xml:space="preserve"> I hope to keep my speculation to the effect the decisions actually had, and from there examine whether any alternate history would have been possible. This is somewhat easier, studying Wellington, than it is when considering Napoleon – Wellington still won the battle, and so the consequences of these decisions cannot be as far reaching as, for example, Grouchy not being tasked with seeking out the Prussian forces.</w:t>
      </w:r>
    </w:p>
    <w:p w:rsidR="00600CE3" w:rsidRDefault="00BD4B88" w:rsidP="00600CE3">
      <w:pPr>
        <w:jc w:val="both"/>
        <w:rPr>
          <w:lang w:val="en-US"/>
        </w:rPr>
      </w:pPr>
      <w:r>
        <w:rPr>
          <w:lang w:val="en-US"/>
        </w:rPr>
        <w:t>By answering these questions in turn, for each topic, I hope to not only provide further c</w:t>
      </w:r>
      <w:r w:rsidR="00F9118F">
        <w:rPr>
          <w:lang w:val="en-US"/>
        </w:rPr>
        <w:t>ontext,</w:t>
      </w:r>
      <w:r>
        <w:rPr>
          <w:lang w:val="en-US"/>
        </w:rPr>
        <w:t xml:space="preserve"> b</w:t>
      </w:r>
      <w:r w:rsidR="00A17920">
        <w:rPr>
          <w:lang w:val="en-US"/>
        </w:rPr>
        <w:t xml:space="preserve">ut also provide </w:t>
      </w:r>
      <w:r w:rsidR="00F9118F">
        <w:rPr>
          <w:lang w:val="en-US"/>
        </w:rPr>
        <w:t>a deeper ana</w:t>
      </w:r>
      <w:r w:rsidR="00A17920">
        <w:rPr>
          <w:lang w:val="en-US"/>
        </w:rPr>
        <w:t>lysis of my three main discussion points.</w:t>
      </w:r>
    </w:p>
    <w:p w:rsidR="004C18EB" w:rsidRDefault="004C18EB" w:rsidP="00600CE3">
      <w:pPr>
        <w:jc w:val="both"/>
        <w:rPr>
          <w:lang w:val="en-US"/>
        </w:rPr>
      </w:pPr>
    </w:p>
    <w:p w:rsidR="004C18EB" w:rsidRDefault="004C18EB" w:rsidP="00600CE3">
      <w:pPr>
        <w:jc w:val="both"/>
      </w:pPr>
      <w:r>
        <w:rPr>
          <w:lang w:val="en-US"/>
        </w:rPr>
        <w:t xml:space="preserve">The main </w:t>
      </w:r>
      <w:r w:rsidR="003106D3">
        <w:rPr>
          <w:lang w:val="en-US"/>
        </w:rPr>
        <w:t xml:space="preserve">debate I </w:t>
      </w:r>
      <w:r w:rsidR="00136C0F">
        <w:rPr>
          <w:lang w:val="en-US"/>
        </w:rPr>
        <w:t>have dealt with surrounding my m</w:t>
      </w:r>
      <w:r w:rsidR="003106D3">
        <w:rPr>
          <w:lang w:val="en-US"/>
        </w:rPr>
        <w:t xml:space="preserve">ethodology is why </w:t>
      </w:r>
      <w:r w:rsidR="00032965">
        <w:rPr>
          <w:lang w:val="en-US"/>
        </w:rPr>
        <w:t xml:space="preserve">Waterloo, and why Wellington? </w:t>
      </w:r>
      <w:r w:rsidR="00BD5ED5">
        <w:rPr>
          <w:lang w:val="en-US"/>
        </w:rPr>
        <w:t>History has many facets, and many historians have chosen different facets to focus on in their telling of the narrativ</w:t>
      </w:r>
      <w:r w:rsidR="003A6F9F">
        <w:rPr>
          <w:lang w:val="en-US"/>
        </w:rPr>
        <w:t xml:space="preserve">e. Ellen F. Arnold is a notable example of an environmental historian – examining the role </w:t>
      </w:r>
      <w:r w:rsidR="00DD721A">
        <w:rPr>
          <w:lang w:val="en-US"/>
        </w:rPr>
        <w:t xml:space="preserve">nature, and natural disasters, plays in affecting human history and how humans respond. </w:t>
      </w:r>
      <w:r w:rsidR="00E5694E">
        <w:rPr>
          <w:lang w:val="en-US"/>
        </w:rPr>
        <w:t xml:space="preserve">Marxist historians </w:t>
      </w:r>
      <w:r w:rsidR="00E62A56">
        <w:rPr>
          <w:lang w:val="en-US"/>
        </w:rPr>
        <w:t>focus on the history of class struggle</w:t>
      </w:r>
      <w:r w:rsidR="00F97A75">
        <w:rPr>
          <w:lang w:val="en-US"/>
        </w:rPr>
        <w:t xml:space="preserve">, therefore </w:t>
      </w:r>
      <w:r w:rsidR="00EF1A70">
        <w:rPr>
          <w:lang w:val="en-US"/>
        </w:rPr>
        <w:t>reassess</w:t>
      </w:r>
      <w:r w:rsidR="00F97A75">
        <w:rPr>
          <w:lang w:val="en-US"/>
        </w:rPr>
        <w:t>ing</w:t>
      </w:r>
      <w:r w:rsidR="00EF1A70">
        <w:rPr>
          <w:lang w:val="en-US"/>
        </w:rPr>
        <w:t xml:space="preserve"> huge</w:t>
      </w:r>
      <w:r w:rsidR="00F97A75">
        <w:rPr>
          <w:lang w:val="en-US"/>
        </w:rPr>
        <w:t xml:space="preserve"> swathes of traditional history with an aim to putting the </w:t>
      </w:r>
      <w:r w:rsidR="00F97A75">
        <w:rPr>
          <w:lang w:val="en-US"/>
        </w:rPr>
        <w:lastRenderedPageBreak/>
        <w:t>everyman i</w:t>
      </w:r>
      <w:r w:rsidR="00B716C9">
        <w:rPr>
          <w:lang w:val="en-US"/>
        </w:rPr>
        <w:t xml:space="preserve">n the foreground. </w:t>
      </w:r>
      <w:r w:rsidR="00CC7829">
        <w:rPr>
          <w:lang w:val="en-US"/>
        </w:rPr>
        <w:t xml:space="preserve">I believe that an imperial view of history is crucial to any narrative of Waterloo, and the Napoleonic wars in general. </w:t>
      </w:r>
      <w:r w:rsidR="00903F6A">
        <w:rPr>
          <w:lang w:val="en-US"/>
        </w:rPr>
        <w:t xml:space="preserve">This view </w:t>
      </w:r>
      <w:r w:rsidR="003E1702">
        <w:rPr>
          <w:lang w:val="en-US"/>
        </w:rPr>
        <w:t xml:space="preserve">incorporates elements of </w:t>
      </w:r>
      <w:r w:rsidR="004C64BC">
        <w:rPr>
          <w:lang w:val="en-US"/>
        </w:rPr>
        <w:t xml:space="preserve">other branches of history – but </w:t>
      </w:r>
      <w:r w:rsidR="0036113F">
        <w:rPr>
          <w:lang w:val="en-US"/>
        </w:rPr>
        <w:t xml:space="preserve">fundamentally opposes others. In short, I examine history through the lens of the powerful. </w:t>
      </w:r>
      <w:r w:rsidR="004A36AA">
        <w:rPr>
          <w:lang w:val="en-US"/>
        </w:rPr>
        <w:t>When studying the American Revolution, some would argue that the enduring national stories of Paul Revere riding to alert the rebels</w:t>
      </w:r>
      <w:r w:rsidR="00E402C2">
        <w:rPr>
          <w:lang w:val="en-US"/>
        </w:rPr>
        <w:t xml:space="preserve">, or of Washington and his underfunded army taking on the British, should </w:t>
      </w:r>
      <w:r w:rsidR="00027C18">
        <w:rPr>
          <w:lang w:val="en-US"/>
        </w:rPr>
        <w:t xml:space="preserve">be at the </w:t>
      </w:r>
      <w:r w:rsidR="00027C18" w:rsidRPr="00027C18">
        <w:t>centre</w:t>
      </w:r>
      <w:r w:rsidR="00027C18">
        <w:rPr>
          <w:lang w:val="en-US"/>
        </w:rPr>
        <w:t xml:space="preserve"> of</w:t>
      </w:r>
      <w:r w:rsidR="00614B11">
        <w:rPr>
          <w:lang w:val="en-US"/>
        </w:rPr>
        <w:t xml:space="preserve"> any study. However, </w:t>
      </w:r>
      <w:r w:rsidR="002B6D6C">
        <w:rPr>
          <w:lang w:val="en-US"/>
        </w:rPr>
        <w:t xml:space="preserve">I would endeavour to </w:t>
      </w:r>
      <w:r w:rsidR="0013029A">
        <w:t xml:space="preserve">provide an explanation of those events as being two warring governments – one obsessed with maintaining the status quo (the British government), and one feuding amongst itself but united by a common enemy (the Continental Congress). </w:t>
      </w:r>
      <w:r w:rsidR="00697544">
        <w:t>This</w:t>
      </w:r>
      <w:r w:rsidR="00E93F80">
        <w:t xml:space="preserve"> still</w:t>
      </w:r>
      <w:r w:rsidR="00697544">
        <w:t xml:space="preserve"> applies in 1815. </w:t>
      </w:r>
      <w:r w:rsidR="00482702">
        <w:t xml:space="preserve">One could choose to examine the military events of June 1815 through the lens of each man on the ground. Memoir evidence is plentiful, and so </w:t>
      </w:r>
      <w:r w:rsidR="003721C7">
        <w:t xml:space="preserve">this would be possible. I do not think it is as valid as studying the battle through the lens of the commanders. After all, Wellington and Napoleon made the decisions for their armies. They are the ones who gave orders, and they are the two men that history remembers. </w:t>
      </w:r>
      <w:r w:rsidR="00DD219E">
        <w:t>For this reason, I aim to take an Imperial view of the battle, and to give an accurate military assessment of the British army – since, for so many, Waterloo is still the narrative of the defeated Emperor, not the victorious British peer.</w:t>
      </w:r>
    </w:p>
    <w:p w:rsidR="00763BE5" w:rsidRDefault="00763BE5" w:rsidP="00600CE3">
      <w:pPr>
        <w:jc w:val="both"/>
      </w:pPr>
    </w:p>
    <w:p w:rsidR="00786235" w:rsidRDefault="00165767" w:rsidP="00600CE3">
      <w:pPr>
        <w:jc w:val="both"/>
      </w:pPr>
      <w:r>
        <w:t>The only</w:t>
      </w:r>
      <w:r w:rsidR="005661CE">
        <w:t xml:space="preserve"> roadblock I have had in researching this </w:t>
      </w:r>
      <w:r w:rsidR="001D59F7">
        <w:t>piece has been the source material</w:t>
      </w:r>
      <w:r w:rsidR="008D5987">
        <w:t>, as mentioned previously</w:t>
      </w:r>
      <w:r w:rsidR="001D59F7">
        <w:t xml:space="preserve">. </w:t>
      </w:r>
      <w:r w:rsidR="006F5305">
        <w:t xml:space="preserve">Despite redirecting my efforts to the Allied side, there is still a </w:t>
      </w:r>
      <w:r w:rsidR="003838CF">
        <w:t>huge imbalance in British histories and German, Dutch, Prussian, and Belgian histories</w:t>
      </w:r>
      <w:r w:rsidR="008D5987">
        <w:t xml:space="preserve"> - mostly i</w:t>
      </w:r>
      <w:r w:rsidR="00CA3F27">
        <w:t xml:space="preserve">n the case of obtaining English </w:t>
      </w:r>
      <w:r w:rsidR="008D5987">
        <w:t xml:space="preserve">language translations. However, there is an increasingly large number of </w:t>
      </w:r>
      <w:r w:rsidR="00994D69">
        <w:t>German memoirs and histories being brought into the English domain, along</w:t>
      </w:r>
      <w:r w:rsidR="00827B0A">
        <w:t xml:space="preserve"> </w:t>
      </w:r>
      <w:r w:rsidR="00CF0AFF">
        <w:t xml:space="preserve">with a number of Dutch sources. Furthermore, I have been able to gain access to a republished edition of </w:t>
      </w:r>
      <w:r w:rsidR="00CF0AFF">
        <w:rPr>
          <w:i/>
        </w:rPr>
        <w:t>The Belgians at Waterloo</w:t>
      </w:r>
      <w:r w:rsidR="00CF0AFF">
        <w:t>, described as “the most important study of the Belgian troops at Waterloo”</w:t>
      </w:r>
      <w:r w:rsidR="001861AD">
        <w:t xml:space="preserve"> in the opening. </w:t>
      </w:r>
    </w:p>
    <w:p w:rsidR="000F3C5F" w:rsidRDefault="000F3C5F" w:rsidP="00600CE3">
      <w:pPr>
        <w:jc w:val="both"/>
      </w:pPr>
    </w:p>
    <w:p w:rsidR="00786235" w:rsidRDefault="00786235" w:rsidP="00600CE3">
      <w:pPr>
        <w:jc w:val="both"/>
      </w:pPr>
      <w:r>
        <w:t>The Chapters will, currently,</w:t>
      </w:r>
      <w:r w:rsidR="00E272FB">
        <w:t xml:space="preserve"> be structured </w:t>
      </w:r>
      <w:r>
        <w:t>as follows:</w:t>
      </w:r>
    </w:p>
    <w:p w:rsidR="00943FE0" w:rsidRDefault="00595099" w:rsidP="00786235">
      <w:pPr>
        <w:pStyle w:val="ListParagraph"/>
        <w:numPr>
          <w:ilvl w:val="0"/>
          <w:numId w:val="2"/>
        </w:numPr>
        <w:jc w:val="both"/>
      </w:pPr>
      <w:r>
        <w:t>Introduction</w:t>
      </w:r>
    </w:p>
    <w:p w:rsidR="00595099" w:rsidRDefault="00595099" w:rsidP="008F0FCD">
      <w:pPr>
        <w:pStyle w:val="ListParagraph"/>
        <w:numPr>
          <w:ilvl w:val="0"/>
          <w:numId w:val="2"/>
        </w:numPr>
        <w:jc w:val="both"/>
      </w:pPr>
      <w:r>
        <w:t>Aims and Methodology</w:t>
      </w:r>
    </w:p>
    <w:p w:rsidR="00595099" w:rsidRDefault="00595099" w:rsidP="008F0FCD">
      <w:pPr>
        <w:pStyle w:val="ListParagraph"/>
        <w:numPr>
          <w:ilvl w:val="1"/>
          <w:numId w:val="2"/>
        </w:numPr>
        <w:jc w:val="both"/>
      </w:pPr>
      <w:r>
        <w:t>To provide a challenge to traditional historiography which does</w:t>
      </w:r>
      <w:r w:rsidR="00D90D13">
        <w:t xml:space="preserve"> not criticise Wellington, for the reason of his victory.</w:t>
      </w:r>
    </w:p>
    <w:p w:rsidR="00595099" w:rsidRDefault="00595099" w:rsidP="008F0FCD">
      <w:pPr>
        <w:pStyle w:val="ListParagraph"/>
        <w:numPr>
          <w:ilvl w:val="1"/>
          <w:numId w:val="2"/>
        </w:numPr>
        <w:jc w:val="both"/>
      </w:pPr>
      <w:r>
        <w:t xml:space="preserve">To use revisionist works such as Hofschröer, and </w:t>
      </w:r>
      <w:r w:rsidR="008F0FCD">
        <w:t>re-examine primary source</w:t>
      </w:r>
      <w:r>
        <w:t xml:space="preserve"> </w:t>
      </w:r>
      <w:r w:rsidR="008F0FCD">
        <w:t>material</w:t>
      </w:r>
      <w:r w:rsidR="00702B96">
        <w:t>.</w:t>
      </w:r>
    </w:p>
    <w:p w:rsidR="00261AF9" w:rsidRDefault="00261AF9" w:rsidP="00261AF9">
      <w:pPr>
        <w:pStyle w:val="ListParagraph"/>
        <w:numPr>
          <w:ilvl w:val="0"/>
          <w:numId w:val="2"/>
        </w:numPr>
        <w:jc w:val="both"/>
      </w:pPr>
      <w:r>
        <w:t>Wellington’s Career</w:t>
      </w:r>
    </w:p>
    <w:p w:rsidR="00261AF9" w:rsidRDefault="00261AF9" w:rsidP="00261AF9">
      <w:pPr>
        <w:pStyle w:val="ListParagraph"/>
        <w:numPr>
          <w:ilvl w:val="1"/>
          <w:numId w:val="2"/>
        </w:numPr>
        <w:jc w:val="both"/>
      </w:pPr>
      <w:r>
        <w:t xml:space="preserve">I aim to </w:t>
      </w:r>
      <w:r w:rsidR="00E946A9">
        <w:t xml:space="preserve">give context for the decisions he made during the Waterloo Campaign, along with </w:t>
      </w:r>
      <w:r w:rsidR="00DF7ADE">
        <w:t>providing potential errors earlier in his military career</w:t>
      </w:r>
      <w:r w:rsidR="004C734C">
        <w:t>.</w:t>
      </w:r>
    </w:p>
    <w:p w:rsidR="00E272FB" w:rsidRDefault="003A2410" w:rsidP="00E272FB">
      <w:pPr>
        <w:pStyle w:val="ListParagraph"/>
        <w:numPr>
          <w:ilvl w:val="0"/>
          <w:numId w:val="2"/>
        </w:numPr>
        <w:jc w:val="both"/>
      </w:pPr>
      <w:r>
        <w:t>Halle</w:t>
      </w:r>
    </w:p>
    <w:p w:rsidR="000F3C5F" w:rsidRDefault="003A2410" w:rsidP="003A2410">
      <w:pPr>
        <w:pStyle w:val="ListParagraph"/>
        <w:numPr>
          <w:ilvl w:val="1"/>
          <w:numId w:val="2"/>
        </w:numPr>
        <w:jc w:val="both"/>
      </w:pPr>
      <w:r>
        <w:t>To examine the troops stationed at Halle, and the effect and possible effects this decision had</w:t>
      </w:r>
      <w:r w:rsidR="000F3C5F">
        <w:t xml:space="preserve">.     </w:t>
      </w:r>
    </w:p>
    <w:p w:rsidR="003A2410" w:rsidRDefault="000F3C5F" w:rsidP="000F3C5F">
      <w:pPr>
        <w:jc w:val="both"/>
      </w:pPr>
      <w:r>
        <w:lastRenderedPageBreak/>
        <w:br/>
      </w:r>
      <w:r>
        <w:br/>
      </w:r>
    </w:p>
    <w:p w:rsidR="003A2410" w:rsidRDefault="003A2410" w:rsidP="003A2410">
      <w:pPr>
        <w:pStyle w:val="ListParagraph"/>
        <w:numPr>
          <w:ilvl w:val="0"/>
          <w:numId w:val="2"/>
        </w:numPr>
        <w:jc w:val="both"/>
      </w:pPr>
      <w:r>
        <w:t xml:space="preserve">Hougoumont </w:t>
      </w:r>
    </w:p>
    <w:p w:rsidR="003A2410" w:rsidRDefault="003A2410" w:rsidP="003A2410">
      <w:pPr>
        <w:pStyle w:val="ListParagraph"/>
        <w:numPr>
          <w:ilvl w:val="1"/>
          <w:numId w:val="2"/>
        </w:numPr>
        <w:jc w:val="both"/>
      </w:pPr>
      <w:r>
        <w:t>To examine the troops stationed in Hougoumont, whether and why they weren’t resupplied adequately, and the rationale behind this</w:t>
      </w:r>
      <w:r w:rsidR="005167EE">
        <w:t>.</w:t>
      </w:r>
    </w:p>
    <w:p w:rsidR="003A2410" w:rsidRDefault="003A2410" w:rsidP="003A2410">
      <w:pPr>
        <w:pStyle w:val="ListParagraph"/>
        <w:numPr>
          <w:ilvl w:val="0"/>
          <w:numId w:val="2"/>
        </w:numPr>
        <w:jc w:val="both"/>
      </w:pPr>
      <w:r>
        <w:t>The Duke’s Conduct</w:t>
      </w:r>
    </w:p>
    <w:p w:rsidR="003A2410" w:rsidRDefault="002C5C55" w:rsidP="003A2410">
      <w:pPr>
        <w:pStyle w:val="ListParagraph"/>
        <w:numPr>
          <w:ilvl w:val="1"/>
          <w:numId w:val="2"/>
        </w:numPr>
        <w:jc w:val="both"/>
      </w:pPr>
      <w:r>
        <w:t>The Promise Made to the Prussians</w:t>
      </w:r>
    </w:p>
    <w:p w:rsidR="002C5C55" w:rsidRDefault="002C5C55" w:rsidP="002C5C55">
      <w:pPr>
        <w:pStyle w:val="ListParagraph"/>
        <w:numPr>
          <w:ilvl w:val="2"/>
          <w:numId w:val="2"/>
        </w:numPr>
        <w:jc w:val="both"/>
      </w:pPr>
      <w:r>
        <w:t>To critique whether the promise Wellington made on the 15</w:t>
      </w:r>
      <w:r w:rsidRPr="002C5C55">
        <w:rPr>
          <w:vertAlign w:val="superscript"/>
        </w:rPr>
        <w:t>th</w:t>
      </w:r>
      <w:r>
        <w:t xml:space="preserve"> June was a wise decision, the consequences, and whether he was in a position to make such a promise</w:t>
      </w:r>
      <w:r w:rsidR="00D20FA2">
        <w:t>.</w:t>
      </w:r>
    </w:p>
    <w:p w:rsidR="002C5C55" w:rsidRDefault="002C5C55" w:rsidP="002C5C55">
      <w:pPr>
        <w:pStyle w:val="ListParagraph"/>
        <w:numPr>
          <w:ilvl w:val="2"/>
          <w:numId w:val="2"/>
        </w:numPr>
        <w:jc w:val="both"/>
      </w:pPr>
      <w:r>
        <w:t xml:space="preserve">Therefore, </w:t>
      </w:r>
      <w:r w:rsidR="009C66AE">
        <w:t xml:space="preserve">to examine </w:t>
      </w:r>
      <w:r>
        <w:t>the assumption that the Prussians would be there in the event of a battle on the 17</w:t>
      </w:r>
      <w:r w:rsidRPr="002C5C55">
        <w:rPr>
          <w:vertAlign w:val="superscript"/>
        </w:rPr>
        <w:t>th</w:t>
      </w:r>
      <w:r>
        <w:t>/18</w:t>
      </w:r>
      <w:r w:rsidRPr="002C5C55">
        <w:rPr>
          <w:vertAlign w:val="superscript"/>
        </w:rPr>
        <w:t>th</w:t>
      </w:r>
      <w:r w:rsidR="0019535E">
        <w:t>.</w:t>
      </w:r>
    </w:p>
    <w:p w:rsidR="002C5C55" w:rsidRDefault="002C5C55" w:rsidP="002C5C55">
      <w:pPr>
        <w:pStyle w:val="ListParagraph"/>
        <w:numPr>
          <w:ilvl w:val="1"/>
          <w:numId w:val="2"/>
        </w:numPr>
        <w:jc w:val="both"/>
      </w:pPr>
      <w:r>
        <w:t>Dutch-Belgian Troop Quality</w:t>
      </w:r>
    </w:p>
    <w:p w:rsidR="002C5C55" w:rsidRDefault="002C5C55" w:rsidP="002C5C55">
      <w:pPr>
        <w:pStyle w:val="ListParagraph"/>
        <w:numPr>
          <w:ilvl w:val="2"/>
          <w:numId w:val="2"/>
        </w:numPr>
        <w:jc w:val="both"/>
      </w:pPr>
      <w:r>
        <w:t>Whether his dismissal of the Belgian troops was fair</w:t>
      </w:r>
      <w:r w:rsidR="0019535E">
        <w:t>.</w:t>
      </w:r>
    </w:p>
    <w:p w:rsidR="002C5C55" w:rsidRDefault="002C5C55" w:rsidP="002C5C55">
      <w:pPr>
        <w:pStyle w:val="ListParagraph"/>
        <w:numPr>
          <w:ilvl w:val="2"/>
          <w:numId w:val="2"/>
        </w:numPr>
        <w:jc w:val="both"/>
      </w:pPr>
      <w:r>
        <w:t>Whether his views of the Dutch troops were fair, and the seemingly contradictory nature of his deployment of them</w:t>
      </w:r>
      <w:r w:rsidR="00E90F45">
        <w:t>.</w:t>
      </w:r>
    </w:p>
    <w:p w:rsidR="00D0399E" w:rsidRDefault="00D0399E" w:rsidP="00BF51C0">
      <w:pPr>
        <w:pStyle w:val="ListParagraph"/>
        <w:numPr>
          <w:ilvl w:val="1"/>
          <w:numId w:val="2"/>
        </w:numPr>
        <w:jc w:val="both"/>
      </w:pPr>
      <w:r>
        <w:t>Caution</w:t>
      </w:r>
    </w:p>
    <w:p w:rsidR="00BF51C0" w:rsidRDefault="00BF51C0" w:rsidP="00BF51C0">
      <w:pPr>
        <w:pStyle w:val="ListParagraph"/>
        <w:numPr>
          <w:ilvl w:val="2"/>
          <w:numId w:val="2"/>
        </w:numPr>
        <w:jc w:val="both"/>
      </w:pPr>
      <w:r>
        <w:t xml:space="preserve">I would like to reassess whether the initial caution exercised by Wellington when Napoleon crossed into Belgium was avoidable, and </w:t>
      </w:r>
      <w:r w:rsidR="00B07CC7">
        <w:t>what effect it had on the campaign</w:t>
      </w:r>
      <w:r w:rsidR="00E90F45">
        <w:t>.</w:t>
      </w:r>
    </w:p>
    <w:p w:rsidR="00B07CC7" w:rsidRDefault="00B07CC7" w:rsidP="00BF51C0">
      <w:pPr>
        <w:pStyle w:val="ListParagraph"/>
        <w:numPr>
          <w:ilvl w:val="2"/>
          <w:numId w:val="2"/>
        </w:numPr>
        <w:jc w:val="both"/>
      </w:pPr>
      <w:r>
        <w:t>This is the most likely to engage in counterfactual history, and so my own caution shall be paramount here.</w:t>
      </w:r>
    </w:p>
    <w:p w:rsidR="00362036" w:rsidRDefault="00362036" w:rsidP="00362036">
      <w:pPr>
        <w:pStyle w:val="ListParagraph"/>
        <w:numPr>
          <w:ilvl w:val="0"/>
          <w:numId w:val="2"/>
        </w:numPr>
        <w:jc w:val="both"/>
      </w:pPr>
      <w:r>
        <w:t>Conclusion</w:t>
      </w:r>
    </w:p>
    <w:p w:rsidR="00362036" w:rsidRDefault="002704F8" w:rsidP="00362036">
      <w:pPr>
        <w:pStyle w:val="ListParagraph"/>
        <w:numPr>
          <w:ilvl w:val="1"/>
          <w:numId w:val="2"/>
        </w:numPr>
        <w:jc w:val="both"/>
      </w:pPr>
      <w:r>
        <w:t>To re-examine the points made and make a decision regarding my hypothesis</w:t>
      </w:r>
      <w:r w:rsidR="00C46575">
        <w:t>.</w:t>
      </w:r>
    </w:p>
    <w:p w:rsidR="002C1454" w:rsidRDefault="002C1454" w:rsidP="002C1454">
      <w:pPr>
        <w:jc w:val="both"/>
      </w:pPr>
    </w:p>
    <w:p w:rsidR="0011645C" w:rsidRDefault="0011645C" w:rsidP="002C1454">
      <w:pPr>
        <w:jc w:val="center"/>
        <w:rPr>
          <w:sz w:val="28"/>
        </w:rPr>
      </w:pPr>
    </w:p>
    <w:p w:rsidR="0011645C" w:rsidRDefault="0011645C" w:rsidP="002C1454">
      <w:pPr>
        <w:jc w:val="center"/>
        <w:rPr>
          <w:sz w:val="28"/>
        </w:rPr>
      </w:pPr>
    </w:p>
    <w:p w:rsidR="0011645C" w:rsidRDefault="0011645C" w:rsidP="002C1454">
      <w:pPr>
        <w:jc w:val="center"/>
        <w:rPr>
          <w:sz w:val="28"/>
        </w:rPr>
      </w:pPr>
    </w:p>
    <w:p w:rsidR="0011645C" w:rsidRDefault="0011645C" w:rsidP="002C1454">
      <w:pPr>
        <w:jc w:val="center"/>
        <w:rPr>
          <w:sz w:val="28"/>
        </w:rPr>
      </w:pPr>
    </w:p>
    <w:p w:rsidR="0011645C" w:rsidRDefault="0011645C" w:rsidP="002C1454">
      <w:pPr>
        <w:jc w:val="center"/>
        <w:rPr>
          <w:sz w:val="28"/>
        </w:rPr>
      </w:pPr>
    </w:p>
    <w:p w:rsidR="0011645C" w:rsidRDefault="0011645C" w:rsidP="002C1454">
      <w:pPr>
        <w:jc w:val="center"/>
        <w:rPr>
          <w:sz w:val="28"/>
        </w:rPr>
      </w:pPr>
    </w:p>
    <w:p w:rsidR="0011645C" w:rsidRDefault="0011645C" w:rsidP="002C1454">
      <w:pPr>
        <w:jc w:val="center"/>
        <w:rPr>
          <w:sz w:val="28"/>
        </w:rPr>
      </w:pPr>
    </w:p>
    <w:p w:rsidR="0011645C" w:rsidRDefault="0011645C" w:rsidP="002C1454">
      <w:pPr>
        <w:jc w:val="center"/>
        <w:rPr>
          <w:sz w:val="28"/>
        </w:rPr>
      </w:pPr>
    </w:p>
    <w:p w:rsidR="0011645C" w:rsidRDefault="0011645C" w:rsidP="00766B56">
      <w:pPr>
        <w:rPr>
          <w:sz w:val="28"/>
        </w:rPr>
      </w:pPr>
    </w:p>
    <w:p w:rsidR="0011645C" w:rsidRDefault="0011645C" w:rsidP="002C1454">
      <w:pPr>
        <w:jc w:val="center"/>
        <w:rPr>
          <w:sz w:val="28"/>
        </w:rPr>
      </w:pPr>
    </w:p>
    <w:p w:rsidR="002C1454" w:rsidRDefault="002C1454" w:rsidP="002C1454">
      <w:pPr>
        <w:jc w:val="center"/>
        <w:rPr>
          <w:sz w:val="28"/>
        </w:rPr>
      </w:pPr>
      <w:r>
        <w:rPr>
          <w:sz w:val="28"/>
        </w:rPr>
        <w:lastRenderedPageBreak/>
        <w:t>Bibliography</w:t>
      </w:r>
    </w:p>
    <w:p w:rsidR="00AA0AAE" w:rsidRDefault="00AA0AAE" w:rsidP="00F55BB4">
      <w:pPr>
        <w:jc w:val="both"/>
        <w:rPr>
          <w:lang w:val="en-US"/>
        </w:rPr>
      </w:pPr>
      <w:r>
        <w:rPr>
          <w:lang w:val="en-US"/>
        </w:rPr>
        <w:t xml:space="preserve">Adkins, Mark, </w:t>
      </w:r>
      <w:r>
        <w:rPr>
          <w:i/>
          <w:lang w:val="en-US"/>
        </w:rPr>
        <w:t>The Waterloo Companion</w:t>
      </w:r>
      <w:r>
        <w:rPr>
          <w:lang w:val="en-US"/>
        </w:rPr>
        <w:t xml:space="preserve"> (London: Aurum Press Limited, 2001)</w:t>
      </w:r>
    </w:p>
    <w:p w:rsidR="00DE1A7D" w:rsidRPr="00DE1A7D" w:rsidRDefault="00DE1A7D" w:rsidP="00F55BB4">
      <w:pPr>
        <w:jc w:val="both"/>
        <w:rPr>
          <w:lang w:val="en-US"/>
        </w:rPr>
      </w:pPr>
      <w:r>
        <w:rPr>
          <w:lang w:val="en-US"/>
        </w:rPr>
        <w:t xml:space="preserve">Anonymous, </w:t>
      </w:r>
      <w:r>
        <w:rPr>
          <w:i/>
          <w:lang w:val="en-US"/>
        </w:rPr>
        <w:t>The Battle of Waterloo</w:t>
      </w:r>
      <w:r w:rsidR="00470545">
        <w:rPr>
          <w:lang w:val="en-US"/>
        </w:rPr>
        <w:t>, seventh edn (London: John Booth, T. Egerton, Manners and Miller, 1815</w:t>
      </w:r>
    </w:p>
    <w:p w:rsidR="0011645C" w:rsidRPr="0011645C" w:rsidRDefault="0011645C" w:rsidP="00F55BB4">
      <w:pPr>
        <w:jc w:val="both"/>
        <w:rPr>
          <w:lang w:val="en-US"/>
        </w:rPr>
      </w:pPr>
      <w:r>
        <w:rPr>
          <w:i/>
          <w:lang w:val="en-US"/>
        </w:rPr>
        <w:t>The Autobiography of Sergeant William Lawrence</w:t>
      </w:r>
      <w:r w:rsidR="0021282F">
        <w:rPr>
          <w:lang w:val="en-US"/>
        </w:rPr>
        <w:t>, ed. George Nugent Bankes (London: Sampson Low, Marston, Searle, and Rivington, 1886)</w:t>
      </w:r>
    </w:p>
    <w:p w:rsidR="00336216" w:rsidRDefault="00336216" w:rsidP="00F55BB4">
      <w:pPr>
        <w:jc w:val="both"/>
        <w:rPr>
          <w:lang w:val="en-US"/>
        </w:rPr>
      </w:pPr>
      <w:r>
        <w:rPr>
          <w:i/>
          <w:lang w:val="en-US"/>
        </w:rPr>
        <w:t xml:space="preserve">The Oxford Illustrated History of the British </w:t>
      </w:r>
      <w:r w:rsidRPr="00336216">
        <w:rPr>
          <w:i/>
          <w:lang w:val="en-US"/>
        </w:rPr>
        <w:t>Army</w:t>
      </w:r>
      <w:r>
        <w:rPr>
          <w:lang w:val="en-US"/>
        </w:rPr>
        <w:t xml:space="preserve">, eds. </w:t>
      </w:r>
      <w:r w:rsidRPr="00336216">
        <w:rPr>
          <w:lang w:val="en-US"/>
        </w:rPr>
        <w:t>Ian</w:t>
      </w:r>
      <w:r>
        <w:rPr>
          <w:lang w:val="en-US"/>
        </w:rPr>
        <w:t xml:space="preserve"> Beckett and David Chandler (Oxford: Oxford University Press, 1994)</w:t>
      </w:r>
    </w:p>
    <w:p w:rsidR="00F622BE" w:rsidRDefault="00F622BE" w:rsidP="00F55BB4">
      <w:pPr>
        <w:jc w:val="both"/>
        <w:rPr>
          <w:lang w:val="en-US"/>
        </w:rPr>
      </w:pPr>
      <w:r>
        <w:rPr>
          <w:i/>
          <w:lang w:val="en-US"/>
        </w:rPr>
        <w:t xml:space="preserve">The Oxford History of the British </w:t>
      </w:r>
      <w:r w:rsidRPr="00336216">
        <w:rPr>
          <w:i/>
          <w:lang w:val="en-US"/>
        </w:rPr>
        <w:t>Army</w:t>
      </w:r>
      <w:r>
        <w:rPr>
          <w:lang w:val="en-US"/>
        </w:rPr>
        <w:t xml:space="preserve">, eds. </w:t>
      </w:r>
      <w:r w:rsidRPr="00336216">
        <w:rPr>
          <w:lang w:val="en-US"/>
        </w:rPr>
        <w:t>Ian</w:t>
      </w:r>
      <w:r>
        <w:rPr>
          <w:lang w:val="en-US"/>
        </w:rPr>
        <w:t xml:space="preserve"> Beckett and David Chandler</w:t>
      </w:r>
      <w:r w:rsidR="00624CF2">
        <w:rPr>
          <w:lang w:val="en-US"/>
        </w:rPr>
        <w:t>, paperback edn</w:t>
      </w:r>
      <w:r>
        <w:rPr>
          <w:lang w:val="en-US"/>
        </w:rPr>
        <w:t xml:space="preserve"> (Oxford: Oxford University Press, 1994)</w:t>
      </w:r>
    </w:p>
    <w:p w:rsidR="002C1337" w:rsidRPr="0074444E" w:rsidRDefault="002C1337" w:rsidP="00F55BB4">
      <w:pPr>
        <w:jc w:val="both"/>
        <w:rPr>
          <w:lang w:val="en-US"/>
        </w:rPr>
      </w:pPr>
      <w:r>
        <w:rPr>
          <w:lang w:val="en-US"/>
        </w:rPr>
        <w:t xml:space="preserve">Bell, David A., </w:t>
      </w:r>
      <w:r w:rsidR="0074444E">
        <w:rPr>
          <w:i/>
          <w:lang w:val="en-US"/>
        </w:rPr>
        <w:t>The First Total War</w:t>
      </w:r>
      <w:r w:rsidR="00241A79">
        <w:rPr>
          <w:lang w:val="en-US"/>
        </w:rPr>
        <w:t>, paperback edn</w:t>
      </w:r>
      <w:r w:rsidR="0074444E">
        <w:rPr>
          <w:lang w:val="en-US"/>
        </w:rPr>
        <w:t xml:space="preserve"> (</w:t>
      </w:r>
      <w:r w:rsidR="009C0F02">
        <w:rPr>
          <w:lang w:val="en-US"/>
        </w:rPr>
        <w:t>London: Bloomsburg</w:t>
      </w:r>
      <w:r w:rsidR="00241A79">
        <w:rPr>
          <w:lang w:val="en-US"/>
        </w:rPr>
        <w:t>, 2008)</w:t>
      </w:r>
    </w:p>
    <w:p w:rsidR="00CD226B" w:rsidRPr="00CD226B" w:rsidRDefault="00CD226B" w:rsidP="00F55BB4">
      <w:pPr>
        <w:jc w:val="both"/>
        <w:rPr>
          <w:lang w:val="en-US"/>
        </w:rPr>
      </w:pPr>
      <w:r>
        <w:rPr>
          <w:i/>
          <w:lang w:val="en-US"/>
        </w:rPr>
        <w:t>Fighting Techniques of the Napoleonic Age</w:t>
      </w:r>
      <w:r>
        <w:rPr>
          <w:lang w:val="en-US"/>
        </w:rPr>
        <w:t>, eds. Robert B. Bruce, Iain Dickie, Kevin Kiley, Michael F. Pavkovic, Frederick C. Schneid (</w:t>
      </w:r>
      <w:r w:rsidR="005D355B">
        <w:rPr>
          <w:lang w:val="en-US"/>
        </w:rPr>
        <w:t>London: Amber Books Ltd., 2007)</w:t>
      </w:r>
    </w:p>
    <w:p w:rsidR="00CE210E" w:rsidRPr="00CE210E" w:rsidRDefault="00CE210E" w:rsidP="00F55BB4">
      <w:pPr>
        <w:jc w:val="both"/>
        <w:rPr>
          <w:lang w:val="en-US"/>
        </w:rPr>
      </w:pPr>
      <w:r>
        <w:rPr>
          <w:lang w:val="en-US"/>
        </w:rPr>
        <w:t xml:space="preserve">Bryant, Arthur, </w:t>
      </w:r>
      <w:r>
        <w:rPr>
          <w:i/>
          <w:lang w:val="en-US"/>
        </w:rPr>
        <w:t>The Great Duke</w:t>
      </w:r>
      <w:r>
        <w:rPr>
          <w:lang w:val="en-US"/>
        </w:rPr>
        <w:t xml:space="preserve"> (</w:t>
      </w:r>
      <w:r w:rsidR="008B03FF">
        <w:rPr>
          <w:lang w:val="en-US"/>
        </w:rPr>
        <w:t>London: Collins, 1971)</w:t>
      </w:r>
    </w:p>
    <w:p w:rsidR="00FF7ED2" w:rsidRPr="00FF7ED2" w:rsidRDefault="00EE680A" w:rsidP="00F55BB4">
      <w:pPr>
        <w:jc w:val="both"/>
        <w:rPr>
          <w:lang w:val="en-US"/>
        </w:rPr>
      </w:pPr>
      <w:r>
        <w:rPr>
          <w:lang w:val="en-US"/>
        </w:rPr>
        <w:t>Chesney</w:t>
      </w:r>
      <w:r>
        <w:rPr>
          <w:i/>
          <w:lang w:val="en-US"/>
        </w:rPr>
        <w:t xml:space="preserve">, </w:t>
      </w:r>
      <w:r>
        <w:rPr>
          <w:lang w:val="en-US"/>
        </w:rPr>
        <w:t xml:space="preserve">Charles, </w:t>
      </w:r>
      <w:r w:rsidR="00FF7ED2">
        <w:rPr>
          <w:i/>
          <w:lang w:val="en-US"/>
        </w:rPr>
        <w:t>Waterloo Lectures</w:t>
      </w:r>
      <w:r>
        <w:rPr>
          <w:lang w:val="en-US"/>
        </w:rPr>
        <w:t xml:space="preserve"> (Barnsley: Frontline Books, 2015)</w:t>
      </w:r>
    </w:p>
    <w:p w:rsidR="00AA73BA" w:rsidRDefault="00AA73BA" w:rsidP="00F55BB4">
      <w:pPr>
        <w:jc w:val="both"/>
        <w:rPr>
          <w:lang w:val="en-US"/>
        </w:rPr>
      </w:pPr>
      <w:r>
        <w:rPr>
          <w:lang w:val="en-US"/>
        </w:rPr>
        <w:t xml:space="preserve">Clarke, Stephen, </w:t>
      </w:r>
      <w:r>
        <w:rPr>
          <w:i/>
          <w:lang w:val="en-US"/>
        </w:rPr>
        <w:t>1000 Years of Annoying the French</w:t>
      </w:r>
      <w:r w:rsidR="00B5367D">
        <w:rPr>
          <w:lang w:val="en-US"/>
        </w:rPr>
        <w:t>, second edn (London: Black Swan, 2015)</w:t>
      </w:r>
    </w:p>
    <w:p w:rsidR="000A7A8C" w:rsidRPr="000A7A8C" w:rsidRDefault="000A7A8C" w:rsidP="00F55BB4">
      <w:pPr>
        <w:jc w:val="both"/>
        <w:rPr>
          <w:lang w:val="en-US"/>
        </w:rPr>
      </w:pPr>
      <w:r>
        <w:rPr>
          <w:lang w:val="en-US"/>
        </w:rPr>
        <w:t xml:space="preserve">von Clausewitz, Carl, </w:t>
      </w:r>
      <w:r>
        <w:rPr>
          <w:i/>
          <w:lang w:val="en-US"/>
        </w:rPr>
        <w:t>On War</w:t>
      </w:r>
      <w:r>
        <w:rPr>
          <w:lang w:val="en-US"/>
        </w:rPr>
        <w:t xml:space="preserve"> (London: Wordsworth Editions Ltd., 1997)</w:t>
      </w:r>
    </w:p>
    <w:p w:rsidR="00521BF1" w:rsidRPr="00521BF1" w:rsidRDefault="00521BF1" w:rsidP="00F55BB4">
      <w:pPr>
        <w:jc w:val="both"/>
        <w:rPr>
          <w:lang w:val="en-US"/>
        </w:rPr>
      </w:pPr>
      <w:r>
        <w:rPr>
          <w:lang w:val="en-US"/>
        </w:rPr>
        <w:t xml:space="preserve">Clayton, Tim, </w:t>
      </w:r>
      <w:r>
        <w:rPr>
          <w:i/>
          <w:lang w:val="en-US"/>
        </w:rPr>
        <w:t xml:space="preserve">Waterloo </w:t>
      </w:r>
      <w:r>
        <w:rPr>
          <w:lang w:val="en-US"/>
        </w:rPr>
        <w:t>(</w:t>
      </w:r>
      <w:r w:rsidR="00BB3399">
        <w:rPr>
          <w:lang w:val="en-US"/>
        </w:rPr>
        <w:t>London: Abacus, 2015)</w:t>
      </w:r>
    </w:p>
    <w:p w:rsidR="0050713C" w:rsidRPr="0050713C" w:rsidRDefault="0050713C" w:rsidP="00F55BB4">
      <w:pPr>
        <w:jc w:val="both"/>
        <w:rPr>
          <w:lang w:val="en-US"/>
        </w:rPr>
      </w:pPr>
      <w:r>
        <w:rPr>
          <w:lang w:val="en-US"/>
        </w:rPr>
        <w:t xml:space="preserve">Costello, Edward, </w:t>
      </w:r>
      <w:r>
        <w:rPr>
          <w:i/>
          <w:lang w:val="en-US"/>
        </w:rPr>
        <w:t>Rifleman Costello</w:t>
      </w:r>
      <w:r>
        <w:rPr>
          <w:lang w:val="en-US"/>
        </w:rPr>
        <w:t xml:space="preserve"> </w:t>
      </w:r>
      <w:r w:rsidR="008458EA">
        <w:rPr>
          <w:lang w:val="en-US"/>
        </w:rPr>
        <w:t>(London: Leonaur Ltd, 2005)</w:t>
      </w:r>
    </w:p>
    <w:p w:rsidR="0008498A" w:rsidRDefault="0008498A" w:rsidP="00F55BB4">
      <w:pPr>
        <w:jc w:val="both"/>
        <w:rPr>
          <w:lang w:val="en-US"/>
        </w:rPr>
      </w:pPr>
      <w:r>
        <w:rPr>
          <w:lang w:val="en-US"/>
        </w:rPr>
        <w:t xml:space="preserve">David, Saul, </w:t>
      </w:r>
      <w:r>
        <w:rPr>
          <w:i/>
          <w:lang w:val="en-US"/>
        </w:rPr>
        <w:t>Military Blunders</w:t>
      </w:r>
      <w:r w:rsidR="00F00E76">
        <w:rPr>
          <w:lang w:val="en-US"/>
        </w:rPr>
        <w:t xml:space="preserve"> (</w:t>
      </w:r>
      <w:r w:rsidR="00FF7E69">
        <w:rPr>
          <w:lang w:val="en-US"/>
        </w:rPr>
        <w:t>London: Constable</w:t>
      </w:r>
      <w:r w:rsidR="00360F71">
        <w:rPr>
          <w:lang w:val="en-US"/>
        </w:rPr>
        <w:t>, 2012)</w:t>
      </w:r>
    </w:p>
    <w:p w:rsidR="004050CD" w:rsidRPr="00F00E76" w:rsidRDefault="00B72B91" w:rsidP="00F55BB4">
      <w:pPr>
        <w:jc w:val="both"/>
        <w:rPr>
          <w:lang w:val="en-US"/>
        </w:rPr>
      </w:pPr>
      <w:r>
        <w:rPr>
          <w:lang w:val="en-US"/>
        </w:rPr>
        <w:t xml:space="preserve">David, Saul, </w:t>
      </w:r>
      <w:r>
        <w:rPr>
          <w:i/>
          <w:lang w:val="en-US"/>
        </w:rPr>
        <w:t>All the King’s Men</w:t>
      </w:r>
      <w:r w:rsidR="00C51C0B">
        <w:rPr>
          <w:i/>
          <w:lang w:val="en-US"/>
        </w:rPr>
        <w:t xml:space="preserve"> </w:t>
      </w:r>
      <w:r w:rsidR="004651CE">
        <w:rPr>
          <w:lang w:val="en-US"/>
        </w:rPr>
        <w:t>(London: Viking, 2012)</w:t>
      </w:r>
    </w:p>
    <w:p w:rsidR="00B37439" w:rsidRDefault="00FB29E0" w:rsidP="00F55BB4">
      <w:pPr>
        <w:jc w:val="both"/>
        <w:rPr>
          <w:lang w:val="en-US"/>
        </w:rPr>
      </w:pPr>
      <w:r>
        <w:rPr>
          <w:lang w:val="en-US"/>
        </w:rPr>
        <w:t>Edwards, William</w:t>
      </w:r>
      <w:r w:rsidR="00A159AA">
        <w:rPr>
          <w:lang w:val="en-US"/>
        </w:rPr>
        <w:t xml:space="preserve">, </w:t>
      </w:r>
      <w:r w:rsidR="00A159AA">
        <w:rPr>
          <w:i/>
          <w:lang w:val="en-US"/>
        </w:rPr>
        <w:t xml:space="preserve">Notes on European History, Volume 3, </w:t>
      </w:r>
      <w:r w:rsidR="00A159AA">
        <w:rPr>
          <w:lang w:val="en-US"/>
        </w:rPr>
        <w:t>second edn (London: Rivingtons, 1928)</w:t>
      </w:r>
    </w:p>
    <w:p w:rsidR="00570D84" w:rsidRPr="00570D84" w:rsidRDefault="00570D84" w:rsidP="00F55BB4">
      <w:pPr>
        <w:jc w:val="both"/>
        <w:rPr>
          <w:lang w:val="en-US"/>
        </w:rPr>
      </w:pPr>
      <w:r>
        <w:rPr>
          <w:i/>
          <w:lang w:val="en-US"/>
        </w:rPr>
        <w:t>War</w:t>
      </w:r>
      <w:r>
        <w:rPr>
          <w:lang w:val="en-US"/>
        </w:rPr>
        <w:t>, ed. Lawrence Freedman, second edn (Oxford: Oxford University Press, 2011)</w:t>
      </w:r>
    </w:p>
    <w:p w:rsidR="00FF542F" w:rsidRDefault="00FF542F" w:rsidP="00F55BB4">
      <w:pPr>
        <w:jc w:val="both"/>
        <w:rPr>
          <w:lang w:val="en-US"/>
        </w:rPr>
      </w:pPr>
      <w:r>
        <w:rPr>
          <w:i/>
          <w:lang w:val="en-US"/>
        </w:rPr>
        <w:t>The Waterloo Archive Volumes 1-6</w:t>
      </w:r>
      <w:r>
        <w:rPr>
          <w:lang w:val="en-US"/>
        </w:rPr>
        <w:t>, ed. Gareth Glover (</w:t>
      </w:r>
      <w:r w:rsidR="009172B0">
        <w:rPr>
          <w:lang w:val="en-US"/>
        </w:rPr>
        <w:t>Barnsley: Frontline Books, 2010-13)</w:t>
      </w:r>
    </w:p>
    <w:p w:rsidR="001E791C" w:rsidRPr="001E791C" w:rsidRDefault="001E791C" w:rsidP="00F55BB4">
      <w:pPr>
        <w:jc w:val="both"/>
        <w:rPr>
          <w:lang w:val="en-US"/>
        </w:rPr>
      </w:pPr>
      <w:r>
        <w:rPr>
          <w:lang w:val="en-US"/>
        </w:rPr>
        <w:t xml:space="preserve">von Gneisenau, August, </w:t>
      </w:r>
      <w:r>
        <w:rPr>
          <w:i/>
          <w:lang w:val="en-US"/>
        </w:rPr>
        <w:t>The Life and Campaigns of Field-Marshal Prince Blücher</w:t>
      </w:r>
      <w:r w:rsidR="00C56AEB">
        <w:rPr>
          <w:lang w:val="en-US"/>
        </w:rPr>
        <w:t>, trans. J.E. Marston (London: Constable and Co., 1996)</w:t>
      </w:r>
    </w:p>
    <w:p w:rsidR="00702FC0" w:rsidRPr="00C638A2" w:rsidRDefault="00702FC0" w:rsidP="00F55BB4">
      <w:pPr>
        <w:jc w:val="both"/>
        <w:rPr>
          <w:lang w:val="en-US"/>
        </w:rPr>
      </w:pPr>
      <w:r>
        <w:rPr>
          <w:lang w:val="en-US"/>
        </w:rPr>
        <w:t xml:space="preserve">Green, William and Smith, Harry, </w:t>
      </w:r>
      <w:r>
        <w:rPr>
          <w:i/>
          <w:lang w:val="en-US"/>
        </w:rPr>
        <w:t>Bugler and Officer of the Rifles</w:t>
      </w:r>
      <w:r w:rsidR="00C638A2">
        <w:rPr>
          <w:lang w:val="en-US"/>
        </w:rPr>
        <w:t xml:space="preserve"> (London: Leonaur Ltd., 2005)</w:t>
      </w:r>
    </w:p>
    <w:p w:rsidR="00101010" w:rsidRPr="00A718BE" w:rsidRDefault="00A718BE" w:rsidP="00F55BB4">
      <w:pPr>
        <w:jc w:val="both"/>
        <w:rPr>
          <w:lang w:val="en-US"/>
        </w:rPr>
      </w:pPr>
      <w:r>
        <w:rPr>
          <w:lang w:val="en-US"/>
        </w:rPr>
        <w:t xml:space="preserve">Harris, Benjamin, </w:t>
      </w:r>
      <w:r>
        <w:rPr>
          <w:i/>
          <w:lang w:val="en-US"/>
        </w:rPr>
        <w:t>The Compleat Rifleman Harris</w:t>
      </w:r>
      <w:r>
        <w:rPr>
          <w:lang w:val="en-US"/>
        </w:rPr>
        <w:t>, transcribed by Henry Curling (</w:t>
      </w:r>
      <w:r w:rsidR="00FC59FE">
        <w:rPr>
          <w:lang w:val="en-US"/>
        </w:rPr>
        <w:t>London: Leonaur Ltd., 2006)</w:t>
      </w:r>
    </w:p>
    <w:p w:rsidR="00EA1E9A" w:rsidRPr="00EA1E9A" w:rsidRDefault="00EA1E9A" w:rsidP="00F55BB4">
      <w:pPr>
        <w:jc w:val="both"/>
        <w:rPr>
          <w:lang w:val="en-US"/>
        </w:rPr>
      </w:pPr>
      <w:r>
        <w:rPr>
          <w:lang w:val="en-US"/>
        </w:rPr>
        <w:t xml:space="preserve">Harvey, Robert, </w:t>
      </w:r>
      <w:r>
        <w:rPr>
          <w:i/>
          <w:lang w:val="en-US"/>
        </w:rPr>
        <w:t>The War of Wars</w:t>
      </w:r>
      <w:r w:rsidR="00DF7C25">
        <w:rPr>
          <w:lang w:val="en-US"/>
        </w:rPr>
        <w:t>, paperback edn</w:t>
      </w:r>
      <w:r>
        <w:rPr>
          <w:lang w:val="en-US"/>
        </w:rPr>
        <w:t xml:space="preserve"> (</w:t>
      </w:r>
      <w:r w:rsidR="00DF7C25">
        <w:rPr>
          <w:lang w:val="en-US"/>
        </w:rPr>
        <w:t>London: Constable, 2007)</w:t>
      </w:r>
    </w:p>
    <w:p w:rsidR="00753AA5" w:rsidRPr="00753AA5" w:rsidRDefault="00753AA5" w:rsidP="00F55BB4">
      <w:pPr>
        <w:jc w:val="both"/>
        <w:rPr>
          <w:lang w:val="en-US"/>
        </w:rPr>
      </w:pPr>
      <w:r>
        <w:rPr>
          <w:i/>
          <w:lang w:val="en-US"/>
        </w:rPr>
        <w:lastRenderedPageBreak/>
        <w:t>The Oxford Book of Military Anecdotes</w:t>
      </w:r>
      <w:r w:rsidR="009F1BB2">
        <w:rPr>
          <w:lang w:val="en-US"/>
        </w:rPr>
        <w:t>, ed. Max Hastings</w:t>
      </w:r>
      <w:r>
        <w:rPr>
          <w:lang w:val="en-US"/>
        </w:rPr>
        <w:t xml:space="preserve"> (</w:t>
      </w:r>
      <w:r w:rsidR="00A13D3A">
        <w:rPr>
          <w:lang w:val="en-US"/>
        </w:rPr>
        <w:t>Oxford: Oxford University Press, 1985)</w:t>
      </w:r>
    </w:p>
    <w:p w:rsidR="00C426B8" w:rsidRDefault="00C426B8" w:rsidP="00F55BB4">
      <w:pPr>
        <w:jc w:val="both"/>
        <w:rPr>
          <w:lang w:val="en-US"/>
        </w:rPr>
      </w:pPr>
      <w:r>
        <w:rPr>
          <w:lang w:val="en-US"/>
        </w:rPr>
        <w:t xml:space="preserve">Hofschröer, Peter, </w:t>
      </w:r>
      <w:r>
        <w:rPr>
          <w:i/>
          <w:lang w:val="en-US"/>
        </w:rPr>
        <w:t>1815: The Waterloo Campaign, Volumes 1 and 2</w:t>
      </w:r>
      <w:r>
        <w:rPr>
          <w:lang w:val="en-US"/>
        </w:rPr>
        <w:t xml:space="preserve"> (London: Greenhill Books, 1998)</w:t>
      </w:r>
    </w:p>
    <w:p w:rsidR="00D957A6" w:rsidRDefault="00D957A6" w:rsidP="00F55BB4">
      <w:pPr>
        <w:jc w:val="both"/>
      </w:pPr>
      <w:r>
        <w:t xml:space="preserve">Holmes, Richard, </w:t>
      </w:r>
      <w:r>
        <w:rPr>
          <w:i/>
        </w:rPr>
        <w:t>Wellington</w:t>
      </w:r>
      <w:r>
        <w:t xml:space="preserve"> (London: Harper Perennial, 2007)</w:t>
      </w:r>
    </w:p>
    <w:p w:rsidR="00BB1EA3" w:rsidRDefault="00BB1EA3" w:rsidP="00F55BB4">
      <w:pPr>
        <w:jc w:val="both"/>
      </w:pPr>
      <w:r>
        <w:rPr>
          <w:i/>
        </w:rPr>
        <w:t>Charging against Napoleon</w:t>
      </w:r>
      <w:r>
        <w:t>, ed. Eric Hunt (</w:t>
      </w:r>
      <w:r w:rsidR="0092682E">
        <w:t>Barnsley: Leo Cooper, 2001)</w:t>
      </w:r>
    </w:p>
    <w:p w:rsidR="009050B9" w:rsidRPr="009050B9" w:rsidRDefault="009050B9" w:rsidP="00F55BB4">
      <w:pPr>
        <w:jc w:val="both"/>
      </w:pPr>
      <w:r>
        <w:t xml:space="preserve">Lawrence James, </w:t>
      </w:r>
      <w:r>
        <w:rPr>
          <w:i/>
        </w:rPr>
        <w:t>The Iron Duke</w:t>
      </w:r>
      <w:r>
        <w:t xml:space="preserve"> </w:t>
      </w:r>
      <w:r w:rsidR="008E4E62">
        <w:t>(</w:t>
      </w:r>
      <w:r w:rsidR="00452F58">
        <w:t xml:space="preserve">London: </w:t>
      </w:r>
      <w:r w:rsidR="008E4E62">
        <w:t>George Weidenfeld &amp; Nicolson Ltd., 1992)</w:t>
      </w:r>
    </w:p>
    <w:p w:rsidR="00050CF7" w:rsidRPr="00050CF7" w:rsidRDefault="00050CF7" w:rsidP="00F55BB4">
      <w:pPr>
        <w:jc w:val="both"/>
      </w:pPr>
      <w:r>
        <w:t xml:space="preserve">Keegan, John, </w:t>
      </w:r>
      <w:r>
        <w:rPr>
          <w:i/>
        </w:rPr>
        <w:t>A History of Warfare</w:t>
      </w:r>
      <w:r w:rsidR="00624D1A">
        <w:t>, second edn (London: Pimlico, 2004)</w:t>
      </w:r>
    </w:p>
    <w:p w:rsidR="00023F92" w:rsidRPr="00023F92" w:rsidRDefault="00023F92" w:rsidP="00F55BB4">
      <w:pPr>
        <w:jc w:val="both"/>
      </w:pPr>
      <w:r>
        <w:t xml:space="preserve">Laffin, John, </w:t>
      </w:r>
      <w:r>
        <w:rPr>
          <w:i/>
        </w:rPr>
        <w:t>Tommy Atkins</w:t>
      </w:r>
      <w:r w:rsidR="008B38CD">
        <w:t>, second edn (</w:t>
      </w:r>
      <w:r w:rsidR="004D0636">
        <w:t>Stroud: The History Press, 2012)</w:t>
      </w:r>
    </w:p>
    <w:p w:rsidR="002C1454" w:rsidRDefault="00302EAF" w:rsidP="00F55BB4">
      <w:pPr>
        <w:jc w:val="both"/>
      </w:pPr>
      <w:r>
        <w:t xml:space="preserve">Longford, Elizabeth, </w:t>
      </w:r>
      <w:r>
        <w:rPr>
          <w:i/>
        </w:rPr>
        <w:t>Wellington: The Years of the Sword</w:t>
      </w:r>
      <w:r>
        <w:t xml:space="preserve"> (London: Panther, 1971)</w:t>
      </w:r>
    </w:p>
    <w:p w:rsidR="00AE2BD4" w:rsidRPr="00AE2BD4" w:rsidRDefault="00AE2BD4" w:rsidP="00F55BB4">
      <w:pPr>
        <w:jc w:val="both"/>
      </w:pPr>
      <w:r>
        <w:t xml:space="preserve">Mallinson, Allan, </w:t>
      </w:r>
      <w:r>
        <w:rPr>
          <w:i/>
        </w:rPr>
        <w:t>The Making of the British Army</w:t>
      </w:r>
      <w:r w:rsidR="00C60AFF">
        <w:t>, second edn (London: Bantam Press, 2011)</w:t>
      </w:r>
      <w:r>
        <w:t xml:space="preserve"> </w:t>
      </w:r>
    </w:p>
    <w:p w:rsidR="00E90EDC" w:rsidRPr="00E90EDC" w:rsidRDefault="00E90EDC" w:rsidP="00F55BB4">
      <w:pPr>
        <w:jc w:val="both"/>
      </w:pPr>
      <w:r>
        <w:rPr>
          <w:i/>
        </w:rPr>
        <w:t>British Military Greats</w:t>
      </w:r>
      <w:r>
        <w:t>, eds. Annabel Merullo and Neil Wenborn</w:t>
      </w:r>
      <w:r w:rsidR="00F87A46">
        <w:t>, paperback edn</w:t>
      </w:r>
      <w:r>
        <w:t xml:space="preserve"> (</w:t>
      </w:r>
      <w:r w:rsidR="00F87A46">
        <w:t>London: Cassell Illustrated, 2005)</w:t>
      </w:r>
    </w:p>
    <w:p w:rsidR="00095446" w:rsidRDefault="00095446" w:rsidP="00F55BB4">
      <w:pPr>
        <w:jc w:val="both"/>
        <w:rPr>
          <w:lang w:val="en-US"/>
        </w:rPr>
      </w:pPr>
      <w:r>
        <w:t xml:space="preserve">von </w:t>
      </w:r>
      <w:r>
        <w:rPr>
          <w:lang w:val="en-US"/>
        </w:rPr>
        <w:t xml:space="preserve">Müffling, Friedrich, </w:t>
      </w:r>
      <w:r>
        <w:rPr>
          <w:i/>
          <w:lang w:val="en-US"/>
        </w:rPr>
        <w:t>A Sketch of the Battle of Waterloo</w:t>
      </w:r>
      <w:r>
        <w:rPr>
          <w:lang w:val="en-US"/>
        </w:rPr>
        <w:t>,</w:t>
      </w:r>
      <w:r w:rsidR="009F3E69">
        <w:rPr>
          <w:lang w:val="en-US"/>
        </w:rPr>
        <w:t xml:space="preserve"> seventh edn (Brussels: H. Géra</w:t>
      </w:r>
      <w:r>
        <w:rPr>
          <w:lang w:val="en-US"/>
        </w:rPr>
        <w:t>rd, 1875)</w:t>
      </w:r>
    </w:p>
    <w:p w:rsidR="002D1225" w:rsidRPr="002F0FE6" w:rsidRDefault="002D1225" w:rsidP="00F55BB4">
      <w:pPr>
        <w:jc w:val="both"/>
        <w:rPr>
          <w:lang w:val="en-US"/>
        </w:rPr>
      </w:pPr>
      <w:r>
        <w:rPr>
          <w:lang w:val="en-US"/>
        </w:rPr>
        <w:t xml:space="preserve">Nofi, Albert A., </w:t>
      </w:r>
      <w:r w:rsidR="002F0FE6">
        <w:rPr>
          <w:i/>
          <w:lang w:val="en-US"/>
        </w:rPr>
        <w:t>The Waterloo Campaign</w:t>
      </w:r>
      <w:r w:rsidR="002F0FE6">
        <w:rPr>
          <w:lang w:val="en-US"/>
        </w:rPr>
        <w:t xml:space="preserve"> </w:t>
      </w:r>
      <w:r w:rsidR="006C465F">
        <w:rPr>
          <w:lang w:val="en-US"/>
        </w:rPr>
        <w:t>(London: Greenhill Books, 1993)</w:t>
      </w:r>
    </w:p>
    <w:p w:rsidR="00934349" w:rsidRPr="00934349" w:rsidRDefault="00934349" w:rsidP="00F55BB4">
      <w:pPr>
        <w:jc w:val="both"/>
        <w:rPr>
          <w:lang w:val="en-US"/>
        </w:rPr>
      </w:pPr>
      <w:r>
        <w:rPr>
          <w:lang w:val="en-US"/>
        </w:rPr>
        <w:t xml:space="preserve">O’Neil, Charles, </w:t>
      </w:r>
      <w:r>
        <w:rPr>
          <w:i/>
          <w:lang w:val="en-US"/>
        </w:rPr>
        <w:t>Private O’Neil</w:t>
      </w:r>
      <w:r>
        <w:rPr>
          <w:lang w:val="en-US"/>
        </w:rPr>
        <w:t xml:space="preserve"> (London: Leonaur Ltd., </w:t>
      </w:r>
      <w:r w:rsidR="00DF5CA5">
        <w:rPr>
          <w:lang w:val="en-US"/>
        </w:rPr>
        <w:t>2007)</w:t>
      </w:r>
    </w:p>
    <w:p w:rsidR="00140959" w:rsidRPr="00140959" w:rsidRDefault="00140959" w:rsidP="00F55BB4">
      <w:pPr>
        <w:jc w:val="both"/>
        <w:rPr>
          <w:lang w:val="en-US"/>
        </w:rPr>
      </w:pPr>
      <w:r>
        <w:rPr>
          <w:lang w:val="en-US"/>
        </w:rPr>
        <w:t xml:space="preserve">Perrett, Bryan, </w:t>
      </w:r>
      <w:r>
        <w:rPr>
          <w:i/>
          <w:lang w:val="en-US"/>
        </w:rPr>
        <w:t>The Battle Book</w:t>
      </w:r>
      <w:r w:rsidR="001060E8">
        <w:rPr>
          <w:lang w:val="en-US"/>
        </w:rPr>
        <w:t>, fifth</w:t>
      </w:r>
      <w:r w:rsidR="00BC5FB0">
        <w:rPr>
          <w:lang w:val="en-US"/>
        </w:rPr>
        <w:t xml:space="preserve"> edn (</w:t>
      </w:r>
      <w:r w:rsidR="001060E8">
        <w:rPr>
          <w:lang w:val="en-US"/>
        </w:rPr>
        <w:t>London: Arms and Armour Press, 1998)</w:t>
      </w:r>
    </w:p>
    <w:p w:rsidR="00E93103" w:rsidRPr="00A00211" w:rsidRDefault="00A00211" w:rsidP="00F55BB4">
      <w:pPr>
        <w:jc w:val="both"/>
        <w:rPr>
          <w:lang w:val="en-US"/>
        </w:rPr>
      </w:pPr>
      <w:r>
        <w:rPr>
          <w:i/>
          <w:lang w:val="en-US"/>
        </w:rPr>
        <w:t>Waterloo Letters</w:t>
      </w:r>
      <w:r>
        <w:rPr>
          <w:lang w:val="en-US"/>
        </w:rPr>
        <w:t>, ed. H.T. Siborne (Barnsley: Frontline Books, 2015)</w:t>
      </w:r>
    </w:p>
    <w:p w:rsidR="00580F23" w:rsidRPr="00362F55" w:rsidRDefault="00580F23" w:rsidP="00F55BB4">
      <w:pPr>
        <w:jc w:val="both"/>
        <w:rPr>
          <w:lang w:val="en-US"/>
        </w:rPr>
      </w:pPr>
      <w:r>
        <w:rPr>
          <w:lang w:val="en-US"/>
        </w:rPr>
        <w:t xml:space="preserve">Snow, Peter, </w:t>
      </w:r>
      <w:r>
        <w:rPr>
          <w:i/>
          <w:lang w:val="en-US"/>
        </w:rPr>
        <w:t>To War with Wellington</w:t>
      </w:r>
      <w:r w:rsidR="00362F55">
        <w:rPr>
          <w:lang w:val="en-US"/>
        </w:rPr>
        <w:t>, paperback edn (</w:t>
      </w:r>
      <w:r w:rsidR="006A2705">
        <w:rPr>
          <w:lang w:val="en-US"/>
        </w:rPr>
        <w:t>London: John Murray, 2011)</w:t>
      </w:r>
    </w:p>
    <w:p w:rsidR="004E4AE2" w:rsidRDefault="004E4AE2" w:rsidP="00F55BB4">
      <w:pPr>
        <w:jc w:val="both"/>
        <w:rPr>
          <w:lang w:val="en-US"/>
        </w:rPr>
      </w:pPr>
      <w:r>
        <w:rPr>
          <w:lang w:val="en-US"/>
        </w:rPr>
        <w:t xml:space="preserve">Snow, Dan and Snow, Peter, </w:t>
      </w:r>
      <w:r>
        <w:rPr>
          <w:i/>
          <w:lang w:val="en-US"/>
        </w:rPr>
        <w:t>The Battle of Waterloo Experience</w:t>
      </w:r>
      <w:r>
        <w:rPr>
          <w:lang w:val="en-US"/>
        </w:rPr>
        <w:t xml:space="preserve"> (London: André Deutsch, 2015)</w:t>
      </w:r>
    </w:p>
    <w:p w:rsidR="00257A34" w:rsidRPr="00257A34" w:rsidRDefault="00276B45" w:rsidP="00F55BB4">
      <w:pPr>
        <w:jc w:val="both"/>
      </w:pPr>
      <w:r>
        <w:rPr>
          <w:lang w:val="en-US"/>
        </w:rPr>
        <w:t xml:space="preserve">Tzu, Sun, </w:t>
      </w:r>
      <w:r w:rsidR="00257A34">
        <w:rPr>
          <w:i/>
          <w:lang w:val="en-US"/>
        </w:rPr>
        <w:t>The Art of War</w:t>
      </w:r>
      <w:r>
        <w:rPr>
          <w:lang w:val="en-US"/>
        </w:rPr>
        <w:t>,</w:t>
      </w:r>
      <w:bookmarkStart w:id="0" w:name="_GoBack"/>
      <w:bookmarkEnd w:id="0"/>
      <w:r w:rsidR="00257A34">
        <w:rPr>
          <w:lang w:val="en-US"/>
        </w:rPr>
        <w:t xml:space="preserve"> trans. James Trapp, sixth edn (London: Amber Books Ltd., 2016)</w:t>
      </w:r>
    </w:p>
    <w:sectPr w:rsidR="00257A34" w:rsidRPr="00257A34">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F0AA1" w:rsidRDefault="00AF0AA1" w:rsidP="00304D00">
      <w:pPr>
        <w:spacing w:after="0" w:line="240" w:lineRule="auto"/>
      </w:pPr>
      <w:r>
        <w:separator/>
      </w:r>
    </w:p>
  </w:endnote>
  <w:endnote w:type="continuationSeparator" w:id="0">
    <w:p w:rsidR="00AF0AA1" w:rsidRDefault="00AF0AA1" w:rsidP="00304D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F0AA1" w:rsidRDefault="00AF0AA1" w:rsidP="00304D00">
      <w:pPr>
        <w:spacing w:after="0" w:line="240" w:lineRule="auto"/>
      </w:pPr>
      <w:r>
        <w:separator/>
      </w:r>
    </w:p>
  </w:footnote>
  <w:footnote w:type="continuationSeparator" w:id="0">
    <w:p w:rsidR="00AF0AA1" w:rsidRDefault="00AF0AA1" w:rsidP="00304D00">
      <w:pPr>
        <w:spacing w:after="0" w:line="240" w:lineRule="auto"/>
      </w:pPr>
      <w:r>
        <w:continuationSeparator/>
      </w:r>
    </w:p>
  </w:footnote>
  <w:footnote w:id="1">
    <w:p w:rsidR="00D87385" w:rsidRPr="00D87385" w:rsidRDefault="00D87385">
      <w:pPr>
        <w:pStyle w:val="FootnoteText"/>
        <w:rPr>
          <w:lang w:val="en-US"/>
        </w:rPr>
      </w:pPr>
      <w:r>
        <w:rPr>
          <w:rStyle w:val="FootnoteReference"/>
        </w:rPr>
        <w:footnoteRef/>
      </w:r>
      <w:r>
        <w:t xml:space="preserve"> </w:t>
      </w:r>
      <w:r w:rsidR="002D13D4">
        <w:t xml:space="preserve">Longford, Elizabeth, </w:t>
      </w:r>
      <w:r w:rsidR="002D13D4">
        <w:rPr>
          <w:i/>
        </w:rPr>
        <w:t>Wellington: The Years of the Sword</w:t>
      </w:r>
      <w:r w:rsidR="002D13D4">
        <w:t xml:space="preserve"> (London: Panther, 1971)</w:t>
      </w:r>
      <w:r w:rsidR="008655C2">
        <w:rPr>
          <w:lang w:val="en-US"/>
        </w:rPr>
        <w:t>,</w:t>
      </w:r>
      <w:r w:rsidR="009E7CB2">
        <w:rPr>
          <w:lang w:val="en-US"/>
        </w:rPr>
        <w:t xml:space="preserve"> </w:t>
      </w:r>
      <w:r w:rsidR="002D13D4">
        <w:rPr>
          <w:lang w:val="en-US"/>
        </w:rPr>
        <w:t xml:space="preserve">pg. </w:t>
      </w:r>
      <w:r w:rsidR="009E7CB2">
        <w:rPr>
          <w:lang w:val="en-US"/>
        </w:rPr>
        <w:t>547.</w:t>
      </w:r>
    </w:p>
  </w:footnote>
  <w:footnote w:id="2">
    <w:p w:rsidR="00E442AC" w:rsidRPr="00E442AC" w:rsidRDefault="00E442AC">
      <w:pPr>
        <w:pStyle w:val="FootnoteText"/>
        <w:rPr>
          <w:lang w:val="en-US"/>
        </w:rPr>
      </w:pPr>
      <w:r>
        <w:rPr>
          <w:rStyle w:val="FootnoteReference"/>
        </w:rPr>
        <w:footnoteRef/>
      </w:r>
      <w:r>
        <w:t xml:space="preserve"> </w:t>
      </w:r>
      <w:r>
        <w:rPr>
          <w:lang w:val="en-US"/>
        </w:rPr>
        <w:t xml:space="preserve">Hofschröer, Peter, </w:t>
      </w:r>
      <w:r>
        <w:rPr>
          <w:i/>
          <w:lang w:val="en-US"/>
        </w:rPr>
        <w:t>1815: The Waterloo Campaign, Volume 1</w:t>
      </w:r>
      <w:r>
        <w:rPr>
          <w:lang w:val="en-US"/>
        </w:rPr>
        <w:t xml:space="preserve"> </w:t>
      </w:r>
      <w:r w:rsidR="00E7428A">
        <w:rPr>
          <w:lang w:val="en-US"/>
        </w:rPr>
        <w:t>(London: Greenhill Books, 1998), pg. 15.</w:t>
      </w:r>
    </w:p>
  </w:footnote>
  <w:footnote w:id="3">
    <w:p w:rsidR="00F7052D" w:rsidRPr="00F7052D" w:rsidRDefault="00F7052D">
      <w:pPr>
        <w:pStyle w:val="FootnoteText"/>
        <w:rPr>
          <w:lang w:val="en-US"/>
        </w:rPr>
      </w:pPr>
      <w:r>
        <w:rPr>
          <w:rStyle w:val="FootnoteReference"/>
        </w:rPr>
        <w:footnoteRef/>
      </w:r>
      <w:r>
        <w:t xml:space="preserve"> </w:t>
      </w:r>
      <w:r w:rsidR="00955124">
        <w:t xml:space="preserve">Holmes, Richard, </w:t>
      </w:r>
      <w:r w:rsidR="00955124">
        <w:rPr>
          <w:i/>
        </w:rPr>
        <w:t>Wellington</w:t>
      </w:r>
      <w:r w:rsidR="00955124">
        <w:t xml:space="preserve"> (</w:t>
      </w:r>
      <w:r w:rsidR="00FE66F0">
        <w:t>London: Harper Perennial, 2007)</w:t>
      </w:r>
      <w:r w:rsidR="00955124">
        <w:rPr>
          <w:lang w:val="en-US"/>
        </w:rPr>
        <w:t>, pg. 251.</w:t>
      </w:r>
    </w:p>
  </w:footnote>
  <w:footnote w:id="4">
    <w:p w:rsidR="00153A98" w:rsidRPr="00D71E65" w:rsidRDefault="00153A98">
      <w:pPr>
        <w:pStyle w:val="FootnoteText"/>
        <w:rPr>
          <w:lang w:val="en-US"/>
        </w:rPr>
      </w:pPr>
      <w:r>
        <w:rPr>
          <w:rStyle w:val="FootnoteReference"/>
        </w:rPr>
        <w:footnoteRef/>
      </w:r>
      <w:r>
        <w:t xml:space="preserve"> </w:t>
      </w:r>
      <w:r w:rsidR="00D71E65">
        <w:rPr>
          <w:lang w:val="en-US"/>
        </w:rPr>
        <w:t xml:space="preserve">Adkins, Mark, </w:t>
      </w:r>
      <w:r w:rsidR="00D71E65">
        <w:rPr>
          <w:i/>
          <w:lang w:val="en-US"/>
        </w:rPr>
        <w:t>The Waterloo Companion</w:t>
      </w:r>
      <w:r w:rsidR="00D71E65">
        <w:rPr>
          <w:lang w:val="en-US"/>
        </w:rPr>
        <w:t xml:space="preserve"> </w:t>
      </w:r>
      <w:r w:rsidR="00BF17EC">
        <w:rPr>
          <w:lang w:val="en-US"/>
        </w:rPr>
        <w:t>(</w:t>
      </w:r>
      <w:r w:rsidR="00F6454C">
        <w:rPr>
          <w:lang w:val="en-US"/>
        </w:rPr>
        <w:t>London: Aurum Press Limited, 2001)</w:t>
      </w:r>
      <w:r w:rsidR="00024CD0">
        <w:rPr>
          <w:lang w:val="en-US"/>
        </w:rPr>
        <w:t>, pg. 269.</w:t>
      </w:r>
    </w:p>
  </w:footnote>
  <w:footnote w:id="5">
    <w:p w:rsidR="00D30459" w:rsidRPr="00D30459" w:rsidRDefault="00D30459">
      <w:pPr>
        <w:pStyle w:val="FootnoteText"/>
        <w:rPr>
          <w:lang w:val="en-US"/>
        </w:rPr>
      </w:pPr>
      <w:r>
        <w:rPr>
          <w:rStyle w:val="FootnoteReference"/>
        </w:rPr>
        <w:footnoteRef/>
      </w:r>
      <w:r>
        <w:t xml:space="preserve"> von </w:t>
      </w:r>
      <w:r>
        <w:rPr>
          <w:lang w:val="en-US"/>
        </w:rPr>
        <w:t xml:space="preserve">Müffling, Friedrich, </w:t>
      </w:r>
      <w:r>
        <w:rPr>
          <w:i/>
          <w:lang w:val="en-US"/>
        </w:rPr>
        <w:t>A Sketch of the Battle of Waterloo</w:t>
      </w:r>
      <w:r>
        <w:rPr>
          <w:lang w:val="en-US"/>
        </w:rPr>
        <w:t xml:space="preserve">, seventh edn (Brussels: H. Gérarrd, 1875), </w:t>
      </w:r>
      <w:r w:rsidR="00AC5BEC">
        <w:rPr>
          <w:lang w:val="en-US"/>
        </w:rPr>
        <w:t xml:space="preserve">pg. </w:t>
      </w:r>
      <w:r>
        <w:rPr>
          <w:lang w:val="en-US"/>
        </w:rPr>
        <w:t>117.</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04D00" w:rsidRPr="00304D00" w:rsidRDefault="00304D00">
    <w:pPr>
      <w:pStyle w:val="Header"/>
      <w:rPr>
        <w:lang w:val="en-US"/>
      </w:rPr>
    </w:pPr>
    <w:r>
      <w:rPr>
        <w:lang w:val="en-US"/>
      </w:rPr>
      <w:t>1500043</w:t>
    </w:r>
    <w:r>
      <w:rPr>
        <w:lang w:val="en-US"/>
      </w:rPr>
      <w:tab/>
    </w:r>
    <w:r>
      <w:rPr>
        <w:lang w:val="en-US"/>
      </w:rPr>
      <w:tab/>
      <w:t>AHSK6002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B233816"/>
    <w:multiLevelType w:val="hybridMultilevel"/>
    <w:tmpl w:val="DD5214F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D614C42"/>
    <w:multiLevelType w:val="hybridMultilevel"/>
    <w:tmpl w:val="8BDCE1F2"/>
    <w:lvl w:ilvl="0" w:tplc="08090001">
      <w:start w:val="1"/>
      <w:numFmt w:val="bullet"/>
      <w:lvlText w:val=""/>
      <w:lvlJc w:val="left"/>
      <w:pPr>
        <w:ind w:left="828" w:hanging="360"/>
      </w:pPr>
      <w:rPr>
        <w:rFonts w:ascii="Symbol" w:hAnsi="Symbol" w:hint="default"/>
      </w:rPr>
    </w:lvl>
    <w:lvl w:ilvl="1" w:tplc="08090003">
      <w:start w:val="1"/>
      <w:numFmt w:val="bullet"/>
      <w:lvlText w:val="o"/>
      <w:lvlJc w:val="left"/>
      <w:pPr>
        <w:ind w:left="1548" w:hanging="360"/>
      </w:pPr>
      <w:rPr>
        <w:rFonts w:ascii="Courier New" w:hAnsi="Courier New" w:cs="Courier New" w:hint="default"/>
      </w:rPr>
    </w:lvl>
    <w:lvl w:ilvl="2" w:tplc="08090005">
      <w:start w:val="1"/>
      <w:numFmt w:val="bullet"/>
      <w:lvlText w:val=""/>
      <w:lvlJc w:val="left"/>
      <w:pPr>
        <w:ind w:left="2268" w:hanging="360"/>
      </w:pPr>
      <w:rPr>
        <w:rFonts w:ascii="Wingdings" w:hAnsi="Wingdings" w:hint="default"/>
      </w:rPr>
    </w:lvl>
    <w:lvl w:ilvl="3" w:tplc="08090001">
      <w:start w:val="1"/>
      <w:numFmt w:val="bullet"/>
      <w:lvlText w:val=""/>
      <w:lvlJc w:val="left"/>
      <w:pPr>
        <w:ind w:left="2988" w:hanging="360"/>
      </w:pPr>
      <w:rPr>
        <w:rFonts w:ascii="Symbol" w:hAnsi="Symbol" w:hint="default"/>
      </w:rPr>
    </w:lvl>
    <w:lvl w:ilvl="4" w:tplc="08090003" w:tentative="1">
      <w:start w:val="1"/>
      <w:numFmt w:val="bullet"/>
      <w:lvlText w:val="o"/>
      <w:lvlJc w:val="left"/>
      <w:pPr>
        <w:ind w:left="3708" w:hanging="360"/>
      </w:pPr>
      <w:rPr>
        <w:rFonts w:ascii="Courier New" w:hAnsi="Courier New" w:cs="Courier New" w:hint="default"/>
      </w:rPr>
    </w:lvl>
    <w:lvl w:ilvl="5" w:tplc="08090005" w:tentative="1">
      <w:start w:val="1"/>
      <w:numFmt w:val="bullet"/>
      <w:lvlText w:val=""/>
      <w:lvlJc w:val="left"/>
      <w:pPr>
        <w:ind w:left="4428" w:hanging="360"/>
      </w:pPr>
      <w:rPr>
        <w:rFonts w:ascii="Wingdings" w:hAnsi="Wingdings" w:hint="default"/>
      </w:rPr>
    </w:lvl>
    <w:lvl w:ilvl="6" w:tplc="08090001" w:tentative="1">
      <w:start w:val="1"/>
      <w:numFmt w:val="bullet"/>
      <w:lvlText w:val=""/>
      <w:lvlJc w:val="left"/>
      <w:pPr>
        <w:ind w:left="5148" w:hanging="360"/>
      </w:pPr>
      <w:rPr>
        <w:rFonts w:ascii="Symbol" w:hAnsi="Symbol" w:hint="default"/>
      </w:rPr>
    </w:lvl>
    <w:lvl w:ilvl="7" w:tplc="08090003" w:tentative="1">
      <w:start w:val="1"/>
      <w:numFmt w:val="bullet"/>
      <w:lvlText w:val="o"/>
      <w:lvlJc w:val="left"/>
      <w:pPr>
        <w:ind w:left="5868" w:hanging="360"/>
      </w:pPr>
      <w:rPr>
        <w:rFonts w:ascii="Courier New" w:hAnsi="Courier New" w:cs="Courier New" w:hint="default"/>
      </w:rPr>
    </w:lvl>
    <w:lvl w:ilvl="8" w:tplc="08090005" w:tentative="1">
      <w:start w:val="1"/>
      <w:numFmt w:val="bullet"/>
      <w:lvlText w:val=""/>
      <w:lvlJc w:val="left"/>
      <w:pPr>
        <w:ind w:left="6588"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2051"/>
    <w:rsid w:val="000036CB"/>
    <w:rsid w:val="00013E69"/>
    <w:rsid w:val="00023F92"/>
    <w:rsid w:val="00024CD0"/>
    <w:rsid w:val="00025914"/>
    <w:rsid w:val="00027C18"/>
    <w:rsid w:val="000313E9"/>
    <w:rsid w:val="00031DCE"/>
    <w:rsid w:val="00032965"/>
    <w:rsid w:val="000332F8"/>
    <w:rsid w:val="000360CA"/>
    <w:rsid w:val="00040269"/>
    <w:rsid w:val="00041EA6"/>
    <w:rsid w:val="00046F6E"/>
    <w:rsid w:val="00050CF7"/>
    <w:rsid w:val="00060F95"/>
    <w:rsid w:val="00060FB7"/>
    <w:rsid w:val="00065C58"/>
    <w:rsid w:val="00076400"/>
    <w:rsid w:val="0008498A"/>
    <w:rsid w:val="00095446"/>
    <w:rsid w:val="000A4841"/>
    <w:rsid w:val="000A7A8C"/>
    <w:rsid w:val="000A7FD3"/>
    <w:rsid w:val="000B2869"/>
    <w:rsid w:val="000C3F5B"/>
    <w:rsid w:val="000E246C"/>
    <w:rsid w:val="000F3C5F"/>
    <w:rsid w:val="000F42C7"/>
    <w:rsid w:val="00101010"/>
    <w:rsid w:val="001060E8"/>
    <w:rsid w:val="00107A5B"/>
    <w:rsid w:val="00113C27"/>
    <w:rsid w:val="0011645C"/>
    <w:rsid w:val="00123B60"/>
    <w:rsid w:val="0012526A"/>
    <w:rsid w:val="00125E4E"/>
    <w:rsid w:val="0013029A"/>
    <w:rsid w:val="00136C0F"/>
    <w:rsid w:val="00140959"/>
    <w:rsid w:val="00153A98"/>
    <w:rsid w:val="00161155"/>
    <w:rsid w:val="001611A8"/>
    <w:rsid w:val="00165767"/>
    <w:rsid w:val="00171848"/>
    <w:rsid w:val="001861AD"/>
    <w:rsid w:val="001909B0"/>
    <w:rsid w:val="00192A38"/>
    <w:rsid w:val="0019535E"/>
    <w:rsid w:val="001C358A"/>
    <w:rsid w:val="001C57DE"/>
    <w:rsid w:val="001C5B72"/>
    <w:rsid w:val="001D2B0F"/>
    <w:rsid w:val="001D59F7"/>
    <w:rsid w:val="001E5720"/>
    <w:rsid w:val="001E791C"/>
    <w:rsid w:val="001F1E46"/>
    <w:rsid w:val="001F2F62"/>
    <w:rsid w:val="00211E1C"/>
    <w:rsid w:val="0021282F"/>
    <w:rsid w:val="00214ABF"/>
    <w:rsid w:val="00225B7B"/>
    <w:rsid w:val="0022705B"/>
    <w:rsid w:val="00233CE1"/>
    <w:rsid w:val="00241A79"/>
    <w:rsid w:val="00257A34"/>
    <w:rsid w:val="002615E5"/>
    <w:rsid w:val="00261AF9"/>
    <w:rsid w:val="002704F8"/>
    <w:rsid w:val="00276518"/>
    <w:rsid w:val="002765D4"/>
    <w:rsid w:val="00276AE4"/>
    <w:rsid w:val="00276B45"/>
    <w:rsid w:val="0028749A"/>
    <w:rsid w:val="002B6D6C"/>
    <w:rsid w:val="002C1337"/>
    <w:rsid w:val="002C1454"/>
    <w:rsid w:val="002C4190"/>
    <w:rsid w:val="002C5C55"/>
    <w:rsid w:val="002D1225"/>
    <w:rsid w:val="002D13D4"/>
    <w:rsid w:val="002D18A3"/>
    <w:rsid w:val="002D1D96"/>
    <w:rsid w:val="002E760A"/>
    <w:rsid w:val="002F0FE6"/>
    <w:rsid w:val="002F1906"/>
    <w:rsid w:val="002F5D61"/>
    <w:rsid w:val="00302EAF"/>
    <w:rsid w:val="00304D00"/>
    <w:rsid w:val="00306FD7"/>
    <w:rsid w:val="003106D3"/>
    <w:rsid w:val="003113B0"/>
    <w:rsid w:val="00316A24"/>
    <w:rsid w:val="00323297"/>
    <w:rsid w:val="00330B22"/>
    <w:rsid w:val="00336216"/>
    <w:rsid w:val="00347F0F"/>
    <w:rsid w:val="00356F7C"/>
    <w:rsid w:val="00360F71"/>
    <w:rsid w:val="0036113F"/>
    <w:rsid w:val="00362036"/>
    <w:rsid w:val="00362F55"/>
    <w:rsid w:val="003721C7"/>
    <w:rsid w:val="003838CF"/>
    <w:rsid w:val="00386049"/>
    <w:rsid w:val="00393285"/>
    <w:rsid w:val="003962A9"/>
    <w:rsid w:val="003A2410"/>
    <w:rsid w:val="003A6F9F"/>
    <w:rsid w:val="003B066D"/>
    <w:rsid w:val="003C07F7"/>
    <w:rsid w:val="003C7829"/>
    <w:rsid w:val="003D1856"/>
    <w:rsid w:val="003E1702"/>
    <w:rsid w:val="003F493D"/>
    <w:rsid w:val="004050CD"/>
    <w:rsid w:val="0041684A"/>
    <w:rsid w:val="00422A4B"/>
    <w:rsid w:val="00422CC0"/>
    <w:rsid w:val="004339EF"/>
    <w:rsid w:val="00446366"/>
    <w:rsid w:val="00446B66"/>
    <w:rsid w:val="00452F58"/>
    <w:rsid w:val="00461482"/>
    <w:rsid w:val="004651CE"/>
    <w:rsid w:val="00470545"/>
    <w:rsid w:val="004744C1"/>
    <w:rsid w:val="00482702"/>
    <w:rsid w:val="004955A6"/>
    <w:rsid w:val="004A36AA"/>
    <w:rsid w:val="004A3DBB"/>
    <w:rsid w:val="004B58D7"/>
    <w:rsid w:val="004C18EB"/>
    <w:rsid w:val="004C64BC"/>
    <w:rsid w:val="004C734C"/>
    <w:rsid w:val="004D0636"/>
    <w:rsid w:val="004D1697"/>
    <w:rsid w:val="004E1C61"/>
    <w:rsid w:val="004E4AE2"/>
    <w:rsid w:val="005011A5"/>
    <w:rsid w:val="005051E6"/>
    <w:rsid w:val="0050713C"/>
    <w:rsid w:val="005167EE"/>
    <w:rsid w:val="00521BF1"/>
    <w:rsid w:val="0052250D"/>
    <w:rsid w:val="00534055"/>
    <w:rsid w:val="00543A7E"/>
    <w:rsid w:val="00543BDB"/>
    <w:rsid w:val="0055188D"/>
    <w:rsid w:val="005616DB"/>
    <w:rsid w:val="005640A3"/>
    <w:rsid w:val="005661CE"/>
    <w:rsid w:val="00570D84"/>
    <w:rsid w:val="00574CE3"/>
    <w:rsid w:val="00574EE9"/>
    <w:rsid w:val="00574F53"/>
    <w:rsid w:val="00577DE5"/>
    <w:rsid w:val="00580F23"/>
    <w:rsid w:val="00595099"/>
    <w:rsid w:val="005B1DC1"/>
    <w:rsid w:val="005B425E"/>
    <w:rsid w:val="005C1F3B"/>
    <w:rsid w:val="005C29F6"/>
    <w:rsid w:val="005C36A2"/>
    <w:rsid w:val="005D072C"/>
    <w:rsid w:val="005D355B"/>
    <w:rsid w:val="00600CE3"/>
    <w:rsid w:val="00604170"/>
    <w:rsid w:val="00611DA6"/>
    <w:rsid w:val="00614B11"/>
    <w:rsid w:val="006168B6"/>
    <w:rsid w:val="00616B2C"/>
    <w:rsid w:val="0061789C"/>
    <w:rsid w:val="00624CF2"/>
    <w:rsid w:val="00624D1A"/>
    <w:rsid w:val="00631251"/>
    <w:rsid w:val="00645D72"/>
    <w:rsid w:val="00656815"/>
    <w:rsid w:val="0066324A"/>
    <w:rsid w:val="00671B1F"/>
    <w:rsid w:val="00686D0D"/>
    <w:rsid w:val="00697544"/>
    <w:rsid w:val="006A0B22"/>
    <w:rsid w:val="006A1F2B"/>
    <w:rsid w:val="006A2705"/>
    <w:rsid w:val="006C2031"/>
    <w:rsid w:val="006C3C0B"/>
    <w:rsid w:val="006C465F"/>
    <w:rsid w:val="006C7DD9"/>
    <w:rsid w:val="006E1B66"/>
    <w:rsid w:val="006F5305"/>
    <w:rsid w:val="00702B96"/>
    <w:rsid w:val="00702FC0"/>
    <w:rsid w:val="007038E7"/>
    <w:rsid w:val="00733774"/>
    <w:rsid w:val="0074444E"/>
    <w:rsid w:val="0074643D"/>
    <w:rsid w:val="007526C7"/>
    <w:rsid w:val="00753AA5"/>
    <w:rsid w:val="007547DF"/>
    <w:rsid w:val="00763BE5"/>
    <w:rsid w:val="00766B56"/>
    <w:rsid w:val="00774E2F"/>
    <w:rsid w:val="007859E3"/>
    <w:rsid w:val="0078600A"/>
    <w:rsid w:val="00786235"/>
    <w:rsid w:val="007B1D75"/>
    <w:rsid w:val="007C1EE7"/>
    <w:rsid w:val="007D0831"/>
    <w:rsid w:val="007D225F"/>
    <w:rsid w:val="007D435D"/>
    <w:rsid w:val="007E5C4B"/>
    <w:rsid w:val="0080544F"/>
    <w:rsid w:val="0081023D"/>
    <w:rsid w:val="00816CFA"/>
    <w:rsid w:val="0082003D"/>
    <w:rsid w:val="00822EB1"/>
    <w:rsid w:val="0082356B"/>
    <w:rsid w:val="00827655"/>
    <w:rsid w:val="00827B0A"/>
    <w:rsid w:val="008458EA"/>
    <w:rsid w:val="008505D1"/>
    <w:rsid w:val="008507D4"/>
    <w:rsid w:val="008609AC"/>
    <w:rsid w:val="008655C2"/>
    <w:rsid w:val="008771A3"/>
    <w:rsid w:val="00880B18"/>
    <w:rsid w:val="00886609"/>
    <w:rsid w:val="0089327E"/>
    <w:rsid w:val="008B03FF"/>
    <w:rsid w:val="008B22E7"/>
    <w:rsid w:val="008B38CD"/>
    <w:rsid w:val="008B53A9"/>
    <w:rsid w:val="008B7F83"/>
    <w:rsid w:val="008C2CFC"/>
    <w:rsid w:val="008D3DBC"/>
    <w:rsid w:val="008D5987"/>
    <w:rsid w:val="008E4E62"/>
    <w:rsid w:val="008E7A7C"/>
    <w:rsid w:val="008F0FCD"/>
    <w:rsid w:val="00901722"/>
    <w:rsid w:val="00903F6A"/>
    <w:rsid w:val="009050B9"/>
    <w:rsid w:val="009172B0"/>
    <w:rsid w:val="00921A38"/>
    <w:rsid w:val="0092544D"/>
    <w:rsid w:val="0092682E"/>
    <w:rsid w:val="009339B1"/>
    <w:rsid w:val="00934349"/>
    <w:rsid w:val="00936D23"/>
    <w:rsid w:val="00937593"/>
    <w:rsid w:val="00941295"/>
    <w:rsid w:val="00943FE0"/>
    <w:rsid w:val="00946907"/>
    <w:rsid w:val="00952CF4"/>
    <w:rsid w:val="00955124"/>
    <w:rsid w:val="00956C5D"/>
    <w:rsid w:val="00962AD2"/>
    <w:rsid w:val="009654FB"/>
    <w:rsid w:val="00967B58"/>
    <w:rsid w:val="00974B49"/>
    <w:rsid w:val="00975597"/>
    <w:rsid w:val="00991394"/>
    <w:rsid w:val="00993238"/>
    <w:rsid w:val="00994C4F"/>
    <w:rsid w:val="00994D69"/>
    <w:rsid w:val="009C0F02"/>
    <w:rsid w:val="009C66AE"/>
    <w:rsid w:val="009E004B"/>
    <w:rsid w:val="009E6432"/>
    <w:rsid w:val="009E7CB2"/>
    <w:rsid w:val="009F1BB2"/>
    <w:rsid w:val="009F3E69"/>
    <w:rsid w:val="009F785E"/>
    <w:rsid w:val="00A00211"/>
    <w:rsid w:val="00A13D3A"/>
    <w:rsid w:val="00A159AA"/>
    <w:rsid w:val="00A17920"/>
    <w:rsid w:val="00A205E4"/>
    <w:rsid w:val="00A265AE"/>
    <w:rsid w:val="00A43EFB"/>
    <w:rsid w:val="00A51E11"/>
    <w:rsid w:val="00A536F8"/>
    <w:rsid w:val="00A60C0F"/>
    <w:rsid w:val="00A61146"/>
    <w:rsid w:val="00A64DF1"/>
    <w:rsid w:val="00A70502"/>
    <w:rsid w:val="00A718BE"/>
    <w:rsid w:val="00AA0AAE"/>
    <w:rsid w:val="00AA0B91"/>
    <w:rsid w:val="00AA170D"/>
    <w:rsid w:val="00AA73BA"/>
    <w:rsid w:val="00AB6DDA"/>
    <w:rsid w:val="00AC5BEC"/>
    <w:rsid w:val="00AD256D"/>
    <w:rsid w:val="00AD4789"/>
    <w:rsid w:val="00AE2BD4"/>
    <w:rsid w:val="00AE6B20"/>
    <w:rsid w:val="00AF0AA1"/>
    <w:rsid w:val="00B07CC7"/>
    <w:rsid w:val="00B149C4"/>
    <w:rsid w:val="00B234B0"/>
    <w:rsid w:val="00B3192D"/>
    <w:rsid w:val="00B37439"/>
    <w:rsid w:val="00B5367D"/>
    <w:rsid w:val="00B53A30"/>
    <w:rsid w:val="00B56174"/>
    <w:rsid w:val="00B63464"/>
    <w:rsid w:val="00B63820"/>
    <w:rsid w:val="00B706CC"/>
    <w:rsid w:val="00B716C9"/>
    <w:rsid w:val="00B71738"/>
    <w:rsid w:val="00B72B91"/>
    <w:rsid w:val="00B94EE1"/>
    <w:rsid w:val="00BA0D3B"/>
    <w:rsid w:val="00BA23EC"/>
    <w:rsid w:val="00BB1EA3"/>
    <w:rsid w:val="00BB3399"/>
    <w:rsid w:val="00BB6B95"/>
    <w:rsid w:val="00BC18C3"/>
    <w:rsid w:val="00BC5FB0"/>
    <w:rsid w:val="00BD4B88"/>
    <w:rsid w:val="00BD5ED5"/>
    <w:rsid w:val="00BD6A7D"/>
    <w:rsid w:val="00BE0A90"/>
    <w:rsid w:val="00BE2BB9"/>
    <w:rsid w:val="00BE374A"/>
    <w:rsid w:val="00BE7ED7"/>
    <w:rsid w:val="00BF0B0F"/>
    <w:rsid w:val="00BF1225"/>
    <w:rsid w:val="00BF17EC"/>
    <w:rsid w:val="00BF2AD4"/>
    <w:rsid w:val="00BF51C0"/>
    <w:rsid w:val="00C23147"/>
    <w:rsid w:val="00C26D5C"/>
    <w:rsid w:val="00C308F5"/>
    <w:rsid w:val="00C33076"/>
    <w:rsid w:val="00C426B8"/>
    <w:rsid w:val="00C46575"/>
    <w:rsid w:val="00C51785"/>
    <w:rsid w:val="00C51C0B"/>
    <w:rsid w:val="00C56AEB"/>
    <w:rsid w:val="00C60AFF"/>
    <w:rsid w:val="00C61282"/>
    <w:rsid w:val="00C638A2"/>
    <w:rsid w:val="00C71902"/>
    <w:rsid w:val="00C8357D"/>
    <w:rsid w:val="00C87501"/>
    <w:rsid w:val="00C96E6D"/>
    <w:rsid w:val="00CA3F27"/>
    <w:rsid w:val="00CA3FFC"/>
    <w:rsid w:val="00CC7829"/>
    <w:rsid w:val="00CD0499"/>
    <w:rsid w:val="00CD226B"/>
    <w:rsid w:val="00CE210E"/>
    <w:rsid w:val="00CE392B"/>
    <w:rsid w:val="00CE6DA1"/>
    <w:rsid w:val="00CF0AFF"/>
    <w:rsid w:val="00D0399E"/>
    <w:rsid w:val="00D04D82"/>
    <w:rsid w:val="00D125CD"/>
    <w:rsid w:val="00D20FA2"/>
    <w:rsid w:val="00D249CD"/>
    <w:rsid w:val="00D30459"/>
    <w:rsid w:val="00D40662"/>
    <w:rsid w:val="00D518B3"/>
    <w:rsid w:val="00D55263"/>
    <w:rsid w:val="00D55283"/>
    <w:rsid w:val="00D55BD7"/>
    <w:rsid w:val="00D670B3"/>
    <w:rsid w:val="00D71E65"/>
    <w:rsid w:val="00D83324"/>
    <w:rsid w:val="00D87385"/>
    <w:rsid w:val="00D90D13"/>
    <w:rsid w:val="00D957A6"/>
    <w:rsid w:val="00DA43D2"/>
    <w:rsid w:val="00DB4B8C"/>
    <w:rsid w:val="00DD04F3"/>
    <w:rsid w:val="00DD219E"/>
    <w:rsid w:val="00DD540E"/>
    <w:rsid w:val="00DD721A"/>
    <w:rsid w:val="00DE1A7D"/>
    <w:rsid w:val="00DE563B"/>
    <w:rsid w:val="00DE6EDE"/>
    <w:rsid w:val="00DF5CA5"/>
    <w:rsid w:val="00DF7ADE"/>
    <w:rsid w:val="00DF7C25"/>
    <w:rsid w:val="00E03150"/>
    <w:rsid w:val="00E11199"/>
    <w:rsid w:val="00E2094E"/>
    <w:rsid w:val="00E23647"/>
    <w:rsid w:val="00E25D53"/>
    <w:rsid w:val="00E26DF7"/>
    <w:rsid w:val="00E272FB"/>
    <w:rsid w:val="00E3787C"/>
    <w:rsid w:val="00E402C2"/>
    <w:rsid w:val="00E44251"/>
    <w:rsid w:val="00E442AC"/>
    <w:rsid w:val="00E50D82"/>
    <w:rsid w:val="00E5694E"/>
    <w:rsid w:val="00E60931"/>
    <w:rsid w:val="00E62A56"/>
    <w:rsid w:val="00E6606D"/>
    <w:rsid w:val="00E7428A"/>
    <w:rsid w:val="00E74B36"/>
    <w:rsid w:val="00E90EDC"/>
    <w:rsid w:val="00E90F45"/>
    <w:rsid w:val="00E92051"/>
    <w:rsid w:val="00E93103"/>
    <w:rsid w:val="00E93F80"/>
    <w:rsid w:val="00E946A9"/>
    <w:rsid w:val="00E95B5C"/>
    <w:rsid w:val="00EA1E9A"/>
    <w:rsid w:val="00EC0F1A"/>
    <w:rsid w:val="00ED0D1D"/>
    <w:rsid w:val="00ED42F0"/>
    <w:rsid w:val="00EE38E1"/>
    <w:rsid w:val="00EE680A"/>
    <w:rsid w:val="00EF1A70"/>
    <w:rsid w:val="00F00E76"/>
    <w:rsid w:val="00F2659A"/>
    <w:rsid w:val="00F32A85"/>
    <w:rsid w:val="00F33B56"/>
    <w:rsid w:val="00F40342"/>
    <w:rsid w:val="00F44781"/>
    <w:rsid w:val="00F55BB4"/>
    <w:rsid w:val="00F5637A"/>
    <w:rsid w:val="00F622BE"/>
    <w:rsid w:val="00F6454C"/>
    <w:rsid w:val="00F7052D"/>
    <w:rsid w:val="00F719AD"/>
    <w:rsid w:val="00F731E6"/>
    <w:rsid w:val="00F73F04"/>
    <w:rsid w:val="00F7576D"/>
    <w:rsid w:val="00F80088"/>
    <w:rsid w:val="00F87A46"/>
    <w:rsid w:val="00F9118F"/>
    <w:rsid w:val="00F953C1"/>
    <w:rsid w:val="00F97A75"/>
    <w:rsid w:val="00FB29E0"/>
    <w:rsid w:val="00FB30CE"/>
    <w:rsid w:val="00FB4183"/>
    <w:rsid w:val="00FC59FE"/>
    <w:rsid w:val="00FE66F0"/>
    <w:rsid w:val="00FF5365"/>
    <w:rsid w:val="00FF542F"/>
    <w:rsid w:val="00FF7E69"/>
    <w:rsid w:val="00FF7E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54FFA6F"/>
  <w15:chartTrackingRefBased/>
  <w15:docId w15:val="{EE5AAB06-718F-4AF1-A5C2-6388B703CB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04D0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04D00"/>
  </w:style>
  <w:style w:type="paragraph" w:styleId="Footer">
    <w:name w:val="footer"/>
    <w:basedOn w:val="Normal"/>
    <w:link w:val="FooterChar"/>
    <w:uiPriority w:val="99"/>
    <w:unhideWhenUsed/>
    <w:rsid w:val="00304D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04D00"/>
  </w:style>
  <w:style w:type="paragraph" w:styleId="FootnoteText">
    <w:name w:val="footnote text"/>
    <w:basedOn w:val="Normal"/>
    <w:link w:val="FootnoteTextChar"/>
    <w:uiPriority w:val="99"/>
    <w:semiHidden/>
    <w:unhideWhenUsed/>
    <w:rsid w:val="00D8738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87385"/>
    <w:rPr>
      <w:sz w:val="20"/>
      <w:szCs w:val="20"/>
    </w:rPr>
  </w:style>
  <w:style w:type="character" w:styleId="FootnoteReference">
    <w:name w:val="footnote reference"/>
    <w:basedOn w:val="DefaultParagraphFont"/>
    <w:uiPriority w:val="99"/>
    <w:semiHidden/>
    <w:unhideWhenUsed/>
    <w:rsid w:val="00D87385"/>
    <w:rPr>
      <w:vertAlign w:val="superscript"/>
    </w:rPr>
  </w:style>
  <w:style w:type="paragraph" w:styleId="ListParagraph">
    <w:name w:val="List Paragraph"/>
    <w:basedOn w:val="Normal"/>
    <w:uiPriority w:val="34"/>
    <w:qFormat/>
    <w:rsid w:val="00600CE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B1FC7922-DA85-4EBB-95F8-4CE4EAB32D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3471</TotalTime>
  <Pages>7</Pages>
  <Words>2507</Words>
  <Characters>14296</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Rory Butcher</dc:creator>
  <cp:keywords/>
  <dc:description/>
  <cp:lastModifiedBy>Rory Butcher</cp:lastModifiedBy>
  <cp:revision>438</cp:revision>
  <dcterms:created xsi:type="dcterms:W3CDTF">2017-11-13T14:25:00Z</dcterms:created>
  <dcterms:modified xsi:type="dcterms:W3CDTF">2017-11-17T14:11:00Z</dcterms:modified>
</cp:coreProperties>
</file>