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7858423"/>
        <w:docPartObj>
          <w:docPartGallery w:val="Cover Pages"/>
          <w:docPartUnique/>
        </w:docPartObj>
      </w:sdtPr>
      <w:sdtEndPr>
        <w:rPr>
          <w:rFonts w:ascii="Calibri" w:eastAsia="Times New Roman" w:hAnsi="Calibri" w:cs="Calibri"/>
          <w:b/>
          <w:bCs/>
          <w:color w:val="000000"/>
          <w:kern w:val="36"/>
          <w:lang w:eastAsia="en-GB"/>
          <w14:ligatures w14:val="none"/>
        </w:rPr>
      </w:sdtEndPr>
      <w:sdtContent>
        <w:p w14:paraId="14D58AD4" w14:textId="4D055422" w:rsidR="00E85E25" w:rsidRDefault="00E85E25">
          <w:r>
            <w:rPr>
              <w:noProof/>
            </w:rPr>
            <mc:AlternateContent>
              <mc:Choice Requires="wpg">
                <w:drawing>
                  <wp:anchor distT="0" distB="0" distL="114300" distR="114300" simplePos="0" relativeHeight="251659264" behindDoc="1" locked="0" layoutInCell="1" allowOverlap="1" wp14:anchorId="5F3BAEF2" wp14:editId="7BFD0291">
                    <wp:simplePos x="0" y="0"/>
                    <wp:positionH relativeFrom="page">
                      <wp:align>center</wp:align>
                    </wp:positionH>
                    <wp:positionV relativeFrom="page">
                      <wp:align>center</wp:align>
                    </wp:positionV>
                    <wp:extent cx="6864824" cy="9123528"/>
                    <wp:effectExtent l="0" t="0" r="0" b="0"/>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B52F33" w14:textId="045604E7" w:rsidR="00E85E25" w:rsidRDefault="00E85E25" w:rsidP="009217BB">
                                  <w:pPr>
                                    <w:pStyle w:val="NoSpacing"/>
                                    <w:spacing w:before="120"/>
                                    <w:rPr>
                                      <w:color w:val="FFFFFF" w:themeColor="background1"/>
                                    </w:rPr>
                                  </w:pPr>
                                </w:p>
                                <w:p w14:paraId="7FE0A8D1" w14:textId="607A1C5E" w:rsidR="00E85E25" w:rsidRDefault="00E85E25" w:rsidP="009217BB">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7B28D88" w14:textId="462AD680" w:rsidR="00E85E25" w:rsidRDefault="0082675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LCBB4012 – Group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3BAEF2" id="Group 105"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p w14:paraId="56B52F33" w14:textId="045604E7" w:rsidR="00E85E25" w:rsidRDefault="00E85E25" w:rsidP="009217BB">
                            <w:pPr>
                              <w:pStyle w:val="NoSpacing"/>
                              <w:spacing w:before="120"/>
                              <w:rPr>
                                <w:color w:val="FFFFFF" w:themeColor="background1"/>
                              </w:rPr>
                            </w:pPr>
                          </w:p>
                          <w:p w14:paraId="7FE0A8D1" w14:textId="607A1C5E" w:rsidR="00E85E25" w:rsidRDefault="00E85E25" w:rsidP="009217BB">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7B28D88" w14:textId="462AD680" w:rsidR="00E85E25" w:rsidRDefault="0082675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LCBB4012 – Group Report</w:t>
                                </w:r>
                              </w:p>
                            </w:sdtContent>
                          </w:sdt>
                        </w:txbxContent>
                      </v:textbox>
                    </v:shape>
                    <w10:wrap anchorx="page" anchory="page"/>
                  </v:group>
                </w:pict>
              </mc:Fallback>
            </mc:AlternateContent>
          </w:r>
        </w:p>
        <w:p w14:paraId="7413E872" w14:textId="4725B2AA" w:rsidR="00E85E25" w:rsidRDefault="00EB16B9">
          <w:pPr>
            <w:rPr>
              <w:rFonts w:ascii="Calibri" w:eastAsia="Times New Roman" w:hAnsi="Calibri" w:cs="Calibri"/>
              <w:b/>
              <w:bCs/>
              <w:color w:val="000000"/>
              <w:kern w:val="36"/>
              <w:lang w:eastAsia="en-GB"/>
              <w14:ligatures w14:val="none"/>
            </w:rPr>
          </w:pPr>
          <w:r>
            <w:rPr>
              <w:rFonts w:ascii="Calibri" w:eastAsia="Times New Roman" w:hAnsi="Calibri" w:cs="Calibri"/>
              <w:b/>
              <w:bCs/>
              <w:noProof/>
              <w:color w:val="000000"/>
              <w:kern w:val="36"/>
              <w:lang w:eastAsia="en-GB"/>
            </w:rPr>
            <mc:AlternateContent>
              <mc:Choice Requires="wps">
                <w:drawing>
                  <wp:anchor distT="0" distB="0" distL="114300" distR="114300" simplePos="0" relativeHeight="251660288" behindDoc="0" locked="0" layoutInCell="1" allowOverlap="1" wp14:anchorId="0C43FC07" wp14:editId="0BAF86D4">
                    <wp:simplePos x="0" y="0"/>
                    <wp:positionH relativeFrom="column">
                      <wp:posOffset>120316</wp:posOffset>
                    </wp:positionH>
                    <wp:positionV relativeFrom="paragraph">
                      <wp:posOffset>6288472</wp:posOffset>
                    </wp:positionV>
                    <wp:extent cx="2349500" cy="1876926"/>
                    <wp:effectExtent l="0" t="0" r="12700" b="15875"/>
                    <wp:wrapNone/>
                    <wp:docPr id="2098540815" name="Text Box 4"/>
                    <wp:cNvGraphicFramePr/>
                    <a:graphic xmlns:a="http://schemas.openxmlformats.org/drawingml/2006/main">
                      <a:graphicData uri="http://schemas.microsoft.com/office/word/2010/wordprocessingShape">
                        <wps:wsp>
                          <wps:cNvSpPr txBox="1"/>
                          <wps:spPr>
                            <a:xfrm>
                              <a:off x="0" y="0"/>
                              <a:ext cx="2349500" cy="1876926"/>
                            </a:xfrm>
                            <a:prstGeom prst="rect">
                              <a:avLst/>
                            </a:prstGeom>
                            <a:solidFill>
                              <a:schemeClr val="accent1"/>
                            </a:solidFill>
                            <a:ln w="6350">
                              <a:solidFill>
                                <a:schemeClr val="accent1"/>
                              </a:solidFill>
                            </a:ln>
                          </wps:spPr>
                          <wps:txbx>
                            <w:txbxContent>
                              <w:p w14:paraId="1D792355" w14:textId="250A43BE" w:rsidR="00EB16B9" w:rsidRDefault="00EB16B9">
                                <w:pPr>
                                  <w:rPr>
                                    <w:color w:val="FFFFFF" w:themeColor="background1"/>
                                  </w:rPr>
                                </w:pPr>
                                <w:r>
                                  <w:rPr>
                                    <w:color w:val="FFFFFF" w:themeColor="background1"/>
                                  </w:rPr>
                                  <w:t>Jarmila Keselova – 2221996</w:t>
                                </w:r>
                              </w:p>
                              <w:p w14:paraId="3B850D49" w14:textId="53D4A14A" w:rsidR="00EB16B9" w:rsidRDefault="00EB16B9">
                                <w:pPr>
                                  <w:rPr>
                                    <w:color w:val="FFFFFF" w:themeColor="background1"/>
                                  </w:rPr>
                                </w:pPr>
                                <w:r>
                                  <w:rPr>
                                    <w:color w:val="FFFFFF" w:themeColor="background1"/>
                                  </w:rPr>
                                  <w:t>Roxana Simulescu – 2528753</w:t>
                                </w:r>
                              </w:p>
                              <w:p w14:paraId="293A882A" w14:textId="1DDD8570" w:rsidR="00EB16B9" w:rsidRDefault="00826758">
                                <w:pPr>
                                  <w:rPr>
                                    <w:color w:val="FFFFFF" w:themeColor="background1"/>
                                  </w:rPr>
                                </w:pPr>
                                <w:r>
                                  <w:rPr>
                                    <w:color w:val="FFFFFF" w:themeColor="background1"/>
                                  </w:rPr>
                                  <w:t xml:space="preserve">Ana Maria Raducanu </w:t>
                                </w:r>
                                <w:r w:rsidR="00FE4206">
                                  <w:rPr>
                                    <w:color w:val="FFFFFF" w:themeColor="background1"/>
                                  </w:rPr>
                                  <w:t>–</w:t>
                                </w:r>
                                <w:r>
                                  <w:rPr>
                                    <w:color w:val="FFFFFF" w:themeColor="background1"/>
                                  </w:rPr>
                                  <w:t xml:space="preserve"> 2531008</w:t>
                                </w:r>
                              </w:p>
                              <w:p w14:paraId="681E7EB2" w14:textId="6972D7BA" w:rsidR="00FE4206" w:rsidRPr="00EB16B9" w:rsidRDefault="00FE4206">
                                <w:pPr>
                                  <w:rPr>
                                    <w:color w:val="FFFFFF" w:themeColor="background1"/>
                                  </w:rPr>
                                </w:pPr>
                                <w:proofErr w:type="spellStart"/>
                                <w:r>
                                  <w:rPr>
                                    <w:color w:val="FFFFFF" w:themeColor="background1"/>
                                  </w:rPr>
                                  <w:t>Imadul</w:t>
                                </w:r>
                                <w:proofErr w:type="spellEnd"/>
                                <w:r>
                                  <w:rPr>
                                    <w:color w:val="FFFFFF" w:themeColor="background1"/>
                                  </w:rPr>
                                  <w:t xml:space="preserve"> hannan-2422533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43FC07" id="Text Box 4" o:spid="_x0000_s1030" type="#_x0000_t202" style="position:absolute;margin-left:9.45pt;margin-top:495.15pt;width:185pt;height:147.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" fillcolor="#156082 [3204]" strokecolor="#156082 [3204]" strokeweight=".5pt">
                    <v:textbox>
                      <w:txbxContent>
                        <w:p w14:paraId="1D792355" w14:textId="250A43BE" w:rsidR="00EB16B9" w:rsidRDefault="00EB16B9">
                          <w:pPr>
                            <w:rPr>
                              <w:color w:val="FFFFFF" w:themeColor="background1"/>
                            </w:rPr>
                          </w:pPr>
                          <w:r>
                            <w:rPr>
                              <w:color w:val="FFFFFF" w:themeColor="background1"/>
                            </w:rPr>
                            <w:t>Jarmila Keselova – 2221996</w:t>
                          </w:r>
                        </w:p>
                        <w:p w14:paraId="3B850D49" w14:textId="53D4A14A" w:rsidR="00EB16B9" w:rsidRDefault="00EB16B9">
                          <w:pPr>
                            <w:rPr>
                              <w:color w:val="FFFFFF" w:themeColor="background1"/>
                            </w:rPr>
                          </w:pPr>
                          <w:r>
                            <w:rPr>
                              <w:color w:val="FFFFFF" w:themeColor="background1"/>
                            </w:rPr>
                            <w:t>Roxana Simulescu – 2528753</w:t>
                          </w:r>
                        </w:p>
                        <w:p w14:paraId="293A882A" w14:textId="1DDD8570" w:rsidR="00EB16B9" w:rsidRDefault="00826758">
                          <w:pPr>
                            <w:rPr>
                              <w:color w:val="FFFFFF" w:themeColor="background1"/>
                            </w:rPr>
                          </w:pPr>
                          <w:r>
                            <w:rPr>
                              <w:color w:val="FFFFFF" w:themeColor="background1"/>
                            </w:rPr>
                            <w:t xml:space="preserve">Ana Maria Raducanu </w:t>
                          </w:r>
                          <w:r w:rsidR="00FE4206">
                            <w:rPr>
                              <w:color w:val="FFFFFF" w:themeColor="background1"/>
                            </w:rPr>
                            <w:t>–</w:t>
                          </w:r>
                          <w:r>
                            <w:rPr>
                              <w:color w:val="FFFFFF" w:themeColor="background1"/>
                            </w:rPr>
                            <w:t xml:space="preserve"> 2531008</w:t>
                          </w:r>
                        </w:p>
                        <w:p w14:paraId="681E7EB2" w14:textId="6972D7BA" w:rsidR="00FE4206" w:rsidRPr="00EB16B9" w:rsidRDefault="00FE4206">
                          <w:pPr>
                            <w:rPr>
                              <w:color w:val="FFFFFF" w:themeColor="background1"/>
                            </w:rPr>
                          </w:pPr>
                          <w:proofErr w:type="spellStart"/>
                          <w:r>
                            <w:rPr>
                              <w:color w:val="FFFFFF" w:themeColor="background1"/>
                            </w:rPr>
                            <w:t>Imadul</w:t>
                          </w:r>
                          <w:proofErr w:type="spellEnd"/>
                          <w:r>
                            <w:rPr>
                              <w:color w:val="FFFFFF" w:themeColor="background1"/>
                            </w:rPr>
                            <w:t xml:space="preserve"> hannan-2422533</w:t>
                          </w:r>
                        </w:p>
                      </w:txbxContent>
                    </v:textbox>
                  </v:shape>
                </w:pict>
              </mc:Fallback>
            </mc:AlternateContent>
          </w:r>
          <w:r w:rsidR="00E85E25">
            <w:rPr>
              <w:rFonts w:ascii="Calibri" w:eastAsia="Times New Roman" w:hAnsi="Calibri" w:cs="Calibri"/>
              <w:b/>
              <w:bCs/>
              <w:color w:val="000000"/>
              <w:kern w:val="36"/>
              <w:lang w:eastAsia="en-GB"/>
              <w14:ligatures w14:val="none"/>
            </w:rPr>
            <w:br w:type="page"/>
          </w:r>
        </w:p>
      </w:sdtContent>
    </w:sdt>
    <w:p w14:paraId="4D77F200" w14:textId="33DB0321" w:rsidR="00E85E25" w:rsidRPr="00E85E25" w:rsidRDefault="00E85E25" w:rsidP="00E85E25">
      <w:pPr>
        <w:spacing w:before="100" w:beforeAutospacing="1" w:after="100" w:afterAutospacing="1" w:line="240" w:lineRule="auto"/>
        <w:outlineLvl w:val="0"/>
        <w:rPr>
          <w:rFonts w:ascii="Calibri" w:eastAsia="Times New Roman" w:hAnsi="Calibri" w:cs="Calibri"/>
          <w:b/>
          <w:bCs/>
          <w:color w:val="000000"/>
          <w:kern w:val="36"/>
          <w:lang w:eastAsia="en-GB"/>
          <w14:ligatures w14:val="none"/>
        </w:rPr>
      </w:pPr>
      <w:r w:rsidRPr="00E85E25">
        <w:rPr>
          <w:rFonts w:ascii="Calibri" w:eastAsia="Times New Roman" w:hAnsi="Calibri" w:cs="Calibri"/>
          <w:b/>
          <w:bCs/>
          <w:color w:val="000000"/>
          <w:kern w:val="36"/>
          <w:lang w:eastAsia="en-GB"/>
          <w14:ligatures w14:val="none"/>
        </w:rPr>
        <w:lastRenderedPageBreak/>
        <w:t>The Importance of Teamwork and Presentation Skills in Academic and Professional Contexts</w:t>
      </w:r>
    </w:p>
    <w:p w14:paraId="0D8BC2B8" w14:textId="77777777" w:rsidR="00E85E25" w:rsidRPr="00E85E25" w:rsidRDefault="00E85E25" w:rsidP="00E85E25">
      <w:pPr>
        <w:spacing w:before="100" w:beforeAutospacing="1" w:after="100" w:afterAutospacing="1" w:line="240" w:lineRule="auto"/>
        <w:outlineLvl w:val="1"/>
        <w:rPr>
          <w:rFonts w:ascii="Calibri" w:eastAsia="Times New Roman" w:hAnsi="Calibri" w:cs="Calibri"/>
          <w:b/>
          <w:bCs/>
          <w:color w:val="000000"/>
          <w:kern w:val="0"/>
          <w:lang w:eastAsia="en-GB"/>
          <w14:ligatures w14:val="none"/>
        </w:rPr>
      </w:pPr>
      <w:r w:rsidRPr="00E85E25">
        <w:rPr>
          <w:rFonts w:ascii="Calibri" w:eastAsia="Times New Roman" w:hAnsi="Calibri" w:cs="Calibri"/>
          <w:b/>
          <w:bCs/>
          <w:color w:val="000000"/>
          <w:kern w:val="0"/>
          <w:lang w:eastAsia="en-GB"/>
          <w14:ligatures w14:val="none"/>
        </w:rPr>
        <w:t>Introduction</w:t>
      </w:r>
    </w:p>
    <w:p w14:paraId="45B9C2B8"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In modern academic environments and professional workplaces, the development of transferable skills is increasingly recognised as essential for success. Universities not only aim to provide students with theoretical knowledge but also to equip them with practical competencies that prepare them for the demands of contemporary organisations. Among the most important of these competencies are teamwork skills and presentation skills. Both skills play a crucial role in enabling individuals to collaborate effectively, communicate ideas clearly, and contribute meaningfully to group-based projects and organisational objectives.</w:t>
      </w:r>
    </w:p>
    <w:p w14:paraId="026FD754"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Teamwork skills are particularly important in academic settings where students frequently engage in collaborative assignments, group research projects, and presentations. Through teamwork, individuals learn to coordinate responsibilities, manage conflict, and integrate diverse perspectives to achieve shared goals. Similarly, presentation skills allow students to effectively communicate their knowledge and ideas to audiences in structured and engaging ways. In both academic and professional contexts, the ability to present information clearly can significantly influence how ideas are understood, evaluated, and implemented.</w:t>
      </w:r>
    </w:p>
    <w:p w14:paraId="162E13B2" w14:textId="46256879"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The purpose of this report is to examine the importance of teamwork skills and presentation skills within both academic and professional environments. First, the report will define each skill and outline its key components. It will then explore why each skill is essential for academic success and professional development. Finally, the report will identify practical strategies that students and professionals can use to improve these skills. By analysing these areas, the report demonstrates how the development of teamwork and presentation competencies can enhance both academic performance and long-term career prospects.</w:t>
      </w:r>
    </w:p>
    <w:p w14:paraId="00B65275" w14:textId="77777777" w:rsidR="00E85E25" w:rsidRPr="00E85E25" w:rsidRDefault="00E85E25" w:rsidP="00E85E25">
      <w:pPr>
        <w:spacing w:before="100" w:beforeAutospacing="1" w:after="100" w:afterAutospacing="1" w:line="240" w:lineRule="auto"/>
        <w:outlineLvl w:val="0"/>
        <w:rPr>
          <w:rFonts w:ascii="Calibri" w:eastAsia="Times New Roman" w:hAnsi="Calibri" w:cs="Calibri"/>
          <w:b/>
          <w:bCs/>
          <w:color w:val="000000"/>
          <w:kern w:val="36"/>
          <w:lang w:eastAsia="en-GB"/>
          <w14:ligatures w14:val="none"/>
        </w:rPr>
      </w:pPr>
      <w:r w:rsidRPr="00E85E25">
        <w:rPr>
          <w:rFonts w:ascii="Calibri" w:eastAsia="Times New Roman" w:hAnsi="Calibri" w:cs="Calibri"/>
          <w:b/>
          <w:bCs/>
          <w:color w:val="000000"/>
          <w:kern w:val="36"/>
          <w:lang w:eastAsia="en-GB"/>
          <w14:ligatures w14:val="none"/>
        </w:rPr>
        <w:t>Definition of the Skills</w:t>
      </w:r>
    </w:p>
    <w:p w14:paraId="6D860E38" w14:textId="77777777" w:rsidR="00E85E25" w:rsidRPr="00E85E25" w:rsidRDefault="00E85E25" w:rsidP="00E85E25">
      <w:pPr>
        <w:spacing w:before="100" w:beforeAutospacing="1" w:after="100" w:afterAutospacing="1" w:line="240" w:lineRule="auto"/>
        <w:outlineLvl w:val="1"/>
        <w:rPr>
          <w:rFonts w:ascii="Calibri" w:eastAsia="Times New Roman" w:hAnsi="Calibri" w:cs="Calibri"/>
          <w:b/>
          <w:bCs/>
          <w:color w:val="000000"/>
          <w:kern w:val="0"/>
          <w:lang w:eastAsia="en-GB"/>
          <w14:ligatures w14:val="none"/>
        </w:rPr>
      </w:pPr>
      <w:r w:rsidRPr="00E85E25">
        <w:rPr>
          <w:rFonts w:ascii="Calibri" w:eastAsia="Times New Roman" w:hAnsi="Calibri" w:cs="Calibri"/>
          <w:b/>
          <w:bCs/>
          <w:color w:val="000000"/>
          <w:kern w:val="0"/>
          <w:lang w:eastAsia="en-GB"/>
          <w14:ligatures w14:val="none"/>
        </w:rPr>
        <w:t>Teamwork Skills</w:t>
      </w:r>
    </w:p>
    <w:p w14:paraId="4ADC71A1"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 xml:space="preserve">Teamwork skills refer to the ability of individuals to work collaboratively with others </w:t>
      </w:r>
      <w:proofErr w:type="gramStart"/>
      <w:r w:rsidRPr="00E85E25">
        <w:rPr>
          <w:rFonts w:ascii="Calibri" w:eastAsia="Times New Roman" w:hAnsi="Calibri" w:cs="Calibri"/>
          <w:color w:val="000000"/>
          <w:kern w:val="0"/>
          <w:lang w:eastAsia="en-GB"/>
          <w14:ligatures w14:val="none"/>
        </w:rPr>
        <w:t>in order to</w:t>
      </w:r>
      <w:proofErr w:type="gramEnd"/>
      <w:r w:rsidRPr="00E85E25">
        <w:rPr>
          <w:rFonts w:ascii="Calibri" w:eastAsia="Times New Roman" w:hAnsi="Calibri" w:cs="Calibri"/>
          <w:color w:val="000000"/>
          <w:kern w:val="0"/>
          <w:lang w:eastAsia="en-GB"/>
          <w14:ligatures w14:val="none"/>
        </w:rPr>
        <w:t xml:space="preserve"> achieve a shared objective or complete a common task. Effective teamwork involves the coordination of different roles, responsibilities, and perspectives within a group. According to Johnson, Scholes and Whittington (2020), teamwork is a fundamental organisational capability that enables groups to combine diverse knowledge and skills to solve problems more effectively than individuals working independently.</w:t>
      </w:r>
    </w:p>
    <w:p w14:paraId="06001977"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 xml:space="preserve">Several key components contribute to effective teamwork. First, communication is essential for ensuring that team members clearly understand their roles, responsibilities, and project objectives. Without effective communication, misunderstandings may arise, leading to reduced efficiency and conflict within the group. Second, cooperation and collaboration allow individuals to share ideas, support each other’s contributions, and integrate their knowledge to achieve a common outcome. Third, conflict management is an important aspect of teamwork, as disagreements may occur when individuals have different </w:t>
      </w:r>
      <w:r w:rsidRPr="00E85E25">
        <w:rPr>
          <w:rFonts w:ascii="Calibri" w:eastAsia="Times New Roman" w:hAnsi="Calibri" w:cs="Calibri"/>
          <w:color w:val="000000"/>
          <w:kern w:val="0"/>
          <w:lang w:eastAsia="en-GB"/>
          <w14:ligatures w14:val="none"/>
        </w:rPr>
        <w:lastRenderedPageBreak/>
        <w:t xml:space="preserve">perspectives or approaches. Successful teams </w:t>
      </w:r>
      <w:proofErr w:type="gramStart"/>
      <w:r w:rsidRPr="00E85E25">
        <w:rPr>
          <w:rFonts w:ascii="Calibri" w:eastAsia="Times New Roman" w:hAnsi="Calibri" w:cs="Calibri"/>
          <w:color w:val="000000"/>
          <w:kern w:val="0"/>
          <w:lang w:eastAsia="en-GB"/>
          <w14:ligatures w14:val="none"/>
        </w:rPr>
        <w:t>are able to</w:t>
      </w:r>
      <w:proofErr w:type="gramEnd"/>
      <w:r w:rsidRPr="00E85E25">
        <w:rPr>
          <w:rFonts w:ascii="Calibri" w:eastAsia="Times New Roman" w:hAnsi="Calibri" w:cs="Calibri"/>
          <w:color w:val="000000"/>
          <w:kern w:val="0"/>
          <w:lang w:eastAsia="en-GB"/>
          <w14:ligatures w14:val="none"/>
        </w:rPr>
        <w:t xml:space="preserve"> resolve such conflicts constructively and maintain focus on the group’s goals. Finally, accountability ensures that each team member fulfils their assigned tasks and contributes fairly to the group’s overall performance.</w:t>
      </w:r>
    </w:p>
    <w:p w14:paraId="4CDD93E4"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 xml:space="preserve">Within academic environments, teamwork skills are frequently developed through group assignments, collaborative research, and presentations. These activities require students to coordinate their efforts, divide tasks effectively, and maintain collective responsibility for the </w:t>
      </w:r>
      <w:proofErr w:type="gramStart"/>
      <w:r w:rsidRPr="00E85E25">
        <w:rPr>
          <w:rFonts w:ascii="Calibri" w:eastAsia="Times New Roman" w:hAnsi="Calibri" w:cs="Calibri"/>
          <w:color w:val="000000"/>
          <w:kern w:val="0"/>
          <w:lang w:eastAsia="en-GB"/>
          <w14:ligatures w14:val="none"/>
        </w:rPr>
        <w:t>final outcome</w:t>
      </w:r>
      <w:proofErr w:type="gramEnd"/>
      <w:r w:rsidRPr="00E85E25">
        <w:rPr>
          <w:rFonts w:ascii="Calibri" w:eastAsia="Times New Roman" w:hAnsi="Calibri" w:cs="Calibri"/>
          <w:color w:val="000000"/>
          <w:kern w:val="0"/>
          <w:lang w:eastAsia="en-GB"/>
          <w14:ligatures w14:val="none"/>
        </w:rPr>
        <w:t>. In professional contexts, teamwork is equally critical, as organisations rely on collaborative teams to manage projects, develop new products, and solve complex organisational challenges.</w:t>
      </w:r>
    </w:p>
    <w:p w14:paraId="6B7F6B5D" w14:textId="77777777" w:rsidR="00E85E25" w:rsidRPr="00E85E25" w:rsidRDefault="00E85E25" w:rsidP="00E85E25">
      <w:pPr>
        <w:spacing w:before="100" w:beforeAutospacing="1" w:after="100" w:afterAutospacing="1" w:line="240" w:lineRule="auto"/>
        <w:outlineLvl w:val="1"/>
        <w:rPr>
          <w:rFonts w:ascii="Calibri" w:eastAsia="Times New Roman" w:hAnsi="Calibri" w:cs="Calibri"/>
          <w:b/>
          <w:bCs/>
          <w:color w:val="000000"/>
          <w:kern w:val="0"/>
          <w:lang w:eastAsia="en-GB"/>
          <w14:ligatures w14:val="none"/>
        </w:rPr>
      </w:pPr>
      <w:r w:rsidRPr="00E85E25">
        <w:rPr>
          <w:rFonts w:ascii="Calibri" w:eastAsia="Times New Roman" w:hAnsi="Calibri" w:cs="Calibri"/>
          <w:b/>
          <w:bCs/>
          <w:color w:val="000000"/>
          <w:kern w:val="0"/>
          <w:lang w:eastAsia="en-GB"/>
          <w14:ligatures w14:val="none"/>
        </w:rPr>
        <w:t>Presentation Skills</w:t>
      </w:r>
    </w:p>
    <w:p w14:paraId="1246D150"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Presentation skills refer to the ability to communicate information, ideas, or arguments clearly and effectively to an audience. These skills involve both verbal and non-verbal communication techniques that enable the presenter to convey their message in a structured and engaging manner. According to Kotler and Keller (2016), effective communication is essential in both academic and professional environments because it allows individuals to influence decision-making, share knowledge, and build credibility.</w:t>
      </w:r>
    </w:p>
    <w:p w14:paraId="41D8AD93"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Several components contribute to effective presentation skills. One important element is organisation and structure. A well-structured presentation typically includes a clear introduction, logically organised main points, and a concise conclusion. This structure allows audiences to follow the information easily and understand the presenter’s key arguments.</w:t>
      </w:r>
    </w:p>
    <w:p w14:paraId="3087AD21"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Another important component is verbal communication. Presenters must be able to explain complex ideas clearly and concisely while maintaining an appropriate pace and tone. Non-verbal communication also plays a significant role, including body language, eye contact, and gestures that help engage the audience and reinforce the message being delivered.</w:t>
      </w:r>
    </w:p>
    <w:p w14:paraId="6009A4D3"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Visual aids, such as slides, diagrams, and charts, are also important aspects of presentation skills. Visual elements can help illustrate complex concepts and make information more accessible to the audience. However, effective presenters must ensure that visual materials support their message rather than distract from it.</w:t>
      </w:r>
    </w:p>
    <w:p w14:paraId="7A437B53" w14:textId="59CC4426"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Presentation skills are widely used in academic environments, particularly during seminars, lectures, and group presentations. In professional settings, these skills are essential for activities such as business meetings, project proposals, and organisational briefings.</w:t>
      </w:r>
    </w:p>
    <w:p w14:paraId="09DF13D2" w14:textId="77777777" w:rsidR="00E85E25" w:rsidRPr="00E85E25" w:rsidRDefault="00E85E25" w:rsidP="00E85E25">
      <w:pPr>
        <w:spacing w:before="100" w:beforeAutospacing="1" w:after="100" w:afterAutospacing="1" w:line="240" w:lineRule="auto"/>
        <w:outlineLvl w:val="0"/>
        <w:rPr>
          <w:rFonts w:ascii="Calibri" w:eastAsia="Times New Roman" w:hAnsi="Calibri" w:cs="Calibri"/>
          <w:b/>
          <w:bCs/>
          <w:color w:val="000000"/>
          <w:kern w:val="36"/>
          <w:lang w:eastAsia="en-GB"/>
          <w14:ligatures w14:val="none"/>
        </w:rPr>
      </w:pPr>
      <w:r w:rsidRPr="00E85E25">
        <w:rPr>
          <w:rFonts w:ascii="Calibri" w:eastAsia="Times New Roman" w:hAnsi="Calibri" w:cs="Calibri"/>
          <w:b/>
          <w:bCs/>
          <w:color w:val="000000"/>
          <w:kern w:val="36"/>
          <w:lang w:eastAsia="en-GB"/>
          <w14:ligatures w14:val="none"/>
        </w:rPr>
        <w:t>Importance of Teamwork Skills</w:t>
      </w:r>
    </w:p>
    <w:p w14:paraId="4E080BB9"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Teamwork skills are highly important for academic success because many university assignments require students to collaborate with peers. Group projects encourage students to share knowledge, develop communication skills, and engage in collaborative problem solving. Through teamwork, students are exposed to different perspectives and approaches to learning, which can enhance critical thinking and improve the overall quality of their work.</w:t>
      </w:r>
    </w:p>
    <w:p w14:paraId="25B68709"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lastRenderedPageBreak/>
        <w:t>One key benefit of teamwork in academic settings is the development of interpersonal skills. When students work together in groups, they must negotiate roles, coordinate schedules, and ensure that each member contributes to the project. This process encourages students to develop leadership, communication, and organisational skills that are essential for both academic success and future employment.</w:t>
      </w:r>
    </w:p>
    <w:p w14:paraId="66671B0A"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Teamwork also enhances learning by allowing students to combine their individual strengths and expertise. For example, one student may have strong research skills, while another may be skilled at analysing data or presenting information visually. By working together, students can integrate these strengths to produce a more comprehensive and effective outcome.</w:t>
      </w:r>
    </w:p>
    <w:p w14:paraId="1C85465F"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In professional environments, teamwork is equally important. Modern organisations increasingly rely on collaborative teams to manage complex projects and respond to rapidly changing business environments. According to Grant (2019), teamwork enables organisations to combine diverse knowledge and expertise, which improves innovation and decision-making processes.</w:t>
      </w:r>
    </w:p>
    <w:p w14:paraId="3FE96807"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In the automotive industry, for example, large multinational companies such as Toyota rely heavily on teamwork across various departments including engineering, marketing, production, and supply chain management. These teams must collaborate effectively to develop new products, implement technological innovations, and respond to changing market conditions.</w:t>
      </w:r>
    </w:p>
    <w:p w14:paraId="18118EDF" w14:textId="3E304212"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Additionally, teamwork supports organisational efficiency by distributing tasks among team members based on their expertise. This approach allows organisations to complete projects more effectively while ensuring that responsibilities are shared across the group.</w:t>
      </w:r>
    </w:p>
    <w:p w14:paraId="74A2B4C9" w14:textId="77777777" w:rsidR="00E85E25" w:rsidRPr="00E85E25" w:rsidRDefault="00E85E25" w:rsidP="00E85E25">
      <w:pPr>
        <w:spacing w:before="100" w:beforeAutospacing="1" w:after="100" w:afterAutospacing="1" w:line="240" w:lineRule="auto"/>
        <w:outlineLvl w:val="0"/>
        <w:rPr>
          <w:rFonts w:ascii="Calibri" w:eastAsia="Times New Roman" w:hAnsi="Calibri" w:cs="Calibri"/>
          <w:b/>
          <w:bCs/>
          <w:color w:val="000000"/>
          <w:kern w:val="36"/>
          <w:lang w:eastAsia="en-GB"/>
          <w14:ligatures w14:val="none"/>
        </w:rPr>
      </w:pPr>
      <w:r w:rsidRPr="00E85E25">
        <w:rPr>
          <w:rFonts w:ascii="Calibri" w:eastAsia="Times New Roman" w:hAnsi="Calibri" w:cs="Calibri"/>
          <w:b/>
          <w:bCs/>
          <w:color w:val="000000"/>
          <w:kern w:val="36"/>
          <w:lang w:eastAsia="en-GB"/>
          <w14:ligatures w14:val="none"/>
        </w:rPr>
        <w:t>Importance of Presentation Skills</w:t>
      </w:r>
    </w:p>
    <w:p w14:paraId="20FE7091"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Presentation skills are essential for academic success because they allow students to communicate their knowledge and research findings effectively. Many university courses require students to present their work to peers and lecturers as part of assessments. These presentations provide opportunities for students to demonstrate their understanding of course material while developing confidence in public speaking.</w:t>
      </w:r>
    </w:p>
    <w:p w14:paraId="5C313394"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One important advantage of presentation skills in academic settings is the ability to communicate complex ideas clearly. Academic subjects often involve sophisticated theories, data analysis, and research findings that must be explained in an understandable way. Effective presentation skills enable students to organise information logically and present it in a format that audiences can easily follow.</w:t>
      </w:r>
    </w:p>
    <w:p w14:paraId="6694AADA"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Presentation skills also contribute to the development of confidence and professional communication abilities. Students who regularly engage in presentations become more comfortable speaking in front of audiences and expressing their ideas persuasively. This confidence can significantly improve their ability to participate in discussions, debates, and collaborative learning activities.</w:t>
      </w:r>
    </w:p>
    <w:p w14:paraId="706B5139"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lastRenderedPageBreak/>
        <w:t>In professional environments, presentation skills are equally important. Employees are frequently required to present ideas, proposals, or project updates to colleagues, managers, and clients. The ability to communicate information clearly can influence decision-making processes and organisational outcomes.</w:t>
      </w:r>
    </w:p>
    <w:p w14:paraId="6017E45A"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For example, managers often rely on presentations to propose strategic initiatives, explain project progress, or justify investment decisions. Similarly, marketing professionals use presentations to communicate campaign strategies and persuade stakeholders of their effectiveness.</w:t>
      </w:r>
    </w:p>
    <w:p w14:paraId="0FA03913"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Presentation skills are also important for leadership roles. Leaders must be able to inspire and motivate teams by communicating their vision clearly. Effective presentations can help leaders convey organisational goals, explain strategic priorities, and encourage collaboration among employees.</w:t>
      </w:r>
    </w:p>
    <w:p w14:paraId="76B42C0F" w14:textId="77777777" w:rsidR="00E85E25" w:rsidRPr="00E85E25" w:rsidRDefault="00E85E25" w:rsidP="00E85E25">
      <w:pPr>
        <w:pStyle w:val="NormalWeb"/>
        <w:rPr>
          <w:rFonts w:ascii="Calibri" w:hAnsi="Calibri" w:cs="Calibri"/>
          <w:color w:val="000000"/>
        </w:rPr>
      </w:pPr>
      <w:r w:rsidRPr="00E85E25">
        <w:rPr>
          <w:rFonts w:ascii="Calibri" w:hAnsi="Calibri" w:cs="Calibri"/>
          <w:color w:val="000000"/>
        </w:rPr>
        <w:t xml:space="preserve">Furthermore, the increasing complexity of modern workplaces has made the development of transferable skills such as teamwork and presentation abilities more important than ever. Organisations today operate in highly competitive and rapidly changing environments, where employees must be able to collaborate effectively with colleagues from diverse professional backgrounds and cultural contexts. As a result, employers increasingly value graduates who possess strong interpersonal and communication skills alongside their academic knowledge. According to Grant (2019), organisations that encourage collaborative teamwork often achieve higher levels of innovation and productivity because individuals </w:t>
      </w:r>
      <w:proofErr w:type="gramStart"/>
      <w:r w:rsidRPr="00E85E25">
        <w:rPr>
          <w:rFonts w:ascii="Calibri" w:hAnsi="Calibri" w:cs="Calibri"/>
          <w:color w:val="000000"/>
        </w:rPr>
        <w:t>are able to</w:t>
      </w:r>
      <w:proofErr w:type="gramEnd"/>
      <w:r w:rsidRPr="00E85E25">
        <w:rPr>
          <w:rFonts w:ascii="Calibri" w:hAnsi="Calibri" w:cs="Calibri"/>
          <w:color w:val="000000"/>
        </w:rPr>
        <w:t xml:space="preserve"> combine their expertise and generate more creative solutions to complex problems.</w:t>
      </w:r>
    </w:p>
    <w:p w14:paraId="10BA425B" w14:textId="6EABC57D" w:rsidR="00E85E25" w:rsidRPr="00E85E25" w:rsidRDefault="00E85E25" w:rsidP="00E85E25">
      <w:pPr>
        <w:pStyle w:val="NormalWeb"/>
        <w:rPr>
          <w:rFonts w:ascii="Calibri" w:hAnsi="Calibri" w:cs="Calibri"/>
          <w:color w:val="000000"/>
        </w:rPr>
      </w:pPr>
      <w:r w:rsidRPr="00E85E25">
        <w:rPr>
          <w:rFonts w:ascii="Calibri" w:hAnsi="Calibri" w:cs="Calibri"/>
          <w:color w:val="000000"/>
        </w:rPr>
        <w:t xml:space="preserve">Similarly, the ability to communicate ideas effectively through presentations has become an essential professional competency. In many industries, employees are required to present project updates, research findings, or strategic proposals to colleagues, managers, and stakeholders. Individuals who </w:t>
      </w:r>
      <w:proofErr w:type="gramStart"/>
      <w:r w:rsidRPr="00E85E25">
        <w:rPr>
          <w:rFonts w:ascii="Calibri" w:hAnsi="Calibri" w:cs="Calibri"/>
          <w:color w:val="000000"/>
        </w:rPr>
        <w:t>are able to</w:t>
      </w:r>
      <w:proofErr w:type="gramEnd"/>
      <w:r w:rsidRPr="00E85E25">
        <w:rPr>
          <w:rFonts w:ascii="Calibri" w:hAnsi="Calibri" w:cs="Calibri"/>
          <w:color w:val="000000"/>
        </w:rPr>
        <w:t xml:space="preserve"> structure information clearly and deliver engaging presentations are more likely to influence decision-making processes and gain professional recognition. Consequently, universities place significant emphasis on developing these skills through group projects, seminars, and presentation-based assessments. By engaging in these activities, students not only improve their academic performance but also develop valuable skills that prepare them for the expectations of professional workplaces.</w:t>
      </w:r>
    </w:p>
    <w:p w14:paraId="5490563A" w14:textId="77777777" w:rsidR="00E85E25" w:rsidRPr="00E85E25" w:rsidRDefault="00E85E25" w:rsidP="00E85E25">
      <w:pPr>
        <w:spacing w:before="100" w:beforeAutospacing="1" w:after="100" w:afterAutospacing="1" w:line="240" w:lineRule="auto"/>
        <w:outlineLvl w:val="0"/>
        <w:rPr>
          <w:rFonts w:ascii="Calibri" w:eastAsia="Times New Roman" w:hAnsi="Calibri" w:cs="Calibri"/>
          <w:b/>
          <w:bCs/>
          <w:color w:val="000000"/>
          <w:kern w:val="36"/>
          <w:lang w:eastAsia="en-GB"/>
          <w14:ligatures w14:val="none"/>
        </w:rPr>
      </w:pPr>
      <w:r w:rsidRPr="00E85E25">
        <w:rPr>
          <w:rFonts w:ascii="Calibri" w:eastAsia="Times New Roman" w:hAnsi="Calibri" w:cs="Calibri"/>
          <w:b/>
          <w:bCs/>
          <w:color w:val="000000"/>
          <w:kern w:val="36"/>
          <w:lang w:eastAsia="en-GB"/>
          <w14:ligatures w14:val="none"/>
        </w:rPr>
        <w:t>Strategies to Improve Teamwork Skills</w:t>
      </w:r>
    </w:p>
    <w:p w14:paraId="4048DF9D"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There are several strategies that students and professionals can use to improve their teamwork skills. One effective strategy is establishing clear roles and responsibilities within the group. When team members understand their individual tasks and contributions, the group can operate more efficiently and avoid confusion or duplication of work. Clear role allocation also ensures that each member is accountable for completing their assigned responsibilities.</w:t>
      </w:r>
    </w:p>
    <w:p w14:paraId="46B75D21"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 xml:space="preserve">Another important strategy is developing effective communication within the team. Regular meetings and open communication channels allow team members to share ideas, discuss progress, and address potential challenges. Communication tools such as shared online </w:t>
      </w:r>
      <w:r w:rsidRPr="00E85E25">
        <w:rPr>
          <w:rFonts w:ascii="Calibri" w:eastAsia="Times New Roman" w:hAnsi="Calibri" w:cs="Calibri"/>
          <w:color w:val="000000"/>
          <w:kern w:val="0"/>
          <w:lang w:eastAsia="en-GB"/>
          <w14:ligatures w14:val="none"/>
        </w:rPr>
        <w:lastRenderedPageBreak/>
        <w:t>platforms and collaborative documents can also improve coordination among team members, particularly when working remotely.</w:t>
      </w:r>
    </w:p>
    <w:p w14:paraId="037CA5B1"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Conflict resolution is another important aspect of improving teamwork. Disagreements may arise when individuals have different perspectives or priorities. Instead of avoiding conflict, effective teams address disagreements constructively by discussing concerns openly and focusing on solutions that benefit the entire group.</w:t>
      </w:r>
    </w:p>
    <w:p w14:paraId="5FED1D96"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 xml:space="preserve">Active listening is also an important skill that contributes to successful teamwork. By listening carefully to the ideas and feedback of others, team members can develop a better understanding of different viewpoints and integrate diverse perspectives into the </w:t>
      </w:r>
      <w:proofErr w:type="gramStart"/>
      <w:r w:rsidRPr="00E85E25">
        <w:rPr>
          <w:rFonts w:ascii="Calibri" w:eastAsia="Times New Roman" w:hAnsi="Calibri" w:cs="Calibri"/>
          <w:color w:val="000000"/>
          <w:kern w:val="0"/>
          <w:lang w:eastAsia="en-GB"/>
          <w14:ligatures w14:val="none"/>
        </w:rPr>
        <w:t>final outcome</w:t>
      </w:r>
      <w:proofErr w:type="gramEnd"/>
      <w:r w:rsidRPr="00E85E25">
        <w:rPr>
          <w:rFonts w:ascii="Calibri" w:eastAsia="Times New Roman" w:hAnsi="Calibri" w:cs="Calibri"/>
          <w:color w:val="000000"/>
          <w:kern w:val="0"/>
          <w:lang w:eastAsia="en-GB"/>
          <w14:ligatures w14:val="none"/>
        </w:rPr>
        <w:t>.</w:t>
      </w:r>
    </w:p>
    <w:p w14:paraId="3CB0415D" w14:textId="5A2C66AF"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Finally, reflection and feedback can help improve teamwork skills over time. After completing a group project, team members can evaluate their performance and identify areas for improvement. This reflective process encourages continuous development and strengthens collaborative capabilities.</w:t>
      </w:r>
    </w:p>
    <w:p w14:paraId="50C865CD" w14:textId="77777777" w:rsidR="00E85E25" w:rsidRPr="00E85E25" w:rsidRDefault="00E85E25" w:rsidP="00E85E25">
      <w:pPr>
        <w:spacing w:before="100" w:beforeAutospacing="1" w:after="100" w:afterAutospacing="1" w:line="240" w:lineRule="auto"/>
        <w:outlineLvl w:val="0"/>
        <w:rPr>
          <w:rFonts w:ascii="Calibri" w:eastAsia="Times New Roman" w:hAnsi="Calibri" w:cs="Calibri"/>
          <w:b/>
          <w:bCs/>
          <w:color w:val="000000"/>
          <w:kern w:val="36"/>
          <w:lang w:eastAsia="en-GB"/>
          <w14:ligatures w14:val="none"/>
        </w:rPr>
      </w:pPr>
      <w:r w:rsidRPr="00E85E25">
        <w:rPr>
          <w:rFonts w:ascii="Calibri" w:eastAsia="Times New Roman" w:hAnsi="Calibri" w:cs="Calibri"/>
          <w:b/>
          <w:bCs/>
          <w:color w:val="000000"/>
          <w:kern w:val="36"/>
          <w:lang w:eastAsia="en-GB"/>
          <w14:ligatures w14:val="none"/>
        </w:rPr>
        <w:t>Strategies to Improve Presentation Skills</w:t>
      </w:r>
    </w:p>
    <w:p w14:paraId="32F63B38"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Improving presentation skills requires consistent practice and preparation. One important strategy is planning and structuring the presentation carefully before delivering it. A well-structured presentation should include a clear introduction that outlines the topic, a logical sequence of main points, and a conclusion that summarises the key messages. This structure helps audiences follow the presentation and understand the presenter’s arguments.</w:t>
      </w:r>
    </w:p>
    <w:p w14:paraId="2B4AB3B4"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Another strategy is practising the presentation multiple times before delivering it. Practice allows presenters to become familiar with their material and identify areas that may require clarification or improvement. Rehearsing in front of peers or recording practice presentations can also help individuals evaluate their delivery style and improve their confidence.</w:t>
      </w:r>
    </w:p>
    <w:p w14:paraId="6BDCCA7E"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Using visual aids effectively is another important strategy. Slides, charts, and diagrams can enhance presentations by illustrating key concepts and making information easier to understand. However, presenters should ensure that visual materials are clear and concise, avoiding excessive text that may distract from the spoken message.</w:t>
      </w:r>
    </w:p>
    <w:p w14:paraId="10513644"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Developing strong verbal and non-verbal communication techniques is also essential for effective presentations. Presenters should speak clearly, maintain eye contact with the audience, and use appropriate body language to reinforce their message. These techniques help engage the audience and create a more dynamic presentation experience.</w:t>
      </w:r>
    </w:p>
    <w:p w14:paraId="6A7F44C0" w14:textId="77777777" w:rsidR="009217BB" w:rsidRDefault="00E85E25" w:rsidP="009217BB">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Finally, seeking feedback from lecturers, peers, or colleagues can help presenters identify areas for improvement. Constructive feedback allows individuals to refine their communication techniques and develop more effective presentation styles over time.</w:t>
      </w:r>
    </w:p>
    <w:p w14:paraId="7B12D5F1" w14:textId="77777777" w:rsidR="009217BB" w:rsidRDefault="009217BB" w:rsidP="009217BB">
      <w:pPr>
        <w:spacing w:before="100" w:beforeAutospacing="1" w:after="100" w:afterAutospacing="1" w:line="240" w:lineRule="auto"/>
        <w:rPr>
          <w:rFonts w:ascii="Calibri" w:eastAsia="Times New Roman" w:hAnsi="Calibri" w:cs="Calibri"/>
          <w:color w:val="000000"/>
          <w:kern w:val="0"/>
          <w:lang w:eastAsia="en-GB"/>
          <w14:ligatures w14:val="none"/>
        </w:rPr>
      </w:pPr>
    </w:p>
    <w:p w14:paraId="085F8A61" w14:textId="2F7D7589" w:rsidR="00E85E25" w:rsidRPr="00E85E25" w:rsidRDefault="00E85E25" w:rsidP="009217BB">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b/>
          <w:bCs/>
          <w:color w:val="000000"/>
          <w:kern w:val="36"/>
          <w:lang w:eastAsia="en-GB"/>
          <w14:ligatures w14:val="none"/>
        </w:rPr>
        <w:lastRenderedPageBreak/>
        <w:t>Conclusion</w:t>
      </w:r>
    </w:p>
    <w:p w14:paraId="544C6F46"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In conclusion, teamwork skills and presentation skills are essential competencies that contribute significantly to both academic and professional success. Teamwork enables individuals to collaborate effectively, combine diverse knowledge, and achieve shared goals. In academic environments, teamwork helps students develop interpersonal skills and engage in collaborative learning experiences. In professional contexts, organisations rely on teamwork to manage projects, foster innovation, and improve organisational performance.</w:t>
      </w:r>
    </w:p>
    <w:p w14:paraId="1355A793"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Similarly, presentation skills play a crucial role in enabling individuals to communicate ideas clearly and effectively. In academic settings, presentations allow students to demonstrate their knowledge and develop confidence in public speaking. In professional environments, presentation skills are essential for communicating strategic ideas, influencing decision-making, and demonstrating leadership.</w:t>
      </w:r>
    </w:p>
    <w:p w14:paraId="580A6F65" w14:textId="77777777" w:rsidR="00E85E25" w:rsidRPr="00E85E25"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This report has also identified several strategies that can help individuals improve both teamwork and presentation skills. Effective communication, clear role allocation, and constructive conflict resolution can strengthen teamwork capabilities. Similarly, careful preparation, practice, and effective use of visual aids can enhance presentation performance.</w:t>
      </w:r>
    </w:p>
    <w:p w14:paraId="15B2BD2C" w14:textId="003ACA31" w:rsidR="000254F3" w:rsidRDefault="00E85E25" w:rsidP="00E85E25">
      <w:pPr>
        <w:spacing w:before="100" w:beforeAutospacing="1" w:after="100" w:afterAutospacing="1" w:line="240" w:lineRule="auto"/>
        <w:rPr>
          <w:rFonts w:ascii="Calibri" w:eastAsia="Times New Roman" w:hAnsi="Calibri" w:cs="Calibri"/>
          <w:color w:val="000000"/>
          <w:kern w:val="0"/>
          <w:lang w:eastAsia="en-GB"/>
          <w14:ligatures w14:val="none"/>
        </w:rPr>
      </w:pPr>
      <w:r w:rsidRPr="00E85E25">
        <w:rPr>
          <w:rFonts w:ascii="Calibri" w:eastAsia="Times New Roman" w:hAnsi="Calibri" w:cs="Calibri"/>
          <w:color w:val="000000"/>
          <w:kern w:val="0"/>
          <w:lang w:eastAsia="en-GB"/>
          <w14:ligatures w14:val="none"/>
        </w:rPr>
        <w:t>Overall, the development of teamwork and presentation skills is essential for students preparing to enter professional environments. By strengthening these competencies, individuals can improve their ability to collaborate, communicate ideas effectively, and contribute successfully to academic and organisational objectives.</w:t>
      </w:r>
    </w:p>
    <w:p w14:paraId="3ADDBDE9" w14:textId="5BA58464" w:rsidR="009217BB" w:rsidRDefault="009217BB" w:rsidP="00E85E25">
      <w:pPr>
        <w:spacing w:before="100" w:beforeAutospacing="1" w:after="100" w:afterAutospacing="1" w:line="240" w:lineRule="auto"/>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t>Bibliography</w:t>
      </w:r>
    </w:p>
    <w:p w14:paraId="05DAD814" w14:textId="77777777" w:rsidR="009217BB" w:rsidRPr="009217BB" w:rsidRDefault="009217BB" w:rsidP="009217BB">
      <w:pPr>
        <w:pStyle w:val="NormalWeb"/>
        <w:rPr>
          <w:rFonts w:ascii="Calibri" w:hAnsi="Calibri" w:cs="Calibri"/>
          <w:color w:val="000000"/>
        </w:rPr>
      </w:pPr>
      <w:r w:rsidRPr="009217BB">
        <w:rPr>
          <w:rFonts w:ascii="Calibri" w:hAnsi="Calibri" w:cs="Calibri"/>
          <w:color w:val="000000"/>
        </w:rPr>
        <w:t>Johnson, D.W., Johnson, R.T. and Smith, K.A. (2014)</w:t>
      </w:r>
      <w:r w:rsidRPr="009217BB">
        <w:rPr>
          <w:rStyle w:val="apple-converted-space"/>
          <w:rFonts w:ascii="Calibri" w:eastAsiaTheme="majorEastAsia" w:hAnsi="Calibri" w:cs="Calibri"/>
          <w:color w:val="000000"/>
        </w:rPr>
        <w:t> </w:t>
      </w:r>
      <w:r w:rsidRPr="009217BB">
        <w:rPr>
          <w:rStyle w:val="Emphasis"/>
          <w:rFonts w:ascii="Calibri" w:eastAsiaTheme="majorEastAsia" w:hAnsi="Calibri" w:cs="Calibri"/>
          <w:color w:val="000000"/>
        </w:rPr>
        <w:t>Active Learning: Cooperation in the College Classroom</w:t>
      </w:r>
      <w:r w:rsidRPr="009217BB">
        <w:rPr>
          <w:rFonts w:ascii="Calibri" w:hAnsi="Calibri" w:cs="Calibri"/>
          <w:color w:val="000000"/>
        </w:rPr>
        <w:t xml:space="preserve">. 3rd </w:t>
      </w:r>
      <w:proofErr w:type="spellStart"/>
      <w:r w:rsidRPr="009217BB">
        <w:rPr>
          <w:rFonts w:ascii="Calibri" w:hAnsi="Calibri" w:cs="Calibri"/>
          <w:color w:val="000000"/>
        </w:rPr>
        <w:t>edn</w:t>
      </w:r>
      <w:proofErr w:type="spellEnd"/>
      <w:r w:rsidRPr="009217BB">
        <w:rPr>
          <w:rFonts w:ascii="Calibri" w:hAnsi="Calibri" w:cs="Calibri"/>
          <w:color w:val="000000"/>
        </w:rPr>
        <w:t>. Edina, MN: Interaction Book Company.</w:t>
      </w:r>
    </w:p>
    <w:p w14:paraId="37A018D6" w14:textId="77777777" w:rsidR="009217BB" w:rsidRPr="009217BB" w:rsidRDefault="009217BB" w:rsidP="009217BB">
      <w:pPr>
        <w:pStyle w:val="NormalWeb"/>
        <w:rPr>
          <w:rFonts w:ascii="Calibri" w:hAnsi="Calibri" w:cs="Calibri"/>
          <w:color w:val="000000"/>
        </w:rPr>
      </w:pPr>
      <w:r w:rsidRPr="009217BB">
        <w:rPr>
          <w:rFonts w:ascii="Calibri" w:hAnsi="Calibri" w:cs="Calibri"/>
          <w:color w:val="000000"/>
        </w:rPr>
        <w:t>Johnson, G., Scholes, K. and Whittington, R. (2020)</w:t>
      </w:r>
      <w:r w:rsidRPr="009217BB">
        <w:rPr>
          <w:rStyle w:val="apple-converted-space"/>
          <w:rFonts w:ascii="Calibri" w:eastAsiaTheme="majorEastAsia" w:hAnsi="Calibri" w:cs="Calibri"/>
          <w:color w:val="000000"/>
        </w:rPr>
        <w:t> </w:t>
      </w:r>
      <w:r w:rsidRPr="009217BB">
        <w:rPr>
          <w:rStyle w:val="Emphasis"/>
          <w:rFonts w:ascii="Calibri" w:eastAsiaTheme="majorEastAsia" w:hAnsi="Calibri" w:cs="Calibri"/>
          <w:color w:val="000000"/>
        </w:rPr>
        <w:t>Exploring Strategy</w:t>
      </w:r>
      <w:r w:rsidRPr="009217BB">
        <w:rPr>
          <w:rFonts w:ascii="Calibri" w:hAnsi="Calibri" w:cs="Calibri"/>
          <w:color w:val="000000"/>
        </w:rPr>
        <w:t xml:space="preserve">. 12th </w:t>
      </w:r>
      <w:proofErr w:type="spellStart"/>
      <w:r w:rsidRPr="009217BB">
        <w:rPr>
          <w:rFonts w:ascii="Calibri" w:hAnsi="Calibri" w:cs="Calibri"/>
          <w:color w:val="000000"/>
        </w:rPr>
        <w:t>edn</w:t>
      </w:r>
      <w:proofErr w:type="spellEnd"/>
      <w:r w:rsidRPr="009217BB">
        <w:rPr>
          <w:rFonts w:ascii="Calibri" w:hAnsi="Calibri" w:cs="Calibri"/>
          <w:color w:val="000000"/>
        </w:rPr>
        <w:t>. Harlow: Pearson.</w:t>
      </w:r>
    </w:p>
    <w:p w14:paraId="13E58B9B" w14:textId="77777777" w:rsidR="009217BB" w:rsidRPr="009217BB" w:rsidRDefault="009217BB" w:rsidP="009217BB">
      <w:pPr>
        <w:pStyle w:val="NormalWeb"/>
        <w:rPr>
          <w:rFonts w:ascii="Calibri" w:hAnsi="Calibri" w:cs="Calibri"/>
          <w:color w:val="000000"/>
        </w:rPr>
      </w:pPr>
      <w:r w:rsidRPr="009217BB">
        <w:rPr>
          <w:rFonts w:ascii="Calibri" w:hAnsi="Calibri" w:cs="Calibri"/>
          <w:color w:val="000000"/>
        </w:rPr>
        <w:t>Kotler, P. and Keller, K.L. (2016)</w:t>
      </w:r>
      <w:r w:rsidRPr="009217BB">
        <w:rPr>
          <w:rStyle w:val="apple-converted-space"/>
          <w:rFonts w:ascii="Calibri" w:eastAsiaTheme="majorEastAsia" w:hAnsi="Calibri" w:cs="Calibri"/>
          <w:color w:val="000000"/>
        </w:rPr>
        <w:t> </w:t>
      </w:r>
      <w:r w:rsidRPr="009217BB">
        <w:rPr>
          <w:rStyle w:val="Emphasis"/>
          <w:rFonts w:ascii="Calibri" w:eastAsiaTheme="majorEastAsia" w:hAnsi="Calibri" w:cs="Calibri"/>
          <w:color w:val="000000"/>
        </w:rPr>
        <w:t>Marketing Management</w:t>
      </w:r>
      <w:r w:rsidRPr="009217BB">
        <w:rPr>
          <w:rFonts w:ascii="Calibri" w:hAnsi="Calibri" w:cs="Calibri"/>
          <w:color w:val="000000"/>
        </w:rPr>
        <w:t xml:space="preserve">. 15th </w:t>
      </w:r>
      <w:proofErr w:type="spellStart"/>
      <w:r w:rsidRPr="009217BB">
        <w:rPr>
          <w:rFonts w:ascii="Calibri" w:hAnsi="Calibri" w:cs="Calibri"/>
          <w:color w:val="000000"/>
        </w:rPr>
        <w:t>edn</w:t>
      </w:r>
      <w:proofErr w:type="spellEnd"/>
      <w:r w:rsidRPr="009217BB">
        <w:rPr>
          <w:rFonts w:ascii="Calibri" w:hAnsi="Calibri" w:cs="Calibri"/>
          <w:color w:val="000000"/>
        </w:rPr>
        <w:t>. Harlow: Pearson.</w:t>
      </w:r>
    </w:p>
    <w:p w14:paraId="6829862F" w14:textId="77777777" w:rsidR="009217BB" w:rsidRPr="009217BB" w:rsidRDefault="009217BB" w:rsidP="009217BB">
      <w:pPr>
        <w:pStyle w:val="NormalWeb"/>
        <w:rPr>
          <w:rFonts w:ascii="Calibri" w:hAnsi="Calibri" w:cs="Calibri"/>
          <w:color w:val="000000"/>
        </w:rPr>
      </w:pPr>
      <w:r w:rsidRPr="009217BB">
        <w:rPr>
          <w:rFonts w:ascii="Calibri" w:hAnsi="Calibri" w:cs="Calibri"/>
          <w:color w:val="000000"/>
        </w:rPr>
        <w:t>Grant, R.M. (2019)</w:t>
      </w:r>
      <w:r w:rsidRPr="009217BB">
        <w:rPr>
          <w:rStyle w:val="apple-converted-space"/>
          <w:rFonts w:ascii="Calibri" w:eastAsiaTheme="majorEastAsia" w:hAnsi="Calibri" w:cs="Calibri"/>
          <w:color w:val="000000"/>
        </w:rPr>
        <w:t> </w:t>
      </w:r>
      <w:r w:rsidRPr="009217BB">
        <w:rPr>
          <w:rStyle w:val="Emphasis"/>
          <w:rFonts w:ascii="Calibri" w:eastAsiaTheme="majorEastAsia" w:hAnsi="Calibri" w:cs="Calibri"/>
          <w:color w:val="000000"/>
        </w:rPr>
        <w:t>Contemporary Strategy Analysis</w:t>
      </w:r>
      <w:r w:rsidRPr="009217BB">
        <w:rPr>
          <w:rFonts w:ascii="Calibri" w:hAnsi="Calibri" w:cs="Calibri"/>
          <w:color w:val="000000"/>
        </w:rPr>
        <w:t xml:space="preserve">. 10th </w:t>
      </w:r>
      <w:proofErr w:type="spellStart"/>
      <w:r w:rsidRPr="009217BB">
        <w:rPr>
          <w:rFonts w:ascii="Calibri" w:hAnsi="Calibri" w:cs="Calibri"/>
          <w:color w:val="000000"/>
        </w:rPr>
        <w:t>edn</w:t>
      </w:r>
      <w:proofErr w:type="spellEnd"/>
      <w:r w:rsidRPr="009217BB">
        <w:rPr>
          <w:rFonts w:ascii="Calibri" w:hAnsi="Calibri" w:cs="Calibri"/>
          <w:color w:val="000000"/>
        </w:rPr>
        <w:t>. Oxford: Wiley.</w:t>
      </w:r>
    </w:p>
    <w:p w14:paraId="1C0DA0DA" w14:textId="77777777" w:rsidR="009217BB" w:rsidRPr="009217BB" w:rsidRDefault="009217BB" w:rsidP="009217BB">
      <w:pPr>
        <w:pStyle w:val="NormalWeb"/>
        <w:rPr>
          <w:rFonts w:ascii="Calibri" w:hAnsi="Calibri" w:cs="Calibri"/>
          <w:color w:val="000000"/>
        </w:rPr>
      </w:pPr>
      <w:r w:rsidRPr="009217BB">
        <w:rPr>
          <w:rFonts w:ascii="Calibri" w:hAnsi="Calibri" w:cs="Calibri"/>
          <w:color w:val="000000"/>
        </w:rPr>
        <w:t>Moon, J. (2008)</w:t>
      </w:r>
      <w:r w:rsidRPr="009217BB">
        <w:rPr>
          <w:rStyle w:val="apple-converted-space"/>
          <w:rFonts w:ascii="Calibri" w:eastAsiaTheme="majorEastAsia" w:hAnsi="Calibri" w:cs="Calibri"/>
          <w:color w:val="000000"/>
        </w:rPr>
        <w:t> </w:t>
      </w:r>
      <w:r w:rsidRPr="009217BB">
        <w:rPr>
          <w:rStyle w:val="Emphasis"/>
          <w:rFonts w:ascii="Calibri" w:eastAsiaTheme="majorEastAsia" w:hAnsi="Calibri" w:cs="Calibri"/>
          <w:color w:val="000000"/>
        </w:rPr>
        <w:t>Critical Thinking: An Exploration of Theory and Practice</w:t>
      </w:r>
      <w:r w:rsidRPr="009217BB">
        <w:rPr>
          <w:rFonts w:ascii="Calibri" w:hAnsi="Calibri" w:cs="Calibri"/>
          <w:color w:val="000000"/>
        </w:rPr>
        <w:t>. London: Routledge.</w:t>
      </w:r>
    </w:p>
    <w:p w14:paraId="51E094A0" w14:textId="77777777" w:rsidR="009217BB" w:rsidRPr="009217BB" w:rsidRDefault="009217BB" w:rsidP="009217BB">
      <w:pPr>
        <w:pStyle w:val="NormalWeb"/>
        <w:rPr>
          <w:rFonts w:ascii="Calibri" w:hAnsi="Calibri" w:cs="Calibri"/>
          <w:color w:val="000000"/>
        </w:rPr>
      </w:pPr>
      <w:r w:rsidRPr="009217BB">
        <w:rPr>
          <w:rFonts w:ascii="Calibri" w:hAnsi="Calibri" w:cs="Calibri"/>
          <w:color w:val="000000"/>
        </w:rPr>
        <w:t>Guffey, M.E. and Loewy, D. (2016)</w:t>
      </w:r>
      <w:r w:rsidRPr="009217BB">
        <w:rPr>
          <w:rStyle w:val="apple-converted-space"/>
          <w:rFonts w:ascii="Calibri" w:eastAsiaTheme="majorEastAsia" w:hAnsi="Calibri" w:cs="Calibri"/>
          <w:color w:val="000000"/>
        </w:rPr>
        <w:t> </w:t>
      </w:r>
      <w:r w:rsidRPr="009217BB">
        <w:rPr>
          <w:rStyle w:val="Emphasis"/>
          <w:rFonts w:ascii="Calibri" w:eastAsiaTheme="majorEastAsia" w:hAnsi="Calibri" w:cs="Calibri"/>
          <w:color w:val="000000"/>
        </w:rPr>
        <w:t>Essentials of Business Communication</w:t>
      </w:r>
      <w:r w:rsidRPr="009217BB">
        <w:rPr>
          <w:rFonts w:ascii="Calibri" w:hAnsi="Calibri" w:cs="Calibri"/>
          <w:color w:val="000000"/>
        </w:rPr>
        <w:t xml:space="preserve">. 10th </w:t>
      </w:r>
      <w:proofErr w:type="spellStart"/>
      <w:r w:rsidRPr="009217BB">
        <w:rPr>
          <w:rFonts w:ascii="Calibri" w:hAnsi="Calibri" w:cs="Calibri"/>
          <w:color w:val="000000"/>
        </w:rPr>
        <w:t>edn</w:t>
      </w:r>
      <w:proofErr w:type="spellEnd"/>
      <w:r w:rsidRPr="009217BB">
        <w:rPr>
          <w:rFonts w:ascii="Calibri" w:hAnsi="Calibri" w:cs="Calibri"/>
          <w:color w:val="000000"/>
        </w:rPr>
        <w:t>. Boston: Cengage Learning.</w:t>
      </w:r>
    </w:p>
    <w:p w14:paraId="2FB29844" w14:textId="77777777" w:rsidR="009217BB" w:rsidRPr="009217BB" w:rsidRDefault="009217BB" w:rsidP="009217BB">
      <w:pPr>
        <w:pStyle w:val="NormalWeb"/>
        <w:rPr>
          <w:rFonts w:ascii="Calibri" w:hAnsi="Calibri" w:cs="Calibri"/>
          <w:color w:val="000000"/>
        </w:rPr>
      </w:pPr>
      <w:r w:rsidRPr="009217BB">
        <w:rPr>
          <w:rFonts w:ascii="Calibri" w:hAnsi="Calibri" w:cs="Calibri"/>
          <w:color w:val="000000"/>
        </w:rPr>
        <w:t>Cottrell, S. (2019)</w:t>
      </w:r>
      <w:r w:rsidRPr="009217BB">
        <w:rPr>
          <w:rStyle w:val="apple-converted-space"/>
          <w:rFonts w:ascii="Calibri" w:eastAsiaTheme="majorEastAsia" w:hAnsi="Calibri" w:cs="Calibri"/>
          <w:color w:val="000000"/>
        </w:rPr>
        <w:t> </w:t>
      </w:r>
      <w:r w:rsidRPr="009217BB">
        <w:rPr>
          <w:rStyle w:val="Emphasis"/>
          <w:rFonts w:ascii="Calibri" w:eastAsiaTheme="majorEastAsia" w:hAnsi="Calibri" w:cs="Calibri"/>
          <w:color w:val="000000"/>
        </w:rPr>
        <w:t>The Study Skills Handbook</w:t>
      </w:r>
      <w:r w:rsidRPr="009217BB">
        <w:rPr>
          <w:rFonts w:ascii="Calibri" w:hAnsi="Calibri" w:cs="Calibri"/>
          <w:color w:val="000000"/>
        </w:rPr>
        <w:t xml:space="preserve">. 5th </w:t>
      </w:r>
      <w:proofErr w:type="spellStart"/>
      <w:r w:rsidRPr="009217BB">
        <w:rPr>
          <w:rFonts w:ascii="Calibri" w:hAnsi="Calibri" w:cs="Calibri"/>
          <w:color w:val="000000"/>
        </w:rPr>
        <w:t>edn</w:t>
      </w:r>
      <w:proofErr w:type="spellEnd"/>
      <w:r w:rsidRPr="009217BB">
        <w:rPr>
          <w:rFonts w:ascii="Calibri" w:hAnsi="Calibri" w:cs="Calibri"/>
          <w:color w:val="000000"/>
        </w:rPr>
        <w:t>. London: Red Globe Press.</w:t>
      </w:r>
    </w:p>
    <w:p w14:paraId="71882FE2" w14:textId="77777777" w:rsidR="009217BB" w:rsidRPr="009217BB" w:rsidRDefault="009217BB" w:rsidP="009217BB">
      <w:pPr>
        <w:pStyle w:val="NormalWeb"/>
        <w:rPr>
          <w:rFonts w:ascii="Calibri" w:hAnsi="Calibri" w:cs="Calibri"/>
          <w:color w:val="000000"/>
        </w:rPr>
      </w:pPr>
      <w:r w:rsidRPr="009217BB">
        <w:rPr>
          <w:rFonts w:ascii="Calibri" w:hAnsi="Calibri" w:cs="Calibri"/>
          <w:color w:val="000000"/>
        </w:rPr>
        <w:t>Lucas, S.E. (2015)</w:t>
      </w:r>
      <w:r w:rsidRPr="009217BB">
        <w:rPr>
          <w:rStyle w:val="apple-converted-space"/>
          <w:rFonts w:ascii="Calibri" w:eastAsiaTheme="majorEastAsia" w:hAnsi="Calibri" w:cs="Calibri"/>
          <w:color w:val="000000"/>
        </w:rPr>
        <w:t> </w:t>
      </w:r>
      <w:r w:rsidRPr="009217BB">
        <w:rPr>
          <w:rStyle w:val="Emphasis"/>
          <w:rFonts w:ascii="Calibri" w:eastAsiaTheme="majorEastAsia" w:hAnsi="Calibri" w:cs="Calibri"/>
          <w:color w:val="000000"/>
        </w:rPr>
        <w:t>The Art of Public Speaking</w:t>
      </w:r>
      <w:r w:rsidRPr="009217BB">
        <w:rPr>
          <w:rFonts w:ascii="Calibri" w:hAnsi="Calibri" w:cs="Calibri"/>
          <w:color w:val="000000"/>
        </w:rPr>
        <w:t xml:space="preserve">. 12th </w:t>
      </w:r>
      <w:proofErr w:type="spellStart"/>
      <w:r w:rsidRPr="009217BB">
        <w:rPr>
          <w:rFonts w:ascii="Calibri" w:hAnsi="Calibri" w:cs="Calibri"/>
          <w:color w:val="000000"/>
        </w:rPr>
        <w:t>edn</w:t>
      </w:r>
      <w:proofErr w:type="spellEnd"/>
      <w:r w:rsidRPr="009217BB">
        <w:rPr>
          <w:rFonts w:ascii="Calibri" w:hAnsi="Calibri" w:cs="Calibri"/>
          <w:color w:val="000000"/>
        </w:rPr>
        <w:t>. New York: McGraw-Hill Education.</w:t>
      </w:r>
    </w:p>
    <w:p w14:paraId="10A1E060" w14:textId="77777777" w:rsidR="009217BB" w:rsidRPr="009217BB" w:rsidRDefault="009217BB" w:rsidP="009217BB">
      <w:pPr>
        <w:pStyle w:val="NormalWeb"/>
        <w:rPr>
          <w:rFonts w:ascii="Calibri" w:hAnsi="Calibri" w:cs="Calibri"/>
          <w:color w:val="000000"/>
        </w:rPr>
      </w:pPr>
      <w:r w:rsidRPr="009217BB">
        <w:rPr>
          <w:rFonts w:ascii="Calibri" w:hAnsi="Calibri" w:cs="Calibri"/>
          <w:color w:val="000000"/>
        </w:rPr>
        <w:lastRenderedPageBreak/>
        <w:t>Doyle, T. and Zakrajsek, T. (2013)</w:t>
      </w:r>
      <w:r w:rsidRPr="009217BB">
        <w:rPr>
          <w:rStyle w:val="apple-converted-space"/>
          <w:rFonts w:ascii="Calibri" w:eastAsiaTheme="majorEastAsia" w:hAnsi="Calibri" w:cs="Calibri"/>
          <w:color w:val="000000"/>
        </w:rPr>
        <w:t> </w:t>
      </w:r>
      <w:r w:rsidRPr="009217BB">
        <w:rPr>
          <w:rStyle w:val="Emphasis"/>
          <w:rFonts w:ascii="Calibri" w:eastAsiaTheme="majorEastAsia" w:hAnsi="Calibri" w:cs="Calibri"/>
          <w:color w:val="000000"/>
        </w:rPr>
        <w:t>The New Science of Learning: How to Learn in Harmony with Your Brain</w:t>
      </w:r>
      <w:r w:rsidRPr="009217BB">
        <w:rPr>
          <w:rFonts w:ascii="Calibri" w:hAnsi="Calibri" w:cs="Calibri"/>
          <w:color w:val="000000"/>
        </w:rPr>
        <w:t>. Sterling, VA: Stylus Publishing.</w:t>
      </w:r>
    </w:p>
    <w:p w14:paraId="2D296C50" w14:textId="77777777" w:rsidR="009217BB" w:rsidRPr="009217BB" w:rsidRDefault="009217BB" w:rsidP="009217BB">
      <w:pPr>
        <w:pStyle w:val="NormalWeb"/>
        <w:rPr>
          <w:rFonts w:ascii="Calibri" w:hAnsi="Calibri" w:cs="Calibri"/>
          <w:color w:val="000000"/>
        </w:rPr>
      </w:pPr>
      <w:r w:rsidRPr="009217BB">
        <w:rPr>
          <w:rFonts w:ascii="Calibri" w:hAnsi="Calibri" w:cs="Calibri"/>
          <w:color w:val="000000"/>
        </w:rPr>
        <w:t>Carnegie, D. (2011)</w:t>
      </w:r>
      <w:r w:rsidRPr="009217BB">
        <w:rPr>
          <w:rStyle w:val="apple-converted-space"/>
          <w:rFonts w:ascii="Calibri" w:eastAsiaTheme="majorEastAsia" w:hAnsi="Calibri" w:cs="Calibri"/>
          <w:color w:val="000000"/>
        </w:rPr>
        <w:t> </w:t>
      </w:r>
      <w:r w:rsidRPr="009217BB">
        <w:rPr>
          <w:rStyle w:val="Emphasis"/>
          <w:rFonts w:ascii="Calibri" w:eastAsiaTheme="majorEastAsia" w:hAnsi="Calibri" w:cs="Calibri"/>
          <w:color w:val="000000"/>
        </w:rPr>
        <w:t>The Quick and Easy Way to Effective Speaking</w:t>
      </w:r>
      <w:r w:rsidRPr="009217BB">
        <w:rPr>
          <w:rFonts w:ascii="Calibri" w:hAnsi="Calibri" w:cs="Calibri"/>
          <w:color w:val="000000"/>
        </w:rPr>
        <w:t>. New York: Pocket Books.</w:t>
      </w:r>
    </w:p>
    <w:p w14:paraId="3CC95DD9" w14:textId="77777777" w:rsidR="009217BB" w:rsidRPr="009217BB" w:rsidRDefault="009217BB" w:rsidP="00E85E25">
      <w:pPr>
        <w:spacing w:before="100" w:beforeAutospacing="1" w:after="100" w:afterAutospacing="1" w:line="240" w:lineRule="auto"/>
        <w:rPr>
          <w:rFonts w:ascii="Calibri" w:eastAsia="Times New Roman" w:hAnsi="Calibri" w:cs="Calibri"/>
          <w:color w:val="000000"/>
          <w:kern w:val="0"/>
          <w:lang w:eastAsia="en-GB"/>
          <w14:ligatures w14:val="none"/>
        </w:rPr>
      </w:pPr>
    </w:p>
    <w:sectPr w:rsidR="009217BB" w:rsidRPr="009217BB" w:rsidSect="00E85E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E25"/>
    <w:rsid w:val="000254F3"/>
    <w:rsid w:val="004F7B60"/>
    <w:rsid w:val="00826758"/>
    <w:rsid w:val="008E2670"/>
    <w:rsid w:val="009217BB"/>
    <w:rsid w:val="009217FC"/>
    <w:rsid w:val="00C23F6E"/>
    <w:rsid w:val="00E85E25"/>
    <w:rsid w:val="00EB16B9"/>
    <w:rsid w:val="00EB261A"/>
    <w:rsid w:val="00F164F6"/>
    <w:rsid w:val="00FE4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1F869"/>
  <w15:chartTrackingRefBased/>
  <w15:docId w15:val="{CD00416A-3428-9646-96D8-5408E93A3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E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5E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5E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E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E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E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E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E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E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E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5E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5E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E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E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E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E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E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E25"/>
    <w:rPr>
      <w:rFonts w:eastAsiaTheme="majorEastAsia" w:cstheme="majorBidi"/>
      <w:color w:val="272727" w:themeColor="text1" w:themeTint="D8"/>
    </w:rPr>
  </w:style>
  <w:style w:type="paragraph" w:styleId="Title">
    <w:name w:val="Title"/>
    <w:basedOn w:val="Normal"/>
    <w:next w:val="Normal"/>
    <w:link w:val="TitleChar"/>
    <w:uiPriority w:val="10"/>
    <w:qFormat/>
    <w:rsid w:val="00E85E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E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E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E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E25"/>
    <w:pPr>
      <w:spacing w:before="160"/>
      <w:jc w:val="center"/>
    </w:pPr>
    <w:rPr>
      <w:i/>
      <w:iCs/>
      <w:color w:val="404040" w:themeColor="text1" w:themeTint="BF"/>
    </w:rPr>
  </w:style>
  <w:style w:type="character" w:customStyle="1" w:styleId="QuoteChar">
    <w:name w:val="Quote Char"/>
    <w:basedOn w:val="DefaultParagraphFont"/>
    <w:link w:val="Quote"/>
    <w:uiPriority w:val="29"/>
    <w:rsid w:val="00E85E25"/>
    <w:rPr>
      <w:i/>
      <w:iCs/>
      <w:color w:val="404040" w:themeColor="text1" w:themeTint="BF"/>
    </w:rPr>
  </w:style>
  <w:style w:type="paragraph" w:styleId="ListParagraph">
    <w:name w:val="List Paragraph"/>
    <w:basedOn w:val="Normal"/>
    <w:uiPriority w:val="34"/>
    <w:qFormat/>
    <w:rsid w:val="00E85E25"/>
    <w:pPr>
      <w:ind w:left="720"/>
      <w:contextualSpacing/>
    </w:pPr>
  </w:style>
  <w:style w:type="character" w:styleId="IntenseEmphasis">
    <w:name w:val="Intense Emphasis"/>
    <w:basedOn w:val="DefaultParagraphFont"/>
    <w:uiPriority w:val="21"/>
    <w:qFormat/>
    <w:rsid w:val="00E85E25"/>
    <w:rPr>
      <w:i/>
      <w:iCs/>
      <w:color w:val="0F4761" w:themeColor="accent1" w:themeShade="BF"/>
    </w:rPr>
  </w:style>
  <w:style w:type="paragraph" w:styleId="IntenseQuote">
    <w:name w:val="Intense Quote"/>
    <w:basedOn w:val="Normal"/>
    <w:next w:val="Normal"/>
    <w:link w:val="IntenseQuoteChar"/>
    <w:uiPriority w:val="30"/>
    <w:qFormat/>
    <w:rsid w:val="00E85E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E25"/>
    <w:rPr>
      <w:i/>
      <w:iCs/>
      <w:color w:val="0F4761" w:themeColor="accent1" w:themeShade="BF"/>
    </w:rPr>
  </w:style>
  <w:style w:type="character" w:styleId="IntenseReference">
    <w:name w:val="Intense Reference"/>
    <w:basedOn w:val="DefaultParagraphFont"/>
    <w:uiPriority w:val="32"/>
    <w:qFormat/>
    <w:rsid w:val="00E85E25"/>
    <w:rPr>
      <w:b/>
      <w:bCs/>
      <w:smallCaps/>
      <w:color w:val="0F4761" w:themeColor="accent1" w:themeShade="BF"/>
      <w:spacing w:val="5"/>
    </w:rPr>
  </w:style>
  <w:style w:type="paragraph" w:styleId="NormalWeb">
    <w:name w:val="Normal (Web)"/>
    <w:basedOn w:val="Normal"/>
    <w:uiPriority w:val="99"/>
    <w:unhideWhenUsed/>
    <w:rsid w:val="00E85E2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85E25"/>
  </w:style>
  <w:style w:type="character" w:styleId="Strong">
    <w:name w:val="Strong"/>
    <w:basedOn w:val="DefaultParagraphFont"/>
    <w:uiPriority w:val="22"/>
    <w:qFormat/>
    <w:rsid w:val="00E85E25"/>
    <w:rPr>
      <w:b/>
      <w:bCs/>
    </w:rPr>
  </w:style>
  <w:style w:type="paragraph" w:styleId="NoSpacing">
    <w:name w:val="No Spacing"/>
    <w:link w:val="NoSpacingChar"/>
    <w:uiPriority w:val="1"/>
    <w:qFormat/>
    <w:rsid w:val="00E85E25"/>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85E25"/>
    <w:rPr>
      <w:rFonts w:eastAsiaTheme="minorEastAsia"/>
      <w:kern w:val="0"/>
      <w:sz w:val="22"/>
      <w:szCs w:val="22"/>
      <w:lang w:val="en-US" w:eastAsia="zh-CN"/>
      <w14:ligatures w14:val="none"/>
    </w:rPr>
  </w:style>
  <w:style w:type="character" w:styleId="Emphasis">
    <w:name w:val="Emphasis"/>
    <w:basedOn w:val="DefaultParagraphFont"/>
    <w:uiPriority w:val="20"/>
    <w:qFormat/>
    <w:rsid w:val="009217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8</Pages>
  <Words>2675</Words>
  <Characters>15253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LCBB4012 – Group Report</vt:lpstr>
    </vt:vector>
  </TitlesOfParts>
  <Company/>
  <LinksUpToDate>false</LinksUpToDate>
  <CharactersWithSpaces>17893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LCBB4012 – Group Report</dc:title>
  <dc:subject/>
  <dc:creator>Jozef Tirpak</dc:creator>
  <cp:keywords/>
  <dc:description/>
  <cp:lastModifiedBy>Jan Gazi</cp:lastModifiedBy>
  <cp:revision>5</cp:revision>
  <dcterms:created xsi:type="dcterms:W3CDTF">2026-03-16T11:16:00Z</dcterms:created>
  <dcterms:modified xsi:type="dcterms:W3CDTF">2026-03-22T11:52:00Z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2026-03-22T11:52:46Z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09c6bc8f-172b-4daf-a76b-0dee78369865</vt:lpwstr>
  </property>
  <property fmtid="{D5CDD505-2E9C-101B-9397-08002B2CF9AE}" pid="8" name="MSIP_Label_32e150ff-4790-4db0-9801-e1a2cb83509c_ContentBits">
    <vt:lpwstr>0</vt:lpwstr>
  </property>
  <property fmtid="{D5CDD505-2E9C-101B-9397-08002B2CF9AE}" pid="9" name="MSIP_Label_32e150ff-4790-4db0-9801-e1a2cb83509c_Tag">
    <vt:lpwstr>50, 3, 0, 1</vt:lpwstr>
  </property>
</Properties>
</file>