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272727" w:themeColor="text1" w:themeTint="D8"/>
  <w:body>
    <w:p w14:paraId="074505E8" w14:textId="7DA0FCEC" w:rsidR="004E740B" w:rsidRPr="006F7C8D" w:rsidRDefault="004E740B" w:rsidP="00270105">
      <w:pPr>
        <w:pStyle w:val="NormalWeb"/>
        <w:jc w:val="center"/>
        <w:rPr>
          <w:b/>
          <w:bCs/>
          <w:color w:val="FFFFFF" w:themeColor="background1"/>
          <w:sz w:val="72"/>
          <w:szCs w:val="72"/>
        </w:rPr>
      </w:pPr>
      <w:r w:rsidRPr="006F7C8D">
        <w:rPr>
          <w:b/>
          <w:bCs/>
          <w:color w:val="FFFFFF" w:themeColor="background1"/>
          <w:sz w:val="72"/>
          <w:szCs w:val="72"/>
        </w:rPr>
        <w:t>Motivation, Engagement and Learning</w:t>
      </w:r>
    </w:p>
    <w:p w14:paraId="363E0930" w14:textId="5B0F6FE7" w:rsidR="004E740B" w:rsidRPr="006F7C8D" w:rsidRDefault="004E740B" w:rsidP="001E68F9">
      <w:pPr>
        <w:pStyle w:val="NormalWeb"/>
        <w:jc w:val="center"/>
        <w:rPr>
          <w:b/>
          <w:bCs/>
          <w:color w:val="FFFFFF" w:themeColor="background1"/>
          <w:sz w:val="48"/>
          <w:szCs w:val="48"/>
        </w:rPr>
      </w:pPr>
      <w:r w:rsidRPr="006F7C8D">
        <w:rPr>
          <w:b/>
          <w:bCs/>
          <w:color w:val="FFFFFF" w:themeColor="background1"/>
          <w:sz w:val="48"/>
          <w:szCs w:val="48"/>
        </w:rPr>
        <w:t>A Comparative Analysis of Virtual Reality and Traditional Methods for Human Anatomy Education</w:t>
      </w:r>
    </w:p>
    <w:p w14:paraId="3A9EEAC3" w14:textId="42ECA4C1" w:rsidR="00270105" w:rsidRPr="006F7C8D" w:rsidRDefault="00270105" w:rsidP="00270105">
      <w:pPr>
        <w:pStyle w:val="NormalWeb"/>
        <w:jc w:val="center"/>
        <w:rPr>
          <w:color w:val="FFFFFF" w:themeColor="background1"/>
        </w:rPr>
      </w:pPr>
      <w:r w:rsidRPr="006F7C8D">
        <w:rPr>
          <w:color w:val="FFFFFF" w:themeColor="background1"/>
        </w:rPr>
        <w:t>By JOSHUA PIECKO, 2112389</w:t>
      </w:r>
    </w:p>
    <w:p w14:paraId="7357973F" w14:textId="62D6E621" w:rsidR="005F1BF2" w:rsidRDefault="00E8791C" w:rsidP="00E05FE3">
      <w:pPr>
        <w:pStyle w:val="NormalWeb"/>
        <w:jc w:val="center"/>
      </w:pPr>
      <w:r w:rsidRPr="006F7C8D">
        <w:rPr>
          <w:noProof/>
          <w:color w:val="FFFFFF" w:themeColor="background1"/>
        </w:rPr>
        <mc:AlternateContent>
          <mc:Choice Requires="wps">
            <w:drawing>
              <wp:anchor distT="45720" distB="45720" distL="114300" distR="114300" simplePos="0" relativeHeight="251670528" behindDoc="0" locked="0" layoutInCell="1" allowOverlap="1" wp14:anchorId="2CF8E768" wp14:editId="052E7C85">
                <wp:simplePos x="0" y="0"/>
                <wp:positionH relativeFrom="column">
                  <wp:posOffset>-610870</wp:posOffset>
                </wp:positionH>
                <wp:positionV relativeFrom="page">
                  <wp:posOffset>13100685</wp:posOffset>
                </wp:positionV>
                <wp:extent cx="6541770" cy="1704975"/>
                <wp:effectExtent l="0" t="0" r="11430" b="28575"/>
                <wp:wrapSquare wrapText="bothSides"/>
                <wp:docPr id="18355269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1770" cy="1704975"/>
                        </a:xfrm>
                        <a:prstGeom prst="rect">
                          <a:avLst/>
                        </a:prstGeom>
                        <a:solidFill>
                          <a:srgbClr val="FFFFFF"/>
                        </a:solidFill>
                        <a:ln w="9525">
                          <a:solidFill>
                            <a:srgbClr val="000000"/>
                          </a:solidFill>
                          <a:miter lim="800000"/>
                          <a:headEnd/>
                          <a:tailEnd/>
                        </a:ln>
                      </wps:spPr>
                      <wps:txbx>
                        <w:txbxContent>
                          <w:p w14:paraId="02E41D4B" w14:textId="77777777" w:rsidR="00F1755D" w:rsidRPr="00F1755D" w:rsidRDefault="00F1755D" w:rsidP="00F1755D">
                            <w:pPr>
                              <w:rPr>
                                <w:rFonts w:ascii="Calibri" w:hAnsi="Calibri" w:cs="Calibri"/>
                                <w:b/>
                                <w:bCs/>
                                <w:sz w:val="36"/>
                                <w:szCs w:val="36"/>
                              </w:rPr>
                            </w:pPr>
                            <w:r w:rsidRPr="00F1755D">
                              <w:rPr>
                                <w:rFonts w:ascii="Calibri" w:hAnsi="Calibri" w:cs="Calibri"/>
                                <w:b/>
                                <w:bCs/>
                                <w:sz w:val="36"/>
                                <w:szCs w:val="36"/>
                              </w:rPr>
                              <w:t>Future Recommendations</w:t>
                            </w:r>
                          </w:p>
                          <w:p w14:paraId="57C64760" w14:textId="0972A930" w:rsidR="00F1755D" w:rsidRPr="00F1755D" w:rsidRDefault="00F1755D" w:rsidP="00F1755D">
                            <w:pPr>
                              <w:rPr>
                                <w:rFonts w:ascii="Calibri" w:hAnsi="Calibri" w:cs="Calibri"/>
                              </w:rPr>
                            </w:pPr>
                            <w:r w:rsidRPr="00F1755D">
                              <w:rPr>
                                <w:rFonts w:ascii="Calibri" w:hAnsi="Calibri" w:cs="Calibri"/>
                              </w:rPr>
                              <w:t>Future research should explore adaptive learning strategies within VR to personalize the educational experience, thus maximizing learning outcomes for all student demographics. Additionally, further studies might investigate long-term retention of knowledge and the ability to apply learned concepts in practical settings</w:t>
                            </w:r>
                            <w:r w:rsidR="00250F55">
                              <w:rPr>
                                <w:rFonts w:ascii="Calibri" w:hAnsi="Calibri" w:cs="Calibri"/>
                              </w:rPr>
                              <w:t xml:space="preserve"> </w:t>
                            </w:r>
                            <w:sdt>
                              <w:sdtPr>
                                <w:rPr>
                                  <w:rFonts w:cstheme="minorHAnsi"/>
                                </w:rPr>
                                <w:id w:val="-279191382"/>
                                <w:citation/>
                              </w:sdtPr>
                              <w:sdtContent>
                                <w:r w:rsidR="00250F55" w:rsidRPr="00E3508E">
                                  <w:rPr>
                                    <w:rFonts w:cstheme="minorHAnsi"/>
                                  </w:rPr>
                                  <w:fldChar w:fldCharType="begin"/>
                                </w:r>
                                <w:r w:rsidR="00250F55" w:rsidRPr="00E3508E">
                                  <w:rPr>
                                    <w:rFonts w:cstheme="minorHAnsi"/>
                                  </w:rPr>
                                  <w:instrText xml:space="preserve"> CITATION Liu23 \l 2057 </w:instrText>
                                </w:r>
                                <w:r w:rsidR="00250F55" w:rsidRPr="00E3508E">
                                  <w:rPr>
                                    <w:rFonts w:cstheme="minorHAnsi"/>
                                  </w:rPr>
                                  <w:fldChar w:fldCharType="separate"/>
                                </w:r>
                                <w:r w:rsidR="00250F55" w:rsidRPr="00250F55">
                                  <w:rPr>
                                    <w:rFonts w:cstheme="minorHAnsi"/>
                                    <w:noProof/>
                                  </w:rPr>
                                  <w:t>[1]</w:t>
                                </w:r>
                                <w:r w:rsidR="00250F55" w:rsidRPr="00E3508E">
                                  <w:rPr>
                                    <w:rFonts w:cstheme="minorHAnsi"/>
                                  </w:rPr>
                                  <w:fldChar w:fldCharType="end"/>
                                </w:r>
                              </w:sdtContent>
                            </w:sdt>
                            <w:r w:rsidRPr="00F1755D">
                              <w:rPr>
                                <w:rFonts w:ascii="Calibri" w:hAnsi="Calibri" w:cs="Calibri"/>
                              </w:rPr>
                              <w:t>. Recommendations for educators include providing initial orientation sessions to familiarize students with VR technology and incorporating mixed teaching methods to cater to diverse learning styles and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F8E768" id="_x0000_t202" coordsize="21600,21600" o:spt="202" path="m,l,21600r21600,l21600,xe">
                <v:stroke joinstyle="miter"/>
                <v:path gradientshapeok="t" o:connecttype="rect"/>
              </v:shapetype>
              <v:shape id="Text Box 2" o:spid="_x0000_s1026" type="#_x0000_t202" style="position:absolute;left:0;text-align:left;margin-left:-48.1pt;margin-top:1031.55pt;width:515.1pt;height:134.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">
                <v:textbox>
                  <w:txbxContent>
                    <w:p w14:paraId="02E41D4B" w14:textId="77777777" w:rsidR="00F1755D" w:rsidRPr="00F1755D" w:rsidRDefault="00F1755D" w:rsidP="00F1755D">
                      <w:pPr>
                        <w:rPr>
                          <w:rFonts w:ascii="Calibri" w:hAnsi="Calibri" w:cs="Calibri"/>
                          <w:b/>
                          <w:bCs/>
                          <w:sz w:val="36"/>
                          <w:szCs w:val="36"/>
                        </w:rPr>
                      </w:pPr>
                      <w:r w:rsidRPr="00F1755D">
                        <w:rPr>
                          <w:rFonts w:ascii="Calibri" w:hAnsi="Calibri" w:cs="Calibri"/>
                          <w:b/>
                          <w:bCs/>
                          <w:sz w:val="36"/>
                          <w:szCs w:val="36"/>
                        </w:rPr>
                        <w:t>Future Recommendations</w:t>
                      </w:r>
                    </w:p>
                    <w:p w14:paraId="57C64760" w14:textId="0972A930" w:rsidR="00F1755D" w:rsidRPr="00F1755D" w:rsidRDefault="00F1755D" w:rsidP="00F1755D">
                      <w:pPr>
                        <w:rPr>
                          <w:rFonts w:ascii="Calibri" w:hAnsi="Calibri" w:cs="Calibri"/>
                        </w:rPr>
                      </w:pPr>
                      <w:r w:rsidRPr="00F1755D">
                        <w:rPr>
                          <w:rFonts w:ascii="Calibri" w:hAnsi="Calibri" w:cs="Calibri"/>
                        </w:rPr>
                        <w:t>Future research should explore adaptive learning strategies within VR to personalize the educational experience, thus maximizing learning outcomes for all student demographics. Additionally, further studies might investigate long-term retention of knowledge and the ability to apply learned concepts in practical settings</w:t>
                      </w:r>
                      <w:r w:rsidR="00250F55">
                        <w:rPr>
                          <w:rFonts w:ascii="Calibri" w:hAnsi="Calibri" w:cs="Calibri"/>
                        </w:rPr>
                        <w:t xml:space="preserve"> </w:t>
                      </w:r>
                      <w:sdt>
                        <w:sdtPr>
                          <w:rPr>
                            <w:rFonts w:cstheme="minorHAnsi"/>
                          </w:rPr>
                          <w:id w:val="-279191382"/>
                          <w:citation/>
                        </w:sdtPr>
                        <w:sdtContent>
                          <w:r w:rsidR="00250F55" w:rsidRPr="00E3508E">
                            <w:rPr>
                              <w:rFonts w:cstheme="minorHAnsi"/>
                            </w:rPr>
                            <w:fldChar w:fldCharType="begin"/>
                          </w:r>
                          <w:r w:rsidR="00250F55" w:rsidRPr="00E3508E">
                            <w:rPr>
                              <w:rFonts w:cstheme="minorHAnsi"/>
                            </w:rPr>
                            <w:instrText xml:space="preserve"> CITATION Liu23 \l 2057 </w:instrText>
                          </w:r>
                          <w:r w:rsidR="00250F55" w:rsidRPr="00E3508E">
                            <w:rPr>
                              <w:rFonts w:cstheme="minorHAnsi"/>
                            </w:rPr>
                            <w:fldChar w:fldCharType="separate"/>
                          </w:r>
                          <w:r w:rsidR="00250F55" w:rsidRPr="00250F55">
                            <w:rPr>
                              <w:rFonts w:cstheme="minorHAnsi"/>
                              <w:noProof/>
                            </w:rPr>
                            <w:t>[1]</w:t>
                          </w:r>
                          <w:r w:rsidR="00250F55" w:rsidRPr="00E3508E">
                            <w:rPr>
                              <w:rFonts w:cstheme="minorHAnsi"/>
                            </w:rPr>
                            <w:fldChar w:fldCharType="end"/>
                          </w:r>
                        </w:sdtContent>
                      </w:sdt>
                      <w:r w:rsidRPr="00F1755D">
                        <w:rPr>
                          <w:rFonts w:ascii="Calibri" w:hAnsi="Calibri" w:cs="Calibri"/>
                        </w:rPr>
                        <w:t>. Recommendations for educators include providing initial orientation sessions to familiarize students with VR technology and incorporating mixed teaching methods to cater to diverse learning styles and needs.</w:t>
                      </w:r>
                    </w:p>
                  </w:txbxContent>
                </v:textbox>
                <w10:wrap type="square" anchory="page"/>
              </v:shape>
            </w:pict>
          </mc:Fallback>
        </mc:AlternateContent>
      </w:r>
      <w:r w:rsidR="009C1B0B" w:rsidRPr="006F7C8D">
        <w:rPr>
          <w:noProof/>
          <w:color w:val="FFFFFF" w:themeColor="background1"/>
        </w:rPr>
        <mc:AlternateContent>
          <mc:Choice Requires="wps">
            <w:drawing>
              <wp:anchor distT="45720" distB="45720" distL="114300" distR="114300" simplePos="0" relativeHeight="251675648" behindDoc="0" locked="0" layoutInCell="1" allowOverlap="1" wp14:anchorId="26EFBBF3" wp14:editId="506B3682">
                <wp:simplePos x="0" y="0"/>
                <wp:positionH relativeFrom="column">
                  <wp:posOffset>6181725</wp:posOffset>
                </wp:positionH>
                <wp:positionV relativeFrom="page">
                  <wp:posOffset>10944225</wp:posOffset>
                </wp:positionV>
                <wp:extent cx="3362960" cy="2476500"/>
                <wp:effectExtent l="0" t="0" r="27940" b="19050"/>
                <wp:wrapSquare wrapText="bothSides"/>
                <wp:docPr id="1644990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960" cy="2476500"/>
                        </a:xfrm>
                        <a:prstGeom prst="rect">
                          <a:avLst/>
                        </a:prstGeom>
                        <a:solidFill>
                          <a:srgbClr val="FFFFFF"/>
                        </a:solidFill>
                        <a:ln w="9525">
                          <a:solidFill>
                            <a:srgbClr val="000000"/>
                          </a:solidFill>
                          <a:miter lim="800000"/>
                          <a:headEnd/>
                          <a:tailEnd/>
                        </a:ln>
                      </wps:spPr>
                      <wps:txbx>
                        <w:txbxContent>
                          <w:p w14:paraId="19E6C18D" w14:textId="6B953049" w:rsidR="00250F55" w:rsidRPr="00F1755D" w:rsidRDefault="00250F55" w:rsidP="00250F55">
                            <w:pPr>
                              <w:rPr>
                                <w:rFonts w:ascii="Calibri" w:hAnsi="Calibri" w:cs="Calibri"/>
                                <w:b/>
                                <w:bCs/>
                                <w:sz w:val="36"/>
                                <w:szCs w:val="36"/>
                              </w:rPr>
                            </w:pPr>
                            <w:r>
                              <w:rPr>
                                <w:rFonts w:ascii="Calibri" w:hAnsi="Calibri" w:cs="Calibri"/>
                                <w:b/>
                                <w:bCs/>
                                <w:sz w:val="36"/>
                                <w:szCs w:val="36"/>
                              </w:rPr>
                              <w:t>REFERENCES</w:t>
                            </w:r>
                            <w:r w:rsidRPr="00F1755D">
                              <w:rPr>
                                <w:rFonts w:ascii="Calibri" w:hAnsi="Calibri" w:cs="Calibri"/>
                                <w:b/>
                                <w:bCs/>
                                <w:sz w:val="36"/>
                                <w:szCs w:val="36"/>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1"/>
                              <w:gridCol w:w="5317"/>
                            </w:tblGrid>
                            <w:tr w:rsidR="00250F55" w14:paraId="76D056ED" w14:textId="77777777" w:rsidTr="00154C54">
                              <w:trPr>
                                <w:tblCellSpacing w:w="15" w:type="dxa"/>
                              </w:trPr>
                              <w:tc>
                                <w:tcPr>
                                  <w:tcW w:w="50" w:type="pct"/>
                                  <w:hideMark/>
                                </w:tcPr>
                                <w:p w14:paraId="017B9546" w14:textId="75D61095" w:rsidR="00250F55" w:rsidRPr="009C1B0B" w:rsidRDefault="00250F55" w:rsidP="009C1B0B">
                                  <w:pPr>
                                    <w:pStyle w:val="Bibliography"/>
                                    <w:rPr>
                                      <w:noProof/>
                                      <w:sz w:val="18"/>
                                      <w:szCs w:val="18"/>
                                    </w:rPr>
                                  </w:pPr>
                                </w:p>
                              </w:tc>
                              <w:tc>
                                <w:tcPr>
                                  <w:tcW w:w="0" w:type="auto"/>
                                  <w:hideMark/>
                                </w:tcPr>
                                <w:p w14:paraId="43453F0E" w14:textId="28335DF2" w:rsidR="00250F55" w:rsidRPr="009C1B0B" w:rsidRDefault="009C1B0B" w:rsidP="009C1B0B">
                                  <w:pPr>
                                    <w:pStyle w:val="Bibliography"/>
                                    <w:rPr>
                                      <w:noProof/>
                                      <w:sz w:val="18"/>
                                      <w:szCs w:val="18"/>
                                    </w:rPr>
                                  </w:pPr>
                                  <w:r w:rsidRPr="009C1B0B">
                                    <w:rPr>
                                      <w:noProof/>
                                      <w:sz w:val="18"/>
                                      <w:szCs w:val="18"/>
                                    </w:rPr>
                                    <w:t xml:space="preserve">[1] </w:t>
                                  </w:r>
                                  <w:r w:rsidRPr="009C1B0B">
                                    <w:rPr>
                                      <w:noProof/>
                                      <w:sz w:val="18"/>
                                      <w:szCs w:val="18"/>
                                    </w:rPr>
                                    <w:t>K. Liu, W. Li, T. Wang and Y. Zheng, “Effectiveness of virtual reality in nursing education: a systematic review and meta-analysis,” 28 09 2023. [Online]. Available: https://bmcmededuc.biomedcentral.com/articles/10.1186/s12909-023-04662-x. [Accessed 15 04 2024].</w:t>
                                  </w:r>
                                </w:p>
                                <w:p w14:paraId="402D56C1" w14:textId="6AD9DECD" w:rsidR="00250F55" w:rsidRPr="009C1B0B" w:rsidRDefault="00250F55" w:rsidP="009C1B0B">
                                  <w:pPr>
                                    <w:pStyle w:val="Bibliography"/>
                                    <w:rPr>
                                      <w:noProof/>
                                      <w:sz w:val="18"/>
                                      <w:szCs w:val="18"/>
                                    </w:rPr>
                                  </w:pPr>
                                  <w:r w:rsidRPr="009C1B0B">
                                    <w:rPr>
                                      <w:sz w:val="18"/>
                                      <w:szCs w:val="18"/>
                                    </w:rPr>
                                    <w:t xml:space="preserve">[2] Z. Karbasi and S. R. N. </w:t>
                                  </w:r>
                                  <w:proofErr w:type="spellStart"/>
                                  <w:r w:rsidRPr="009C1B0B">
                                    <w:rPr>
                                      <w:sz w:val="18"/>
                                      <w:szCs w:val="18"/>
                                    </w:rPr>
                                    <w:t>Kalhori</w:t>
                                  </w:r>
                                  <w:proofErr w:type="spellEnd"/>
                                  <w:r w:rsidRPr="009C1B0B">
                                    <w:rPr>
                                      <w:sz w:val="18"/>
                                      <w:szCs w:val="18"/>
                                    </w:rPr>
                                    <w:t>, “Application and evaluation of virtual technologies for anatomy education to medical students: A review,” 03 12 2020. [Online]. Available: https://www.ncbi.nlm.nih.gov/pmc/articles/PMC8004573/. [Accessed 15 04 2024].</w:t>
                                  </w:r>
                                  <w:r w:rsidRPr="009C1B0B">
                                    <w:rPr>
                                      <w:sz w:val="18"/>
                                      <w:szCs w:val="18"/>
                                    </w:rPr>
                                    <w:t>s</w:t>
                                  </w:r>
                                </w:p>
                                <w:p w14:paraId="25D75F64" w14:textId="77777777" w:rsidR="00250F55" w:rsidRPr="009C1B0B" w:rsidRDefault="00250F55" w:rsidP="009C1B0B">
                                  <w:pPr>
                                    <w:rPr>
                                      <w:sz w:val="18"/>
                                      <w:szCs w:val="18"/>
                                    </w:rPr>
                                  </w:pPr>
                                </w:p>
                                <w:p w14:paraId="7D1A58DF" w14:textId="0BAA3643" w:rsidR="00250F55" w:rsidRPr="009C1B0B" w:rsidRDefault="00250F55" w:rsidP="009C1B0B">
                                  <w:pPr>
                                    <w:rPr>
                                      <w:sz w:val="18"/>
                                      <w:szCs w:val="18"/>
                                    </w:rPr>
                                  </w:pPr>
                                </w:p>
                              </w:tc>
                            </w:tr>
                          </w:tbl>
                          <w:p w14:paraId="449C0362" w14:textId="70D3EF37" w:rsidR="00250F55" w:rsidRPr="00F1755D" w:rsidRDefault="00250F55" w:rsidP="00250F55">
                            <w:pPr>
                              <w:rPr>
                                <w:rFonts w:ascii="Calibri" w:hAnsi="Calibri" w:cs="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FBBF3" id="_x0000_s1027" type="#_x0000_t202" style="position:absolute;left:0;text-align:left;margin-left:486.75pt;margin-top:861.75pt;width:264.8pt;height:19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">
                <v:textbox>
                  <w:txbxContent>
                    <w:p w14:paraId="19E6C18D" w14:textId="6B953049" w:rsidR="00250F55" w:rsidRPr="00F1755D" w:rsidRDefault="00250F55" w:rsidP="00250F55">
                      <w:pPr>
                        <w:rPr>
                          <w:rFonts w:ascii="Calibri" w:hAnsi="Calibri" w:cs="Calibri"/>
                          <w:b/>
                          <w:bCs/>
                          <w:sz w:val="36"/>
                          <w:szCs w:val="36"/>
                        </w:rPr>
                      </w:pPr>
                      <w:r>
                        <w:rPr>
                          <w:rFonts w:ascii="Calibri" w:hAnsi="Calibri" w:cs="Calibri"/>
                          <w:b/>
                          <w:bCs/>
                          <w:sz w:val="36"/>
                          <w:szCs w:val="36"/>
                        </w:rPr>
                        <w:t>REFERENCES</w:t>
                      </w:r>
                      <w:r w:rsidRPr="00F1755D">
                        <w:rPr>
                          <w:rFonts w:ascii="Calibri" w:hAnsi="Calibri" w:cs="Calibri"/>
                          <w:b/>
                          <w:bCs/>
                          <w:sz w:val="36"/>
                          <w:szCs w:val="36"/>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1"/>
                        <w:gridCol w:w="5317"/>
                      </w:tblGrid>
                      <w:tr w:rsidR="00250F55" w14:paraId="76D056ED" w14:textId="77777777" w:rsidTr="00154C54">
                        <w:trPr>
                          <w:tblCellSpacing w:w="15" w:type="dxa"/>
                        </w:trPr>
                        <w:tc>
                          <w:tcPr>
                            <w:tcW w:w="50" w:type="pct"/>
                            <w:hideMark/>
                          </w:tcPr>
                          <w:p w14:paraId="017B9546" w14:textId="75D61095" w:rsidR="00250F55" w:rsidRPr="009C1B0B" w:rsidRDefault="00250F55" w:rsidP="009C1B0B">
                            <w:pPr>
                              <w:pStyle w:val="Bibliography"/>
                              <w:rPr>
                                <w:noProof/>
                                <w:sz w:val="18"/>
                                <w:szCs w:val="18"/>
                              </w:rPr>
                            </w:pPr>
                          </w:p>
                        </w:tc>
                        <w:tc>
                          <w:tcPr>
                            <w:tcW w:w="0" w:type="auto"/>
                            <w:hideMark/>
                          </w:tcPr>
                          <w:p w14:paraId="43453F0E" w14:textId="28335DF2" w:rsidR="00250F55" w:rsidRPr="009C1B0B" w:rsidRDefault="009C1B0B" w:rsidP="009C1B0B">
                            <w:pPr>
                              <w:pStyle w:val="Bibliography"/>
                              <w:rPr>
                                <w:noProof/>
                                <w:sz w:val="18"/>
                                <w:szCs w:val="18"/>
                              </w:rPr>
                            </w:pPr>
                            <w:r w:rsidRPr="009C1B0B">
                              <w:rPr>
                                <w:noProof/>
                                <w:sz w:val="18"/>
                                <w:szCs w:val="18"/>
                              </w:rPr>
                              <w:t xml:space="preserve">[1] </w:t>
                            </w:r>
                            <w:r w:rsidRPr="009C1B0B">
                              <w:rPr>
                                <w:noProof/>
                                <w:sz w:val="18"/>
                                <w:szCs w:val="18"/>
                              </w:rPr>
                              <w:t>K. Liu, W. Li, T. Wang and Y. Zheng, “Effectiveness of virtual reality in nursing education: a systematic review and meta-analysis,” 28 09 2023. [Online]. Available: https://bmcmededuc.biomedcentral.com/articles/10.1186/s12909-023-04662-x. [Accessed 15 04 2024].</w:t>
                            </w:r>
                          </w:p>
                          <w:p w14:paraId="402D56C1" w14:textId="6AD9DECD" w:rsidR="00250F55" w:rsidRPr="009C1B0B" w:rsidRDefault="00250F55" w:rsidP="009C1B0B">
                            <w:pPr>
                              <w:pStyle w:val="Bibliography"/>
                              <w:rPr>
                                <w:noProof/>
                                <w:sz w:val="18"/>
                                <w:szCs w:val="18"/>
                              </w:rPr>
                            </w:pPr>
                            <w:r w:rsidRPr="009C1B0B">
                              <w:rPr>
                                <w:sz w:val="18"/>
                                <w:szCs w:val="18"/>
                              </w:rPr>
                              <w:t xml:space="preserve">[2] Z. Karbasi and S. R. N. </w:t>
                            </w:r>
                            <w:proofErr w:type="spellStart"/>
                            <w:r w:rsidRPr="009C1B0B">
                              <w:rPr>
                                <w:sz w:val="18"/>
                                <w:szCs w:val="18"/>
                              </w:rPr>
                              <w:t>Kalhori</w:t>
                            </w:r>
                            <w:proofErr w:type="spellEnd"/>
                            <w:r w:rsidRPr="009C1B0B">
                              <w:rPr>
                                <w:sz w:val="18"/>
                                <w:szCs w:val="18"/>
                              </w:rPr>
                              <w:t>, “Application and evaluation of virtual technologies for anatomy education to medical students: A review,” 03 12 2020. [Online]. Available: https://www.ncbi.nlm.nih.gov/pmc/articles/PMC8004573/. [Accessed 15 04 2024].</w:t>
                            </w:r>
                            <w:r w:rsidRPr="009C1B0B">
                              <w:rPr>
                                <w:sz w:val="18"/>
                                <w:szCs w:val="18"/>
                              </w:rPr>
                              <w:t>s</w:t>
                            </w:r>
                          </w:p>
                          <w:p w14:paraId="25D75F64" w14:textId="77777777" w:rsidR="00250F55" w:rsidRPr="009C1B0B" w:rsidRDefault="00250F55" w:rsidP="009C1B0B">
                            <w:pPr>
                              <w:rPr>
                                <w:sz w:val="18"/>
                                <w:szCs w:val="18"/>
                              </w:rPr>
                            </w:pPr>
                          </w:p>
                          <w:p w14:paraId="7D1A58DF" w14:textId="0BAA3643" w:rsidR="00250F55" w:rsidRPr="009C1B0B" w:rsidRDefault="00250F55" w:rsidP="009C1B0B">
                            <w:pPr>
                              <w:rPr>
                                <w:sz w:val="18"/>
                                <w:szCs w:val="18"/>
                              </w:rPr>
                            </w:pPr>
                          </w:p>
                        </w:tc>
                      </w:tr>
                    </w:tbl>
                    <w:p w14:paraId="449C0362" w14:textId="70D3EF37" w:rsidR="00250F55" w:rsidRPr="00F1755D" w:rsidRDefault="00250F55" w:rsidP="00250F55">
                      <w:pPr>
                        <w:rPr>
                          <w:rFonts w:ascii="Calibri" w:hAnsi="Calibri" w:cs="Calibri"/>
                        </w:rPr>
                      </w:pPr>
                    </w:p>
                  </w:txbxContent>
                </v:textbox>
                <w10:wrap type="square" anchory="page"/>
              </v:shape>
            </w:pict>
          </mc:Fallback>
        </mc:AlternateContent>
      </w:r>
      <w:r w:rsidR="009C1B0B" w:rsidRPr="006F7C8D">
        <w:rPr>
          <w:noProof/>
          <w:color w:val="FFFFFF" w:themeColor="background1"/>
        </w:rPr>
        <w:drawing>
          <wp:anchor distT="0" distB="0" distL="114300" distR="114300" simplePos="0" relativeHeight="251658240" behindDoc="0" locked="0" layoutInCell="1" allowOverlap="1" wp14:anchorId="6F49D815" wp14:editId="3047120D">
            <wp:simplePos x="0" y="0"/>
            <wp:positionH relativeFrom="column">
              <wp:posOffset>6181725</wp:posOffset>
            </wp:positionH>
            <wp:positionV relativeFrom="page">
              <wp:posOffset>13575665</wp:posOffset>
            </wp:positionV>
            <wp:extent cx="3362960" cy="1261110"/>
            <wp:effectExtent l="0" t="0" r="8890" b="0"/>
            <wp:wrapSquare wrapText="bothSides"/>
            <wp:docPr id="572867578" name="Picture 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867578" name="Picture 7"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62960" cy="1261110"/>
                    </a:xfrm>
                    <a:prstGeom prst="rect">
                      <a:avLst/>
                    </a:prstGeom>
                    <a:noFill/>
                    <a:ln>
                      <a:noFill/>
                    </a:ln>
                  </pic:spPr>
                </pic:pic>
              </a:graphicData>
            </a:graphic>
            <wp14:sizeRelH relativeFrom="margin">
              <wp14:pctWidth>0</wp14:pctWidth>
            </wp14:sizeRelH>
          </wp:anchor>
        </w:drawing>
      </w:r>
      <w:r w:rsidR="00250F55" w:rsidRPr="006F7C8D">
        <w:rPr>
          <w:noProof/>
          <w:color w:val="FFFFFF" w:themeColor="background1"/>
        </w:rPr>
        <w:drawing>
          <wp:anchor distT="0" distB="0" distL="114300" distR="114300" simplePos="0" relativeHeight="251673600" behindDoc="0" locked="0" layoutInCell="1" allowOverlap="1" wp14:anchorId="54444D1B" wp14:editId="11ECD4FF">
            <wp:simplePos x="0" y="0"/>
            <wp:positionH relativeFrom="column">
              <wp:posOffset>2752725</wp:posOffset>
            </wp:positionH>
            <wp:positionV relativeFrom="paragraph">
              <wp:posOffset>3855720</wp:posOffset>
            </wp:positionV>
            <wp:extent cx="3159125" cy="2266950"/>
            <wp:effectExtent l="0" t="0" r="3175" b="0"/>
            <wp:wrapSquare wrapText="bothSides"/>
            <wp:docPr id="599461599" name="Chart 1">
              <a:extLst xmlns:a="http://schemas.openxmlformats.org/drawingml/2006/main">
                <a:ext uri="{FF2B5EF4-FFF2-40B4-BE49-F238E27FC236}">
                  <a16:creationId xmlns:a16="http://schemas.microsoft.com/office/drawing/2014/main" id="{4727C1D3-F448-2411-30A9-5A484F72C5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250F55" w:rsidRPr="006F7C8D">
        <w:rPr>
          <w:noProof/>
          <w:color w:val="FFFFFF" w:themeColor="background1"/>
        </w:rPr>
        <mc:AlternateContent>
          <mc:Choice Requires="wps">
            <w:drawing>
              <wp:anchor distT="45720" distB="45720" distL="114300" distR="114300" simplePos="0" relativeHeight="251668480" behindDoc="0" locked="0" layoutInCell="1" allowOverlap="1" wp14:anchorId="4AE2F73B" wp14:editId="23537F1E">
                <wp:simplePos x="0" y="0"/>
                <wp:positionH relativeFrom="column">
                  <wp:posOffset>-619125</wp:posOffset>
                </wp:positionH>
                <wp:positionV relativeFrom="page">
                  <wp:posOffset>3400425</wp:posOffset>
                </wp:positionV>
                <wp:extent cx="3168650" cy="2495550"/>
                <wp:effectExtent l="0" t="0" r="12700" b="19050"/>
                <wp:wrapSquare wrapText="bothSides"/>
                <wp:docPr id="3034506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2495550"/>
                        </a:xfrm>
                        <a:prstGeom prst="rect">
                          <a:avLst/>
                        </a:prstGeom>
                        <a:solidFill>
                          <a:srgbClr val="FFFFFF"/>
                        </a:solidFill>
                        <a:ln w="9525">
                          <a:solidFill>
                            <a:srgbClr val="000000"/>
                          </a:solidFill>
                          <a:miter lim="800000"/>
                          <a:headEnd/>
                          <a:tailEnd/>
                        </a:ln>
                      </wps:spPr>
                      <wps:txbx>
                        <w:txbxContent>
                          <w:p w14:paraId="6C867485" w14:textId="1FCAF3FB" w:rsidR="001E68F9" w:rsidRPr="00F1755D" w:rsidRDefault="001E68F9" w:rsidP="001E68F9">
                            <w:pPr>
                              <w:rPr>
                                <w:rFonts w:ascii="Calibri" w:hAnsi="Calibri" w:cs="Calibri"/>
                                <w:b/>
                                <w:bCs/>
                                <w:sz w:val="36"/>
                                <w:szCs w:val="36"/>
                              </w:rPr>
                            </w:pPr>
                            <w:r w:rsidRPr="00F1755D">
                              <w:rPr>
                                <w:rFonts w:ascii="Calibri" w:hAnsi="Calibri" w:cs="Calibri"/>
                                <w:b/>
                                <w:bCs/>
                                <w:sz w:val="36"/>
                                <w:szCs w:val="36"/>
                              </w:rPr>
                              <w:t>Conclusion</w:t>
                            </w:r>
                          </w:p>
                          <w:p w14:paraId="7D30F3F2" w14:textId="2B5036AB" w:rsidR="001E68F9" w:rsidRPr="00F1755D" w:rsidRDefault="00F1755D" w:rsidP="00F1755D">
                            <w:pPr>
                              <w:rPr>
                                <w:rFonts w:ascii="Calibri" w:hAnsi="Calibri" w:cs="Calibri"/>
                              </w:rPr>
                            </w:pPr>
                            <w:r w:rsidRPr="00F1755D">
                              <w:rPr>
                                <w:rFonts w:ascii="Calibri" w:hAnsi="Calibri" w:cs="Calibri"/>
                              </w:rPr>
                              <w:t>VR holds promise for enhancing anatomy education by actively engaging students and providing a three-dimensional understanding of human anatomy. However, its integration into educational curriculums needs careful planning to ensure that it complements traditional learning methods effectively</w:t>
                            </w:r>
                            <w:r w:rsidRPr="00F1755D">
                              <w:rPr>
                                <w:rFonts w:ascii="Calibri" w:hAnsi="Calibri" w:cs="Calibr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E2F73B" id="_x0000_s1028" type="#_x0000_t202" style="position:absolute;left:0;text-align:left;margin-left:-48.75pt;margin-top:267.75pt;width:249.5pt;height:19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">
                <v:textbox>
                  <w:txbxContent>
                    <w:p w14:paraId="6C867485" w14:textId="1FCAF3FB" w:rsidR="001E68F9" w:rsidRPr="00F1755D" w:rsidRDefault="001E68F9" w:rsidP="001E68F9">
                      <w:pPr>
                        <w:rPr>
                          <w:rFonts w:ascii="Calibri" w:hAnsi="Calibri" w:cs="Calibri"/>
                          <w:b/>
                          <w:bCs/>
                          <w:sz w:val="36"/>
                          <w:szCs w:val="36"/>
                        </w:rPr>
                      </w:pPr>
                      <w:r w:rsidRPr="00F1755D">
                        <w:rPr>
                          <w:rFonts w:ascii="Calibri" w:hAnsi="Calibri" w:cs="Calibri"/>
                          <w:b/>
                          <w:bCs/>
                          <w:sz w:val="36"/>
                          <w:szCs w:val="36"/>
                        </w:rPr>
                        <w:t>Conclusion</w:t>
                      </w:r>
                    </w:p>
                    <w:p w14:paraId="7D30F3F2" w14:textId="2B5036AB" w:rsidR="001E68F9" w:rsidRPr="00F1755D" w:rsidRDefault="00F1755D" w:rsidP="00F1755D">
                      <w:pPr>
                        <w:rPr>
                          <w:rFonts w:ascii="Calibri" w:hAnsi="Calibri" w:cs="Calibri"/>
                        </w:rPr>
                      </w:pPr>
                      <w:r w:rsidRPr="00F1755D">
                        <w:rPr>
                          <w:rFonts w:ascii="Calibri" w:hAnsi="Calibri" w:cs="Calibri"/>
                        </w:rPr>
                        <w:t>VR holds promise for enhancing anatomy education by actively engaging students and providing a three-dimensional understanding of human anatomy. However, its integration into educational curriculums needs careful planning to ensure that it complements traditional learning methods effectively</w:t>
                      </w:r>
                      <w:r w:rsidRPr="00F1755D">
                        <w:rPr>
                          <w:rFonts w:ascii="Calibri" w:hAnsi="Calibri" w:cs="Calibri"/>
                        </w:rPr>
                        <w:t>.</w:t>
                      </w:r>
                    </w:p>
                  </w:txbxContent>
                </v:textbox>
                <w10:wrap type="square" anchory="page"/>
              </v:shape>
            </w:pict>
          </mc:Fallback>
        </mc:AlternateContent>
      </w:r>
      <w:r w:rsidR="00250F55" w:rsidRPr="006F7C8D">
        <w:rPr>
          <w:noProof/>
          <w:color w:val="FFFFFF" w:themeColor="background1"/>
        </w:rPr>
        <mc:AlternateContent>
          <mc:Choice Requires="wps">
            <w:drawing>
              <wp:anchor distT="45720" distB="45720" distL="114300" distR="114300" simplePos="0" relativeHeight="251660288" behindDoc="0" locked="0" layoutInCell="1" allowOverlap="1" wp14:anchorId="769E8AE6" wp14:editId="1A4B4E93">
                <wp:simplePos x="0" y="0"/>
                <wp:positionH relativeFrom="column">
                  <wp:posOffset>-619125</wp:posOffset>
                </wp:positionH>
                <wp:positionV relativeFrom="page">
                  <wp:posOffset>6162040</wp:posOffset>
                </wp:positionV>
                <wp:extent cx="3168650" cy="469582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4695825"/>
                        </a:xfrm>
                        <a:prstGeom prst="rect">
                          <a:avLst/>
                        </a:prstGeom>
                        <a:solidFill>
                          <a:srgbClr val="FFFFFF"/>
                        </a:solidFill>
                        <a:ln w="9525">
                          <a:solidFill>
                            <a:srgbClr val="000000"/>
                          </a:solidFill>
                          <a:miter lim="800000"/>
                          <a:headEnd/>
                          <a:tailEnd/>
                        </a:ln>
                      </wps:spPr>
                      <wps:txbx>
                        <w:txbxContent>
                          <w:p w14:paraId="3F7D147F" w14:textId="46B4BB5E" w:rsidR="001E68F9" w:rsidRPr="00F1755D" w:rsidRDefault="001E68F9">
                            <w:pPr>
                              <w:rPr>
                                <w:b/>
                                <w:bCs/>
                                <w:sz w:val="36"/>
                                <w:szCs w:val="36"/>
                              </w:rPr>
                            </w:pPr>
                            <w:r w:rsidRPr="00F1755D">
                              <w:rPr>
                                <w:b/>
                                <w:bCs/>
                                <w:sz w:val="36"/>
                                <w:szCs w:val="36"/>
                              </w:rPr>
                              <w:t xml:space="preserve">1. </w:t>
                            </w:r>
                            <w:r w:rsidR="00CF48B1">
                              <w:rPr>
                                <w:b/>
                                <w:bCs/>
                                <w:sz w:val="36"/>
                                <w:szCs w:val="36"/>
                              </w:rPr>
                              <w:t>Introduction</w:t>
                            </w:r>
                          </w:p>
                          <w:p w14:paraId="776A4FB2" w14:textId="75C77F87" w:rsidR="001E68F9" w:rsidRDefault="001E68F9">
                            <w:r w:rsidRPr="001E68F9">
                              <w:t xml:space="preserve">This study explores how using Virtual Reality (VR) can change the way we learn about human anatomy. Traditionally, students learn anatomy from books and flat images that can make it hard to understand how things truly look in three-dimensional space. VR offers a new way of learning by allowing students to interact with realistic 3D models of the human body. Imagine putting on a VR headset and being able to look at, move around, and even 'touch' organs and bones as if they were real. This could make learning more interesting and help students grasp complex concepts more easily. </w:t>
                            </w:r>
                            <w:r w:rsidR="00270105">
                              <w:t>This</w:t>
                            </w:r>
                            <w:r w:rsidRPr="001E68F9">
                              <w:t xml:space="preserve"> research compares the traditional </w:t>
                            </w:r>
                            <w:r w:rsidR="00270105">
                              <w:t xml:space="preserve">methods </w:t>
                            </w:r>
                            <w:r w:rsidRPr="001E68F9">
                              <w:t>of learning anatomy with this VR approach to see if VR can make learning more engaging and effective.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9E8AE6" id="_x0000_s1029" type="#_x0000_t202" style="position:absolute;left:0;text-align:left;margin-left:-48.75pt;margin-top:485.2pt;width:249.5pt;height:369.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">
                <v:textbox>
                  <w:txbxContent>
                    <w:p w14:paraId="3F7D147F" w14:textId="46B4BB5E" w:rsidR="001E68F9" w:rsidRPr="00F1755D" w:rsidRDefault="001E68F9">
                      <w:pPr>
                        <w:rPr>
                          <w:b/>
                          <w:bCs/>
                          <w:sz w:val="36"/>
                          <w:szCs w:val="36"/>
                        </w:rPr>
                      </w:pPr>
                      <w:r w:rsidRPr="00F1755D">
                        <w:rPr>
                          <w:b/>
                          <w:bCs/>
                          <w:sz w:val="36"/>
                          <w:szCs w:val="36"/>
                        </w:rPr>
                        <w:t xml:space="preserve">1. </w:t>
                      </w:r>
                      <w:r w:rsidR="00CF48B1">
                        <w:rPr>
                          <w:b/>
                          <w:bCs/>
                          <w:sz w:val="36"/>
                          <w:szCs w:val="36"/>
                        </w:rPr>
                        <w:t>Introduction</w:t>
                      </w:r>
                    </w:p>
                    <w:p w14:paraId="776A4FB2" w14:textId="75C77F87" w:rsidR="001E68F9" w:rsidRDefault="001E68F9">
                      <w:r w:rsidRPr="001E68F9">
                        <w:t xml:space="preserve">This study explores how using Virtual Reality (VR) can change the way we learn about human anatomy. Traditionally, students learn anatomy from books and flat images that can make it hard to understand how things truly look in three-dimensional space. VR offers a new way of learning by allowing students to interact with realistic 3D models of the human body. Imagine putting on a VR headset and being able to look at, move around, and even 'touch' organs and bones as if they were real. This could make learning more interesting and help students grasp complex concepts more easily. </w:t>
                      </w:r>
                      <w:r w:rsidR="00270105">
                        <w:t>This</w:t>
                      </w:r>
                      <w:r w:rsidRPr="001E68F9">
                        <w:t xml:space="preserve"> research compares the traditional </w:t>
                      </w:r>
                      <w:r w:rsidR="00270105">
                        <w:t xml:space="preserve">methods </w:t>
                      </w:r>
                      <w:r w:rsidRPr="001E68F9">
                        <w:t>of learning anatomy with this VR approach to see if VR can make learning more engaging and effective.</w:t>
                      </w:r>
                    </w:p>
                  </w:txbxContent>
                </v:textbox>
                <w10:wrap type="square" anchory="page"/>
              </v:shape>
            </w:pict>
          </mc:Fallback>
        </mc:AlternateContent>
      </w:r>
      <w:r w:rsidR="00250F55" w:rsidRPr="006F7C8D">
        <w:rPr>
          <w:noProof/>
          <w:color w:val="FFFFFF" w:themeColor="background1"/>
        </w:rPr>
        <mc:AlternateContent>
          <mc:Choice Requires="wps">
            <w:drawing>
              <wp:anchor distT="45720" distB="45720" distL="114300" distR="114300" simplePos="0" relativeHeight="251662336" behindDoc="0" locked="0" layoutInCell="1" allowOverlap="1" wp14:anchorId="254D248E" wp14:editId="69477579">
                <wp:simplePos x="0" y="0"/>
                <wp:positionH relativeFrom="column">
                  <wp:posOffset>-615315</wp:posOffset>
                </wp:positionH>
                <wp:positionV relativeFrom="page">
                  <wp:posOffset>11094720</wp:posOffset>
                </wp:positionV>
                <wp:extent cx="3168650" cy="1906905"/>
                <wp:effectExtent l="0" t="0" r="12700" b="17145"/>
                <wp:wrapSquare wrapText="bothSides"/>
                <wp:docPr id="437795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1906905"/>
                        </a:xfrm>
                        <a:prstGeom prst="rect">
                          <a:avLst/>
                        </a:prstGeom>
                        <a:solidFill>
                          <a:srgbClr val="FFFFFF"/>
                        </a:solidFill>
                        <a:ln w="9525">
                          <a:solidFill>
                            <a:srgbClr val="000000"/>
                          </a:solidFill>
                          <a:miter lim="800000"/>
                          <a:headEnd/>
                          <a:tailEnd/>
                        </a:ln>
                      </wps:spPr>
                      <wps:txbx>
                        <w:txbxContent>
                          <w:p w14:paraId="36492006" w14:textId="661F2BEF" w:rsidR="00270105" w:rsidRPr="00F1755D" w:rsidRDefault="001E68F9" w:rsidP="001E68F9">
                            <w:pPr>
                              <w:rPr>
                                <w:rFonts w:ascii="Calibri" w:hAnsi="Calibri" w:cs="Calibri"/>
                                <w:b/>
                                <w:bCs/>
                                <w:sz w:val="36"/>
                                <w:szCs w:val="36"/>
                              </w:rPr>
                            </w:pPr>
                            <w:r w:rsidRPr="00F1755D">
                              <w:rPr>
                                <w:rFonts w:ascii="Calibri" w:hAnsi="Calibri" w:cs="Calibri"/>
                                <w:b/>
                                <w:bCs/>
                                <w:sz w:val="36"/>
                                <w:szCs w:val="36"/>
                              </w:rPr>
                              <w:t>2</w:t>
                            </w:r>
                            <w:r w:rsidRPr="00F1755D">
                              <w:rPr>
                                <w:rFonts w:ascii="Calibri" w:hAnsi="Calibri" w:cs="Calibri"/>
                                <w:b/>
                                <w:bCs/>
                                <w:sz w:val="36"/>
                                <w:szCs w:val="36"/>
                              </w:rPr>
                              <w:t xml:space="preserve">. </w:t>
                            </w:r>
                            <w:r w:rsidR="00CF48B1">
                              <w:rPr>
                                <w:rFonts w:ascii="Calibri" w:hAnsi="Calibri" w:cs="Calibri"/>
                                <w:b/>
                                <w:bCs/>
                                <w:sz w:val="36"/>
                                <w:szCs w:val="36"/>
                              </w:rPr>
                              <w:t>Study Aim</w:t>
                            </w:r>
                          </w:p>
                          <w:p w14:paraId="54BA0409" w14:textId="1DA729F0" w:rsidR="001E68F9" w:rsidRPr="00F1755D" w:rsidRDefault="00270105" w:rsidP="00270105">
                            <w:pPr>
                              <w:rPr>
                                <w:rFonts w:ascii="Calibri" w:hAnsi="Calibri" w:cs="Calibri"/>
                              </w:rPr>
                            </w:pPr>
                            <w:r w:rsidRPr="00270105">
                              <w:rPr>
                                <w:rFonts w:ascii="Calibri" w:hAnsi="Calibri" w:cs="Calibri"/>
                              </w:rPr>
                              <w:t>The objective of this study was to evaluate VR's effectiveness in improving engagement and understanding of anatomy. It was hypothesized that while VR would significantly increase student engagement</w:t>
                            </w:r>
                            <w:r>
                              <w:rPr>
                                <w:rFonts w:ascii="Calibri" w:hAnsi="Calibri" w:cs="Calibr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4D248E" id="_x0000_s1030" type="#_x0000_t202" style="position:absolute;left:0;text-align:left;margin-left:-48.45pt;margin-top:873.6pt;width:249.5pt;height:150.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">
                <v:textbox>
                  <w:txbxContent>
                    <w:p w14:paraId="36492006" w14:textId="661F2BEF" w:rsidR="00270105" w:rsidRPr="00F1755D" w:rsidRDefault="001E68F9" w:rsidP="001E68F9">
                      <w:pPr>
                        <w:rPr>
                          <w:rFonts w:ascii="Calibri" w:hAnsi="Calibri" w:cs="Calibri"/>
                          <w:b/>
                          <w:bCs/>
                          <w:sz w:val="36"/>
                          <w:szCs w:val="36"/>
                        </w:rPr>
                      </w:pPr>
                      <w:r w:rsidRPr="00F1755D">
                        <w:rPr>
                          <w:rFonts w:ascii="Calibri" w:hAnsi="Calibri" w:cs="Calibri"/>
                          <w:b/>
                          <w:bCs/>
                          <w:sz w:val="36"/>
                          <w:szCs w:val="36"/>
                        </w:rPr>
                        <w:t>2</w:t>
                      </w:r>
                      <w:r w:rsidRPr="00F1755D">
                        <w:rPr>
                          <w:rFonts w:ascii="Calibri" w:hAnsi="Calibri" w:cs="Calibri"/>
                          <w:b/>
                          <w:bCs/>
                          <w:sz w:val="36"/>
                          <w:szCs w:val="36"/>
                        </w:rPr>
                        <w:t xml:space="preserve">. </w:t>
                      </w:r>
                      <w:r w:rsidR="00CF48B1">
                        <w:rPr>
                          <w:rFonts w:ascii="Calibri" w:hAnsi="Calibri" w:cs="Calibri"/>
                          <w:b/>
                          <w:bCs/>
                          <w:sz w:val="36"/>
                          <w:szCs w:val="36"/>
                        </w:rPr>
                        <w:t>Study Aim</w:t>
                      </w:r>
                    </w:p>
                    <w:p w14:paraId="54BA0409" w14:textId="1DA729F0" w:rsidR="001E68F9" w:rsidRPr="00F1755D" w:rsidRDefault="00270105" w:rsidP="00270105">
                      <w:pPr>
                        <w:rPr>
                          <w:rFonts w:ascii="Calibri" w:hAnsi="Calibri" w:cs="Calibri"/>
                        </w:rPr>
                      </w:pPr>
                      <w:r w:rsidRPr="00270105">
                        <w:rPr>
                          <w:rFonts w:ascii="Calibri" w:hAnsi="Calibri" w:cs="Calibri"/>
                        </w:rPr>
                        <w:t>The objective of this study was to evaluate VR's effectiveness in improving engagement and understanding of anatomy. It was hypothesized that while VR would significantly increase student engagement</w:t>
                      </w:r>
                      <w:r>
                        <w:rPr>
                          <w:rFonts w:ascii="Calibri" w:hAnsi="Calibri" w:cs="Calibri"/>
                        </w:rPr>
                        <w:t>.</w:t>
                      </w:r>
                    </w:p>
                  </w:txbxContent>
                </v:textbox>
                <w10:wrap type="square" anchory="page"/>
              </v:shape>
            </w:pict>
          </mc:Fallback>
        </mc:AlternateContent>
      </w:r>
      <w:r w:rsidR="00250F55" w:rsidRPr="006F7C8D">
        <w:rPr>
          <w:noProof/>
          <w:color w:val="FFFFFF" w:themeColor="background1"/>
        </w:rPr>
        <mc:AlternateContent>
          <mc:Choice Requires="wps">
            <w:drawing>
              <wp:anchor distT="45720" distB="45720" distL="114300" distR="114300" simplePos="0" relativeHeight="251666432" behindDoc="0" locked="0" layoutInCell="1" allowOverlap="1" wp14:anchorId="77D7FD55" wp14:editId="02B69F34">
                <wp:simplePos x="0" y="0"/>
                <wp:positionH relativeFrom="column">
                  <wp:posOffset>2752725</wp:posOffset>
                </wp:positionH>
                <wp:positionV relativeFrom="page">
                  <wp:posOffset>9124950</wp:posOffset>
                </wp:positionV>
                <wp:extent cx="3168650" cy="3878580"/>
                <wp:effectExtent l="0" t="0" r="12700" b="26670"/>
                <wp:wrapSquare wrapText="bothSides"/>
                <wp:docPr id="7348603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3878580"/>
                        </a:xfrm>
                        <a:prstGeom prst="rect">
                          <a:avLst/>
                        </a:prstGeom>
                        <a:solidFill>
                          <a:srgbClr val="FFFFFF"/>
                        </a:solidFill>
                        <a:ln w="9525">
                          <a:solidFill>
                            <a:srgbClr val="000000"/>
                          </a:solidFill>
                          <a:miter lim="800000"/>
                          <a:headEnd/>
                          <a:tailEnd/>
                        </a:ln>
                      </wps:spPr>
                      <wps:txbx>
                        <w:txbxContent>
                          <w:p w14:paraId="681227B6" w14:textId="4A1FF472" w:rsidR="001E68F9" w:rsidRPr="00F1755D" w:rsidRDefault="001E68F9" w:rsidP="001E68F9">
                            <w:pPr>
                              <w:rPr>
                                <w:rFonts w:ascii="Calibri" w:hAnsi="Calibri" w:cs="Calibri"/>
                                <w:b/>
                                <w:bCs/>
                                <w:sz w:val="36"/>
                                <w:szCs w:val="36"/>
                              </w:rPr>
                            </w:pPr>
                            <w:r w:rsidRPr="00F1755D">
                              <w:rPr>
                                <w:rFonts w:ascii="Calibri" w:hAnsi="Calibri" w:cs="Calibri"/>
                                <w:b/>
                                <w:bCs/>
                                <w:sz w:val="36"/>
                                <w:szCs w:val="36"/>
                              </w:rPr>
                              <w:t>4</w:t>
                            </w:r>
                            <w:r w:rsidRPr="00F1755D">
                              <w:rPr>
                                <w:rFonts w:ascii="Calibri" w:hAnsi="Calibri" w:cs="Calibri"/>
                                <w:b/>
                                <w:bCs/>
                                <w:sz w:val="36"/>
                                <w:szCs w:val="36"/>
                              </w:rPr>
                              <w:t xml:space="preserve">. </w:t>
                            </w:r>
                            <w:r w:rsidRPr="00F1755D">
                              <w:rPr>
                                <w:rFonts w:ascii="Calibri" w:hAnsi="Calibri" w:cs="Calibri"/>
                                <w:b/>
                                <w:bCs/>
                                <w:sz w:val="36"/>
                                <w:szCs w:val="36"/>
                              </w:rPr>
                              <w:t>Results</w:t>
                            </w:r>
                          </w:p>
                          <w:p w14:paraId="1B8A6F86" w14:textId="3C77951D" w:rsidR="001E68F9" w:rsidRPr="00F1755D" w:rsidRDefault="001E68F9" w:rsidP="001E68F9">
                            <w:pPr>
                              <w:rPr>
                                <w:rFonts w:ascii="Calibri" w:hAnsi="Calibri" w:cs="Calibri"/>
                              </w:rPr>
                            </w:pPr>
                            <w:r w:rsidRPr="00F1755D">
                              <w:rPr>
                                <w:rFonts w:ascii="Calibri" w:hAnsi="Calibri" w:cs="Calibri"/>
                              </w:rPr>
                              <w:t>The study's findings highlight that VR significantly boosts engagement, with participants in the VR group reporting higher levels of interaction and interest compared to the traditional group. On comprehension, participants using VR showed a greater improvement in identifying and describing anatomical structures</w:t>
                            </w:r>
                            <w:r w:rsidR="00250F55">
                              <w:rPr>
                                <w:rFonts w:ascii="Calibri" w:hAnsi="Calibri" w:cs="Calibri"/>
                              </w:rPr>
                              <w:t xml:space="preserve"> aligning with the finding </w:t>
                            </w:r>
                            <w:proofErr w:type="spellStart"/>
                            <w:r w:rsidR="00901614">
                              <w:rPr>
                                <w:rFonts w:ascii="Calibri" w:hAnsi="Calibri" w:cs="Calibri"/>
                              </w:rPr>
                              <w:t>s</w:t>
                            </w:r>
                            <w:r w:rsidR="00250F55">
                              <w:rPr>
                                <w:rFonts w:ascii="Calibri" w:hAnsi="Calibri" w:cs="Calibri"/>
                              </w:rPr>
                              <w:t>of</w:t>
                            </w:r>
                            <w:proofErr w:type="spellEnd"/>
                            <w:r w:rsidR="00250F55">
                              <w:rPr>
                                <w:rFonts w:ascii="Calibri" w:hAnsi="Calibri" w:cs="Calibri"/>
                              </w:rPr>
                              <w:t xml:space="preserve"> Karbasi et al. (2020)[2] </w:t>
                            </w:r>
                            <w:r w:rsidRPr="00F1755D">
                              <w:rPr>
                                <w:rFonts w:ascii="Calibri" w:hAnsi="Calibri" w:cs="Calibri"/>
                              </w:rPr>
                              <w:t xml:space="preserve">though the results varied among individuals. Some students achieved a deeper understanding and enhanced spatial awareness, while others were overwhelmed by the technology, suggesting a need for customization based on learner preferences and prior exposure to VR.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D7FD55" id="_x0000_s1031" type="#_x0000_t202" style="position:absolute;left:0;text-align:left;margin-left:216.75pt;margin-top:718.5pt;width:249.5pt;height:305.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">
                <v:textbox>
                  <w:txbxContent>
                    <w:p w14:paraId="681227B6" w14:textId="4A1FF472" w:rsidR="001E68F9" w:rsidRPr="00F1755D" w:rsidRDefault="001E68F9" w:rsidP="001E68F9">
                      <w:pPr>
                        <w:rPr>
                          <w:rFonts w:ascii="Calibri" w:hAnsi="Calibri" w:cs="Calibri"/>
                          <w:b/>
                          <w:bCs/>
                          <w:sz w:val="36"/>
                          <w:szCs w:val="36"/>
                        </w:rPr>
                      </w:pPr>
                      <w:r w:rsidRPr="00F1755D">
                        <w:rPr>
                          <w:rFonts w:ascii="Calibri" w:hAnsi="Calibri" w:cs="Calibri"/>
                          <w:b/>
                          <w:bCs/>
                          <w:sz w:val="36"/>
                          <w:szCs w:val="36"/>
                        </w:rPr>
                        <w:t>4</w:t>
                      </w:r>
                      <w:r w:rsidRPr="00F1755D">
                        <w:rPr>
                          <w:rFonts w:ascii="Calibri" w:hAnsi="Calibri" w:cs="Calibri"/>
                          <w:b/>
                          <w:bCs/>
                          <w:sz w:val="36"/>
                          <w:szCs w:val="36"/>
                        </w:rPr>
                        <w:t xml:space="preserve">. </w:t>
                      </w:r>
                      <w:r w:rsidRPr="00F1755D">
                        <w:rPr>
                          <w:rFonts w:ascii="Calibri" w:hAnsi="Calibri" w:cs="Calibri"/>
                          <w:b/>
                          <w:bCs/>
                          <w:sz w:val="36"/>
                          <w:szCs w:val="36"/>
                        </w:rPr>
                        <w:t>Results</w:t>
                      </w:r>
                    </w:p>
                    <w:p w14:paraId="1B8A6F86" w14:textId="3C77951D" w:rsidR="001E68F9" w:rsidRPr="00F1755D" w:rsidRDefault="001E68F9" w:rsidP="001E68F9">
                      <w:pPr>
                        <w:rPr>
                          <w:rFonts w:ascii="Calibri" w:hAnsi="Calibri" w:cs="Calibri"/>
                        </w:rPr>
                      </w:pPr>
                      <w:r w:rsidRPr="00F1755D">
                        <w:rPr>
                          <w:rFonts w:ascii="Calibri" w:hAnsi="Calibri" w:cs="Calibri"/>
                        </w:rPr>
                        <w:t>The study's findings highlight that VR significantly boosts engagement, with participants in the VR group reporting higher levels of interaction and interest compared to the traditional group. On comprehension, participants using VR showed a greater improvement in identifying and describing anatomical structures</w:t>
                      </w:r>
                      <w:r w:rsidR="00250F55">
                        <w:rPr>
                          <w:rFonts w:ascii="Calibri" w:hAnsi="Calibri" w:cs="Calibri"/>
                        </w:rPr>
                        <w:t xml:space="preserve"> aligning with the finding </w:t>
                      </w:r>
                      <w:proofErr w:type="spellStart"/>
                      <w:r w:rsidR="00901614">
                        <w:rPr>
                          <w:rFonts w:ascii="Calibri" w:hAnsi="Calibri" w:cs="Calibri"/>
                        </w:rPr>
                        <w:t>s</w:t>
                      </w:r>
                      <w:r w:rsidR="00250F55">
                        <w:rPr>
                          <w:rFonts w:ascii="Calibri" w:hAnsi="Calibri" w:cs="Calibri"/>
                        </w:rPr>
                        <w:t>of</w:t>
                      </w:r>
                      <w:proofErr w:type="spellEnd"/>
                      <w:r w:rsidR="00250F55">
                        <w:rPr>
                          <w:rFonts w:ascii="Calibri" w:hAnsi="Calibri" w:cs="Calibri"/>
                        </w:rPr>
                        <w:t xml:space="preserve"> Karbasi et al. (2020)[2] </w:t>
                      </w:r>
                      <w:r w:rsidRPr="00F1755D">
                        <w:rPr>
                          <w:rFonts w:ascii="Calibri" w:hAnsi="Calibri" w:cs="Calibri"/>
                        </w:rPr>
                        <w:t xml:space="preserve">though the results varied among individuals. Some students achieved a deeper understanding and enhanced spatial awareness, while others were overwhelmed by the technology, suggesting a need for customization based on learner preferences and prior exposure to VR. </w:t>
                      </w:r>
                    </w:p>
                  </w:txbxContent>
                </v:textbox>
                <w10:wrap type="square" anchory="page"/>
              </v:shape>
            </w:pict>
          </mc:Fallback>
        </mc:AlternateContent>
      </w:r>
      <w:r w:rsidR="00E05FE3" w:rsidRPr="006F7C8D">
        <w:rPr>
          <w:noProof/>
          <w:color w:val="FFFFFF" w:themeColor="background1"/>
        </w:rPr>
        <w:drawing>
          <wp:anchor distT="0" distB="0" distL="114300" distR="114300" simplePos="0" relativeHeight="251671552" behindDoc="0" locked="0" layoutInCell="1" allowOverlap="1" wp14:anchorId="5771C677" wp14:editId="2A0BA900">
            <wp:simplePos x="0" y="0"/>
            <wp:positionH relativeFrom="column">
              <wp:posOffset>6181725</wp:posOffset>
            </wp:positionH>
            <wp:positionV relativeFrom="page">
              <wp:posOffset>7181850</wp:posOffset>
            </wp:positionV>
            <wp:extent cx="3362960" cy="3533775"/>
            <wp:effectExtent l="0" t="0" r="8890" b="9525"/>
            <wp:wrapSquare wrapText="bothSides"/>
            <wp:docPr id="1629054167" name="Chart 1">
              <a:extLst xmlns:a="http://schemas.openxmlformats.org/drawingml/2006/main">
                <a:ext uri="{FF2B5EF4-FFF2-40B4-BE49-F238E27FC236}">
                  <a16:creationId xmlns:a16="http://schemas.microsoft.com/office/drawing/2014/main" id="{8A3F9893-F635-2632-9B5F-0AE34480A6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E05FE3" w:rsidRPr="006F7C8D">
        <w:rPr>
          <w:noProof/>
          <w:color w:val="FFFFFF" w:themeColor="background1"/>
        </w:rPr>
        <w:drawing>
          <wp:anchor distT="0" distB="0" distL="114300" distR="114300" simplePos="0" relativeHeight="251672576" behindDoc="1" locked="0" layoutInCell="1" allowOverlap="1" wp14:anchorId="73FD7C49" wp14:editId="69C8910C">
            <wp:simplePos x="0" y="0"/>
            <wp:positionH relativeFrom="column">
              <wp:posOffset>6181725</wp:posOffset>
            </wp:positionH>
            <wp:positionV relativeFrom="paragraph">
              <wp:posOffset>550545</wp:posOffset>
            </wp:positionV>
            <wp:extent cx="3362960" cy="3533775"/>
            <wp:effectExtent l="0" t="0" r="8890" b="9525"/>
            <wp:wrapNone/>
            <wp:docPr id="2061293238" name="Chart 1">
              <a:extLst xmlns:a="http://schemas.openxmlformats.org/drawingml/2006/main">
                <a:ext uri="{FF2B5EF4-FFF2-40B4-BE49-F238E27FC236}">
                  <a16:creationId xmlns:a16="http://schemas.microsoft.com/office/drawing/2014/main" id="{86F79FCA-5224-74CB-7528-F87E443AF0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E05FE3" w:rsidRPr="006F7C8D">
        <w:rPr>
          <w:noProof/>
          <w:color w:val="FFFFFF" w:themeColor="background1"/>
        </w:rPr>
        <mc:AlternateContent>
          <mc:Choice Requires="wps">
            <w:drawing>
              <wp:anchor distT="45720" distB="45720" distL="114300" distR="114300" simplePos="0" relativeHeight="251664384" behindDoc="0" locked="0" layoutInCell="1" allowOverlap="1" wp14:anchorId="18A6A5AB" wp14:editId="012D42A3">
                <wp:simplePos x="0" y="0"/>
                <wp:positionH relativeFrom="column">
                  <wp:posOffset>2762250</wp:posOffset>
                </wp:positionH>
                <wp:positionV relativeFrom="page">
                  <wp:posOffset>3400425</wp:posOffset>
                </wp:positionV>
                <wp:extent cx="3168650" cy="3143250"/>
                <wp:effectExtent l="0" t="0" r="12700" b="19050"/>
                <wp:wrapSquare wrapText="bothSides"/>
                <wp:docPr id="8498497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3143250"/>
                        </a:xfrm>
                        <a:prstGeom prst="rect">
                          <a:avLst/>
                        </a:prstGeom>
                        <a:solidFill>
                          <a:srgbClr val="FFFFFF"/>
                        </a:solidFill>
                        <a:ln w="9525">
                          <a:solidFill>
                            <a:srgbClr val="000000"/>
                          </a:solidFill>
                          <a:miter lim="800000"/>
                          <a:headEnd/>
                          <a:tailEnd/>
                        </a:ln>
                      </wps:spPr>
                      <wps:txbx>
                        <w:txbxContent>
                          <w:p w14:paraId="6E8383F0" w14:textId="452EA245" w:rsidR="001E68F9" w:rsidRPr="00F1755D" w:rsidRDefault="001E68F9" w:rsidP="001E68F9">
                            <w:pPr>
                              <w:rPr>
                                <w:rFonts w:ascii="Calibri" w:hAnsi="Calibri" w:cs="Calibri"/>
                                <w:b/>
                                <w:bCs/>
                                <w:sz w:val="36"/>
                                <w:szCs w:val="36"/>
                              </w:rPr>
                            </w:pPr>
                            <w:r w:rsidRPr="00F1755D">
                              <w:rPr>
                                <w:rFonts w:ascii="Calibri" w:hAnsi="Calibri" w:cs="Calibri"/>
                                <w:b/>
                                <w:bCs/>
                                <w:sz w:val="36"/>
                                <w:szCs w:val="36"/>
                              </w:rPr>
                              <w:t>3</w:t>
                            </w:r>
                            <w:r w:rsidRPr="00F1755D">
                              <w:rPr>
                                <w:rFonts w:ascii="Calibri" w:hAnsi="Calibri" w:cs="Calibri"/>
                                <w:b/>
                                <w:bCs/>
                                <w:sz w:val="36"/>
                                <w:szCs w:val="36"/>
                              </w:rPr>
                              <w:t xml:space="preserve">. </w:t>
                            </w:r>
                            <w:r w:rsidRPr="00F1755D">
                              <w:rPr>
                                <w:rFonts w:ascii="Calibri" w:hAnsi="Calibri" w:cs="Calibri"/>
                                <w:b/>
                                <w:bCs/>
                                <w:sz w:val="36"/>
                                <w:szCs w:val="36"/>
                              </w:rPr>
                              <w:t>Methodology</w:t>
                            </w:r>
                          </w:p>
                          <w:p w14:paraId="466973DD" w14:textId="615CC976" w:rsidR="001E68F9" w:rsidRPr="00F1755D" w:rsidRDefault="001E68F9" w:rsidP="001E68F9">
                            <w:pPr>
                              <w:rPr>
                                <w:rFonts w:ascii="Calibri" w:hAnsi="Calibri" w:cs="Calibri"/>
                              </w:rPr>
                            </w:pPr>
                            <w:r w:rsidRPr="00F1755D">
                              <w:rPr>
                                <w:rFonts w:ascii="Calibri" w:hAnsi="Calibri" w:cs="Calibri"/>
                              </w:rPr>
                              <w:t>This study utilized a randomized controlled trial to compare traditional learning methods with a VR-based anatomy training tool.</w:t>
                            </w:r>
                            <w:r w:rsidR="00E05FE3">
                              <w:rPr>
                                <w:rFonts w:ascii="Calibri" w:hAnsi="Calibri" w:cs="Calibri"/>
                              </w:rPr>
                              <w:t xml:space="preserve"> Participants</w:t>
                            </w:r>
                            <w:r w:rsidRPr="00F1755D">
                              <w:rPr>
                                <w:rFonts w:ascii="Calibri" w:hAnsi="Calibri" w:cs="Calibri"/>
                              </w:rPr>
                              <w:t xml:space="preserve"> were randomly assigned to either the control group, using traditional diagrams</w:t>
                            </w:r>
                            <w:r w:rsidR="00E05FE3">
                              <w:rPr>
                                <w:rFonts w:ascii="Calibri" w:hAnsi="Calibri" w:cs="Calibri"/>
                              </w:rPr>
                              <w:t xml:space="preserve"> and images</w:t>
                            </w:r>
                            <w:r w:rsidRPr="00F1755D">
                              <w:rPr>
                                <w:rFonts w:ascii="Calibri" w:hAnsi="Calibri" w:cs="Calibri"/>
                              </w:rPr>
                              <w:t xml:space="preserve">, or the experimental group, using VR headsets to explore interactive 3D models of human anatomy. Data </w:t>
                            </w:r>
                            <w:r w:rsidR="00A87038">
                              <w:rPr>
                                <w:rFonts w:ascii="Calibri" w:hAnsi="Calibri" w:cs="Calibri"/>
                              </w:rPr>
                              <w:t xml:space="preserve">and engagement </w:t>
                            </w:r>
                            <w:r w:rsidR="00E05FE3" w:rsidRPr="00F1755D">
                              <w:rPr>
                                <w:rFonts w:ascii="Calibri" w:hAnsi="Calibri" w:cs="Calibri"/>
                              </w:rPr>
                              <w:t>w</w:t>
                            </w:r>
                            <w:r w:rsidR="00E05FE3">
                              <w:rPr>
                                <w:rFonts w:ascii="Calibri" w:hAnsi="Calibri" w:cs="Calibri"/>
                              </w:rPr>
                              <w:t>ere</w:t>
                            </w:r>
                            <w:r w:rsidR="00A87038">
                              <w:rPr>
                                <w:rFonts w:ascii="Calibri" w:hAnsi="Calibri" w:cs="Calibri"/>
                              </w:rPr>
                              <w:t xml:space="preserve"> </w:t>
                            </w:r>
                            <w:r w:rsidRPr="00F1755D">
                              <w:rPr>
                                <w:rFonts w:ascii="Calibri" w:hAnsi="Calibri" w:cs="Calibri"/>
                              </w:rPr>
                              <w:t>collected through pre- and post-intervention tests to assess knowledge acquisition and retention, while</w:t>
                            </w:r>
                            <w:r w:rsidR="00A87038">
                              <w:rPr>
                                <w:rFonts w:ascii="Calibri" w:hAnsi="Calibri" w:cs="Calibri"/>
                              </w:rPr>
                              <w:t xml:space="preserve"> being</w:t>
                            </w:r>
                            <w:r w:rsidRPr="00F1755D">
                              <w:rPr>
                                <w:rFonts w:ascii="Calibri" w:hAnsi="Calibri" w:cs="Calibri"/>
                              </w:rPr>
                              <w:t xml:space="preserve"> evaluated using both self-reported and observational metrics</w:t>
                            </w:r>
                            <w:r w:rsidR="00E05FE3">
                              <w:rPr>
                                <w:rFonts w:ascii="Calibri" w:hAnsi="Calibri" w:cs="Calibr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A6A5AB" id="_x0000_s1032" type="#_x0000_t202" style="position:absolute;left:0;text-align:left;margin-left:217.5pt;margin-top:267.75pt;width:249.5pt;height:24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">
                <v:textbox>
                  <w:txbxContent>
                    <w:p w14:paraId="6E8383F0" w14:textId="452EA245" w:rsidR="001E68F9" w:rsidRPr="00F1755D" w:rsidRDefault="001E68F9" w:rsidP="001E68F9">
                      <w:pPr>
                        <w:rPr>
                          <w:rFonts w:ascii="Calibri" w:hAnsi="Calibri" w:cs="Calibri"/>
                          <w:b/>
                          <w:bCs/>
                          <w:sz w:val="36"/>
                          <w:szCs w:val="36"/>
                        </w:rPr>
                      </w:pPr>
                      <w:r w:rsidRPr="00F1755D">
                        <w:rPr>
                          <w:rFonts w:ascii="Calibri" w:hAnsi="Calibri" w:cs="Calibri"/>
                          <w:b/>
                          <w:bCs/>
                          <w:sz w:val="36"/>
                          <w:szCs w:val="36"/>
                        </w:rPr>
                        <w:t>3</w:t>
                      </w:r>
                      <w:r w:rsidRPr="00F1755D">
                        <w:rPr>
                          <w:rFonts w:ascii="Calibri" w:hAnsi="Calibri" w:cs="Calibri"/>
                          <w:b/>
                          <w:bCs/>
                          <w:sz w:val="36"/>
                          <w:szCs w:val="36"/>
                        </w:rPr>
                        <w:t xml:space="preserve">. </w:t>
                      </w:r>
                      <w:r w:rsidRPr="00F1755D">
                        <w:rPr>
                          <w:rFonts w:ascii="Calibri" w:hAnsi="Calibri" w:cs="Calibri"/>
                          <w:b/>
                          <w:bCs/>
                          <w:sz w:val="36"/>
                          <w:szCs w:val="36"/>
                        </w:rPr>
                        <w:t>Methodology</w:t>
                      </w:r>
                    </w:p>
                    <w:p w14:paraId="466973DD" w14:textId="615CC976" w:rsidR="001E68F9" w:rsidRPr="00F1755D" w:rsidRDefault="001E68F9" w:rsidP="001E68F9">
                      <w:pPr>
                        <w:rPr>
                          <w:rFonts w:ascii="Calibri" w:hAnsi="Calibri" w:cs="Calibri"/>
                        </w:rPr>
                      </w:pPr>
                      <w:r w:rsidRPr="00F1755D">
                        <w:rPr>
                          <w:rFonts w:ascii="Calibri" w:hAnsi="Calibri" w:cs="Calibri"/>
                        </w:rPr>
                        <w:t>This study utilized a randomized controlled trial to compare traditional learning methods with a VR-based anatomy training tool.</w:t>
                      </w:r>
                      <w:r w:rsidR="00E05FE3">
                        <w:rPr>
                          <w:rFonts w:ascii="Calibri" w:hAnsi="Calibri" w:cs="Calibri"/>
                        </w:rPr>
                        <w:t xml:space="preserve"> Participants</w:t>
                      </w:r>
                      <w:r w:rsidRPr="00F1755D">
                        <w:rPr>
                          <w:rFonts w:ascii="Calibri" w:hAnsi="Calibri" w:cs="Calibri"/>
                        </w:rPr>
                        <w:t xml:space="preserve"> were randomly assigned to either the control group, using traditional diagrams</w:t>
                      </w:r>
                      <w:r w:rsidR="00E05FE3">
                        <w:rPr>
                          <w:rFonts w:ascii="Calibri" w:hAnsi="Calibri" w:cs="Calibri"/>
                        </w:rPr>
                        <w:t xml:space="preserve"> and images</w:t>
                      </w:r>
                      <w:r w:rsidRPr="00F1755D">
                        <w:rPr>
                          <w:rFonts w:ascii="Calibri" w:hAnsi="Calibri" w:cs="Calibri"/>
                        </w:rPr>
                        <w:t xml:space="preserve">, or the experimental group, using VR headsets to explore interactive 3D models of human anatomy. Data </w:t>
                      </w:r>
                      <w:r w:rsidR="00A87038">
                        <w:rPr>
                          <w:rFonts w:ascii="Calibri" w:hAnsi="Calibri" w:cs="Calibri"/>
                        </w:rPr>
                        <w:t xml:space="preserve">and engagement </w:t>
                      </w:r>
                      <w:r w:rsidR="00E05FE3" w:rsidRPr="00F1755D">
                        <w:rPr>
                          <w:rFonts w:ascii="Calibri" w:hAnsi="Calibri" w:cs="Calibri"/>
                        </w:rPr>
                        <w:t>w</w:t>
                      </w:r>
                      <w:r w:rsidR="00E05FE3">
                        <w:rPr>
                          <w:rFonts w:ascii="Calibri" w:hAnsi="Calibri" w:cs="Calibri"/>
                        </w:rPr>
                        <w:t>ere</w:t>
                      </w:r>
                      <w:r w:rsidR="00A87038">
                        <w:rPr>
                          <w:rFonts w:ascii="Calibri" w:hAnsi="Calibri" w:cs="Calibri"/>
                        </w:rPr>
                        <w:t xml:space="preserve"> </w:t>
                      </w:r>
                      <w:r w:rsidRPr="00F1755D">
                        <w:rPr>
                          <w:rFonts w:ascii="Calibri" w:hAnsi="Calibri" w:cs="Calibri"/>
                        </w:rPr>
                        <w:t>collected through pre- and post-intervention tests to assess knowledge acquisition and retention, while</w:t>
                      </w:r>
                      <w:r w:rsidR="00A87038">
                        <w:rPr>
                          <w:rFonts w:ascii="Calibri" w:hAnsi="Calibri" w:cs="Calibri"/>
                        </w:rPr>
                        <w:t xml:space="preserve"> being</w:t>
                      </w:r>
                      <w:r w:rsidRPr="00F1755D">
                        <w:rPr>
                          <w:rFonts w:ascii="Calibri" w:hAnsi="Calibri" w:cs="Calibri"/>
                        </w:rPr>
                        <w:t xml:space="preserve"> evaluated using both self-reported and observational metrics</w:t>
                      </w:r>
                      <w:r w:rsidR="00E05FE3">
                        <w:rPr>
                          <w:rFonts w:ascii="Calibri" w:hAnsi="Calibri" w:cs="Calibri"/>
                        </w:rPr>
                        <w:t>.</w:t>
                      </w:r>
                    </w:p>
                  </w:txbxContent>
                </v:textbox>
                <w10:wrap type="square" anchory="page"/>
              </v:shape>
            </w:pict>
          </mc:Fallback>
        </mc:AlternateContent>
      </w:r>
      <w:r w:rsidR="00270105" w:rsidRPr="006F7C8D">
        <w:rPr>
          <w:color w:val="FFFFFF" w:themeColor="background1"/>
        </w:rPr>
        <w:t>Contact: 2112389@STUDENT.UWTSD.AC.UK</w:t>
      </w:r>
    </w:p>
    <w:sectPr w:rsidR="005F1BF2" w:rsidSect="00012B44">
      <w:headerReference w:type="default" r:id="rId11"/>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EAFDF2" w14:textId="77777777" w:rsidR="00012B44" w:rsidRDefault="00012B44" w:rsidP="004E740B">
      <w:pPr>
        <w:spacing w:after="0" w:line="240" w:lineRule="auto"/>
      </w:pPr>
      <w:r>
        <w:separator/>
      </w:r>
    </w:p>
  </w:endnote>
  <w:endnote w:type="continuationSeparator" w:id="0">
    <w:p w14:paraId="32006721" w14:textId="77777777" w:rsidR="00012B44" w:rsidRDefault="00012B44" w:rsidP="004E7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8E6E3" w14:textId="77777777" w:rsidR="00012B44" w:rsidRDefault="00012B44" w:rsidP="004E740B">
      <w:pPr>
        <w:spacing w:after="0" w:line="240" w:lineRule="auto"/>
      </w:pPr>
      <w:r>
        <w:separator/>
      </w:r>
    </w:p>
  </w:footnote>
  <w:footnote w:type="continuationSeparator" w:id="0">
    <w:p w14:paraId="0C2B79CD" w14:textId="77777777" w:rsidR="00012B44" w:rsidRDefault="00012B44" w:rsidP="004E7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779AE" w14:textId="0B35A715" w:rsidR="004E740B" w:rsidRDefault="004E740B" w:rsidP="004E740B">
    <w:pPr>
      <w:pStyle w:val="Header"/>
      <w:tabs>
        <w:tab w:val="clear" w:pos="9026"/>
        <w:tab w:val="right" w:pos="13958"/>
      </w:tabs>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770"/>
    <w:rsid w:val="00012B44"/>
    <w:rsid w:val="001D43C1"/>
    <w:rsid w:val="001E68F9"/>
    <w:rsid w:val="00250F55"/>
    <w:rsid w:val="00270105"/>
    <w:rsid w:val="004E740B"/>
    <w:rsid w:val="005F1BF2"/>
    <w:rsid w:val="00610B1B"/>
    <w:rsid w:val="006F7C8D"/>
    <w:rsid w:val="00756770"/>
    <w:rsid w:val="007E5CD5"/>
    <w:rsid w:val="00901614"/>
    <w:rsid w:val="009C1B0B"/>
    <w:rsid w:val="00A87038"/>
    <w:rsid w:val="00AB2C30"/>
    <w:rsid w:val="00CF48B1"/>
    <w:rsid w:val="00E05FE3"/>
    <w:rsid w:val="00E8791C"/>
    <w:rsid w:val="00F17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6C8CB"/>
  <w15:chartTrackingRefBased/>
  <w15:docId w15:val="{21AF832B-BC15-4BD9-A1DA-72BA235AE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7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67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67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67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67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67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67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67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67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7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67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67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67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67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67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67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67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6770"/>
    <w:rPr>
      <w:rFonts w:eastAsiaTheme="majorEastAsia" w:cstheme="majorBidi"/>
      <w:color w:val="272727" w:themeColor="text1" w:themeTint="D8"/>
    </w:rPr>
  </w:style>
  <w:style w:type="paragraph" w:styleId="Title">
    <w:name w:val="Title"/>
    <w:basedOn w:val="Normal"/>
    <w:next w:val="Normal"/>
    <w:link w:val="TitleChar"/>
    <w:uiPriority w:val="10"/>
    <w:qFormat/>
    <w:rsid w:val="007567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67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67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67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6770"/>
    <w:pPr>
      <w:spacing w:before="160"/>
      <w:jc w:val="center"/>
    </w:pPr>
    <w:rPr>
      <w:i/>
      <w:iCs/>
      <w:color w:val="404040" w:themeColor="text1" w:themeTint="BF"/>
    </w:rPr>
  </w:style>
  <w:style w:type="character" w:customStyle="1" w:styleId="QuoteChar">
    <w:name w:val="Quote Char"/>
    <w:basedOn w:val="DefaultParagraphFont"/>
    <w:link w:val="Quote"/>
    <w:uiPriority w:val="29"/>
    <w:rsid w:val="00756770"/>
    <w:rPr>
      <w:i/>
      <w:iCs/>
      <w:color w:val="404040" w:themeColor="text1" w:themeTint="BF"/>
    </w:rPr>
  </w:style>
  <w:style w:type="paragraph" w:styleId="ListParagraph">
    <w:name w:val="List Paragraph"/>
    <w:basedOn w:val="Normal"/>
    <w:uiPriority w:val="34"/>
    <w:qFormat/>
    <w:rsid w:val="00756770"/>
    <w:pPr>
      <w:ind w:left="720"/>
      <w:contextualSpacing/>
    </w:pPr>
  </w:style>
  <w:style w:type="character" w:styleId="IntenseEmphasis">
    <w:name w:val="Intense Emphasis"/>
    <w:basedOn w:val="DefaultParagraphFont"/>
    <w:uiPriority w:val="21"/>
    <w:qFormat/>
    <w:rsid w:val="00756770"/>
    <w:rPr>
      <w:i/>
      <w:iCs/>
      <w:color w:val="0F4761" w:themeColor="accent1" w:themeShade="BF"/>
    </w:rPr>
  </w:style>
  <w:style w:type="paragraph" w:styleId="IntenseQuote">
    <w:name w:val="Intense Quote"/>
    <w:basedOn w:val="Normal"/>
    <w:next w:val="Normal"/>
    <w:link w:val="IntenseQuoteChar"/>
    <w:uiPriority w:val="30"/>
    <w:qFormat/>
    <w:rsid w:val="007567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6770"/>
    <w:rPr>
      <w:i/>
      <w:iCs/>
      <w:color w:val="0F4761" w:themeColor="accent1" w:themeShade="BF"/>
    </w:rPr>
  </w:style>
  <w:style w:type="character" w:styleId="IntenseReference">
    <w:name w:val="Intense Reference"/>
    <w:basedOn w:val="DefaultParagraphFont"/>
    <w:uiPriority w:val="32"/>
    <w:qFormat/>
    <w:rsid w:val="00756770"/>
    <w:rPr>
      <w:b/>
      <w:bCs/>
      <w:smallCaps/>
      <w:color w:val="0F4761" w:themeColor="accent1" w:themeShade="BF"/>
      <w:spacing w:val="5"/>
    </w:rPr>
  </w:style>
  <w:style w:type="paragraph" w:styleId="NormalWeb">
    <w:name w:val="Normal (Web)"/>
    <w:basedOn w:val="Normal"/>
    <w:uiPriority w:val="99"/>
    <w:unhideWhenUsed/>
    <w:rsid w:val="004E74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4E7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40B"/>
  </w:style>
  <w:style w:type="paragraph" w:styleId="Footer">
    <w:name w:val="footer"/>
    <w:basedOn w:val="Normal"/>
    <w:link w:val="FooterChar"/>
    <w:uiPriority w:val="99"/>
    <w:unhideWhenUsed/>
    <w:rsid w:val="004E7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40B"/>
  </w:style>
  <w:style w:type="paragraph" w:styleId="Bibliography">
    <w:name w:val="Bibliography"/>
    <w:basedOn w:val="Normal"/>
    <w:next w:val="Normal"/>
    <w:uiPriority w:val="37"/>
    <w:unhideWhenUsed/>
    <w:rsid w:val="00250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8441">
      <w:bodyDiv w:val="1"/>
      <w:marLeft w:val="0"/>
      <w:marRight w:val="0"/>
      <w:marTop w:val="0"/>
      <w:marBottom w:val="0"/>
      <w:divBdr>
        <w:top w:val="none" w:sz="0" w:space="0" w:color="auto"/>
        <w:left w:val="none" w:sz="0" w:space="0" w:color="auto"/>
        <w:bottom w:val="none" w:sz="0" w:space="0" w:color="auto"/>
        <w:right w:val="none" w:sz="0" w:space="0" w:color="auto"/>
      </w:divBdr>
    </w:div>
    <w:div w:id="1528521291">
      <w:bodyDiv w:val="1"/>
      <w:marLeft w:val="0"/>
      <w:marRight w:val="0"/>
      <w:marTop w:val="0"/>
      <w:marBottom w:val="0"/>
      <w:divBdr>
        <w:top w:val="none" w:sz="0" w:space="0" w:color="auto"/>
        <w:left w:val="none" w:sz="0" w:space="0" w:color="auto"/>
        <w:bottom w:val="none" w:sz="0" w:space="0" w:color="auto"/>
        <w:right w:val="none" w:sz="0" w:space="0" w:color="auto"/>
      </w:divBdr>
    </w:div>
    <w:div w:id="1565750418">
      <w:bodyDiv w:val="1"/>
      <w:marLeft w:val="0"/>
      <w:marRight w:val="0"/>
      <w:marTop w:val="0"/>
      <w:marBottom w:val="0"/>
      <w:divBdr>
        <w:top w:val="none" w:sz="0" w:space="0" w:color="auto"/>
        <w:left w:val="none" w:sz="0" w:space="0" w:color="auto"/>
        <w:bottom w:val="none" w:sz="0" w:space="0" w:color="auto"/>
        <w:right w:val="none" w:sz="0" w:space="0" w:color="auto"/>
      </w:divBdr>
    </w:div>
    <w:div w:id="160661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shua\Downloads\Pre%20Study%20Questionnaire(1-1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shua\Downloads\Pre%20Study%20Questionnaire(1-1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shua\Downloads\Pre%20Study%20Questionnaire(1-1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Sheet1!$O$55</c:f>
              <c:strCache>
                <c:ptCount val="1"/>
                <c:pt idx="0">
                  <c:v>Participant Distribution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FEE-4798-9BD8-9F05206618F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FEE-4798-9BD8-9F05206618F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Sheet1!$N$56:$N$57</c:f>
              <c:strCache>
                <c:ptCount val="2"/>
                <c:pt idx="0">
                  <c:v>Traditional Methods</c:v>
                </c:pt>
                <c:pt idx="1">
                  <c:v>Virtual Reality</c:v>
                </c:pt>
              </c:strCache>
            </c:strRef>
          </c:cat>
          <c:val>
            <c:numRef>
              <c:f>Sheet1!$O$56:$O$57</c:f>
              <c:numCache>
                <c:formatCode>General</c:formatCode>
                <c:ptCount val="2"/>
                <c:pt idx="0">
                  <c:v>6</c:v>
                </c:pt>
                <c:pt idx="1">
                  <c:v>4</c:v>
                </c:pt>
              </c:numCache>
            </c:numRef>
          </c:val>
          <c:extLst>
            <c:ext xmlns:c16="http://schemas.microsoft.com/office/drawing/2014/chart" uri="{C3380CC4-5D6E-409C-BE32-E72D297353CC}">
              <c16:uniqueId val="{00000004-6FEE-4798-9BD8-9F05206618FE}"/>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engagement scores for the VR group versus the traditional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Sheet1!$K$33</c:f>
              <c:strCache>
                <c:ptCount val="1"/>
                <c:pt idx="0">
                  <c:v>Pre-Study</c:v>
                </c:pt>
              </c:strCache>
            </c:strRef>
          </c:tx>
          <c:spPr>
            <a:solidFill>
              <a:schemeClr val="accent1"/>
            </a:solidFill>
            <a:ln>
              <a:noFill/>
            </a:ln>
            <a:effectLst/>
          </c:spPr>
          <c:invertIfNegative val="0"/>
          <c:cat>
            <c:strRef>
              <c:f>Sheet1!$L$32:$M$32</c:f>
              <c:strCache>
                <c:ptCount val="2"/>
                <c:pt idx="0">
                  <c:v>VR Group</c:v>
                </c:pt>
                <c:pt idx="1">
                  <c:v>Traditional Group</c:v>
                </c:pt>
              </c:strCache>
            </c:strRef>
          </c:cat>
          <c:val>
            <c:numRef>
              <c:f>Sheet1!$L$33:$M$33</c:f>
              <c:numCache>
                <c:formatCode>General</c:formatCode>
                <c:ptCount val="2"/>
                <c:pt idx="0">
                  <c:v>2.75</c:v>
                </c:pt>
                <c:pt idx="1">
                  <c:v>2.665</c:v>
                </c:pt>
              </c:numCache>
            </c:numRef>
          </c:val>
          <c:extLst>
            <c:ext xmlns:c16="http://schemas.microsoft.com/office/drawing/2014/chart" uri="{C3380CC4-5D6E-409C-BE32-E72D297353CC}">
              <c16:uniqueId val="{00000000-7F99-4A0F-A321-D078509693CC}"/>
            </c:ext>
          </c:extLst>
        </c:ser>
        <c:ser>
          <c:idx val="1"/>
          <c:order val="1"/>
          <c:tx>
            <c:strRef>
              <c:f>Sheet1!$K$34</c:f>
              <c:strCache>
                <c:ptCount val="1"/>
                <c:pt idx="0">
                  <c:v>Post-Study</c:v>
                </c:pt>
              </c:strCache>
            </c:strRef>
          </c:tx>
          <c:spPr>
            <a:solidFill>
              <a:schemeClr val="accent2"/>
            </a:solidFill>
            <a:ln>
              <a:noFill/>
            </a:ln>
            <a:effectLst/>
          </c:spPr>
          <c:invertIfNegative val="0"/>
          <c:cat>
            <c:strRef>
              <c:f>Sheet1!$L$32:$M$32</c:f>
              <c:strCache>
                <c:ptCount val="2"/>
                <c:pt idx="0">
                  <c:v>VR Group</c:v>
                </c:pt>
                <c:pt idx="1">
                  <c:v>Traditional Group</c:v>
                </c:pt>
              </c:strCache>
            </c:strRef>
          </c:cat>
          <c:val>
            <c:numRef>
              <c:f>Sheet1!$L$34:$M$34</c:f>
              <c:numCache>
                <c:formatCode>General</c:formatCode>
                <c:ptCount val="2"/>
                <c:pt idx="0">
                  <c:v>4.25</c:v>
                </c:pt>
                <c:pt idx="1">
                  <c:v>3.83</c:v>
                </c:pt>
              </c:numCache>
            </c:numRef>
          </c:val>
          <c:extLst>
            <c:ext xmlns:c16="http://schemas.microsoft.com/office/drawing/2014/chart" uri="{C3380CC4-5D6E-409C-BE32-E72D297353CC}">
              <c16:uniqueId val="{00000001-7F99-4A0F-A321-D078509693CC}"/>
            </c:ext>
          </c:extLst>
        </c:ser>
        <c:dLbls>
          <c:showLegendKey val="0"/>
          <c:showVal val="0"/>
          <c:showCatName val="0"/>
          <c:showSerName val="0"/>
          <c:showPercent val="0"/>
          <c:showBubbleSize val="0"/>
        </c:dLbls>
        <c:gapWidth val="219"/>
        <c:overlap val="-27"/>
        <c:axId val="139553520"/>
        <c:axId val="139551120"/>
      </c:barChart>
      <c:catAx>
        <c:axId val="1395535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Study</a:t>
                </a:r>
                <a:r>
                  <a:rPr lang="en-GB" baseline="0"/>
                  <a:t> Groups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51120"/>
        <c:crosses val="autoZero"/>
        <c:auto val="1"/>
        <c:lblAlgn val="ctr"/>
        <c:lblOffset val="100"/>
        <c:noMultiLvlLbl val="0"/>
      </c:catAx>
      <c:valAx>
        <c:axId val="139551120"/>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Rating (out of 5)</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53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pre- and post-test scores for comprehension for both the VR and traditional groups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Sheet1!$O$33</c:f>
              <c:strCache>
                <c:ptCount val="1"/>
                <c:pt idx="0">
                  <c:v>Pre-Study</c:v>
                </c:pt>
              </c:strCache>
            </c:strRef>
          </c:tx>
          <c:spPr>
            <a:solidFill>
              <a:schemeClr val="accent1"/>
            </a:solidFill>
            <a:ln>
              <a:noFill/>
            </a:ln>
            <a:effectLst/>
          </c:spPr>
          <c:invertIfNegative val="0"/>
          <c:cat>
            <c:strRef>
              <c:f>Sheet1!$P$32:$Q$32</c:f>
              <c:strCache>
                <c:ptCount val="2"/>
                <c:pt idx="0">
                  <c:v>VR Group</c:v>
                </c:pt>
                <c:pt idx="1">
                  <c:v>Traditional Group</c:v>
                </c:pt>
              </c:strCache>
            </c:strRef>
          </c:cat>
          <c:val>
            <c:numRef>
              <c:f>Sheet1!$P$33:$Q$33</c:f>
              <c:numCache>
                <c:formatCode>General</c:formatCode>
                <c:ptCount val="2"/>
                <c:pt idx="0">
                  <c:v>2.25</c:v>
                </c:pt>
                <c:pt idx="1">
                  <c:v>2.83</c:v>
                </c:pt>
              </c:numCache>
            </c:numRef>
          </c:val>
          <c:extLst>
            <c:ext xmlns:c16="http://schemas.microsoft.com/office/drawing/2014/chart" uri="{C3380CC4-5D6E-409C-BE32-E72D297353CC}">
              <c16:uniqueId val="{00000000-79CF-48D5-9095-12A7034359F0}"/>
            </c:ext>
          </c:extLst>
        </c:ser>
        <c:ser>
          <c:idx val="1"/>
          <c:order val="1"/>
          <c:tx>
            <c:strRef>
              <c:f>Sheet1!$O$34</c:f>
              <c:strCache>
                <c:ptCount val="1"/>
                <c:pt idx="0">
                  <c:v>Post-Study</c:v>
                </c:pt>
              </c:strCache>
            </c:strRef>
          </c:tx>
          <c:spPr>
            <a:solidFill>
              <a:schemeClr val="accent2"/>
            </a:solidFill>
            <a:ln>
              <a:noFill/>
            </a:ln>
            <a:effectLst/>
          </c:spPr>
          <c:invertIfNegative val="0"/>
          <c:cat>
            <c:strRef>
              <c:f>Sheet1!$P$32:$Q$32</c:f>
              <c:strCache>
                <c:ptCount val="2"/>
                <c:pt idx="0">
                  <c:v>VR Group</c:v>
                </c:pt>
                <c:pt idx="1">
                  <c:v>Traditional Group</c:v>
                </c:pt>
              </c:strCache>
            </c:strRef>
          </c:cat>
          <c:val>
            <c:numRef>
              <c:f>Sheet1!$P$34:$Q$34</c:f>
              <c:numCache>
                <c:formatCode>General</c:formatCode>
                <c:ptCount val="2"/>
                <c:pt idx="0">
                  <c:v>3.17</c:v>
                </c:pt>
                <c:pt idx="1">
                  <c:v>3.25</c:v>
                </c:pt>
              </c:numCache>
            </c:numRef>
          </c:val>
          <c:extLst>
            <c:ext xmlns:c16="http://schemas.microsoft.com/office/drawing/2014/chart" uri="{C3380CC4-5D6E-409C-BE32-E72D297353CC}">
              <c16:uniqueId val="{00000001-79CF-48D5-9095-12A7034359F0}"/>
            </c:ext>
          </c:extLst>
        </c:ser>
        <c:dLbls>
          <c:showLegendKey val="0"/>
          <c:showVal val="0"/>
          <c:showCatName val="0"/>
          <c:showSerName val="0"/>
          <c:showPercent val="0"/>
          <c:showBubbleSize val="0"/>
        </c:dLbls>
        <c:gapWidth val="219"/>
        <c:overlap val="-27"/>
        <c:axId val="1636382832"/>
        <c:axId val="1636383792"/>
      </c:barChart>
      <c:catAx>
        <c:axId val="1636382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Study Group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6383792"/>
        <c:crosses val="autoZero"/>
        <c:auto val="1"/>
        <c:lblAlgn val="ctr"/>
        <c:lblOffset val="100"/>
        <c:noMultiLvlLbl val="0"/>
      </c:catAx>
      <c:valAx>
        <c:axId val="1636383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Rating (out of 5)</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6382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Liu23</b:Tag>
    <b:SourceType>DocumentFromInternetSite</b:SourceType>
    <b:Guid>{8DA3D734-E209-41A7-8CC6-1C6B92242D38}</b:Guid>
    <b:Title>Effectiveness of virtual reality in nursing education: a systematic review and meta-analysis</b:Title>
    <b:Year>2023</b:Year>
    <b:Month>09</b:Month>
    <b:Day>28</b:Day>
    <b:YearAccessed>2024</b:YearAccessed>
    <b:MonthAccessed>04</b:MonthAccessed>
    <b:DayAccessed>15</b:DayAccessed>
    <b:URL>https://bmcmededuc.biomedcentral.com/articles/10.1186/s12909-023-04662-x</b:URL>
    <b:Author>
      <b:Author>
        <b:NameList>
          <b:Person>
            <b:Last>Liu</b:Last>
            <b:First>Kai</b:First>
          </b:Person>
          <b:Person>
            <b:Last>Li</b:Last>
            <b:First>Wei</b:First>
          </b:Person>
          <b:Person>
            <b:Last>Wang</b:Last>
            <b:First>Ting</b:First>
          </b:Person>
          <b:Person>
            <b:Last>Zheng</b:Last>
            <b:First>Yanxue</b:First>
          </b:Person>
        </b:NameList>
      </b:Author>
    </b:Author>
    <b:RefOrder>1</b:RefOrder>
  </b:Source>
</b:Sources>
</file>

<file path=customXml/itemProps1.xml><?xml version="1.0" encoding="utf-8"?>
<ds:datastoreItem xmlns:ds="http://schemas.openxmlformats.org/officeDocument/2006/customXml" ds:itemID="{AC997C16-F88F-4300-93C7-C0BA9A449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30</Words>
  <Characters>174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Verified 🎅</dc:creator>
  <cp:keywords/>
  <dc:description/>
  <cp:lastModifiedBy>Verified 🎅</cp:lastModifiedBy>
  <cp:revision>5</cp:revision>
  <dcterms:created xsi:type="dcterms:W3CDTF">2024-04-29T21:27:00Z</dcterms:created>
  <dcterms:modified xsi:type="dcterms:W3CDTF">2024-05-03T12:21:00Z</dcterms:modified>
</cp:coreProperties>
</file>