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0F0122B" wp14:paraId="35955FE6" wp14:textId="7B50990E">
      <w:pPr>
        <w:spacing w:before="0" w:beforeAutospacing="off" w:after="0" w:afterAutospacing="off"/>
        <w:jc w:val="center"/>
      </w:pPr>
      <w:r w:rsidRPr="60F0122B" w:rsidR="728B586B">
        <w:rPr>
          <w:rFonts w:ascii="Arial" w:hAnsi="Arial" w:eastAsia="Arial" w:cs="Arial"/>
          <w:b w:val="0"/>
          <w:bCs w:val="0"/>
          <w:i w:val="0"/>
          <w:iCs w:val="0"/>
          <w:strike w:val="0"/>
          <w:dstrike w:val="0"/>
          <w:noProof w:val="0"/>
          <w:color w:val="000000" w:themeColor="text1" w:themeTint="FF" w:themeShade="FF"/>
          <w:sz w:val="30"/>
          <w:szCs w:val="30"/>
          <w:u w:val="single"/>
          <w:lang w:val="en-US"/>
        </w:rPr>
        <w:t>Cwricwla Blynnyddoedd Cynnar</w:t>
      </w:r>
    </w:p>
    <w:p xmlns:wp14="http://schemas.microsoft.com/office/word/2010/wordml" wp14:paraId="26C37650" wp14:textId="2679EF0F"/>
    <w:p xmlns:wp14="http://schemas.microsoft.com/office/word/2010/wordml" w:rsidP="60F0122B" wp14:paraId="79A9C95C" wp14:textId="0B307CEF">
      <w:pPr>
        <w:spacing w:before="0" w:beforeAutospacing="off" w:after="0" w:afterAutospacing="off"/>
        <w:jc w:val="center"/>
        <w:rPr>
          <w:rFonts w:ascii="Arial" w:hAnsi="Arial" w:eastAsia="Arial" w:cs="Arial"/>
          <w:b w:val="0"/>
          <w:bCs w:val="0"/>
          <w:i w:val="0"/>
          <w:iCs w:val="0"/>
          <w:strike w:val="0"/>
          <w:dstrike w:val="0"/>
          <w:noProof w:val="0"/>
          <w:color w:val="000000" w:themeColor="text1" w:themeTint="FF" w:themeShade="FF"/>
          <w:sz w:val="30"/>
          <w:szCs w:val="30"/>
          <w:u w:val="none"/>
          <w:lang w:val="en-US"/>
        </w:rPr>
      </w:pPr>
    </w:p>
    <w:p xmlns:wp14="http://schemas.microsoft.com/office/word/2010/wordml" w:rsidP="60F0122B" wp14:paraId="50F6BC78" wp14:textId="38EC81EC">
      <w:pPr>
        <w:spacing w:before="0" w:beforeAutospacing="off" w:after="0" w:afterAutospacing="off"/>
        <w:jc w:val="center"/>
      </w:pPr>
      <w:r w:rsidRPr="60F0122B" w:rsidR="38B610C1">
        <w:rPr>
          <w:rFonts w:ascii="Arial" w:hAnsi="Arial" w:eastAsia="Arial" w:cs="Arial"/>
          <w:b w:val="0"/>
          <w:bCs w:val="0"/>
          <w:i w:val="0"/>
          <w:iCs w:val="0"/>
          <w:strike w:val="0"/>
          <w:dstrike w:val="0"/>
          <w:noProof w:val="0"/>
          <w:color w:val="000000" w:themeColor="text1" w:themeTint="FF" w:themeShade="FF"/>
          <w:sz w:val="30"/>
          <w:szCs w:val="30"/>
          <w:u w:val="none"/>
          <w:lang w:val="en-US"/>
        </w:rPr>
        <w:t>CYNNWYS:</w:t>
      </w:r>
    </w:p>
    <w:p xmlns:wp14="http://schemas.microsoft.com/office/word/2010/wordml" w:rsidP="60F0122B" wp14:paraId="3750B261" wp14:textId="05B450B0">
      <w:pPr>
        <w:spacing w:before="0" w:beforeAutospacing="off" w:after="0" w:afterAutospacing="off"/>
        <w:jc w:val="center"/>
        <w:rPr>
          <w:rFonts w:ascii="Arial" w:hAnsi="Arial" w:eastAsia="Arial" w:cs="Arial"/>
          <w:b w:val="0"/>
          <w:bCs w:val="0"/>
          <w:i w:val="0"/>
          <w:iCs w:val="0"/>
          <w:strike w:val="0"/>
          <w:dstrike w:val="0"/>
          <w:noProof w:val="0"/>
          <w:color w:val="000000" w:themeColor="text1" w:themeTint="FF" w:themeShade="FF"/>
          <w:sz w:val="30"/>
          <w:szCs w:val="30"/>
          <w:u w:val="none"/>
          <w:lang w:val="en-US"/>
        </w:rPr>
      </w:pPr>
    </w:p>
    <w:p xmlns:wp14="http://schemas.microsoft.com/office/word/2010/wordml" w:rsidP="60F0122B" wp14:paraId="08919C68" wp14:textId="2CFD3590">
      <w:pPr>
        <w:spacing w:before="0" w:beforeAutospacing="off" w:after="0" w:afterAutospacing="off"/>
        <w:jc w:val="center"/>
      </w:pPr>
      <w:r w:rsidRPr="60F0122B" w:rsidR="728B586B">
        <w:rPr>
          <w:rFonts w:ascii="Arial" w:hAnsi="Arial" w:eastAsia="Arial" w:cs="Arial"/>
          <w:b w:val="0"/>
          <w:bCs w:val="0"/>
          <w:i w:val="0"/>
          <w:iCs w:val="0"/>
          <w:strike w:val="0"/>
          <w:dstrike w:val="0"/>
          <w:noProof w:val="0"/>
          <w:color w:val="000000" w:themeColor="text1" w:themeTint="FF" w:themeShade="FF"/>
          <w:sz w:val="30"/>
          <w:szCs w:val="30"/>
          <w:u w:val="none"/>
          <w:lang w:val="en-US"/>
        </w:rPr>
        <w:t xml:space="preserve">Darn 1: </w:t>
      </w:r>
      <w:r w:rsidRPr="60F0122B" w:rsidR="728B586B">
        <w:rPr>
          <w:rFonts w:ascii="Arial" w:hAnsi="Arial" w:eastAsia="Arial" w:cs="Arial"/>
          <w:b w:val="0"/>
          <w:bCs w:val="0"/>
          <w:i w:val="0"/>
          <w:iCs w:val="0"/>
          <w:strike w:val="0"/>
          <w:dstrike w:val="0"/>
          <w:noProof w:val="0"/>
          <w:color w:val="000000" w:themeColor="text1" w:themeTint="FF" w:themeShade="FF"/>
          <w:sz w:val="30"/>
          <w:szCs w:val="30"/>
          <w:u w:val="none"/>
          <w:lang w:val="en-US"/>
        </w:rPr>
        <w:t>Dadansoddi</w:t>
      </w:r>
      <w:r w:rsidRPr="60F0122B" w:rsidR="728B586B">
        <w:rPr>
          <w:rFonts w:ascii="Arial" w:hAnsi="Arial" w:eastAsia="Arial" w:cs="Arial"/>
          <w:b w:val="0"/>
          <w:bCs w:val="0"/>
          <w:i w:val="0"/>
          <w:iCs w:val="0"/>
          <w:strike w:val="0"/>
          <w:dstrike w:val="0"/>
          <w:noProof w:val="0"/>
          <w:color w:val="000000" w:themeColor="text1" w:themeTint="FF" w:themeShade="FF"/>
          <w:sz w:val="30"/>
          <w:szCs w:val="30"/>
          <w:u w:val="none"/>
          <w:lang w:val="en-US"/>
        </w:rPr>
        <w:t xml:space="preserve"> </w:t>
      </w:r>
      <w:r w:rsidRPr="60F0122B" w:rsidR="728B586B">
        <w:rPr>
          <w:rFonts w:ascii="Arial" w:hAnsi="Arial" w:eastAsia="Arial" w:cs="Arial"/>
          <w:b w:val="0"/>
          <w:bCs w:val="0"/>
          <w:i w:val="0"/>
          <w:iCs w:val="0"/>
          <w:strike w:val="0"/>
          <w:dstrike w:val="0"/>
          <w:noProof w:val="0"/>
          <w:color w:val="000000" w:themeColor="text1" w:themeTint="FF" w:themeShade="FF"/>
          <w:sz w:val="30"/>
          <w:szCs w:val="30"/>
          <w:u w:val="none"/>
          <w:lang w:val="en-US"/>
        </w:rPr>
        <w:t>dau</w:t>
      </w:r>
      <w:r w:rsidRPr="60F0122B" w:rsidR="728B586B">
        <w:rPr>
          <w:rFonts w:ascii="Arial" w:hAnsi="Arial" w:eastAsia="Arial" w:cs="Arial"/>
          <w:b w:val="0"/>
          <w:bCs w:val="0"/>
          <w:i w:val="0"/>
          <w:iCs w:val="0"/>
          <w:strike w:val="0"/>
          <w:dstrike w:val="0"/>
          <w:noProof w:val="0"/>
          <w:color w:val="000000" w:themeColor="text1" w:themeTint="FF" w:themeShade="FF"/>
          <w:sz w:val="30"/>
          <w:szCs w:val="30"/>
          <w:u w:val="none"/>
          <w:lang w:val="en-US"/>
        </w:rPr>
        <w:t xml:space="preserve"> Cwricwla Blynnyddoed Cynnar………...</w:t>
      </w:r>
      <w:r w:rsidRPr="60F0122B" w:rsidR="74175857">
        <w:rPr>
          <w:rFonts w:ascii="Arial" w:hAnsi="Arial" w:eastAsia="Arial" w:cs="Arial"/>
          <w:b w:val="0"/>
          <w:bCs w:val="0"/>
          <w:i w:val="0"/>
          <w:iCs w:val="0"/>
          <w:strike w:val="0"/>
          <w:dstrike w:val="0"/>
          <w:noProof w:val="0"/>
          <w:color w:val="000000" w:themeColor="text1" w:themeTint="FF" w:themeShade="FF"/>
          <w:sz w:val="30"/>
          <w:szCs w:val="30"/>
          <w:u w:val="none"/>
          <w:lang w:val="en-US"/>
        </w:rPr>
        <w:t>...</w:t>
      </w:r>
      <w:r w:rsidRPr="60F0122B" w:rsidR="728B586B">
        <w:rPr>
          <w:rFonts w:ascii="Arial" w:hAnsi="Arial" w:eastAsia="Arial" w:cs="Arial"/>
          <w:b w:val="0"/>
          <w:bCs w:val="0"/>
          <w:i w:val="0"/>
          <w:iCs w:val="0"/>
          <w:strike w:val="0"/>
          <w:dstrike w:val="0"/>
          <w:noProof w:val="0"/>
          <w:color w:val="000000" w:themeColor="text1" w:themeTint="FF" w:themeShade="FF"/>
          <w:sz w:val="30"/>
          <w:szCs w:val="30"/>
          <w:u w:val="none"/>
          <w:lang w:val="en-US"/>
        </w:rPr>
        <w:t>…2</w:t>
      </w:r>
    </w:p>
    <w:p xmlns:wp14="http://schemas.microsoft.com/office/word/2010/wordml" wp14:paraId="0719B830" wp14:textId="65D96F5B"/>
    <w:p xmlns:wp14="http://schemas.microsoft.com/office/word/2010/wordml" w:rsidP="60F0122B" wp14:paraId="5651464D" wp14:textId="2D9D304E">
      <w:pPr>
        <w:spacing w:before="0" w:beforeAutospacing="off" w:after="0" w:afterAutospacing="off"/>
        <w:jc w:val="center"/>
      </w:pPr>
      <w:r w:rsidRPr="60F0122B" w:rsidR="728B586B">
        <w:rPr>
          <w:rFonts w:ascii="Arial" w:hAnsi="Arial" w:eastAsia="Arial" w:cs="Arial"/>
          <w:b w:val="0"/>
          <w:bCs w:val="0"/>
          <w:i w:val="0"/>
          <w:iCs w:val="0"/>
          <w:strike w:val="0"/>
          <w:dstrike w:val="0"/>
          <w:noProof w:val="0"/>
          <w:color w:val="000000" w:themeColor="text1" w:themeTint="FF" w:themeShade="FF"/>
          <w:sz w:val="30"/>
          <w:szCs w:val="30"/>
          <w:u w:val="none"/>
          <w:lang w:val="en-US"/>
        </w:rPr>
        <w:t xml:space="preserve">Darn 2: </w:t>
      </w:r>
      <w:r w:rsidRPr="60F0122B" w:rsidR="728B586B">
        <w:rPr>
          <w:rFonts w:ascii="Arial" w:hAnsi="Arial" w:eastAsia="Arial" w:cs="Arial"/>
          <w:b w:val="0"/>
          <w:bCs w:val="0"/>
          <w:i w:val="0"/>
          <w:iCs w:val="0"/>
          <w:strike w:val="0"/>
          <w:dstrike w:val="0"/>
          <w:noProof w:val="0"/>
          <w:color w:val="000000" w:themeColor="text1" w:themeTint="FF" w:themeShade="FF"/>
          <w:sz w:val="30"/>
          <w:szCs w:val="30"/>
          <w:u w:val="none"/>
          <w:lang w:val="en-US"/>
        </w:rPr>
        <w:t>Ystyried</w:t>
      </w:r>
      <w:r w:rsidRPr="60F0122B" w:rsidR="728B586B">
        <w:rPr>
          <w:rFonts w:ascii="Arial" w:hAnsi="Arial" w:eastAsia="Arial" w:cs="Arial"/>
          <w:b w:val="0"/>
          <w:bCs w:val="0"/>
          <w:i w:val="0"/>
          <w:iCs w:val="0"/>
          <w:strike w:val="0"/>
          <w:dstrike w:val="0"/>
          <w:noProof w:val="0"/>
          <w:color w:val="000000" w:themeColor="text1" w:themeTint="FF" w:themeShade="FF"/>
          <w:sz w:val="30"/>
          <w:szCs w:val="30"/>
          <w:u w:val="none"/>
          <w:lang w:val="en-US"/>
        </w:rPr>
        <w:t xml:space="preserve"> y </w:t>
      </w:r>
      <w:r w:rsidRPr="60F0122B" w:rsidR="728B586B">
        <w:rPr>
          <w:rFonts w:ascii="Arial" w:hAnsi="Arial" w:eastAsia="Arial" w:cs="Arial"/>
          <w:b w:val="0"/>
          <w:bCs w:val="0"/>
          <w:i w:val="0"/>
          <w:iCs w:val="0"/>
          <w:strike w:val="0"/>
          <w:dstrike w:val="0"/>
          <w:noProof w:val="0"/>
          <w:color w:val="000000" w:themeColor="text1" w:themeTint="FF" w:themeShade="FF"/>
          <w:sz w:val="30"/>
          <w:szCs w:val="30"/>
          <w:u w:val="none"/>
          <w:lang w:val="en-US"/>
        </w:rPr>
        <w:t>Plentyn</w:t>
      </w:r>
      <w:r w:rsidRPr="60F0122B" w:rsidR="728B586B">
        <w:rPr>
          <w:rFonts w:ascii="Arial" w:hAnsi="Arial" w:eastAsia="Arial" w:cs="Arial"/>
          <w:b w:val="0"/>
          <w:bCs w:val="0"/>
          <w:i w:val="0"/>
          <w:iCs w:val="0"/>
          <w:strike w:val="0"/>
          <w:dstrike w:val="0"/>
          <w:noProof w:val="0"/>
          <w:color w:val="000000" w:themeColor="text1" w:themeTint="FF" w:themeShade="FF"/>
          <w:sz w:val="30"/>
          <w:szCs w:val="30"/>
          <w:u w:val="none"/>
          <w:lang w:val="en-US"/>
        </w:rPr>
        <w:t xml:space="preserve"> </w:t>
      </w:r>
      <w:r w:rsidRPr="60F0122B" w:rsidR="728B586B">
        <w:rPr>
          <w:rFonts w:ascii="Arial" w:hAnsi="Arial" w:eastAsia="Arial" w:cs="Arial"/>
          <w:b w:val="0"/>
          <w:bCs w:val="0"/>
          <w:i w:val="0"/>
          <w:iCs w:val="0"/>
          <w:strike w:val="0"/>
          <w:dstrike w:val="0"/>
          <w:noProof w:val="0"/>
          <w:color w:val="000000" w:themeColor="text1" w:themeTint="FF" w:themeShade="FF"/>
          <w:sz w:val="30"/>
          <w:szCs w:val="30"/>
          <w:u w:val="none"/>
          <w:lang w:val="en-US"/>
        </w:rPr>
        <w:t>Unigryw</w:t>
      </w:r>
      <w:r w:rsidRPr="60F0122B" w:rsidR="728B586B">
        <w:rPr>
          <w:rFonts w:ascii="Arial" w:hAnsi="Arial" w:eastAsia="Arial" w:cs="Arial"/>
          <w:b w:val="0"/>
          <w:bCs w:val="0"/>
          <w:i w:val="0"/>
          <w:iCs w:val="0"/>
          <w:strike w:val="0"/>
          <w:dstrike w:val="0"/>
          <w:noProof w:val="0"/>
          <w:color w:val="000000" w:themeColor="text1" w:themeTint="FF" w:themeShade="FF"/>
          <w:sz w:val="30"/>
          <w:szCs w:val="30"/>
          <w:u w:val="none"/>
          <w:lang w:val="en-US"/>
        </w:rPr>
        <w:t xml:space="preserve">: </w:t>
      </w:r>
      <w:r w:rsidRPr="60F0122B" w:rsidR="728B586B">
        <w:rPr>
          <w:rFonts w:ascii="Arial" w:hAnsi="Arial" w:eastAsia="Arial" w:cs="Arial"/>
          <w:b w:val="0"/>
          <w:bCs w:val="0"/>
          <w:i w:val="0"/>
          <w:iCs w:val="0"/>
          <w:strike w:val="0"/>
          <w:dstrike w:val="0"/>
          <w:noProof w:val="0"/>
          <w:color w:val="000000" w:themeColor="text1" w:themeTint="FF" w:themeShade="FF"/>
          <w:sz w:val="30"/>
          <w:szCs w:val="30"/>
          <w:u w:val="none"/>
          <w:lang w:val="en-US"/>
        </w:rPr>
        <w:t>Gwerthusiad</w:t>
      </w:r>
      <w:r w:rsidRPr="60F0122B" w:rsidR="728B586B">
        <w:rPr>
          <w:rFonts w:ascii="Arial" w:hAnsi="Arial" w:eastAsia="Arial" w:cs="Arial"/>
          <w:b w:val="0"/>
          <w:bCs w:val="0"/>
          <w:i w:val="0"/>
          <w:iCs w:val="0"/>
          <w:strike w:val="0"/>
          <w:dstrike w:val="0"/>
          <w:noProof w:val="0"/>
          <w:color w:val="000000" w:themeColor="text1" w:themeTint="FF" w:themeShade="FF"/>
          <w:sz w:val="30"/>
          <w:szCs w:val="30"/>
          <w:u w:val="none"/>
          <w:lang w:val="en-US"/>
        </w:rPr>
        <w:t xml:space="preserve"> </w:t>
      </w:r>
      <w:r w:rsidRPr="60F0122B" w:rsidR="728B586B">
        <w:rPr>
          <w:rFonts w:ascii="Arial" w:hAnsi="Arial" w:eastAsia="Arial" w:cs="Arial"/>
          <w:b w:val="0"/>
          <w:bCs w:val="0"/>
          <w:i w:val="0"/>
          <w:iCs w:val="0"/>
          <w:strike w:val="0"/>
          <w:dstrike w:val="0"/>
          <w:noProof w:val="0"/>
          <w:color w:val="000000" w:themeColor="text1" w:themeTint="FF" w:themeShade="FF"/>
          <w:sz w:val="30"/>
          <w:szCs w:val="30"/>
          <w:u w:val="none"/>
          <w:lang w:val="en-US"/>
        </w:rPr>
        <w:t>Beirniadol</w:t>
      </w:r>
      <w:r w:rsidRPr="60F0122B" w:rsidR="728B586B">
        <w:rPr>
          <w:rFonts w:ascii="Arial" w:hAnsi="Arial" w:eastAsia="Arial" w:cs="Arial"/>
          <w:b w:val="0"/>
          <w:bCs w:val="0"/>
          <w:i w:val="0"/>
          <w:iCs w:val="0"/>
          <w:strike w:val="0"/>
          <w:dstrike w:val="0"/>
          <w:noProof w:val="0"/>
          <w:color w:val="000000" w:themeColor="text1" w:themeTint="FF" w:themeShade="FF"/>
          <w:sz w:val="30"/>
          <w:szCs w:val="30"/>
          <w:u w:val="none"/>
          <w:lang w:val="en-US"/>
        </w:rPr>
        <w:t xml:space="preserve"> o </w:t>
      </w:r>
      <w:r w:rsidRPr="60F0122B" w:rsidR="728B586B">
        <w:rPr>
          <w:rFonts w:ascii="Arial" w:hAnsi="Arial" w:eastAsia="Arial" w:cs="Arial"/>
          <w:b w:val="0"/>
          <w:bCs w:val="0"/>
          <w:i w:val="0"/>
          <w:iCs w:val="0"/>
          <w:strike w:val="0"/>
          <w:dstrike w:val="0"/>
          <w:noProof w:val="0"/>
          <w:color w:val="000000" w:themeColor="text1" w:themeTint="FF" w:themeShade="FF"/>
          <w:sz w:val="30"/>
          <w:szCs w:val="30"/>
          <w:u w:val="none"/>
          <w:lang w:val="en-US"/>
        </w:rPr>
        <w:t>Asesu</w:t>
      </w:r>
      <w:r w:rsidRPr="60F0122B" w:rsidR="728B586B">
        <w:rPr>
          <w:rFonts w:ascii="Arial" w:hAnsi="Arial" w:eastAsia="Arial" w:cs="Arial"/>
          <w:b w:val="0"/>
          <w:bCs w:val="0"/>
          <w:i w:val="0"/>
          <w:iCs w:val="0"/>
          <w:strike w:val="0"/>
          <w:dstrike w:val="0"/>
          <w:noProof w:val="0"/>
          <w:color w:val="000000" w:themeColor="text1" w:themeTint="FF" w:themeShade="FF"/>
          <w:sz w:val="30"/>
          <w:szCs w:val="30"/>
          <w:u w:val="none"/>
          <w:lang w:val="en-US"/>
        </w:rPr>
        <w:t xml:space="preserve"> </w:t>
      </w:r>
      <w:r w:rsidRPr="60F0122B" w:rsidR="728B586B">
        <w:rPr>
          <w:rFonts w:ascii="Arial" w:hAnsi="Arial" w:eastAsia="Arial" w:cs="Arial"/>
          <w:b w:val="0"/>
          <w:bCs w:val="0"/>
          <w:i w:val="0"/>
          <w:iCs w:val="0"/>
          <w:strike w:val="0"/>
          <w:dstrike w:val="0"/>
          <w:noProof w:val="0"/>
          <w:color w:val="000000" w:themeColor="text1" w:themeTint="FF" w:themeShade="FF"/>
          <w:sz w:val="30"/>
          <w:szCs w:val="30"/>
          <w:u w:val="none"/>
          <w:lang w:val="en-US"/>
        </w:rPr>
        <w:t>mewn</w:t>
      </w:r>
      <w:r w:rsidRPr="60F0122B" w:rsidR="728B586B">
        <w:rPr>
          <w:rFonts w:ascii="Arial" w:hAnsi="Arial" w:eastAsia="Arial" w:cs="Arial"/>
          <w:b w:val="0"/>
          <w:bCs w:val="0"/>
          <w:i w:val="0"/>
          <w:iCs w:val="0"/>
          <w:strike w:val="0"/>
          <w:dstrike w:val="0"/>
          <w:noProof w:val="0"/>
          <w:color w:val="000000" w:themeColor="text1" w:themeTint="FF" w:themeShade="FF"/>
          <w:sz w:val="30"/>
          <w:szCs w:val="30"/>
          <w:u w:val="none"/>
          <w:lang w:val="en-US"/>
        </w:rPr>
        <w:t xml:space="preserve"> </w:t>
      </w:r>
      <w:r w:rsidRPr="60F0122B" w:rsidR="728B586B">
        <w:rPr>
          <w:rFonts w:ascii="Arial" w:hAnsi="Arial" w:eastAsia="Arial" w:cs="Arial"/>
          <w:b w:val="0"/>
          <w:bCs w:val="0"/>
          <w:i w:val="0"/>
          <w:iCs w:val="0"/>
          <w:strike w:val="0"/>
          <w:dstrike w:val="0"/>
          <w:noProof w:val="0"/>
          <w:color w:val="000000" w:themeColor="text1" w:themeTint="FF" w:themeShade="FF"/>
          <w:sz w:val="30"/>
          <w:szCs w:val="30"/>
          <w:u w:val="none"/>
          <w:lang w:val="en-US"/>
        </w:rPr>
        <w:t>Dysgu</w:t>
      </w:r>
      <w:r w:rsidRPr="60F0122B" w:rsidR="728B586B">
        <w:rPr>
          <w:rFonts w:ascii="Arial" w:hAnsi="Arial" w:eastAsia="Arial" w:cs="Arial"/>
          <w:b w:val="0"/>
          <w:bCs w:val="0"/>
          <w:i w:val="0"/>
          <w:iCs w:val="0"/>
          <w:strike w:val="0"/>
          <w:dstrike w:val="0"/>
          <w:noProof w:val="0"/>
          <w:color w:val="000000" w:themeColor="text1" w:themeTint="FF" w:themeShade="FF"/>
          <w:sz w:val="30"/>
          <w:szCs w:val="30"/>
          <w:u w:val="none"/>
          <w:lang w:val="en-US"/>
        </w:rPr>
        <w:t xml:space="preserve"> Sylfaenol </w:t>
      </w:r>
      <w:r w:rsidRPr="60F0122B" w:rsidR="728B586B">
        <w:rPr>
          <w:rFonts w:ascii="Arial" w:hAnsi="Arial" w:eastAsia="Arial" w:cs="Arial"/>
          <w:b w:val="0"/>
          <w:bCs w:val="0"/>
          <w:i w:val="0"/>
          <w:iCs w:val="0"/>
          <w:strike w:val="0"/>
          <w:dstrike w:val="0"/>
          <w:noProof w:val="0"/>
          <w:color w:val="000000" w:themeColor="text1" w:themeTint="FF" w:themeShade="FF"/>
          <w:sz w:val="30"/>
          <w:szCs w:val="30"/>
          <w:u w:val="none"/>
          <w:lang w:val="en-US"/>
        </w:rPr>
        <w:t>yng</w:t>
      </w:r>
      <w:r w:rsidRPr="60F0122B" w:rsidR="728B586B">
        <w:rPr>
          <w:rFonts w:ascii="Arial" w:hAnsi="Arial" w:eastAsia="Arial" w:cs="Arial"/>
          <w:b w:val="0"/>
          <w:bCs w:val="0"/>
          <w:i w:val="0"/>
          <w:iCs w:val="0"/>
          <w:strike w:val="0"/>
          <w:dstrike w:val="0"/>
          <w:noProof w:val="0"/>
          <w:color w:val="000000" w:themeColor="text1" w:themeTint="FF" w:themeShade="FF"/>
          <w:sz w:val="30"/>
          <w:szCs w:val="30"/>
          <w:u w:val="none"/>
          <w:lang w:val="en-US"/>
        </w:rPr>
        <w:t xml:space="preserve"> Nghymru ac </w:t>
      </w:r>
      <w:r w:rsidRPr="60F0122B" w:rsidR="728B586B">
        <w:rPr>
          <w:rFonts w:ascii="Arial" w:hAnsi="Arial" w:eastAsia="Arial" w:cs="Arial"/>
          <w:b w:val="0"/>
          <w:bCs w:val="0"/>
          <w:i w:val="0"/>
          <w:iCs w:val="0"/>
          <w:strike w:val="0"/>
          <w:dstrike w:val="0"/>
          <w:noProof w:val="0"/>
          <w:color w:val="000000" w:themeColor="text1" w:themeTint="FF" w:themeShade="FF"/>
          <w:sz w:val="30"/>
          <w:szCs w:val="30"/>
          <w:u w:val="none"/>
          <w:lang w:val="en-US"/>
        </w:rPr>
        <w:t>Ysgolion</w:t>
      </w:r>
      <w:r w:rsidRPr="60F0122B" w:rsidR="728B586B">
        <w:rPr>
          <w:rFonts w:ascii="Arial" w:hAnsi="Arial" w:eastAsia="Arial" w:cs="Arial"/>
          <w:b w:val="0"/>
          <w:bCs w:val="0"/>
          <w:i w:val="0"/>
          <w:iCs w:val="0"/>
          <w:strike w:val="0"/>
          <w:dstrike w:val="0"/>
          <w:noProof w:val="0"/>
          <w:color w:val="000000" w:themeColor="text1" w:themeTint="FF" w:themeShade="FF"/>
          <w:sz w:val="30"/>
          <w:szCs w:val="30"/>
          <w:u w:val="none"/>
          <w:lang w:val="en-US"/>
        </w:rPr>
        <w:t xml:space="preserve"> </w:t>
      </w:r>
      <w:r w:rsidRPr="60F0122B" w:rsidR="728B586B">
        <w:rPr>
          <w:rFonts w:ascii="Arial" w:hAnsi="Arial" w:eastAsia="Arial" w:cs="Arial"/>
          <w:b w:val="0"/>
          <w:bCs w:val="0"/>
          <w:i w:val="0"/>
          <w:iCs w:val="0"/>
          <w:strike w:val="0"/>
          <w:dstrike w:val="0"/>
          <w:noProof w:val="0"/>
          <w:color w:val="000000" w:themeColor="text1" w:themeTint="FF" w:themeShade="FF"/>
          <w:sz w:val="30"/>
          <w:szCs w:val="30"/>
          <w:u w:val="none"/>
          <w:lang w:val="en-US"/>
        </w:rPr>
        <w:t>Meithrin</w:t>
      </w:r>
      <w:r w:rsidRPr="60F0122B" w:rsidR="728B586B">
        <w:rPr>
          <w:rFonts w:ascii="Arial" w:hAnsi="Arial" w:eastAsia="Arial" w:cs="Arial"/>
          <w:b w:val="0"/>
          <w:bCs w:val="0"/>
          <w:i w:val="0"/>
          <w:iCs w:val="0"/>
          <w:strike w:val="0"/>
          <w:dstrike w:val="0"/>
          <w:noProof w:val="0"/>
          <w:color w:val="000000" w:themeColor="text1" w:themeTint="FF" w:themeShade="FF"/>
          <w:sz w:val="30"/>
          <w:szCs w:val="30"/>
          <w:u w:val="none"/>
          <w:lang w:val="en-US"/>
        </w:rPr>
        <w:t xml:space="preserve"> </w:t>
      </w:r>
      <w:r w:rsidRPr="60F0122B" w:rsidR="728B586B">
        <w:rPr>
          <w:rFonts w:ascii="Arial" w:hAnsi="Arial" w:eastAsia="Arial" w:cs="Arial"/>
          <w:b w:val="0"/>
          <w:bCs w:val="0"/>
          <w:i w:val="0"/>
          <w:iCs w:val="0"/>
          <w:strike w:val="0"/>
          <w:dstrike w:val="0"/>
          <w:noProof w:val="0"/>
          <w:color w:val="000000" w:themeColor="text1" w:themeTint="FF" w:themeShade="FF"/>
          <w:sz w:val="30"/>
          <w:szCs w:val="30"/>
          <w:u w:val="none"/>
          <w:lang w:val="en-US"/>
        </w:rPr>
        <w:t>yn</w:t>
      </w:r>
      <w:r w:rsidRPr="60F0122B" w:rsidR="728B586B">
        <w:rPr>
          <w:rFonts w:ascii="Arial" w:hAnsi="Arial" w:eastAsia="Arial" w:cs="Arial"/>
          <w:b w:val="0"/>
          <w:bCs w:val="0"/>
          <w:i w:val="0"/>
          <w:iCs w:val="0"/>
          <w:strike w:val="0"/>
          <w:dstrike w:val="0"/>
          <w:noProof w:val="0"/>
          <w:color w:val="000000" w:themeColor="text1" w:themeTint="FF" w:themeShade="FF"/>
          <w:sz w:val="30"/>
          <w:szCs w:val="30"/>
          <w:u w:val="none"/>
          <w:lang w:val="en-US"/>
        </w:rPr>
        <w:t xml:space="preserve"> y Coed </w:t>
      </w:r>
      <w:r w:rsidRPr="60F0122B" w:rsidR="728B586B">
        <w:rPr>
          <w:rFonts w:ascii="Arial" w:hAnsi="Arial" w:eastAsia="Arial" w:cs="Arial"/>
          <w:b w:val="0"/>
          <w:bCs w:val="0"/>
          <w:i w:val="0"/>
          <w:iCs w:val="0"/>
          <w:strike w:val="0"/>
          <w:dstrike w:val="0"/>
          <w:noProof w:val="0"/>
          <w:color w:val="000000" w:themeColor="text1" w:themeTint="FF" w:themeShade="FF"/>
          <w:sz w:val="30"/>
          <w:szCs w:val="30"/>
          <w:u w:val="none"/>
          <w:lang w:val="en-US"/>
        </w:rPr>
        <w:t>yn</w:t>
      </w:r>
      <w:r w:rsidRPr="60F0122B" w:rsidR="728B586B">
        <w:rPr>
          <w:rFonts w:ascii="Arial" w:hAnsi="Arial" w:eastAsia="Arial" w:cs="Arial"/>
          <w:b w:val="0"/>
          <w:bCs w:val="0"/>
          <w:i w:val="0"/>
          <w:iCs w:val="0"/>
          <w:strike w:val="0"/>
          <w:dstrike w:val="0"/>
          <w:noProof w:val="0"/>
          <w:color w:val="000000" w:themeColor="text1" w:themeTint="FF" w:themeShade="FF"/>
          <w:sz w:val="30"/>
          <w:szCs w:val="30"/>
          <w:u w:val="none"/>
          <w:lang w:val="en-US"/>
        </w:rPr>
        <w:t xml:space="preserve"> </w:t>
      </w:r>
      <w:r w:rsidRPr="60F0122B" w:rsidR="728B586B">
        <w:rPr>
          <w:rFonts w:ascii="Arial" w:hAnsi="Arial" w:eastAsia="Arial" w:cs="Arial"/>
          <w:b w:val="0"/>
          <w:bCs w:val="0"/>
          <w:i w:val="0"/>
          <w:iCs w:val="0"/>
          <w:strike w:val="0"/>
          <w:dstrike w:val="0"/>
          <w:noProof w:val="0"/>
          <w:color w:val="000000" w:themeColor="text1" w:themeTint="FF" w:themeShade="FF"/>
          <w:sz w:val="30"/>
          <w:szCs w:val="30"/>
          <w:u w:val="none"/>
          <w:lang w:val="en-US"/>
        </w:rPr>
        <w:t>Nenmarc</w:t>
      </w:r>
      <w:r w:rsidRPr="60F0122B" w:rsidR="728B586B">
        <w:rPr>
          <w:rFonts w:ascii="Arial" w:hAnsi="Arial" w:eastAsia="Arial" w:cs="Arial"/>
          <w:b w:val="0"/>
          <w:bCs w:val="0"/>
          <w:i w:val="0"/>
          <w:iCs w:val="0"/>
          <w:strike w:val="0"/>
          <w:dstrike w:val="0"/>
          <w:noProof w:val="0"/>
          <w:color w:val="000000" w:themeColor="text1" w:themeTint="FF" w:themeShade="FF"/>
          <w:sz w:val="30"/>
          <w:szCs w:val="30"/>
          <w:u w:val="none"/>
          <w:lang w:val="en-US"/>
        </w:rPr>
        <w:t>……………………………</w:t>
      </w:r>
      <w:r w:rsidRPr="60F0122B" w:rsidR="12E4019D">
        <w:rPr>
          <w:rFonts w:ascii="Arial" w:hAnsi="Arial" w:eastAsia="Arial" w:cs="Arial"/>
          <w:b w:val="0"/>
          <w:bCs w:val="0"/>
          <w:i w:val="0"/>
          <w:iCs w:val="0"/>
          <w:strike w:val="0"/>
          <w:dstrike w:val="0"/>
          <w:noProof w:val="0"/>
          <w:color w:val="000000" w:themeColor="text1" w:themeTint="FF" w:themeShade="FF"/>
          <w:sz w:val="30"/>
          <w:szCs w:val="30"/>
          <w:u w:val="none"/>
          <w:lang w:val="en-US"/>
        </w:rPr>
        <w:t>...............</w:t>
      </w:r>
      <w:r w:rsidRPr="60F0122B" w:rsidR="728B586B">
        <w:rPr>
          <w:rFonts w:ascii="Arial" w:hAnsi="Arial" w:eastAsia="Arial" w:cs="Arial"/>
          <w:b w:val="0"/>
          <w:bCs w:val="0"/>
          <w:i w:val="0"/>
          <w:iCs w:val="0"/>
          <w:strike w:val="0"/>
          <w:dstrike w:val="0"/>
          <w:noProof w:val="0"/>
          <w:color w:val="000000" w:themeColor="text1" w:themeTint="FF" w:themeShade="FF"/>
          <w:sz w:val="30"/>
          <w:szCs w:val="30"/>
          <w:u w:val="none"/>
          <w:lang w:val="en-US"/>
        </w:rPr>
        <w:t>……………………</w:t>
      </w:r>
      <w:r w:rsidRPr="60F0122B" w:rsidR="728B586B">
        <w:rPr>
          <w:rFonts w:ascii="Arial" w:hAnsi="Arial" w:eastAsia="Arial" w:cs="Arial"/>
          <w:b w:val="0"/>
          <w:bCs w:val="0"/>
          <w:i w:val="0"/>
          <w:iCs w:val="0"/>
          <w:strike w:val="0"/>
          <w:dstrike w:val="0"/>
          <w:noProof w:val="0"/>
          <w:color w:val="000000" w:themeColor="text1" w:themeTint="FF" w:themeShade="FF"/>
          <w:sz w:val="30"/>
          <w:szCs w:val="30"/>
          <w:u w:val="none"/>
          <w:lang w:val="en-US"/>
        </w:rPr>
        <w:t>…..</w:t>
      </w:r>
      <w:r w:rsidRPr="60F0122B" w:rsidR="728B586B">
        <w:rPr>
          <w:rFonts w:ascii="Arial" w:hAnsi="Arial" w:eastAsia="Arial" w:cs="Arial"/>
          <w:b w:val="0"/>
          <w:bCs w:val="0"/>
          <w:i w:val="0"/>
          <w:iCs w:val="0"/>
          <w:strike w:val="0"/>
          <w:dstrike w:val="0"/>
          <w:noProof w:val="0"/>
          <w:color w:val="000000" w:themeColor="text1" w:themeTint="FF" w:themeShade="FF"/>
          <w:sz w:val="30"/>
          <w:szCs w:val="30"/>
          <w:u w:val="none"/>
          <w:lang w:val="en-US"/>
        </w:rPr>
        <w:t>7</w:t>
      </w:r>
    </w:p>
    <w:p xmlns:wp14="http://schemas.microsoft.com/office/word/2010/wordml" wp14:paraId="0279FF53" wp14:textId="7ED5EB6B"/>
    <w:p xmlns:wp14="http://schemas.microsoft.com/office/word/2010/wordml" w:rsidP="60F0122B" wp14:paraId="7DC6E236" wp14:textId="663A8E5B">
      <w:pPr>
        <w:spacing w:before="0" w:beforeAutospacing="off" w:after="0" w:afterAutospacing="off"/>
        <w:jc w:val="center"/>
      </w:pPr>
      <w:r w:rsidRPr="60F0122B" w:rsidR="728B586B">
        <w:rPr>
          <w:rFonts w:ascii="Arial" w:hAnsi="Arial" w:eastAsia="Arial" w:cs="Arial"/>
          <w:b w:val="0"/>
          <w:bCs w:val="0"/>
          <w:i w:val="0"/>
          <w:iCs w:val="0"/>
          <w:strike w:val="0"/>
          <w:dstrike w:val="0"/>
          <w:noProof w:val="0"/>
          <w:color w:val="000000" w:themeColor="text1" w:themeTint="FF" w:themeShade="FF"/>
          <w:sz w:val="30"/>
          <w:szCs w:val="30"/>
          <w:u w:val="none"/>
          <w:lang w:val="en-US"/>
        </w:rPr>
        <w:t>Darn 3: Blog …………………………………………………………</w:t>
      </w:r>
    </w:p>
    <w:p xmlns:wp14="http://schemas.microsoft.com/office/word/2010/wordml" wp14:paraId="04F15CFB" wp14:textId="6D656045"/>
    <w:p xmlns:wp14="http://schemas.microsoft.com/office/word/2010/wordml" w:rsidP="60F0122B" wp14:paraId="2275913B" wp14:textId="29922C4C">
      <w:pPr>
        <w:spacing w:before="0" w:beforeAutospacing="off" w:after="0" w:afterAutospacing="off"/>
        <w:jc w:val="center"/>
      </w:pPr>
      <w:r w:rsidRPr="60F0122B" w:rsidR="728B586B">
        <w:rPr>
          <w:rFonts w:ascii="Arial" w:hAnsi="Arial" w:eastAsia="Arial" w:cs="Arial"/>
          <w:b w:val="0"/>
          <w:bCs w:val="0"/>
          <w:i w:val="0"/>
          <w:iCs w:val="0"/>
          <w:strike w:val="0"/>
          <w:dstrike w:val="0"/>
          <w:noProof w:val="0"/>
          <w:color w:val="000000" w:themeColor="text1" w:themeTint="FF" w:themeShade="FF"/>
          <w:sz w:val="30"/>
          <w:szCs w:val="30"/>
          <w:u w:val="none"/>
          <w:lang w:val="en-US"/>
        </w:rPr>
        <w:t>Rhestr Cyfeirnod…………………………………………………</w:t>
      </w:r>
    </w:p>
    <w:p xmlns:wp14="http://schemas.microsoft.com/office/word/2010/wordml" wp14:paraId="6409101C" wp14:textId="5D40E41C"/>
    <w:p xmlns:wp14="http://schemas.microsoft.com/office/word/2010/wordml" wp14:paraId="616E5010" wp14:textId="088CCF9F"/>
    <w:p xmlns:wp14="http://schemas.microsoft.com/office/word/2010/wordml" wp14:paraId="3664B1BB" wp14:textId="29C6305F"/>
    <w:p xmlns:wp14="http://schemas.microsoft.com/office/word/2010/wordml" w:rsidP="60F0122B" wp14:paraId="084E1D78" wp14:textId="6C3E9B98">
      <w:pPr>
        <w:spacing w:before="0" w:beforeAutospacing="off" w:after="0" w:afterAutospacing="off"/>
        <w:jc w:val="center"/>
      </w:pPr>
      <w:r w:rsidRPr="60F0122B" w:rsidR="728B586B">
        <w:rPr>
          <w:rFonts w:ascii="Arial" w:hAnsi="Arial" w:eastAsia="Arial" w:cs="Arial"/>
          <w:b w:val="0"/>
          <w:bCs w:val="0"/>
          <w:i w:val="0"/>
          <w:iCs w:val="0"/>
          <w:strike w:val="0"/>
          <w:dstrike w:val="0"/>
          <w:noProof w:val="0"/>
          <w:color w:val="000000" w:themeColor="text1" w:themeTint="FF" w:themeShade="FF"/>
          <w:sz w:val="30"/>
          <w:szCs w:val="30"/>
          <w:u w:val="none"/>
          <w:lang w:val="en-US"/>
        </w:rPr>
        <w:t>Datganiad AI</w:t>
      </w:r>
    </w:p>
    <w:p xmlns:wp14="http://schemas.microsoft.com/office/word/2010/wordml" w:rsidP="60F0122B" wp14:paraId="19CED31F" wp14:textId="1EBB4914">
      <w:pPr>
        <w:spacing w:before="0" w:beforeAutospacing="off" w:after="0" w:afterAutospacing="off"/>
        <w:jc w:val="center"/>
      </w:pPr>
      <w:r w:rsidRPr="60F0122B" w:rsidR="728B586B">
        <w:rPr>
          <w:rFonts w:ascii="Arial" w:hAnsi="Arial" w:eastAsia="Arial" w:cs="Arial"/>
          <w:b w:val="0"/>
          <w:bCs w:val="0"/>
          <w:i w:val="0"/>
          <w:iCs w:val="0"/>
          <w:strike w:val="0"/>
          <w:dstrike w:val="0"/>
          <w:noProof w:val="0"/>
          <w:color w:val="000000" w:themeColor="text1" w:themeTint="FF" w:themeShade="FF"/>
          <w:sz w:val="30"/>
          <w:szCs w:val="30"/>
          <w:u w:val="none"/>
          <w:lang w:val="en-US"/>
        </w:rPr>
        <w:t xml:space="preserve">Dydw i ddim wedi defnyddio AI yn fy ngwaith. </w:t>
      </w:r>
    </w:p>
    <w:p xmlns:wp14="http://schemas.microsoft.com/office/word/2010/wordml" wp14:paraId="5C63004D" wp14:textId="06F5DF5B"/>
    <w:p xmlns:wp14="http://schemas.microsoft.com/office/word/2010/wordml" wp14:paraId="37CF9445" wp14:textId="30B49FC4"/>
    <w:p xmlns:wp14="http://schemas.microsoft.com/office/word/2010/wordml" wp14:paraId="08F005ED" wp14:textId="7AA2941B"/>
    <w:p xmlns:wp14="http://schemas.microsoft.com/office/word/2010/wordml" wp14:paraId="727356E8" wp14:textId="23511A10"/>
    <w:p xmlns:wp14="http://schemas.microsoft.com/office/word/2010/wordml" wp14:paraId="232E5FEC" wp14:textId="0F7110AE"/>
    <w:p xmlns:wp14="http://schemas.microsoft.com/office/word/2010/wordml" wp14:paraId="3C087F21" wp14:textId="5C433BE8"/>
    <w:p xmlns:wp14="http://schemas.microsoft.com/office/word/2010/wordml" wp14:paraId="5FAB8DD8" wp14:textId="6ACB0ADA"/>
    <w:p xmlns:wp14="http://schemas.microsoft.com/office/word/2010/wordml" wp14:paraId="21476AC3" wp14:textId="5757F35B"/>
    <w:p xmlns:wp14="http://schemas.microsoft.com/office/word/2010/wordml" wp14:paraId="4E41891F" wp14:textId="1DEDC680"/>
    <w:p xmlns:wp14="http://schemas.microsoft.com/office/word/2010/wordml" w:rsidP="60F0122B" wp14:paraId="6390FD47" wp14:textId="5F748645">
      <w:pPr>
        <w:pStyle w:val="Normal"/>
        <w:rPr>
          <w:rFonts w:ascii="Arial" w:hAnsi="Arial" w:eastAsia="Arial" w:cs="Arial"/>
          <w:b w:val="0"/>
          <w:bCs w:val="0"/>
          <w:i w:val="0"/>
          <w:iCs w:val="0"/>
          <w:strike w:val="0"/>
          <w:dstrike w:val="0"/>
          <w:noProof w:val="0"/>
          <w:color w:val="000000" w:themeColor="text1" w:themeTint="FF" w:themeShade="FF"/>
          <w:sz w:val="30"/>
          <w:szCs w:val="30"/>
          <w:u w:val="single"/>
          <w:lang w:val="en-US"/>
        </w:rPr>
      </w:pPr>
    </w:p>
    <w:p xmlns:wp14="http://schemas.microsoft.com/office/word/2010/wordml" w:rsidP="60F0122B" wp14:paraId="46CF5AC4" wp14:textId="7715CAB5">
      <w:pPr>
        <w:pStyle w:val="Normal"/>
      </w:pPr>
      <w:r w:rsidRPr="60F0122B" w:rsidR="728B586B">
        <w:rPr>
          <w:rFonts w:ascii="Arial" w:hAnsi="Arial" w:eastAsia="Arial" w:cs="Arial"/>
          <w:b w:val="0"/>
          <w:bCs w:val="0"/>
          <w:i w:val="0"/>
          <w:iCs w:val="0"/>
          <w:strike w:val="0"/>
          <w:dstrike w:val="0"/>
          <w:noProof w:val="0"/>
          <w:color w:val="000000" w:themeColor="text1" w:themeTint="FF" w:themeShade="FF"/>
          <w:sz w:val="30"/>
          <w:szCs w:val="30"/>
          <w:u w:val="single"/>
          <w:lang w:val="en-US"/>
        </w:rPr>
        <w:t>Dadansoddiad</w:t>
      </w:r>
      <w:r w:rsidRPr="60F0122B" w:rsidR="728B586B">
        <w:rPr>
          <w:rFonts w:ascii="Arial" w:hAnsi="Arial" w:eastAsia="Arial" w:cs="Arial"/>
          <w:b w:val="0"/>
          <w:bCs w:val="0"/>
          <w:i w:val="0"/>
          <w:iCs w:val="0"/>
          <w:strike w:val="0"/>
          <w:dstrike w:val="0"/>
          <w:noProof w:val="0"/>
          <w:color w:val="000000" w:themeColor="text1" w:themeTint="FF" w:themeShade="FF"/>
          <w:sz w:val="30"/>
          <w:szCs w:val="30"/>
          <w:u w:val="single"/>
          <w:lang w:val="en-US"/>
        </w:rPr>
        <w:t xml:space="preserve"> Dau Cwricwla Blynnyddoedd </w:t>
      </w:r>
      <w:r w:rsidRPr="60F0122B" w:rsidR="728B586B">
        <w:rPr>
          <w:rFonts w:ascii="Arial" w:hAnsi="Arial" w:eastAsia="Arial" w:cs="Arial"/>
          <w:b w:val="0"/>
          <w:bCs w:val="0"/>
          <w:i w:val="0"/>
          <w:iCs w:val="0"/>
          <w:strike w:val="0"/>
          <w:dstrike w:val="0"/>
          <w:noProof w:val="0"/>
          <w:color w:val="000000" w:themeColor="text1" w:themeTint="FF" w:themeShade="FF"/>
          <w:sz w:val="30"/>
          <w:szCs w:val="30"/>
          <w:u w:val="single"/>
          <w:lang w:val="en-US"/>
        </w:rPr>
        <w:t>Cynnar</w:t>
      </w:r>
    </w:p>
    <w:p xmlns:wp14="http://schemas.microsoft.com/office/word/2010/wordml" w:rsidP="60F0122B" wp14:paraId="7850F533" wp14:textId="633DE9AC">
      <w:pPr>
        <w:spacing w:before="0" w:beforeAutospacing="off" w:after="0" w:afterAutospacing="off" w:line="360" w:lineRule="auto"/>
      </w:pPr>
      <w:r w:rsidRPr="60F0122B" w:rsidR="728B586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Mae dysgu seiliedig ar chwarae yn ddull pwysig o fewn addysg plentyndod cynnar oherwydd ei fod yn galluogi plant i archwilio eu diddordebau, datblygu perthnasoedd ac adeiladu dealltwriaeth trwy brofiadau gweithredol (Taylor and Boyer, 2020). Fodd bynnag, mae gweithredu cwricwla seiliedig ar chwarae yn cyflwyno heriau oherwydd rhaid trosi polisi addysgol yn ymarfer ystyrlon wrth gydbwyso ymreolaeth plant ag amcanion dysgu, asesu, cynhwysiant ac arebolrwydd. Mae’r trafodaeth hon yn cymharu’n feirniadol y Cyfnod Sylfaen (Welsh Government [WG],2015) gyda Meithrinfa Goedwig Denmarc, gan ystyried sut mae strwythurau cwricwlwm, arbenigedd ymarferwyr ac ac amgylcheddau dysgu yn dylanwadu ar weithredu. Er bod y ddau dull yn gwerthfawrogi cyfranogiad gweithredol plant, maent yn gweithredu o fewn cy-destunau addysgol gwahanol. Roedd y Cyfnod Sylfaen (WG, 2015) yn fframwaith cwricwlwm cenedlaethol Cymru ar gyfer plant rhwng tair a saith oed, tra bod Meithrinfa Goedwig Denmarc yn ddull seiliadig ar natur o fewn system addysg a gofal plentyndod cynnar. Mae Taylor, Rhys a Waldron (2016) yn dangos bod diwygio’r cwricwlwm yn cynnwys heriau y tu hwnt i ddylunio polisi ei hun. Yn yr un modd, mae Mackinder (2022) yn dangos sut mae credoau addysgeg a threfniadiaeth amgylcheddau dysgu yn llunio profiadau plant o chwarae yn yr awyr agored. </w:t>
      </w:r>
    </w:p>
    <w:p xmlns:wp14="http://schemas.microsoft.com/office/word/2010/wordml" w:rsidP="60F0122B" wp14:paraId="7CDD7F25" wp14:textId="0C316596">
      <w:pPr>
        <w:spacing w:line="360" w:lineRule="auto"/>
      </w:pPr>
      <w:r w:rsidRPr="60F0122B" w:rsidR="728B586B">
        <w:rPr>
          <w:rFonts w:ascii="Arial" w:hAnsi="Arial" w:eastAsia="Arial" w:cs="Arial"/>
          <w:b w:val="0"/>
          <w:bCs w:val="0"/>
          <w:i w:val="0"/>
          <w:iCs w:val="0"/>
          <w:strike w:val="0"/>
          <w:dstrike w:val="0"/>
          <w:noProof w:val="0"/>
          <w:color w:val="000000" w:themeColor="text1" w:themeTint="FF" w:themeShade="FF"/>
          <w:sz w:val="24"/>
          <w:szCs w:val="24"/>
          <w:u w:val="single"/>
          <w:lang w:val="en-US"/>
        </w:rPr>
        <w:t>Gweithredu'r cwricwlwm a pholisi</w:t>
      </w:r>
    </w:p>
    <w:p xmlns:wp14="http://schemas.microsoft.com/office/word/2010/wordml" w:rsidP="60F0122B" wp14:paraId="202171CF" wp14:textId="375D27E1">
      <w:pPr>
        <w:spacing w:before="0" w:beforeAutospacing="off" w:after="0" w:afterAutospacing="off" w:line="360" w:lineRule="auto"/>
      </w:pPr>
      <w:r w:rsidRPr="60F0122B" w:rsidR="728B586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Her sylweddol wrth weithredu cwricwla sy’n seiliedig ar chwarae yw sicrhau bod egwyddorion bwriadedig polisi addysgol yn cael eu hadlewyrchu’n gydon mewn ymarfer pob dydd (Taylor, Rhys and Waldron, 2016). Yng Nghymru, roedd y Cyfnod Sylfaen (WG,2015) yn cynrychioli symudiad i ffwrdd o ddull mwy ffurfiol, sy’n seiliedig ar gymhwysedd, tuag at ddysgu profiadol a datblygiad plant. Fodd bynnag, mae Taylor, Rhys a Waldron (2016) yn egluro bod ffactorau cyd-destunol o amgylch ei gyflwyno wedi dylanwadu ar weithredu ac effaith ddilynol y giwygiad. Mae hyn yn awgrymu nad yw sefydlu cwricwlwm sy’n seiliedig ar chwarae yn trawsnewid arferion addysgeg ymarferwyr yn awtomatig. Gall gwahaniaethau mewn dealltwriaeth broffesiynol, blaenoriaethau sefydliadol a’r gefnogaeth sydd ar gael i leoliadau effeithio ar sut mae egwyddorion cwricwlwm yn cael eu dehongli (WG, 2026). </w:t>
      </w:r>
    </w:p>
    <w:p xmlns:wp14="http://schemas.microsoft.com/office/word/2010/wordml" w:rsidP="60F0122B" wp14:paraId="2556D76D" wp14:textId="1C245C41">
      <w:pPr>
        <w:spacing w:line="360" w:lineRule="auto"/>
      </w:pPr>
      <w:r w:rsidRPr="60F0122B" w:rsidR="728B586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Mae tystiolaeth gyfoes yn dangos bod gweithredu’n parhau i fod yn berthnasol o dan y Cwricwlwm i Gymru. Archwiliodd astudiaeth ansoddol Llywodraeth Cymru (2026) o ddysgu sylfaen ddylunio cwricwlwm, arfer addysgeg, dilyniant, asesu a dysgu proffesiynol ar draws 19 o ysgolion cynradd. Mae’r ymchwil yn rhoi cipolwg ar sut mae ymarferwyr yn dehongli ac yn gwireddu dysgu sy’n briodol i ddatblygiad, er na all ei sampl ansoddol sefydlu pa mor aml y mae heriau penodol yn digwydd ledled Cymru. Serch hynny, mae’n tynnu sylw at bwysigrwydd archwilio gweithredu’r cwricwlwm fel proses yn hytrach na thybio bod bwriadau polisi yn gwarantu arfer cyson. </w:t>
      </w:r>
    </w:p>
    <w:p xmlns:wp14="http://schemas.microsoft.com/office/word/2010/wordml" w:rsidP="60F0122B" wp14:paraId="789B3233" wp14:textId="47394474">
      <w:pPr>
        <w:spacing w:line="360" w:lineRule="auto"/>
      </w:pPr>
      <w:r w:rsidRPr="60F0122B" w:rsidR="728B586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Mae cymhariaeth â Meithrinfa Goedwig Denmarc yn dangos sut mae addysgeg hefyd yn cael ei llunio gan drefniadaeth lleoliadau unigol. Cymharodd Mackinder (2022) chwarae plant mewn un Ysgol Goedwig yn Lloegr ac un Meithrinfa Goedwig Denmarc. Er bod plant yn y ddau leoliad wedi cymryd rhan weithredol mewn chwarae, roedd y lleoliadau’n wahanol yn eu dulliau addysgeg a’u trefniadaeth. Mae hyn yn dangos bod profiadau plant yn cael eu dylanwadu nid yn unig gan werth datganedig chwarae, ond hefyd gan sut mae oedolion yn strwythuro cyfleoedd ac adnoddau. Fodd bynnag, ni all yr astudiaeth achos ar raddfa fach sefydlu bod y gwahaniaethau hyn yn cynrychioli’r holl ddarpariaeth Saesneg neu Ddaneg. Ar ben hynny, ni ddylid cyfateb Meithrinfa Goedwig â chwricwlwm plentyndod cynnar cyfan Denmarc. Mae fframwaith addysgeg cenedlaethol Denmarc yn cwmpasu sawl thema ddatblygiadol, gan gynnwys natur, bywyd awyr agored a gwyddoniaeth (Gweinyddiaeth Plant ac Addysg Denmarc, 2020). </w:t>
      </w:r>
    </w:p>
    <w:p xmlns:wp14="http://schemas.microsoft.com/office/word/2010/wordml" w:rsidP="60F0122B" wp14:paraId="6274CB59" wp14:textId="2A14C78B">
      <w:pPr>
        <w:spacing w:line="360" w:lineRule="auto"/>
      </w:pPr>
      <w:r w:rsidRPr="60F0122B" w:rsidR="728B586B">
        <w:rPr>
          <w:rFonts w:ascii="Arial" w:hAnsi="Arial" w:eastAsia="Arial" w:cs="Arial"/>
          <w:b w:val="0"/>
          <w:bCs w:val="0"/>
          <w:i w:val="0"/>
          <w:iCs w:val="0"/>
          <w:strike w:val="0"/>
          <w:dstrike w:val="0"/>
          <w:noProof w:val="0"/>
          <w:color w:val="000000" w:themeColor="text1" w:themeTint="FF" w:themeShade="FF"/>
          <w:sz w:val="24"/>
          <w:szCs w:val="24"/>
          <w:u w:val="none"/>
          <w:lang w:val="en-US"/>
        </w:rPr>
        <w:t>O ganlyniad, mae'r ddau gyd-destun yn dangos bod gweithredu dysgu seiliedig ar chwarae yn dibynnu ar sut mae ymarferwyr yn dehongli ac yn gweithredu egwyddorion addysgol. Er bod y dystiolaeth Gymreig yn tynnu sylw at heriau sy'n gysylltiedig â diwygio'r cwricwlwm, mae'r gymhariaeth Ddenmarc yn dangos dylanwad penderfyniadau addysgeg penodol i leoliadau. Nid yw'r naill gyd-destun na'r llall yn gwarantu gweithredu cyson drwy gymeradwyo dysgu sy'n canolbwyntio ar y plentyn yn unig.</w:t>
      </w:r>
    </w:p>
    <w:p xmlns:wp14="http://schemas.microsoft.com/office/word/2010/wordml" w:rsidP="60F0122B" wp14:paraId="46F74761" wp14:textId="45454B01">
      <w:pPr>
        <w:spacing w:line="360" w:lineRule="auto"/>
      </w:pPr>
      <w:r w:rsidRPr="60F0122B" w:rsidR="728B586B">
        <w:rPr>
          <w:rFonts w:ascii="Arial" w:hAnsi="Arial" w:eastAsia="Arial" w:cs="Arial"/>
          <w:b w:val="0"/>
          <w:bCs w:val="0"/>
          <w:i w:val="0"/>
          <w:iCs w:val="0"/>
          <w:strike w:val="0"/>
          <w:dstrike w:val="0"/>
          <w:noProof w:val="0"/>
          <w:color w:val="000000" w:themeColor="text1" w:themeTint="FF" w:themeShade="FF"/>
          <w:sz w:val="24"/>
          <w:szCs w:val="24"/>
          <w:u w:val="single"/>
          <w:lang w:val="en-US"/>
        </w:rPr>
        <w:t>Asesu a disgwyliadau academaidd</w:t>
      </w:r>
    </w:p>
    <w:p xmlns:wp14="http://schemas.microsoft.com/office/word/2010/wordml" w:rsidP="60F0122B" wp14:paraId="08FA1832" wp14:textId="1A90941B">
      <w:pPr>
        <w:spacing w:line="360" w:lineRule="auto"/>
      </w:pPr>
      <w:r w:rsidRPr="60F0122B" w:rsidR="728B586B">
        <w:rPr>
          <w:rFonts w:ascii="Arial" w:hAnsi="Arial" w:eastAsia="Arial" w:cs="Arial"/>
          <w:b w:val="0"/>
          <w:bCs w:val="0"/>
          <w:i w:val="0"/>
          <w:iCs w:val="0"/>
          <w:strike w:val="0"/>
          <w:dstrike w:val="0"/>
          <w:noProof w:val="0"/>
          <w:color w:val="000000" w:themeColor="text1" w:themeTint="FF" w:themeShade="FF"/>
          <w:sz w:val="24"/>
          <w:szCs w:val="24"/>
          <w:u w:val="none"/>
          <w:lang w:val="en-US"/>
        </w:rPr>
        <w:t>Her bellach yw cydbwyso archwilio dan arweiniad plant â disgwyliadau ar gyfer asesu a chynnydd mesuradwy. O fewn addysg sy'n seiliedig ar chwarae, gall dysgu plant ddod i'r amlwg yn raddol trwy sgyrsiau, arbrofi a rhyngweithio cymdeithasol yn hytrach na thrwy weithgareddau â chanlyniadau wedi'u pennu ymlaen llaw. O ganlyniad, rhaid i ymarferwyr gydnabod a dogfennu dysgu heb ganiatáu i ofynion asesu ddominyddu profiadau plant. Yng Nghymru, mae ymchwil Llywodraeth Cymru (2022) i arferion asesu yn y Cyfnod Sylfaen yn darparu ffynhonnell bolisi berthnasol ar gyfer archwilio sut mae asesu'n cael ei ymgorffori yn y ddarpariaeth blynyddoedd cynnar. Mae adroddiad Estyn (2017) ar ddysgu gweithredol a phrofiadol hefyd yn darparu cyd-destun ar gyfer ystyried sut mae ymarferwyr yn cefnogi dysgu ystyrlon wrth fynd i'r afael â disgwyliadau llythrennedd a rhifedd.</w:t>
      </w:r>
    </w:p>
    <w:p xmlns:wp14="http://schemas.microsoft.com/office/word/2010/wordml" w:rsidP="60F0122B" wp14:paraId="1B68E219" wp14:textId="43CEF4E3">
      <w:pPr>
        <w:spacing w:before="0" w:beforeAutospacing="off" w:after="0" w:afterAutospacing="off" w:line="360" w:lineRule="auto"/>
      </w:pPr>
      <w:r w:rsidRPr="60F0122B" w:rsidR="728B586B">
        <w:rPr>
          <w:rFonts w:ascii="Arial" w:hAnsi="Arial" w:eastAsia="Arial" w:cs="Arial"/>
          <w:b w:val="0"/>
          <w:bCs w:val="0"/>
          <w:i w:val="0"/>
          <w:iCs w:val="0"/>
          <w:strike w:val="0"/>
          <w:dstrike w:val="0"/>
          <w:noProof w:val="0"/>
          <w:color w:val="000000" w:themeColor="text1" w:themeTint="FF" w:themeShade="FF"/>
          <w:sz w:val="24"/>
          <w:szCs w:val="24"/>
          <w:u w:val="none"/>
          <w:lang w:val="en-US"/>
        </w:rPr>
        <w:t>Fodd bynnag, byddai'n anghywir awgrymu bod asesu yn gynhenid anghydnaws â chwarae. Gall arsylwi alluogi ymarferwyr i nodi diddordebau sy'n dod i'r amlwg, cydnabod dealltwriaeth plant a chynllunio camau nesaf priodol (Llywodraeth Cymru, 2022). Mae'r her yn codi pan fydd asesu'n canolbwyntio gormod ar yr hyn y gellir ei fesur, gan annog ymarferwyr o bosibl i flaenoriaethu canlyniadau y gellir eu dangos yn hawdd dros brofiadau datblygiadol ehangach. Mae Llywodraeth Cymru (2026) yn tynnu sylw at densiynau parhaus rhwng asesu cyfannol, sy'n seiliedig ar arsylwi, ac angen canfyddedig ymarferwyr i ddangos cynnydd mesuradwy. I'r gwrthwyneb, heb arsylwi ac asesu pwrpasol, gall ymarferwyr golli cyfleoedd i nodi gwybodaeth sy'n datblygu plant ac addasu profiadau i gefnogi eu hanghenion dysgu unigol (Guarrella, van Driel a Cohrssen, 2022). Felly, mae gweithredu effeithiol yn ei gwneud yn ofynnol i ymarferwyr gydbwyso dysgu ymatebol, a gychwynnir gan blant, â chynllunio addysgol gwybodus.</w:t>
      </w:r>
    </w:p>
    <w:p xmlns:wp14="http://schemas.microsoft.com/office/word/2010/wordml" w:rsidP="60F0122B" wp14:paraId="3835B3A2" wp14:textId="37726F97">
      <w:pPr>
        <w:spacing w:line="360" w:lineRule="auto"/>
      </w:pPr>
      <w:r w:rsidRPr="60F0122B" w:rsidR="728B586B">
        <w:rPr>
          <w:rFonts w:ascii="Arial" w:hAnsi="Arial" w:eastAsia="Arial" w:cs="Arial"/>
          <w:b w:val="0"/>
          <w:bCs w:val="0"/>
          <w:i w:val="0"/>
          <w:iCs w:val="0"/>
          <w:strike w:val="0"/>
          <w:dstrike w:val="0"/>
          <w:noProof w:val="0"/>
          <w:color w:val="000000" w:themeColor="text1" w:themeTint="FF" w:themeShade="FF"/>
          <w:sz w:val="24"/>
          <w:szCs w:val="24"/>
          <w:u w:val="none"/>
          <w:lang w:val="en-US"/>
        </w:rPr>
        <w:t>Mae'r tensiwn hwn yn berthnasol i Ddenmarc hefyd. Mae Gweinidogaeth Plant ac Addysg Denmarc (2020) yn nodi chwe thema gwricwlaidd o fewn ei fframwaith pedagogaidd cenedlaethol, gan ddangos bod darpariaeth sy'n seiliedig ar natur yn rhan o ymrwymiad ehangach i ddatblygiad plant. Felly, rhaid deall y 'Kindergarten Coedwig' (Forest Kindergarten) fel rhywbeth sy'n fwy na chwarae awyr agored heb gyfyngiadau. Mae angen i ymarferwyr barhau i ystyried dysgu, cyfranogiad a datblygiad plant ar draws y cwricwlwm. Mae Mohammed et al. (2026), mewn adolygiad cwmpasu o 51 o astudiaethau ar ddysgu drwy chwarae, yn nodi ffactorau gweithredu ac arferion asesu fel meysydd pwysig o fewn y llenyddiaeth ymchwil. Fodd bynnag, mae amrywiaeth y lleoliadau a'r dulliau ymchwil a gynhwysir yn yr adolygiad yn cyfyngu ar y graddau y gellir cymhwyso'r canfyddiadau'n uniongyrchol i Gymru neu Ddenmarc.</w:t>
      </w:r>
    </w:p>
    <w:p xmlns:wp14="http://schemas.microsoft.com/office/word/2010/wordml" w:rsidP="60F0122B" wp14:paraId="7A832E1B" wp14:textId="23792331">
      <w:pPr>
        <w:spacing w:before="0" w:beforeAutospacing="off" w:after="0" w:afterAutospacing="off" w:line="360" w:lineRule="auto"/>
      </w:pPr>
      <w:r w:rsidRPr="60F0122B" w:rsidR="728B586B">
        <w:rPr>
          <w:rFonts w:ascii="Arial" w:hAnsi="Arial" w:eastAsia="Arial" w:cs="Arial"/>
          <w:b w:val="0"/>
          <w:bCs w:val="0"/>
          <w:i w:val="0"/>
          <w:iCs w:val="0"/>
          <w:strike w:val="0"/>
          <w:dstrike w:val="0"/>
          <w:noProof w:val="0"/>
          <w:color w:val="000000" w:themeColor="text1" w:themeTint="FF" w:themeShade="FF"/>
          <w:sz w:val="24"/>
          <w:szCs w:val="24"/>
          <w:u w:val="none"/>
          <w:lang w:val="en-US"/>
        </w:rPr>
        <w:t>Mae'r gymhariaeth yn awgrymu bod asesu yn cyflwyno her yn y ddau gyd-destun, er y gall y pwysau a wynebir gan leoliadau unigol amrywio. Yn hytrach na rhoi'r gorau i asesu er mwyn diogelu ymreolaeth plant, mae angen dulliau ar ymarferwyr sy'n cydnabod dysgu drwy arsylwi a rhyngweithio ystyrlon, heb gyfyngu ar archwilio yn ddiangen (Llywodraeth Cymru, 2022; Guarrella, van Driel a Cohrssen, 2023).</w:t>
      </w:r>
    </w:p>
    <w:p xmlns:wp14="http://schemas.microsoft.com/office/word/2010/wordml" w:rsidP="60F0122B" wp14:paraId="02FC191A" wp14:textId="0C483329">
      <w:pPr>
        <w:spacing w:before="0" w:beforeAutospacing="off" w:after="0" w:afterAutospacing="off" w:line="360" w:lineRule="auto"/>
      </w:pPr>
      <w:r w:rsidRPr="60F0122B" w:rsidR="728B586B">
        <w:rPr>
          <w:rFonts w:ascii="Arial" w:hAnsi="Arial" w:eastAsia="Arial" w:cs="Arial"/>
          <w:b w:val="0"/>
          <w:bCs w:val="0"/>
          <w:i w:val="0"/>
          <w:iCs w:val="0"/>
          <w:strike w:val="0"/>
          <w:dstrike w:val="0"/>
          <w:noProof w:val="0"/>
          <w:color w:val="000000" w:themeColor="text1" w:themeTint="FF" w:themeShade="FF"/>
          <w:sz w:val="24"/>
          <w:szCs w:val="24"/>
          <w:u w:val="single"/>
          <w:lang w:val="en-US"/>
        </w:rPr>
        <w:t>Amgylcheddau awyr agored, diogelwch a chynhwysiant</w:t>
      </w:r>
    </w:p>
    <w:p xmlns:wp14="http://schemas.microsoft.com/office/word/2010/wordml" w:rsidP="60F0122B" wp14:paraId="03CECA39" wp14:textId="7071E9AA">
      <w:pPr>
        <w:spacing w:before="0" w:beforeAutospacing="off" w:after="0" w:afterAutospacing="off" w:line="360" w:lineRule="auto"/>
      </w:pPr>
      <w:r w:rsidRPr="60F0122B" w:rsidR="728B586B">
        <w:rPr>
          <w:rFonts w:ascii="Arial" w:hAnsi="Arial" w:eastAsia="Arial" w:cs="Arial"/>
          <w:b w:val="0"/>
          <w:bCs w:val="0"/>
          <w:i w:val="0"/>
          <w:iCs w:val="0"/>
          <w:strike w:val="0"/>
          <w:dstrike w:val="0"/>
          <w:noProof w:val="0"/>
          <w:color w:val="000000" w:themeColor="text1" w:themeTint="FF" w:themeShade="FF"/>
          <w:sz w:val="24"/>
          <w:szCs w:val="24"/>
          <w:u w:val="none"/>
          <w:lang w:val="en-US"/>
        </w:rPr>
        <w:t>Mae dysgu yn yr awyr agored yn creu cyfleoedd ar gyfer symud, archwilio a rhyngweithio, ond mae gweithredu darpariaeth sy'n seiliedig ar natur hefyd yn cyflwyno heriau ymarferol (Cerino, 2023). Gall Meithrinfa'r Goedwig gynnig mynediad i blant at ddeunyddiau naturiol ac amgylcheddau llai rhagweladwy, gan gefnogi cyfleoedd ar gyfer chwarae dychmygus, gweithgaredd corfforol ac archwilio amgylcheddol. Fodd bynnag, nid yw argaeledd lle awyr agored addas yn sicrhau dysgu o ansawdd uchel yn awtomatig. Rhaid i ymarferwyr ystyried addasrwydd yr amgylchedd, yr adnoddau sydd ar gael, amodau tywydd, dillad, goruchwyliaeth ac anghenion unigol plant (Cerino, 2023).</w:t>
      </w:r>
    </w:p>
    <w:p xmlns:wp14="http://schemas.microsoft.com/office/word/2010/wordml" w:rsidP="60F0122B" wp14:paraId="015DCBF8" wp14:textId="33E5291C">
      <w:pPr>
        <w:spacing w:before="0" w:beforeAutospacing="off" w:after="0" w:afterAutospacing="off" w:line="360" w:lineRule="auto"/>
      </w:pPr>
      <w:r w:rsidRPr="60F0122B" w:rsidR="728B586B">
        <w:rPr>
          <w:rFonts w:ascii="Arial" w:hAnsi="Arial" w:eastAsia="Arial" w:cs="Arial"/>
          <w:b w:val="0"/>
          <w:bCs w:val="0"/>
          <w:i w:val="0"/>
          <w:iCs w:val="0"/>
          <w:strike w:val="0"/>
          <w:dstrike w:val="0"/>
          <w:noProof w:val="0"/>
          <w:color w:val="000000" w:themeColor="text1" w:themeTint="FF" w:themeShade="FF"/>
          <w:sz w:val="24"/>
          <w:szCs w:val="24"/>
          <w:u w:val="none"/>
          <w:lang w:val="en-US"/>
        </w:rPr>
        <w:t>Cynhaliodd Ardoin a Bowers (2020) adolygiad systematig o 66 o astudiaethau empirig o addysg amgylcheddol plentyndod cynnar. Mae eu hadolygiad yn nodi canlyniadau gwybyddol, affeithiol a chymdeithasol-emosiynol a gofnodwyd sy'n gysylltiedig ag addysg amgylcheddol ac yn tynnu sylw at bwysigrwydd chwarae, symud a phrofiadau cyfoethog o ran natur. Mae hyn yn darparu sylfaen dystiolaeth sylweddol ar gyfer ystyried potensial addysgol dysgu yn yr awyr agored. Serch hynny, mae addysg amgylcheddol yn cynnwys ystod ehangach o brofiadau na Meithrinfa Goedwig, sy'n golygu na ellir trin ei chanfyddiadau fel tystiolaeth uniongyrchol bod pob lleoliad sy'n seiliedig ar natur yn Nenmarc yn cyflawni'r un canlyniadau.</w:t>
      </w:r>
    </w:p>
    <w:p xmlns:wp14="http://schemas.microsoft.com/office/word/2010/wordml" w:rsidP="60F0122B" wp14:paraId="50A31DDD" wp14:textId="5B713A1E">
      <w:pPr>
        <w:spacing w:before="0" w:beforeAutospacing="off" w:after="0" w:afterAutospacing="off" w:line="360" w:lineRule="auto"/>
      </w:pPr>
      <w:r w:rsidRPr="60F0122B" w:rsidR="728B586B">
        <w:rPr>
          <w:rFonts w:ascii="Arial" w:hAnsi="Arial" w:eastAsia="Arial" w:cs="Arial"/>
          <w:b w:val="0"/>
          <w:bCs w:val="0"/>
          <w:i w:val="0"/>
          <w:iCs w:val="0"/>
          <w:strike w:val="0"/>
          <w:dstrike w:val="0"/>
          <w:noProof w:val="0"/>
          <w:color w:val="000000" w:themeColor="text1" w:themeTint="FF" w:themeShade="FF"/>
          <w:sz w:val="24"/>
          <w:szCs w:val="24"/>
          <w:u w:val="none"/>
          <w:lang w:val="en-US"/>
        </w:rPr>
        <w:t>Adolygodd Dabaja (2021b) ymchwil ar Ysgol Goedwig a nododd fanteision a adroddwyd yn ymwneud â chydweithrediad cymdeithasol a sgiliau corfforol plant. Mewn adolygiad dilynol, ystyriodd Dabaja (2021a) ganlyniadau ychwanegol a adroddwyd, gan gynnwys hyder, lles emosiynol, rheoli risg ac ymwybyddiaeth amgylcheddol. Gyda'i gilydd, mae'r adolygiadau hyn yn awgrymu y gall Ysgol Goedwig gynnig ystod o gyfleoedd datblygiadol. Fodd bynnag, ni ddylid dehongli manteision a adroddwyd yn awtomatig fel effeithiau achosol, yn enwedig lle mae astudiaethau sylfaenol yn wahanol yn eu dulliau, eu hyd a'u cyd-destunau addysgol. Mae hyn yn cyfyngu ar y sicrwydd y gellir priodoli canlyniadau cadarnhaol i Ysgol Goedwig yn unig.</w:t>
      </w:r>
    </w:p>
    <w:p xmlns:wp14="http://schemas.microsoft.com/office/word/2010/wordml" w:rsidP="60F0122B" wp14:paraId="6E85B224" wp14:textId="4BCEC261">
      <w:pPr>
        <w:spacing w:before="0" w:beforeAutospacing="off" w:after="0" w:afterAutospacing="off" w:line="360" w:lineRule="auto"/>
      </w:pPr>
      <w:r w:rsidRPr="60F0122B" w:rsidR="728B586B">
        <w:rPr>
          <w:rFonts w:ascii="Arial" w:hAnsi="Arial" w:eastAsia="Arial" w:cs="Arial"/>
          <w:b w:val="0"/>
          <w:bCs w:val="0"/>
          <w:i w:val="0"/>
          <w:iCs w:val="0"/>
          <w:strike w:val="0"/>
          <w:dstrike w:val="0"/>
          <w:noProof w:val="0"/>
          <w:color w:val="000000" w:themeColor="text1" w:themeTint="FF" w:themeShade="FF"/>
          <w:sz w:val="24"/>
          <w:szCs w:val="24"/>
          <w:u w:val="none"/>
          <w:lang w:val="en-US"/>
        </w:rPr>
        <w:t>Mae'r gymhariaeth yn dangos y gall yr amgylchedd dysgu greu cyfleoedd tra hefyd yn gosod cyfyngiadau ymarferol. Gall lleoliadau Cymreig ymgorffori profiadau awyr agored o fewn darpariaeth ehangach, tra bod Meithrin y Goedwig yn rhoi pwyslais penodol ar amgylcheddau naturiol. Fodd bynnag, nid yw'r naill ddull na'r llall yn gwarantu cyfranogiad teg. Mae gweithredu effeithiol yn ei gwneud yn ofynnol i ymarferwyr addasu amgylcheddau a phrofiadau wrth gadw cyfleoedd ar gyfer annibyniaeth ac archwilio plant.</w:t>
      </w:r>
    </w:p>
    <w:p xmlns:wp14="http://schemas.microsoft.com/office/word/2010/wordml" w:rsidP="60F0122B" wp14:paraId="2B4C9421" wp14:textId="6D857769">
      <w:pPr>
        <w:spacing w:before="0" w:beforeAutospacing="off" w:after="0" w:afterAutospacing="off" w:line="360" w:lineRule="auto"/>
      </w:pPr>
      <w:r w:rsidRPr="60F0122B" w:rsidR="728B586B">
        <w:rPr>
          <w:rFonts w:ascii="Arial" w:hAnsi="Arial" w:eastAsia="Arial" w:cs="Arial"/>
          <w:b w:val="0"/>
          <w:bCs w:val="0"/>
          <w:i w:val="0"/>
          <w:iCs w:val="0"/>
          <w:strike w:val="0"/>
          <w:dstrike w:val="0"/>
          <w:noProof w:val="0"/>
          <w:color w:val="000000" w:themeColor="text1" w:themeTint="FF" w:themeShade="FF"/>
          <w:sz w:val="24"/>
          <w:szCs w:val="24"/>
          <w:u w:val="single"/>
          <w:lang w:val="en-US"/>
        </w:rPr>
        <w:t>Casgliad</w:t>
      </w:r>
    </w:p>
    <w:p xmlns:wp14="http://schemas.microsoft.com/office/word/2010/wordml" w:rsidP="60F0122B" wp14:paraId="2C76C27C" wp14:textId="29E680E3">
      <w:pPr>
        <w:spacing w:before="0" w:beforeAutospacing="off" w:after="0" w:afterAutospacing="off" w:line="360" w:lineRule="auto"/>
      </w:pPr>
      <w:r w:rsidRPr="60F0122B" w:rsidR="728B586B">
        <w:rPr>
          <w:rFonts w:ascii="Arial" w:hAnsi="Arial" w:eastAsia="Arial" w:cs="Arial"/>
          <w:b w:val="0"/>
          <w:bCs w:val="0"/>
          <w:i w:val="0"/>
          <w:iCs w:val="0"/>
          <w:strike w:val="0"/>
          <w:dstrike w:val="0"/>
          <w:noProof w:val="0"/>
          <w:color w:val="000000" w:themeColor="text1" w:themeTint="FF" w:themeShade="FF"/>
          <w:sz w:val="24"/>
          <w:szCs w:val="24"/>
          <w:u w:val="none"/>
          <w:lang w:val="en-US"/>
        </w:rPr>
        <w:t>I gloi, mae gweithredu cwricwla sy'n seiliedig ar chwarae yn cyflwyno heriau sy'n ymwneud â dehongli a gwerthuso polisïau. Mae Cyfnod Sylfaen Cymru yn dangos sut y gall diwygio cwricwlwm uchelgeisiol wynebu anawsterau pan gaiff ei egwyddorion eu cyfieithu i ymarfer bob dydd (Taylor, Rhys a Waldron, 2016), tra bod Meithrinfa Goedwig Danaidd yn dangos y cyfleoedd a'r gofynion ymarferol sy'n gysylltiedig â dysgu sy'n seiliedig ar natur (Mackinder, 2022). Er bod y ddau ddull yn gwerthfawrogi cyfranogiad gweithredol plant, nid yw'r naill na'r llall yn gwarantu darpariaeth gyson na chynhwysol (Llywodraeth Cymru, 2022; Mackinder, 2022).</w:t>
      </w:r>
    </w:p>
    <w:p xmlns:wp14="http://schemas.microsoft.com/office/word/2010/wordml" w:rsidP="60F0122B" wp14:paraId="07D47775" wp14:textId="4D226DED">
      <w:pPr>
        <w:spacing w:line="360" w:lineRule="auto"/>
      </w:pPr>
    </w:p>
    <w:p xmlns:wp14="http://schemas.microsoft.com/office/word/2010/wordml" w:rsidP="60F0122B" wp14:paraId="09CF3CAE" wp14:textId="74F639FF">
      <w:pPr>
        <w:spacing w:line="360" w:lineRule="auto"/>
      </w:pPr>
    </w:p>
    <w:p xmlns:wp14="http://schemas.microsoft.com/office/word/2010/wordml" w:rsidP="60F0122B" wp14:paraId="0D906BEF" wp14:textId="2B029AEC">
      <w:pPr>
        <w:spacing w:line="360" w:lineRule="auto"/>
      </w:pPr>
    </w:p>
    <w:p xmlns:wp14="http://schemas.microsoft.com/office/word/2010/wordml" w:rsidP="60F0122B" wp14:paraId="5AEC0E56" wp14:textId="4F1DCEE1">
      <w:pPr>
        <w:spacing w:line="360" w:lineRule="auto"/>
      </w:pPr>
    </w:p>
    <w:p xmlns:wp14="http://schemas.microsoft.com/office/word/2010/wordml" w:rsidP="60F0122B" wp14:paraId="687DF8C6" wp14:textId="41D259EA">
      <w:pPr>
        <w:spacing w:line="360" w:lineRule="auto"/>
      </w:pPr>
    </w:p>
    <w:p xmlns:wp14="http://schemas.microsoft.com/office/word/2010/wordml" w:rsidP="60F0122B" wp14:paraId="3DA99FC4" wp14:textId="43942406">
      <w:pPr>
        <w:spacing w:line="360" w:lineRule="auto"/>
      </w:pPr>
    </w:p>
    <w:p xmlns:wp14="http://schemas.microsoft.com/office/word/2010/wordml" w:rsidP="60F0122B" wp14:paraId="6D25A4CA" wp14:textId="334CC728">
      <w:pPr>
        <w:spacing w:line="360" w:lineRule="auto"/>
      </w:pPr>
    </w:p>
    <w:p xmlns:wp14="http://schemas.microsoft.com/office/word/2010/wordml" w:rsidP="60F0122B" wp14:paraId="15160DA3" wp14:textId="52B6BB5A">
      <w:pPr>
        <w:pStyle w:val="Normal"/>
        <w:spacing w:line="360" w:lineRule="auto"/>
      </w:pPr>
      <w:r w:rsidRPr="60F0122B" w:rsidR="728B586B">
        <w:rPr>
          <w:rFonts w:ascii="Arial" w:hAnsi="Arial" w:eastAsia="Arial" w:cs="Arial"/>
          <w:b w:val="0"/>
          <w:bCs w:val="0"/>
          <w:i w:val="0"/>
          <w:iCs w:val="0"/>
          <w:strike w:val="0"/>
          <w:dstrike w:val="0"/>
          <w:noProof w:val="0"/>
          <w:color w:val="000000" w:themeColor="text1" w:themeTint="FF" w:themeShade="FF"/>
          <w:sz w:val="30"/>
          <w:szCs w:val="30"/>
          <w:u w:val="single"/>
          <w:lang w:val="en-US"/>
        </w:rPr>
        <w:t>Ystyried</w:t>
      </w:r>
      <w:r w:rsidRPr="60F0122B" w:rsidR="728B586B">
        <w:rPr>
          <w:rFonts w:ascii="Arial" w:hAnsi="Arial" w:eastAsia="Arial" w:cs="Arial"/>
          <w:b w:val="0"/>
          <w:bCs w:val="0"/>
          <w:i w:val="0"/>
          <w:iCs w:val="0"/>
          <w:strike w:val="0"/>
          <w:dstrike w:val="0"/>
          <w:noProof w:val="0"/>
          <w:color w:val="000000" w:themeColor="text1" w:themeTint="FF" w:themeShade="FF"/>
          <w:sz w:val="30"/>
          <w:szCs w:val="30"/>
          <w:u w:val="single"/>
          <w:lang w:val="en-US"/>
        </w:rPr>
        <w:t xml:space="preserve"> y </w:t>
      </w:r>
      <w:r w:rsidRPr="60F0122B" w:rsidR="728B586B">
        <w:rPr>
          <w:rFonts w:ascii="Arial" w:hAnsi="Arial" w:eastAsia="Arial" w:cs="Arial"/>
          <w:b w:val="0"/>
          <w:bCs w:val="0"/>
          <w:i w:val="0"/>
          <w:iCs w:val="0"/>
          <w:strike w:val="0"/>
          <w:dstrike w:val="0"/>
          <w:noProof w:val="0"/>
          <w:color w:val="000000" w:themeColor="text1" w:themeTint="FF" w:themeShade="FF"/>
          <w:sz w:val="30"/>
          <w:szCs w:val="30"/>
          <w:u w:val="single"/>
          <w:lang w:val="en-US"/>
        </w:rPr>
        <w:t>Plentyn</w:t>
      </w:r>
      <w:r w:rsidRPr="60F0122B" w:rsidR="728B586B">
        <w:rPr>
          <w:rFonts w:ascii="Arial" w:hAnsi="Arial" w:eastAsia="Arial" w:cs="Arial"/>
          <w:b w:val="0"/>
          <w:bCs w:val="0"/>
          <w:i w:val="0"/>
          <w:iCs w:val="0"/>
          <w:strike w:val="0"/>
          <w:dstrike w:val="0"/>
          <w:noProof w:val="0"/>
          <w:color w:val="000000" w:themeColor="text1" w:themeTint="FF" w:themeShade="FF"/>
          <w:sz w:val="30"/>
          <w:szCs w:val="30"/>
          <w:u w:val="single"/>
          <w:lang w:val="en-US"/>
        </w:rPr>
        <w:t xml:space="preserve"> </w:t>
      </w:r>
      <w:r w:rsidRPr="60F0122B" w:rsidR="728B586B">
        <w:rPr>
          <w:rFonts w:ascii="Arial" w:hAnsi="Arial" w:eastAsia="Arial" w:cs="Arial"/>
          <w:b w:val="0"/>
          <w:bCs w:val="0"/>
          <w:i w:val="0"/>
          <w:iCs w:val="0"/>
          <w:strike w:val="0"/>
          <w:dstrike w:val="0"/>
          <w:noProof w:val="0"/>
          <w:color w:val="000000" w:themeColor="text1" w:themeTint="FF" w:themeShade="FF"/>
          <w:sz w:val="30"/>
          <w:szCs w:val="30"/>
          <w:u w:val="single"/>
          <w:lang w:val="en-US"/>
        </w:rPr>
        <w:t>Unigryw</w:t>
      </w:r>
      <w:r w:rsidRPr="60F0122B" w:rsidR="728B586B">
        <w:rPr>
          <w:rFonts w:ascii="Arial" w:hAnsi="Arial" w:eastAsia="Arial" w:cs="Arial"/>
          <w:b w:val="0"/>
          <w:bCs w:val="0"/>
          <w:i w:val="0"/>
          <w:iCs w:val="0"/>
          <w:strike w:val="0"/>
          <w:dstrike w:val="0"/>
          <w:noProof w:val="0"/>
          <w:color w:val="000000" w:themeColor="text1" w:themeTint="FF" w:themeShade="FF"/>
          <w:sz w:val="30"/>
          <w:szCs w:val="30"/>
          <w:u w:val="single"/>
          <w:lang w:val="en-US"/>
        </w:rPr>
        <w:t xml:space="preserve">: </w:t>
      </w:r>
      <w:r w:rsidRPr="60F0122B" w:rsidR="728B586B">
        <w:rPr>
          <w:rFonts w:ascii="Arial" w:hAnsi="Arial" w:eastAsia="Arial" w:cs="Arial"/>
          <w:b w:val="0"/>
          <w:bCs w:val="0"/>
          <w:i w:val="0"/>
          <w:iCs w:val="0"/>
          <w:strike w:val="0"/>
          <w:dstrike w:val="0"/>
          <w:noProof w:val="0"/>
          <w:color w:val="000000" w:themeColor="text1" w:themeTint="FF" w:themeShade="FF"/>
          <w:sz w:val="30"/>
          <w:szCs w:val="30"/>
          <w:u w:val="single"/>
          <w:lang w:val="en-US"/>
        </w:rPr>
        <w:t>Gwerthusiad</w:t>
      </w:r>
      <w:r w:rsidRPr="60F0122B" w:rsidR="728B586B">
        <w:rPr>
          <w:rFonts w:ascii="Arial" w:hAnsi="Arial" w:eastAsia="Arial" w:cs="Arial"/>
          <w:b w:val="0"/>
          <w:bCs w:val="0"/>
          <w:i w:val="0"/>
          <w:iCs w:val="0"/>
          <w:strike w:val="0"/>
          <w:dstrike w:val="0"/>
          <w:noProof w:val="0"/>
          <w:color w:val="000000" w:themeColor="text1" w:themeTint="FF" w:themeShade="FF"/>
          <w:sz w:val="30"/>
          <w:szCs w:val="30"/>
          <w:u w:val="single"/>
          <w:lang w:val="en-US"/>
        </w:rPr>
        <w:t xml:space="preserve"> </w:t>
      </w:r>
      <w:r w:rsidRPr="60F0122B" w:rsidR="728B586B">
        <w:rPr>
          <w:rFonts w:ascii="Arial" w:hAnsi="Arial" w:eastAsia="Arial" w:cs="Arial"/>
          <w:b w:val="0"/>
          <w:bCs w:val="0"/>
          <w:i w:val="0"/>
          <w:iCs w:val="0"/>
          <w:strike w:val="0"/>
          <w:dstrike w:val="0"/>
          <w:noProof w:val="0"/>
          <w:color w:val="000000" w:themeColor="text1" w:themeTint="FF" w:themeShade="FF"/>
          <w:sz w:val="30"/>
          <w:szCs w:val="30"/>
          <w:u w:val="single"/>
          <w:lang w:val="en-US"/>
        </w:rPr>
        <w:t>Beirniadol</w:t>
      </w:r>
      <w:r w:rsidRPr="60F0122B" w:rsidR="728B586B">
        <w:rPr>
          <w:rFonts w:ascii="Arial" w:hAnsi="Arial" w:eastAsia="Arial" w:cs="Arial"/>
          <w:b w:val="0"/>
          <w:bCs w:val="0"/>
          <w:i w:val="0"/>
          <w:iCs w:val="0"/>
          <w:strike w:val="0"/>
          <w:dstrike w:val="0"/>
          <w:noProof w:val="0"/>
          <w:color w:val="000000" w:themeColor="text1" w:themeTint="FF" w:themeShade="FF"/>
          <w:sz w:val="30"/>
          <w:szCs w:val="30"/>
          <w:u w:val="single"/>
          <w:lang w:val="en-US"/>
        </w:rPr>
        <w:t xml:space="preserve"> o </w:t>
      </w:r>
      <w:r w:rsidRPr="60F0122B" w:rsidR="728B586B">
        <w:rPr>
          <w:rFonts w:ascii="Arial" w:hAnsi="Arial" w:eastAsia="Arial" w:cs="Arial"/>
          <w:b w:val="0"/>
          <w:bCs w:val="0"/>
          <w:i w:val="0"/>
          <w:iCs w:val="0"/>
          <w:strike w:val="0"/>
          <w:dstrike w:val="0"/>
          <w:noProof w:val="0"/>
          <w:color w:val="000000" w:themeColor="text1" w:themeTint="FF" w:themeShade="FF"/>
          <w:sz w:val="30"/>
          <w:szCs w:val="30"/>
          <w:u w:val="single"/>
          <w:lang w:val="en-US"/>
        </w:rPr>
        <w:t>Asesu</w:t>
      </w:r>
      <w:r w:rsidRPr="60F0122B" w:rsidR="728B586B">
        <w:rPr>
          <w:rFonts w:ascii="Arial" w:hAnsi="Arial" w:eastAsia="Arial" w:cs="Arial"/>
          <w:b w:val="0"/>
          <w:bCs w:val="0"/>
          <w:i w:val="0"/>
          <w:iCs w:val="0"/>
          <w:strike w:val="0"/>
          <w:dstrike w:val="0"/>
          <w:noProof w:val="0"/>
          <w:color w:val="000000" w:themeColor="text1" w:themeTint="FF" w:themeShade="FF"/>
          <w:sz w:val="30"/>
          <w:szCs w:val="30"/>
          <w:u w:val="single"/>
          <w:lang w:val="en-US"/>
        </w:rPr>
        <w:t xml:space="preserve"> </w:t>
      </w:r>
      <w:r w:rsidRPr="60F0122B" w:rsidR="728B586B">
        <w:rPr>
          <w:rFonts w:ascii="Arial" w:hAnsi="Arial" w:eastAsia="Arial" w:cs="Arial"/>
          <w:b w:val="0"/>
          <w:bCs w:val="0"/>
          <w:i w:val="0"/>
          <w:iCs w:val="0"/>
          <w:strike w:val="0"/>
          <w:dstrike w:val="0"/>
          <w:noProof w:val="0"/>
          <w:color w:val="000000" w:themeColor="text1" w:themeTint="FF" w:themeShade="FF"/>
          <w:sz w:val="30"/>
          <w:szCs w:val="30"/>
          <w:u w:val="single"/>
          <w:lang w:val="en-US"/>
        </w:rPr>
        <w:t>mewn</w:t>
      </w:r>
      <w:r w:rsidRPr="60F0122B" w:rsidR="728B586B">
        <w:rPr>
          <w:rFonts w:ascii="Arial" w:hAnsi="Arial" w:eastAsia="Arial" w:cs="Arial"/>
          <w:b w:val="0"/>
          <w:bCs w:val="0"/>
          <w:i w:val="0"/>
          <w:iCs w:val="0"/>
          <w:strike w:val="0"/>
          <w:dstrike w:val="0"/>
          <w:noProof w:val="0"/>
          <w:color w:val="000000" w:themeColor="text1" w:themeTint="FF" w:themeShade="FF"/>
          <w:sz w:val="30"/>
          <w:szCs w:val="30"/>
          <w:u w:val="single"/>
          <w:lang w:val="en-US"/>
        </w:rPr>
        <w:t xml:space="preserve"> </w:t>
      </w:r>
      <w:r w:rsidRPr="60F0122B" w:rsidR="728B586B">
        <w:rPr>
          <w:rFonts w:ascii="Arial" w:hAnsi="Arial" w:eastAsia="Arial" w:cs="Arial"/>
          <w:b w:val="0"/>
          <w:bCs w:val="0"/>
          <w:i w:val="0"/>
          <w:iCs w:val="0"/>
          <w:strike w:val="0"/>
          <w:dstrike w:val="0"/>
          <w:noProof w:val="0"/>
          <w:color w:val="000000" w:themeColor="text1" w:themeTint="FF" w:themeShade="FF"/>
          <w:sz w:val="30"/>
          <w:szCs w:val="30"/>
          <w:u w:val="single"/>
          <w:lang w:val="en-US"/>
        </w:rPr>
        <w:t>Dysgu</w:t>
      </w:r>
      <w:r w:rsidRPr="60F0122B" w:rsidR="728B586B">
        <w:rPr>
          <w:rFonts w:ascii="Arial" w:hAnsi="Arial" w:eastAsia="Arial" w:cs="Arial"/>
          <w:b w:val="0"/>
          <w:bCs w:val="0"/>
          <w:i w:val="0"/>
          <w:iCs w:val="0"/>
          <w:strike w:val="0"/>
          <w:dstrike w:val="0"/>
          <w:noProof w:val="0"/>
          <w:color w:val="000000" w:themeColor="text1" w:themeTint="FF" w:themeShade="FF"/>
          <w:sz w:val="30"/>
          <w:szCs w:val="30"/>
          <w:u w:val="single"/>
          <w:lang w:val="en-US"/>
        </w:rPr>
        <w:t xml:space="preserve"> Sylfaenol </w:t>
      </w:r>
      <w:r w:rsidRPr="60F0122B" w:rsidR="728B586B">
        <w:rPr>
          <w:rFonts w:ascii="Arial" w:hAnsi="Arial" w:eastAsia="Arial" w:cs="Arial"/>
          <w:b w:val="0"/>
          <w:bCs w:val="0"/>
          <w:i w:val="0"/>
          <w:iCs w:val="0"/>
          <w:strike w:val="0"/>
          <w:dstrike w:val="0"/>
          <w:noProof w:val="0"/>
          <w:color w:val="000000" w:themeColor="text1" w:themeTint="FF" w:themeShade="FF"/>
          <w:sz w:val="30"/>
          <w:szCs w:val="30"/>
          <w:u w:val="single"/>
          <w:lang w:val="en-US"/>
        </w:rPr>
        <w:t>yng</w:t>
      </w:r>
      <w:r w:rsidRPr="60F0122B" w:rsidR="728B586B">
        <w:rPr>
          <w:rFonts w:ascii="Arial" w:hAnsi="Arial" w:eastAsia="Arial" w:cs="Arial"/>
          <w:b w:val="0"/>
          <w:bCs w:val="0"/>
          <w:i w:val="0"/>
          <w:iCs w:val="0"/>
          <w:strike w:val="0"/>
          <w:dstrike w:val="0"/>
          <w:noProof w:val="0"/>
          <w:color w:val="000000" w:themeColor="text1" w:themeTint="FF" w:themeShade="FF"/>
          <w:sz w:val="30"/>
          <w:szCs w:val="30"/>
          <w:u w:val="single"/>
          <w:lang w:val="en-US"/>
        </w:rPr>
        <w:t xml:space="preserve"> Nghymru ac </w:t>
      </w:r>
      <w:r w:rsidRPr="60F0122B" w:rsidR="728B586B">
        <w:rPr>
          <w:rFonts w:ascii="Arial" w:hAnsi="Arial" w:eastAsia="Arial" w:cs="Arial"/>
          <w:b w:val="0"/>
          <w:bCs w:val="0"/>
          <w:i w:val="0"/>
          <w:iCs w:val="0"/>
          <w:strike w:val="0"/>
          <w:dstrike w:val="0"/>
          <w:noProof w:val="0"/>
          <w:color w:val="000000" w:themeColor="text1" w:themeTint="FF" w:themeShade="FF"/>
          <w:sz w:val="30"/>
          <w:szCs w:val="30"/>
          <w:u w:val="single"/>
          <w:lang w:val="en-US"/>
        </w:rPr>
        <w:t>Ysgolion</w:t>
      </w:r>
      <w:r w:rsidRPr="60F0122B" w:rsidR="728B586B">
        <w:rPr>
          <w:rFonts w:ascii="Arial" w:hAnsi="Arial" w:eastAsia="Arial" w:cs="Arial"/>
          <w:b w:val="0"/>
          <w:bCs w:val="0"/>
          <w:i w:val="0"/>
          <w:iCs w:val="0"/>
          <w:strike w:val="0"/>
          <w:dstrike w:val="0"/>
          <w:noProof w:val="0"/>
          <w:color w:val="000000" w:themeColor="text1" w:themeTint="FF" w:themeShade="FF"/>
          <w:sz w:val="30"/>
          <w:szCs w:val="30"/>
          <w:u w:val="single"/>
          <w:lang w:val="en-US"/>
        </w:rPr>
        <w:t xml:space="preserve"> </w:t>
      </w:r>
      <w:r w:rsidRPr="60F0122B" w:rsidR="728B586B">
        <w:rPr>
          <w:rFonts w:ascii="Arial" w:hAnsi="Arial" w:eastAsia="Arial" w:cs="Arial"/>
          <w:b w:val="0"/>
          <w:bCs w:val="0"/>
          <w:i w:val="0"/>
          <w:iCs w:val="0"/>
          <w:strike w:val="0"/>
          <w:dstrike w:val="0"/>
          <w:noProof w:val="0"/>
          <w:color w:val="000000" w:themeColor="text1" w:themeTint="FF" w:themeShade="FF"/>
          <w:sz w:val="30"/>
          <w:szCs w:val="30"/>
          <w:u w:val="single"/>
          <w:lang w:val="en-US"/>
        </w:rPr>
        <w:t>Meithrin</w:t>
      </w:r>
      <w:r w:rsidRPr="60F0122B" w:rsidR="728B586B">
        <w:rPr>
          <w:rFonts w:ascii="Arial" w:hAnsi="Arial" w:eastAsia="Arial" w:cs="Arial"/>
          <w:b w:val="0"/>
          <w:bCs w:val="0"/>
          <w:i w:val="0"/>
          <w:iCs w:val="0"/>
          <w:strike w:val="0"/>
          <w:dstrike w:val="0"/>
          <w:noProof w:val="0"/>
          <w:color w:val="000000" w:themeColor="text1" w:themeTint="FF" w:themeShade="FF"/>
          <w:sz w:val="30"/>
          <w:szCs w:val="30"/>
          <w:u w:val="single"/>
          <w:lang w:val="en-US"/>
        </w:rPr>
        <w:t xml:space="preserve"> </w:t>
      </w:r>
      <w:r w:rsidRPr="60F0122B" w:rsidR="728B586B">
        <w:rPr>
          <w:rFonts w:ascii="Arial" w:hAnsi="Arial" w:eastAsia="Arial" w:cs="Arial"/>
          <w:b w:val="0"/>
          <w:bCs w:val="0"/>
          <w:i w:val="0"/>
          <w:iCs w:val="0"/>
          <w:strike w:val="0"/>
          <w:dstrike w:val="0"/>
          <w:noProof w:val="0"/>
          <w:color w:val="000000" w:themeColor="text1" w:themeTint="FF" w:themeShade="FF"/>
          <w:sz w:val="30"/>
          <w:szCs w:val="30"/>
          <w:u w:val="single"/>
          <w:lang w:val="en-US"/>
        </w:rPr>
        <w:t>yn</w:t>
      </w:r>
      <w:r w:rsidRPr="60F0122B" w:rsidR="728B586B">
        <w:rPr>
          <w:rFonts w:ascii="Arial" w:hAnsi="Arial" w:eastAsia="Arial" w:cs="Arial"/>
          <w:b w:val="0"/>
          <w:bCs w:val="0"/>
          <w:i w:val="0"/>
          <w:iCs w:val="0"/>
          <w:strike w:val="0"/>
          <w:dstrike w:val="0"/>
          <w:noProof w:val="0"/>
          <w:color w:val="000000" w:themeColor="text1" w:themeTint="FF" w:themeShade="FF"/>
          <w:sz w:val="30"/>
          <w:szCs w:val="30"/>
          <w:u w:val="single"/>
          <w:lang w:val="en-US"/>
        </w:rPr>
        <w:t xml:space="preserve"> y Coed </w:t>
      </w:r>
      <w:r w:rsidRPr="60F0122B" w:rsidR="728B586B">
        <w:rPr>
          <w:rFonts w:ascii="Arial" w:hAnsi="Arial" w:eastAsia="Arial" w:cs="Arial"/>
          <w:b w:val="0"/>
          <w:bCs w:val="0"/>
          <w:i w:val="0"/>
          <w:iCs w:val="0"/>
          <w:strike w:val="0"/>
          <w:dstrike w:val="0"/>
          <w:noProof w:val="0"/>
          <w:color w:val="000000" w:themeColor="text1" w:themeTint="FF" w:themeShade="FF"/>
          <w:sz w:val="30"/>
          <w:szCs w:val="30"/>
          <w:u w:val="single"/>
          <w:lang w:val="en-US"/>
        </w:rPr>
        <w:t>yn</w:t>
      </w:r>
      <w:r w:rsidRPr="60F0122B" w:rsidR="728B586B">
        <w:rPr>
          <w:rFonts w:ascii="Arial" w:hAnsi="Arial" w:eastAsia="Arial" w:cs="Arial"/>
          <w:b w:val="0"/>
          <w:bCs w:val="0"/>
          <w:i w:val="0"/>
          <w:iCs w:val="0"/>
          <w:strike w:val="0"/>
          <w:dstrike w:val="0"/>
          <w:noProof w:val="0"/>
          <w:color w:val="000000" w:themeColor="text1" w:themeTint="FF" w:themeShade="FF"/>
          <w:sz w:val="30"/>
          <w:szCs w:val="30"/>
          <w:u w:val="single"/>
          <w:lang w:val="en-US"/>
        </w:rPr>
        <w:t xml:space="preserve"> </w:t>
      </w:r>
      <w:r w:rsidRPr="60F0122B" w:rsidR="728B586B">
        <w:rPr>
          <w:rFonts w:ascii="Arial" w:hAnsi="Arial" w:eastAsia="Arial" w:cs="Arial"/>
          <w:b w:val="0"/>
          <w:bCs w:val="0"/>
          <w:i w:val="0"/>
          <w:iCs w:val="0"/>
          <w:strike w:val="0"/>
          <w:dstrike w:val="0"/>
          <w:noProof w:val="0"/>
          <w:color w:val="000000" w:themeColor="text1" w:themeTint="FF" w:themeShade="FF"/>
          <w:sz w:val="30"/>
          <w:szCs w:val="30"/>
          <w:u w:val="single"/>
          <w:lang w:val="en-US"/>
        </w:rPr>
        <w:t>Nenmarc</w:t>
      </w:r>
    </w:p>
    <w:p xmlns:wp14="http://schemas.microsoft.com/office/word/2010/wordml" wp14:paraId="451ADC04" wp14:textId="742CE210">
      <w:r w:rsidRPr="60F0122B" w:rsidR="728B586B">
        <w:rPr>
          <w:rFonts w:ascii="Arial" w:hAnsi="Arial" w:eastAsia="Arial" w:cs="Arial"/>
          <w:b w:val="0"/>
          <w:bCs w:val="0"/>
          <w:i w:val="0"/>
          <w:iCs w:val="0"/>
          <w:strike w:val="0"/>
          <w:dstrike w:val="0"/>
          <w:noProof w:val="0"/>
          <w:color w:val="000000" w:themeColor="text1" w:themeTint="FF" w:themeShade="FF"/>
          <w:sz w:val="24"/>
          <w:szCs w:val="24"/>
          <w:u w:val="none"/>
          <w:lang w:val="en-US"/>
        </w:rPr>
        <w:t>Mae cysyniad y ‘Plentyn Unigryw’ yn cydnabod bod gan blant ddiddordebau, galluoedd, hunaniaethau a llwybrau datblygu unigol. Mae hyn yn herio’r rhagdybiaeth y dylai pob plentyn ddangos dysgu ar yr un oedran neu mewn ffyrdd hollol unfath (McMahon a Dyer, 2018). Mae asesu yn golygu casglu a dehongli tystiolaeth o ddysgu plant er mwyn llywio cynnydd, addysgu a chymorth ychwanegol. Fodd bynnag, o fewn cwricwla sy’n seiliedig ar chwarae, mae asesu yn creu tensiwn rhwng nodi cynnydd datblygiadol a diogelu unigrywiaeth y plentyn. Mewn adolygiad systematig o 56 o astudiaethau, nododd Montoya-Fernández et al. (2024) amrywiaeth sylweddol yn yr offerynnau a ddefnyddir i asesu datblygiad trwy chwarae; cwestiynasant a yw’r offerynnau unigol hyn yn cynrychioli datblygiad aml-ddimensiwn plant yn ddigonol.</w:t>
      </w:r>
    </w:p>
    <w:p xmlns:wp14="http://schemas.microsoft.com/office/word/2010/wordml" wp14:paraId="786B62C1" wp14:textId="428B2D32">
      <w:r w:rsidRPr="60F0122B" w:rsidR="728B586B">
        <w:rPr>
          <w:rFonts w:ascii="Arial" w:hAnsi="Arial" w:eastAsia="Arial" w:cs="Arial"/>
          <w:b w:val="0"/>
          <w:bCs w:val="0"/>
          <w:i w:val="0"/>
          <w:iCs w:val="0"/>
          <w:strike w:val="0"/>
          <w:dstrike w:val="0"/>
          <w:noProof w:val="0"/>
          <w:color w:val="000000" w:themeColor="text1" w:themeTint="FF" w:themeShade="FF"/>
          <w:sz w:val="24"/>
          <w:szCs w:val="24"/>
          <w:u w:val="none"/>
          <w:lang w:val="en-US"/>
        </w:rPr>
        <w:t>Mae'r traethawd hwn yn gwerthuso asesu drwy arsylwi yn feirniadol, gan ystyried y Proffil Cyfnod Sylfaen yng Nghymru ac arferion addysgeg sy'n seiliedig ar arsylwi mewn meithrinfeydd coedwig yn Nenmarc. Er bod y Proffil Cyfnod Sylfaen yn cynrychioli fframwaith asesu cynharach yng Nghymru, mae'r canllawiau cyfredol ar gyfer y Cwricwlwm i Gymru yn cynnig sail berthnasol ar gyfer archwilio cynnydd a datblygiad unigol (OECD, 2020). Mae meithrinfeydd coedwig yn Nenmarc yn cynnig cyd-destun gwahanol, lle gellir arsylwi ar ddysgu plant drwy chwarae parhaus yn yr awyr agored (Hattingh, 2023). Dadleuir bod yn rhaid i asesu effeithiol gydbwyso'r broses o nodi cynnydd yn systematig â dealltwriaeth gyd-destunol o alluoedd unigol plant, yn enwedig wrth ystyried anghenion dysgu ychwanegol (Llywodraeth Cymru, 2022b; Hattingh, 2023).</w:t>
      </w:r>
    </w:p>
    <w:p xmlns:wp14="http://schemas.microsoft.com/office/word/2010/wordml" wp14:paraId="4CE12CA5" wp14:textId="28EAE523">
      <w:r w:rsidRPr="60F0122B" w:rsidR="728B586B">
        <w:rPr>
          <w:rFonts w:ascii="Arial" w:hAnsi="Arial" w:eastAsia="Arial" w:cs="Arial"/>
          <w:b w:val="0"/>
          <w:bCs w:val="0"/>
          <w:i w:val="0"/>
          <w:iCs w:val="0"/>
          <w:strike w:val="0"/>
          <w:dstrike w:val="0"/>
          <w:noProof w:val="0"/>
          <w:color w:val="000000" w:themeColor="text1" w:themeTint="FF" w:themeShade="FF"/>
          <w:sz w:val="24"/>
          <w:szCs w:val="24"/>
          <w:u w:val="single"/>
          <w:lang w:val="en-US"/>
        </w:rPr>
        <w:t>Y Plentyn Unigryw: safbwyntiau damcaniaethol a chwricwlaidd</w:t>
      </w:r>
    </w:p>
    <w:p xmlns:wp14="http://schemas.microsoft.com/office/word/2010/wordml" wp14:paraId="6E6145E3" wp14:textId="0EC664F7">
      <w:r w:rsidRPr="60F0122B" w:rsidR="728B586B">
        <w:rPr>
          <w:rFonts w:ascii="Arial" w:hAnsi="Arial" w:eastAsia="Arial" w:cs="Arial"/>
          <w:b w:val="0"/>
          <w:bCs w:val="0"/>
          <w:i w:val="0"/>
          <w:iCs w:val="0"/>
          <w:strike w:val="0"/>
          <w:dstrike w:val="0"/>
          <w:noProof w:val="0"/>
          <w:color w:val="000000" w:themeColor="text1" w:themeTint="FF" w:themeShade="FF"/>
          <w:sz w:val="24"/>
          <w:szCs w:val="24"/>
          <w:u w:val="none"/>
          <w:lang w:val="en-US"/>
        </w:rPr>
        <w:t>Mae'r Plentyn Unigryw yn herio dulliau sy'n seiliedig ar ddiffyg sy'n diffinio plant yn bennaf trwy'r hyn na allant ei gyflawni eto (Packer, Gillie a Spruce, 2025). Hyrwyddodd Cyfnod Sylfaen blaenorol Cymru ddysgu profiadol, archwilio a chwarae a gychwynnwyd gan blant, gan ddarparu cyfleoedd i arsylwi dysgu ar draws meysydd datblygiadol cydgysylltiedig (Llywodraeth Cymru, 2015). Mae Cwricwlwm presennol Cymru yn parhau i gefnogi dilyniant unigol trwy ei bwyslais ar ddeall mannau cychwyn dysgwyr, nodi rhwystrau ac addasu addysgu (Llywodraeth Cymru, 2026). Mae gwerthusiad Llywodraeth Cymru o ddysgu sylfaen yn 2026 yn archwilio ymhellach sut mae ysgolion yn gweithredu cwricwla sy'n briodol o ran datblygiad ac yn asesu dilyniant, gan ddangos pwysigrwydd parhaus y ddadl hon (Llywodraeth Cymru, 2026a).</w:t>
      </w:r>
    </w:p>
    <w:p xmlns:wp14="http://schemas.microsoft.com/office/word/2010/wordml" wp14:paraId="47C36ABC" wp14:textId="23329BB2">
      <w:r w:rsidRPr="60F0122B" w:rsidR="728B586B">
        <w:rPr>
          <w:rFonts w:ascii="Arial" w:hAnsi="Arial" w:eastAsia="Arial" w:cs="Arial"/>
          <w:b w:val="0"/>
          <w:bCs w:val="0"/>
          <w:i w:val="0"/>
          <w:iCs w:val="0"/>
          <w:strike w:val="0"/>
          <w:dstrike w:val="0"/>
          <w:noProof w:val="0"/>
          <w:color w:val="000000" w:themeColor="text1" w:themeTint="FF" w:themeShade="FF"/>
          <w:sz w:val="24"/>
          <w:szCs w:val="24"/>
          <w:u w:val="none"/>
          <w:lang w:val="en-US"/>
        </w:rPr>
        <w:t>Mae damcaniaeth gymdeithasegol-ddiwylliannol yn rhoi esboniad defnyddiol o pam mae'n rhaid i asesu ystyried cyd-destun. Mae cysyniad Vygotsky (1978) o'r parth datblygiad agosaf yn gwahaniaethu rhwng perfformiad annibynnol plant a'r hyn y gallant ei gyflawni gyda chymorth priodol. Yn yr un modd, mae Pyle a Danniels (2017) yn dangos bod dysgu sy'n seiliedig ar chwarae yn cynnwys gwahanol berthnasoedd rhwng gweithgaredd a gychwynnir gan blant ac arweiniad oedolion. O ganlyniad, gall plentyn sy'n cael trafferth cwblhau adeiladwaith yn annibynnol ddangos rhesymu mwy datblygedig wrth gydweithio â chyfoedion. Mae asesiad sy'n cofnodi perfformiad annibynnol yn unig mewn perygl o anwybyddu galluoedd sy'n dod i'r amlwg, tra gall arsylwi ymatebol ddatgelu sut mae dysgu'n datblygu trwy ryngweithio cymdeithasol (Pyle a Danniels, 2017).</w:t>
      </w:r>
    </w:p>
    <w:p xmlns:wp14="http://schemas.microsoft.com/office/word/2010/wordml" wp14:paraId="0ED52ECA" wp14:textId="56347A44">
      <w:r w:rsidRPr="60F0122B" w:rsidR="728B586B">
        <w:rPr>
          <w:rFonts w:ascii="Arial" w:hAnsi="Arial" w:eastAsia="Arial" w:cs="Arial"/>
          <w:b w:val="0"/>
          <w:bCs w:val="0"/>
          <w:i w:val="0"/>
          <w:iCs w:val="0"/>
          <w:strike w:val="0"/>
          <w:dstrike w:val="0"/>
          <w:noProof w:val="0"/>
          <w:color w:val="000000" w:themeColor="text1" w:themeTint="FF" w:themeShade="FF"/>
          <w:sz w:val="24"/>
          <w:szCs w:val="24"/>
          <w:u w:val="none"/>
          <w:lang w:val="en-US"/>
        </w:rPr>
        <w:t>Serch hynny, nid yw cydnabod unigrywiaeth yn golygu rhoi'r gorau i wybodaeth am ddatblygiad. Gall deall patrymau nodweddiadol helpu ymarferwyr i nodi rhwystrau posibl a darparu cymorth priodol (Copple a Bredekamp, 2009). Yr her yw gwahaniaethu rhwng arweiniad datblygiadol defnyddiol a disgwyliadau anhyblyg sy'n dosbarthu plant yn seiliedig ar ddiffygion a ganfyddir. Mewn adolygiad systematig o bumdeg-chwech o astudiaethau, nododd Montoya-Fernández et al. (2024) amrywiaeth sylweddol yn yr offerynnau asesu datblygiadol sy'n seiliedig ar chwarae, a thynnwyd sylw at yr angen am ddulliau mwy cynhwysfawr. Mae hyn yn awgrymu na all un offeryn asesu yn unig gynrychioli cymhlethdod datblygiad plant yn llawn.</w:t>
      </w:r>
    </w:p>
    <w:p xmlns:wp14="http://schemas.microsoft.com/office/word/2010/wordml" wp14:paraId="29442C2D" wp14:textId="7743AD1F"/>
    <w:p xmlns:wp14="http://schemas.microsoft.com/office/word/2010/wordml" wp14:paraId="2C078E63" wp14:textId="2BA28853"/>
    <w:sectPr>
      <w:pgSz w:w="12240" w:h="15840" w:orient="portrait"/>
      <w:pgMar w:top="1440" w:right="1440" w:bottom="1440" w:left="1440" w:header="720" w:footer="720" w:gutter="0"/>
      <w:cols w:space="720"/>
      <w:docGrid w:linePitch="360"/>
      <w:headerReference w:type="default" r:id="R6570074ec8594a73"/>
      <w:footerReference w:type="default" r:id="R04ed1b31b0d84d4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60F0122B" w:rsidTr="60F0122B" w14:paraId="09CC9F3B">
      <w:trPr>
        <w:trHeight w:val="300"/>
      </w:trPr>
      <w:tc>
        <w:tcPr>
          <w:tcW w:w="3120" w:type="dxa"/>
          <w:tcMar/>
        </w:tcPr>
        <w:p w:rsidR="60F0122B" w:rsidP="60F0122B" w:rsidRDefault="60F0122B" w14:paraId="6D3623BC" w14:textId="7DF08AEE">
          <w:pPr>
            <w:pStyle w:val="Header"/>
            <w:bidi w:val="0"/>
            <w:ind w:left="-115"/>
            <w:jc w:val="left"/>
          </w:pPr>
        </w:p>
      </w:tc>
      <w:tc>
        <w:tcPr>
          <w:tcW w:w="3120" w:type="dxa"/>
          <w:tcMar/>
        </w:tcPr>
        <w:p w:rsidR="60F0122B" w:rsidP="60F0122B" w:rsidRDefault="60F0122B" w14:paraId="4C658ABF" w14:textId="4070E98D">
          <w:pPr>
            <w:pStyle w:val="Header"/>
            <w:bidi w:val="0"/>
            <w:jc w:val="center"/>
          </w:pPr>
          <w:r>
            <w:fldChar w:fldCharType="begin"/>
          </w:r>
          <w:r>
            <w:instrText xml:space="preserve">PAGE</w:instrText>
          </w:r>
          <w:r>
            <w:fldChar w:fldCharType="separate"/>
          </w:r>
          <w:r>
            <w:fldChar w:fldCharType="end"/>
          </w:r>
        </w:p>
      </w:tc>
      <w:tc>
        <w:tcPr>
          <w:tcW w:w="3120" w:type="dxa"/>
          <w:tcMar/>
        </w:tcPr>
        <w:p w:rsidR="60F0122B" w:rsidP="60F0122B" w:rsidRDefault="60F0122B" w14:paraId="6057BA7A" w14:textId="0C45988F">
          <w:pPr>
            <w:pStyle w:val="Header"/>
            <w:bidi w:val="0"/>
            <w:ind w:right="-115"/>
            <w:jc w:val="right"/>
          </w:pPr>
        </w:p>
      </w:tc>
    </w:tr>
  </w:tbl>
  <w:p w:rsidR="60F0122B" w:rsidP="60F0122B" w:rsidRDefault="60F0122B" w14:paraId="261C0EBD" w14:textId="72D1C25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60F0122B" w:rsidTr="60F0122B" w14:paraId="5B7AF9C2">
      <w:trPr>
        <w:trHeight w:val="300"/>
      </w:trPr>
      <w:tc>
        <w:tcPr>
          <w:tcW w:w="3120" w:type="dxa"/>
          <w:tcMar/>
        </w:tcPr>
        <w:p w:rsidR="60F0122B" w:rsidP="60F0122B" w:rsidRDefault="60F0122B" w14:paraId="6EA63032" w14:textId="0204A379">
          <w:pPr>
            <w:pStyle w:val="Header"/>
            <w:bidi w:val="0"/>
            <w:ind w:left="-115"/>
            <w:jc w:val="left"/>
          </w:pPr>
          <w:r w:rsidR="60F0122B">
            <w:rPr/>
            <w:t>ECEY6010/C</w:t>
          </w:r>
        </w:p>
      </w:tc>
      <w:tc>
        <w:tcPr>
          <w:tcW w:w="3120" w:type="dxa"/>
          <w:tcMar/>
        </w:tcPr>
        <w:p w:rsidR="60F0122B" w:rsidP="60F0122B" w:rsidRDefault="60F0122B" w14:paraId="6EC505FA" w14:textId="503B1BAF">
          <w:pPr>
            <w:pStyle w:val="Header"/>
            <w:bidi w:val="0"/>
            <w:jc w:val="center"/>
          </w:pPr>
          <w:r w:rsidR="60F0122B">
            <w:rPr/>
            <w:t>2409002</w:t>
          </w:r>
        </w:p>
      </w:tc>
      <w:tc>
        <w:tcPr>
          <w:tcW w:w="3120" w:type="dxa"/>
          <w:tcMar/>
        </w:tcPr>
        <w:p w:rsidR="60F0122B" w:rsidP="60F0122B" w:rsidRDefault="60F0122B" w14:paraId="24DDC781" w14:textId="0F5883E5">
          <w:pPr>
            <w:pStyle w:val="Header"/>
            <w:bidi w:val="0"/>
            <w:ind w:right="-115"/>
            <w:jc w:val="right"/>
          </w:pPr>
          <w:r w:rsidR="60F0122B">
            <w:rPr/>
            <w:t>Geiriau</w:t>
          </w:r>
          <w:r w:rsidR="60F0122B">
            <w:rPr/>
            <w:t>: 1613</w:t>
          </w:r>
        </w:p>
      </w:tc>
    </w:tr>
  </w:tbl>
  <w:p w:rsidR="60F0122B" w:rsidP="60F0122B" w:rsidRDefault="60F0122B" w14:paraId="021B56BE" w14:textId="56152FCA">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C3BCEA9"/>
    <w:rsid w:val="0E8CBE52"/>
    <w:rsid w:val="12E4019D"/>
    <w:rsid w:val="1700F965"/>
    <w:rsid w:val="19B9E648"/>
    <w:rsid w:val="1A9D7262"/>
    <w:rsid w:val="23CDB27A"/>
    <w:rsid w:val="356F98A8"/>
    <w:rsid w:val="38B610C1"/>
    <w:rsid w:val="415C7A9B"/>
    <w:rsid w:val="4194147D"/>
    <w:rsid w:val="4C3BCEA9"/>
    <w:rsid w:val="59105CCA"/>
    <w:rsid w:val="60F0122B"/>
    <w:rsid w:val="728B586B"/>
    <w:rsid w:val="741758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51913"/>
  <w15:chartTrackingRefBased/>
  <w15:docId w15:val="{69B5F837-AE3A-433F-BB64-4288068B24A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60F0122B"/>
    <w:pPr>
      <w:tabs>
        <w:tab w:val="center" w:leader="none" w:pos="4680"/>
        <w:tab w:val="right" w:leader="none" w:pos="9360"/>
      </w:tabs>
      <w:spacing w:after="0" w:line="240" w:lineRule="auto"/>
    </w:pPr>
  </w:style>
  <w:style w:type="paragraph" w:styleId="Footer">
    <w:uiPriority w:val="99"/>
    <w:name w:val="footer"/>
    <w:basedOn w:val="Normal"/>
    <w:unhideWhenUsed/>
    <w:rsid w:val="60F0122B"/>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6570074ec8594a73" /><Relationship Type="http://schemas.openxmlformats.org/officeDocument/2006/relationships/footer" Target="footer.xml" Id="R04ed1b31b0d84d4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2026-10-23T23:28:25.6784158Z</dcterms:created>
  <dcterms:modified xsi:type="dcterms:W3CDTF">2026-10-23T23:35:55.3463291Z</dcterms:modified>
  <dc:creator>Liliwen Evans (2409002)</dc:creator>
  <lastModifiedBy>Liliwen Evans (2409002)</lastModifiedBy>
</coreProperties>
</file>