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E9D62" w14:textId="740922DC" w:rsidR="00CF6138" w:rsidRDefault="00EF16B2">
      <w:pPr>
        <w:rPr>
          <w:noProof/>
        </w:rPr>
      </w:pPr>
      <w:r>
        <w:rPr>
          <w:noProof/>
        </w:rPr>
        <w:t xml:space="preserve">                                      </w:t>
      </w:r>
      <w:r>
        <w:rPr>
          <w:noProof/>
        </w:rPr>
        <w:drawing>
          <wp:inline distT="0" distB="0" distL="0" distR="0" wp14:anchorId="4AA89F08" wp14:editId="482F0CA0">
            <wp:extent cx="3451225" cy="1352550"/>
            <wp:effectExtent l="0" t="0" r="0" b="0"/>
            <wp:docPr id="32560617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06179" name="Picture 1"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451225" cy="1352550"/>
                    </a:xfrm>
                    <a:prstGeom prst="rect">
                      <a:avLst/>
                    </a:prstGeom>
                  </pic:spPr>
                </pic:pic>
              </a:graphicData>
            </a:graphic>
          </wp:inline>
        </w:drawing>
      </w:r>
    </w:p>
    <w:p w14:paraId="71199BF4" w14:textId="77777777" w:rsidR="00EF16B2" w:rsidRDefault="00EF16B2" w:rsidP="00ED4715">
      <w:pPr>
        <w:jc w:val="center"/>
        <w:rPr>
          <w:rFonts w:ascii="Arial" w:hAnsi="Arial" w:cs="Arial"/>
          <w:b/>
          <w:bCs/>
          <w:noProof/>
          <w:sz w:val="40"/>
          <w:szCs w:val="40"/>
        </w:rPr>
      </w:pPr>
    </w:p>
    <w:p w14:paraId="4024C7EB" w14:textId="77777777" w:rsidR="00ED4715" w:rsidRPr="00ED4715" w:rsidRDefault="00ED4715" w:rsidP="00ED4715">
      <w:pPr>
        <w:jc w:val="center"/>
        <w:rPr>
          <w:rFonts w:ascii="Arial" w:hAnsi="Arial" w:cs="Arial"/>
          <w:b/>
          <w:bCs/>
          <w:noProof/>
          <w:sz w:val="40"/>
          <w:szCs w:val="40"/>
        </w:rPr>
      </w:pPr>
    </w:p>
    <w:p w14:paraId="301E1E65" w14:textId="456B5A47" w:rsidR="00EF16B2" w:rsidRDefault="00ED4715" w:rsidP="00ED4715">
      <w:pPr>
        <w:jc w:val="center"/>
        <w:rPr>
          <w:rFonts w:ascii="Arial" w:hAnsi="Arial" w:cs="Arial"/>
          <w:b/>
          <w:bCs/>
          <w:sz w:val="40"/>
          <w:szCs w:val="40"/>
        </w:rPr>
      </w:pPr>
      <w:r w:rsidRPr="00ED4715">
        <w:rPr>
          <w:rFonts w:ascii="Arial" w:hAnsi="Arial" w:cs="Arial"/>
          <w:b/>
          <w:bCs/>
          <w:sz w:val="40"/>
          <w:szCs w:val="40"/>
        </w:rPr>
        <w:t>CERTIFICATE OF HIGHER EDUCATION IN EMPLOYABILITY SKILLS</w:t>
      </w:r>
    </w:p>
    <w:p w14:paraId="087EC714" w14:textId="77777777" w:rsidR="00ED4715" w:rsidRDefault="00ED4715" w:rsidP="00ED4715">
      <w:pPr>
        <w:jc w:val="center"/>
        <w:rPr>
          <w:rFonts w:ascii="Arial" w:hAnsi="Arial" w:cs="Arial"/>
          <w:b/>
          <w:bCs/>
          <w:sz w:val="40"/>
          <w:szCs w:val="40"/>
        </w:rPr>
      </w:pPr>
    </w:p>
    <w:p w14:paraId="1B333450" w14:textId="77777777" w:rsidR="00ED4715" w:rsidRDefault="00ED4715" w:rsidP="00ED4715">
      <w:pPr>
        <w:jc w:val="center"/>
        <w:rPr>
          <w:rFonts w:ascii="Arial" w:hAnsi="Arial" w:cs="Arial"/>
          <w:b/>
          <w:bCs/>
          <w:sz w:val="40"/>
          <w:szCs w:val="40"/>
        </w:rPr>
      </w:pPr>
    </w:p>
    <w:p w14:paraId="197DA512" w14:textId="4466AD5E" w:rsidR="00ED4715" w:rsidRDefault="00ED4715" w:rsidP="00ED4715">
      <w:pPr>
        <w:jc w:val="center"/>
        <w:rPr>
          <w:rFonts w:ascii="Arial" w:hAnsi="Arial" w:cs="Arial"/>
          <w:b/>
          <w:bCs/>
          <w:sz w:val="40"/>
          <w:szCs w:val="40"/>
        </w:rPr>
      </w:pPr>
      <w:r>
        <w:rPr>
          <w:rFonts w:ascii="Arial" w:hAnsi="Arial" w:cs="Arial"/>
          <w:b/>
          <w:bCs/>
          <w:sz w:val="40"/>
          <w:szCs w:val="40"/>
        </w:rPr>
        <w:t xml:space="preserve">PROBLEM SOLVING AND INNOVATION </w:t>
      </w:r>
    </w:p>
    <w:p w14:paraId="011A5B12" w14:textId="78CB6EC0" w:rsidR="00ED4715" w:rsidRDefault="00ED4715" w:rsidP="00ED4715">
      <w:pPr>
        <w:jc w:val="center"/>
        <w:rPr>
          <w:rFonts w:ascii="Arial" w:hAnsi="Arial" w:cs="Arial"/>
          <w:b/>
          <w:bCs/>
          <w:sz w:val="40"/>
          <w:szCs w:val="40"/>
        </w:rPr>
      </w:pPr>
      <w:r>
        <w:rPr>
          <w:rFonts w:ascii="Arial" w:hAnsi="Arial" w:cs="Arial"/>
          <w:b/>
          <w:bCs/>
          <w:sz w:val="40"/>
          <w:szCs w:val="40"/>
        </w:rPr>
        <w:t>(BMSW4014)</w:t>
      </w:r>
    </w:p>
    <w:p w14:paraId="087967FC" w14:textId="77777777" w:rsidR="00ED4715" w:rsidRDefault="00ED4715" w:rsidP="00ED4715">
      <w:pPr>
        <w:jc w:val="center"/>
        <w:rPr>
          <w:rFonts w:ascii="Arial" w:hAnsi="Arial" w:cs="Arial"/>
          <w:b/>
          <w:bCs/>
          <w:sz w:val="40"/>
          <w:szCs w:val="40"/>
        </w:rPr>
      </w:pPr>
    </w:p>
    <w:p w14:paraId="11FC61DE" w14:textId="77777777" w:rsidR="00ED4715" w:rsidRDefault="00ED4715" w:rsidP="00ED4715">
      <w:pPr>
        <w:jc w:val="center"/>
        <w:rPr>
          <w:rFonts w:ascii="Arial" w:hAnsi="Arial" w:cs="Arial"/>
          <w:b/>
          <w:bCs/>
          <w:sz w:val="40"/>
          <w:szCs w:val="40"/>
        </w:rPr>
      </w:pPr>
    </w:p>
    <w:p w14:paraId="452CA12A" w14:textId="1C899A94" w:rsidR="00ED4715" w:rsidRDefault="00ED4715" w:rsidP="00ED4715">
      <w:pPr>
        <w:jc w:val="center"/>
        <w:rPr>
          <w:rFonts w:ascii="Arial" w:hAnsi="Arial" w:cs="Arial"/>
          <w:b/>
          <w:bCs/>
          <w:sz w:val="40"/>
          <w:szCs w:val="40"/>
        </w:rPr>
      </w:pPr>
      <w:r>
        <w:rPr>
          <w:rFonts w:ascii="Arial" w:hAnsi="Arial" w:cs="Arial"/>
          <w:b/>
          <w:bCs/>
          <w:sz w:val="40"/>
          <w:szCs w:val="40"/>
        </w:rPr>
        <w:t xml:space="preserve">A CRITICAL ANALYSIS OF EXTERNAL FACTORS IMPACTING HIGH STREET RETAILERS IN THE UK </w:t>
      </w:r>
    </w:p>
    <w:p w14:paraId="2184A557" w14:textId="77777777" w:rsidR="00ED4715" w:rsidRDefault="00ED4715" w:rsidP="00ED4715">
      <w:pPr>
        <w:jc w:val="center"/>
        <w:rPr>
          <w:rFonts w:ascii="Arial" w:hAnsi="Arial" w:cs="Arial"/>
          <w:b/>
          <w:bCs/>
          <w:sz w:val="40"/>
          <w:szCs w:val="40"/>
        </w:rPr>
      </w:pPr>
    </w:p>
    <w:p w14:paraId="20E6BC5C" w14:textId="77777777" w:rsidR="00ED4715" w:rsidRDefault="00ED4715" w:rsidP="00ED4715">
      <w:pPr>
        <w:jc w:val="center"/>
        <w:rPr>
          <w:rFonts w:ascii="Arial" w:hAnsi="Arial" w:cs="Arial"/>
          <w:b/>
          <w:bCs/>
          <w:sz w:val="40"/>
          <w:szCs w:val="40"/>
        </w:rPr>
      </w:pPr>
    </w:p>
    <w:p w14:paraId="5972F471" w14:textId="77777777" w:rsidR="00ED4715" w:rsidRDefault="00ED4715" w:rsidP="00ED4715">
      <w:pPr>
        <w:jc w:val="center"/>
        <w:rPr>
          <w:rFonts w:ascii="Arial" w:hAnsi="Arial" w:cs="Arial"/>
          <w:b/>
          <w:bCs/>
          <w:sz w:val="40"/>
          <w:szCs w:val="40"/>
        </w:rPr>
      </w:pPr>
    </w:p>
    <w:p w14:paraId="42435210" w14:textId="3D6C5E2F" w:rsidR="004807FB" w:rsidRDefault="00ED4715" w:rsidP="00ED4715">
      <w:pPr>
        <w:rPr>
          <w:rFonts w:ascii="Arial" w:hAnsi="Arial" w:cs="Arial"/>
          <w:b/>
          <w:bCs/>
          <w:sz w:val="32"/>
          <w:szCs w:val="32"/>
        </w:rPr>
      </w:pPr>
      <w:r w:rsidRPr="00ED4715">
        <w:rPr>
          <w:rFonts w:ascii="Arial" w:hAnsi="Arial" w:cs="Arial"/>
          <w:b/>
          <w:bCs/>
          <w:sz w:val="32"/>
          <w:szCs w:val="32"/>
        </w:rPr>
        <w:t>Student: Edit-Lakme Azmi (2412715)</w:t>
      </w:r>
    </w:p>
    <w:p w14:paraId="40170F9F" w14:textId="77777777" w:rsidR="004807FB" w:rsidRDefault="004807FB" w:rsidP="00ED4715">
      <w:pPr>
        <w:rPr>
          <w:rFonts w:ascii="Arial" w:hAnsi="Arial" w:cs="Arial"/>
          <w:b/>
          <w:bCs/>
          <w:sz w:val="32"/>
          <w:szCs w:val="32"/>
        </w:rPr>
      </w:pPr>
    </w:p>
    <w:p w14:paraId="6AFEE808" w14:textId="77777777" w:rsidR="009A40FA" w:rsidRDefault="009A40FA" w:rsidP="00ED4715">
      <w:pPr>
        <w:rPr>
          <w:rFonts w:ascii="Arial" w:hAnsi="Arial" w:cs="Arial"/>
          <w:b/>
          <w:bCs/>
          <w:sz w:val="32"/>
          <w:szCs w:val="32"/>
        </w:rPr>
      </w:pPr>
    </w:p>
    <w:p w14:paraId="67584399" w14:textId="3F5CED0D" w:rsidR="000A1020" w:rsidRDefault="000A1020" w:rsidP="00ED4715">
      <w:pPr>
        <w:rPr>
          <w:rFonts w:ascii="Arial" w:hAnsi="Arial" w:cs="Arial"/>
          <w:b/>
          <w:bCs/>
          <w:sz w:val="32"/>
          <w:szCs w:val="32"/>
        </w:rPr>
      </w:pPr>
      <w:r>
        <w:rPr>
          <w:rFonts w:ascii="Arial" w:hAnsi="Arial" w:cs="Arial"/>
          <w:b/>
          <w:bCs/>
          <w:sz w:val="32"/>
          <w:szCs w:val="32"/>
        </w:rPr>
        <w:t>Table of contents</w:t>
      </w:r>
      <w:r w:rsidR="00ED4715">
        <w:rPr>
          <w:rFonts w:ascii="Arial" w:hAnsi="Arial" w:cs="Arial"/>
          <w:b/>
          <w:bCs/>
          <w:sz w:val="32"/>
          <w:szCs w:val="32"/>
        </w:rPr>
        <w:t>:</w:t>
      </w:r>
    </w:p>
    <w:p w14:paraId="5970A6DF" w14:textId="77777777" w:rsidR="000A1020" w:rsidRDefault="000A1020" w:rsidP="00ED4715">
      <w:pPr>
        <w:rPr>
          <w:rFonts w:ascii="Arial" w:hAnsi="Arial" w:cs="Arial"/>
          <w:b/>
          <w:bCs/>
          <w:sz w:val="32"/>
          <w:szCs w:val="32"/>
        </w:rPr>
      </w:pPr>
    </w:p>
    <w:p w14:paraId="096FEEEE" w14:textId="77777777" w:rsidR="00F82930" w:rsidRDefault="00F82930" w:rsidP="00ED4715">
      <w:pPr>
        <w:rPr>
          <w:rFonts w:ascii="Arial" w:hAnsi="Arial" w:cs="Arial"/>
          <w:b/>
          <w:bCs/>
          <w:sz w:val="32"/>
          <w:szCs w:val="32"/>
        </w:rPr>
      </w:pPr>
    </w:p>
    <w:p w14:paraId="239ED4C9" w14:textId="71EFBCE8" w:rsidR="00ED4715" w:rsidRPr="009A40FA" w:rsidRDefault="000A1020" w:rsidP="000A1020">
      <w:pPr>
        <w:rPr>
          <w:rFonts w:ascii="Arial" w:hAnsi="Arial" w:cs="Arial"/>
          <w:sz w:val="28"/>
          <w:szCs w:val="28"/>
        </w:rPr>
      </w:pPr>
      <w:r w:rsidRPr="009A40FA">
        <w:rPr>
          <w:rFonts w:ascii="Arial" w:hAnsi="Arial" w:cs="Arial"/>
          <w:sz w:val="28"/>
          <w:szCs w:val="28"/>
        </w:rPr>
        <w:t xml:space="preserve">1.Introduction </w:t>
      </w:r>
    </w:p>
    <w:p w14:paraId="3C5F255A" w14:textId="1C4EC9E2" w:rsidR="000A1020" w:rsidRPr="009A40FA" w:rsidRDefault="000A1020" w:rsidP="000A1020">
      <w:pPr>
        <w:pStyle w:val="ListParagraph"/>
        <w:ind w:left="810"/>
        <w:rPr>
          <w:rFonts w:ascii="Arial" w:hAnsi="Arial" w:cs="Arial"/>
          <w:sz w:val="28"/>
          <w:szCs w:val="28"/>
        </w:rPr>
      </w:pPr>
      <w:r w:rsidRPr="009A40FA">
        <w:rPr>
          <w:rFonts w:ascii="Arial" w:hAnsi="Arial" w:cs="Arial"/>
          <w:sz w:val="28"/>
          <w:szCs w:val="28"/>
        </w:rPr>
        <w:t>1.1 Overview of UK Hight Street Retail Challenges</w:t>
      </w:r>
    </w:p>
    <w:p w14:paraId="1CE52B2A" w14:textId="224F45FF" w:rsidR="000A1020" w:rsidRDefault="000A1020" w:rsidP="000A1020">
      <w:pPr>
        <w:pStyle w:val="ListParagraph"/>
        <w:ind w:left="810"/>
        <w:rPr>
          <w:rFonts w:ascii="Arial" w:hAnsi="Arial" w:cs="Arial"/>
          <w:sz w:val="28"/>
          <w:szCs w:val="28"/>
        </w:rPr>
      </w:pPr>
      <w:r w:rsidRPr="009A40FA">
        <w:rPr>
          <w:rFonts w:ascii="Arial" w:hAnsi="Arial" w:cs="Arial"/>
          <w:sz w:val="28"/>
          <w:szCs w:val="28"/>
        </w:rPr>
        <w:t xml:space="preserve">1.2 Purpose and Scope of the </w:t>
      </w:r>
      <w:r w:rsidR="009A40FA" w:rsidRPr="009A40FA">
        <w:rPr>
          <w:rFonts w:ascii="Arial" w:hAnsi="Arial" w:cs="Arial"/>
          <w:sz w:val="28"/>
          <w:szCs w:val="28"/>
        </w:rPr>
        <w:t>R</w:t>
      </w:r>
      <w:r w:rsidRPr="009A40FA">
        <w:rPr>
          <w:rFonts w:ascii="Arial" w:hAnsi="Arial" w:cs="Arial"/>
          <w:sz w:val="28"/>
          <w:szCs w:val="28"/>
        </w:rPr>
        <w:t xml:space="preserve">eport </w:t>
      </w:r>
    </w:p>
    <w:p w14:paraId="67CF35FA" w14:textId="77777777" w:rsidR="009A40FA" w:rsidRPr="009A40FA" w:rsidRDefault="009A40FA" w:rsidP="000A1020">
      <w:pPr>
        <w:pStyle w:val="ListParagraph"/>
        <w:ind w:left="810"/>
        <w:rPr>
          <w:rFonts w:ascii="Arial" w:hAnsi="Arial" w:cs="Arial"/>
          <w:sz w:val="28"/>
          <w:szCs w:val="28"/>
        </w:rPr>
      </w:pPr>
    </w:p>
    <w:p w14:paraId="00572CB9" w14:textId="14F935F2" w:rsidR="009A40FA" w:rsidRPr="009A40FA" w:rsidRDefault="009A40FA" w:rsidP="009A40FA">
      <w:pPr>
        <w:rPr>
          <w:rFonts w:ascii="Arial" w:hAnsi="Arial" w:cs="Arial"/>
          <w:sz w:val="28"/>
          <w:szCs w:val="28"/>
        </w:rPr>
      </w:pPr>
      <w:r w:rsidRPr="009A40FA">
        <w:rPr>
          <w:rFonts w:ascii="Arial" w:hAnsi="Arial" w:cs="Arial"/>
          <w:sz w:val="28"/>
          <w:szCs w:val="28"/>
        </w:rPr>
        <w:t>2.</w:t>
      </w:r>
      <w:r w:rsidRPr="009A40FA">
        <w:rPr>
          <w:sz w:val="28"/>
          <w:szCs w:val="28"/>
        </w:rPr>
        <w:t xml:space="preserve"> </w:t>
      </w:r>
      <w:r w:rsidRPr="009A40FA">
        <w:rPr>
          <w:rFonts w:ascii="Arial" w:hAnsi="Arial" w:cs="Arial"/>
          <w:sz w:val="28"/>
          <w:szCs w:val="28"/>
        </w:rPr>
        <w:t>PESTLE Analysis of External Factors Impacting UK High Street Retailers</w:t>
      </w:r>
    </w:p>
    <w:p w14:paraId="255A7BEA" w14:textId="2521BC41" w:rsidR="009A40FA" w:rsidRPr="009A40FA" w:rsidRDefault="009A40FA" w:rsidP="009A40FA">
      <w:pPr>
        <w:rPr>
          <w:rFonts w:ascii="Arial" w:hAnsi="Arial" w:cs="Arial"/>
          <w:sz w:val="28"/>
          <w:szCs w:val="28"/>
        </w:rPr>
      </w:pPr>
      <w:r w:rsidRPr="009A40FA">
        <w:rPr>
          <w:rFonts w:ascii="Arial" w:hAnsi="Arial" w:cs="Arial"/>
          <w:sz w:val="28"/>
          <w:szCs w:val="28"/>
        </w:rPr>
        <w:t xml:space="preserve">             2.1 Poli</w:t>
      </w:r>
      <w:r w:rsidR="00EF5095">
        <w:rPr>
          <w:rFonts w:ascii="Arial" w:hAnsi="Arial" w:cs="Arial"/>
          <w:sz w:val="28"/>
          <w:szCs w:val="28"/>
        </w:rPr>
        <w:t>tic</w:t>
      </w:r>
    </w:p>
    <w:p w14:paraId="531C6AC4" w14:textId="67B35CDF" w:rsidR="009A40FA" w:rsidRPr="009A40FA" w:rsidRDefault="009A40FA" w:rsidP="009A40FA">
      <w:pPr>
        <w:rPr>
          <w:rFonts w:ascii="Arial" w:hAnsi="Arial" w:cs="Arial"/>
          <w:sz w:val="28"/>
          <w:szCs w:val="28"/>
        </w:rPr>
      </w:pPr>
      <w:r w:rsidRPr="009A40FA">
        <w:rPr>
          <w:rFonts w:ascii="Arial" w:hAnsi="Arial" w:cs="Arial"/>
          <w:sz w:val="28"/>
          <w:szCs w:val="28"/>
        </w:rPr>
        <w:t xml:space="preserve">             2.2 Economic </w:t>
      </w:r>
    </w:p>
    <w:p w14:paraId="42B558FB" w14:textId="6184EF79" w:rsidR="009A40FA" w:rsidRPr="009A40FA" w:rsidRDefault="009A40FA" w:rsidP="009A40FA">
      <w:pPr>
        <w:rPr>
          <w:rFonts w:ascii="Arial" w:hAnsi="Arial" w:cs="Arial"/>
          <w:sz w:val="28"/>
          <w:szCs w:val="28"/>
        </w:rPr>
      </w:pPr>
      <w:r w:rsidRPr="009A40FA">
        <w:rPr>
          <w:rFonts w:ascii="Arial" w:hAnsi="Arial" w:cs="Arial"/>
          <w:sz w:val="28"/>
          <w:szCs w:val="28"/>
        </w:rPr>
        <w:t xml:space="preserve">             2.3 Social </w:t>
      </w:r>
    </w:p>
    <w:p w14:paraId="6F79EF74" w14:textId="5E3C7772" w:rsidR="009A40FA" w:rsidRPr="009A40FA" w:rsidRDefault="009A40FA" w:rsidP="009A40FA">
      <w:pPr>
        <w:rPr>
          <w:rFonts w:ascii="Arial" w:hAnsi="Arial" w:cs="Arial"/>
          <w:sz w:val="28"/>
          <w:szCs w:val="28"/>
        </w:rPr>
      </w:pPr>
      <w:r w:rsidRPr="009A40FA">
        <w:rPr>
          <w:rFonts w:ascii="Arial" w:hAnsi="Arial" w:cs="Arial"/>
          <w:sz w:val="28"/>
          <w:szCs w:val="28"/>
        </w:rPr>
        <w:t xml:space="preserve">             2.4 Technologica</w:t>
      </w:r>
      <w:r w:rsidR="00EF5095">
        <w:rPr>
          <w:rFonts w:ascii="Arial" w:hAnsi="Arial" w:cs="Arial"/>
          <w:sz w:val="28"/>
          <w:szCs w:val="28"/>
        </w:rPr>
        <w:t>l</w:t>
      </w:r>
    </w:p>
    <w:p w14:paraId="33515F9C" w14:textId="153B63CB" w:rsidR="009A40FA" w:rsidRPr="009A40FA" w:rsidRDefault="009A40FA" w:rsidP="009A40FA">
      <w:pPr>
        <w:rPr>
          <w:rFonts w:ascii="Arial" w:hAnsi="Arial" w:cs="Arial"/>
          <w:sz w:val="28"/>
          <w:szCs w:val="28"/>
        </w:rPr>
      </w:pPr>
      <w:r w:rsidRPr="009A40FA">
        <w:rPr>
          <w:rFonts w:ascii="Arial" w:hAnsi="Arial" w:cs="Arial"/>
          <w:sz w:val="28"/>
          <w:szCs w:val="28"/>
        </w:rPr>
        <w:t xml:space="preserve">             2.5 Legal </w:t>
      </w:r>
    </w:p>
    <w:p w14:paraId="0854A2F3" w14:textId="48A7C634" w:rsidR="009A40FA" w:rsidRPr="009A40FA" w:rsidRDefault="009A40FA" w:rsidP="009A40FA">
      <w:pPr>
        <w:rPr>
          <w:rFonts w:ascii="Arial" w:hAnsi="Arial" w:cs="Arial"/>
          <w:sz w:val="28"/>
          <w:szCs w:val="28"/>
        </w:rPr>
      </w:pPr>
      <w:r w:rsidRPr="009A40FA">
        <w:rPr>
          <w:rFonts w:ascii="Arial" w:hAnsi="Arial" w:cs="Arial"/>
          <w:sz w:val="28"/>
          <w:szCs w:val="28"/>
        </w:rPr>
        <w:t xml:space="preserve">             2.6 Environmental </w:t>
      </w:r>
    </w:p>
    <w:p w14:paraId="0A611AB3" w14:textId="5EF21453" w:rsidR="009A40FA" w:rsidRPr="009A40FA" w:rsidRDefault="009A40FA" w:rsidP="009A40FA">
      <w:pPr>
        <w:rPr>
          <w:rFonts w:ascii="Arial" w:hAnsi="Arial" w:cs="Arial"/>
          <w:sz w:val="28"/>
          <w:szCs w:val="28"/>
        </w:rPr>
      </w:pPr>
      <w:r w:rsidRPr="009A40FA">
        <w:rPr>
          <w:rFonts w:ascii="Arial" w:hAnsi="Arial" w:cs="Arial"/>
          <w:sz w:val="28"/>
          <w:szCs w:val="28"/>
        </w:rPr>
        <w:t xml:space="preserve">3. Conclusion </w:t>
      </w:r>
    </w:p>
    <w:p w14:paraId="6655CC33" w14:textId="3F3687ED" w:rsidR="009A40FA" w:rsidRPr="009A40FA" w:rsidRDefault="009A40FA" w:rsidP="009A40FA">
      <w:pPr>
        <w:rPr>
          <w:rFonts w:ascii="Arial" w:hAnsi="Arial" w:cs="Arial"/>
          <w:sz w:val="28"/>
          <w:szCs w:val="28"/>
        </w:rPr>
      </w:pPr>
      <w:r w:rsidRPr="009A40FA">
        <w:rPr>
          <w:rFonts w:ascii="Arial" w:hAnsi="Arial" w:cs="Arial"/>
          <w:sz w:val="28"/>
          <w:szCs w:val="28"/>
        </w:rPr>
        <w:t xml:space="preserve">4. SWOT Analysis PRIMARK </w:t>
      </w:r>
    </w:p>
    <w:p w14:paraId="45D4F351" w14:textId="453D32CC" w:rsidR="009A40FA" w:rsidRPr="009A40FA" w:rsidRDefault="009A40FA" w:rsidP="009A40FA">
      <w:pPr>
        <w:rPr>
          <w:rFonts w:ascii="Arial" w:hAnsi="Arial" w:cs="Arial"/>
          <w:sz w:val="28"/>
          <w:szCs w:val="28"/>
        </w:rPr>
      </w:pPr>
      <w:r w:rsidRPr="009A40FA">
        <w:rPr>
          <w:rFonts w:ascii="Arial" w:hAnsi="Arial" w:cs="Arial"/>
          <w:sz w:val="28"/>
          <w:szCs w:val="28"/>
        </w:rPr>
        <w:t xml:space="preserve">5. References. </w:t>
      </w:r>
    </w:p>
    <w:p w14:paraId="421C0111" w14:textId="77777777" w:rsidR="009A40FA" w:rsidRPr="009A40FA" w:rsidRDefault="009A40FA" w:rsidP="009A40FA">
      <w:pPr>
        <w:rPr>
          <w:rFonts w:ascii="Arial" w:hAnsi="Arial" w:cs="Arial"/>
          <w:sz w:val="28"/>
          <w:szCs w:val="28"/>
        </w:rPr>
      </w:pPr>
    </w:p>
    <w:p w14:paraId="6E9ED015" w14:textId="77777777" w:rsidR="009A40FA" w:rsidRPr="009A40FA" w:rsidRDefault="009A40FA" w:rsidP="009A40FA">
      <w:pPr>
        <w:rPr>
          <w:rFonts w:ascii="Arial" w:hAnsi="Arial" w:cs="Arial"/>
          <w:sz w:val="24"/>
          <w:szCs w:val="24"/>
        </w:rPr>
      </w:pPr>
    </w:p>
    <w:p w14:paraId="5668AEB8" w14:textId="748FAFD4" w:rsidR="004807FB" w:rsidRDefault="009A40FA" w:rsidP="00ED4715">
      <w:pPr>
        <w:rPr>
          <w:rFonts w:ascii="Arial" w:hAnsi="Arial" w:cs="Arial"/>
          <w:sz w:val="24"/>
          <w:szCs w:val="24"/>
        </w:rPr>
      </w:pPr>
      <w:r>
        <w:rPr>
          <w:rFonts w:ascii="Arial" w:hAnsi="Arial" w:cs="Arial"/>
          <w:sz w:val="24"/>
          <w:szCs w:val="24"/>
        </w:rPr>
        <w:t xml:space="preserve">       </w:t>
      </w:r>
    </w:p>
    <w:p w14:paraId="40C95B2F" w14:textId="77777777" w:rsidR="00F82930" w:rsidRDefault="00F82930" w:rsidP="00ED4715">
      <w:pPr>
        <w:rPr>
          <w:rFonts w:ascii="Arial" w:hAnsi="Arial" w:cs="Arial"/>
          <w:sz w:val="24"/>
          <w:szCs w:val="24"/>
        </w:rPr>
      </w:pPr>
    </w:p>
    <w:p w14:paraId="4EB1CA5A" w14:textId="77777777" w:rsidR="00F82930" w:rsidRDefault="00F82930" w:rsidP="00ED4715">
      <w:pPr>
        <w:rPr>
          <w:rFonts w:ascii="Arial" w:hAnsi="Arial" w:cs="Arial"/>
          <w:sz w:val="24"/>
          <w:szCs w:val="24"/>
        </w:rPr>
      </w:pPr>
    </w:p>
    <w:p w14:paraId="64FC75D8" w14:textId="77777777" w:rsidR="00F82930" w:rsidRDefault="00F82930" w:rsidP="00ED4715">
      <w:pPr>
        <w:rPr>
          <w:rFonts w:ascii="Arial" w:hAnsi="Arial" w:cs="Arial"/>
          <w:sz w:val="24"/>
          <w:szCs w:val="24"/>
        </w:rPr>
      </w:pPr>
    </w:p>
    <w:p w14:paraId="28FBB709" w14:textId="77777777" w:rsidR="00F82930" w:rsidRPr="00F82930" w:rsidRDefault="00F82930" w:rsidP="00ED4715">
      <w:pPr>
        <w:rPr>
          <w:rFonts w:ascii="Arial" w:hAnsi="Arial" w:cs="Arial"/>
          <w:sz w:val="24"/>
          <w:szCs w:val="24"/>
        </w:rPr>
      </w:pPr>
    </w:p>
    <w:p w14:paraId="41A776E5" w14:textId="7A7004EF" w:rsidR="00ED4715" w:rsidRDefault="00BA4C71" w:rsidP="00ED4715">
      <w:pPr>
        <w:rPr>
          <w:rFonts w:ascii="Arial" w:hAnsi="Arial" w:cs="Arial"/>
          <w:b/>
          <w:bCs/>
          <w:sz w:val="32"/>
          <w:szCs w:val="32"/>
        </w:rPr>
      </w:pPr>
      <w:r>
        <w:rPr>
          <w:rFonts w:ascii="Arial" w:hAnsi="Arial" w:cs="Arial"/>
          <w:b/>
          <w:bCs/>
          <w:sz w:val="32"/>
          <w:szCs w:val="32"/>
        </w:rPr>
        <w:t>Introduction</w:t>
      </w:r>
    </w:p>
    <w:p w14:paraId="2FABAEFF" w14:textId="77777777" w:rsidR="004807FB" w:rsidRDefault="004807FB" w:rsidP="00393C6D">
      <w:pPr>
        <w:spacing w:after="30"/>
        <w:rPr>
          <w:rFonts w:ascii="Arial" w:hAnsi="Arial" w:cs="Arial"/>
          <w:b/>
          <w:bCs/>
          <w:sz w:val="32"/>
          <w:szCs w:val="32"/>
        </w:rPr>
      </w:pPr>
    </w:p>
    <w:p w14:paraId="527521F3" w14:textId="77777777" w:rsidR="007B3E4C" w:rsidRDefault="00676261" w:rsidP="00393C6D">
      <w:pPr>
        <w:spacing w:after="30"/>
        <w:rPr>
          <w:rFonts w:ascii="Arial" w:hAnsi="Arial" w:cs="Arial"/>
          <w:sz w:val="24"/>
          <w:szCs w:val="24"/>
        </w:rPr>
      </w:pPr>
      <w:r>
        <w:rPr>
          <w:rFonts w:ascii="Arial" w:hAnsi="Arial" w:cs="Arial"/>
          <w:sz w:val="24"/>
          <w:szCs w:val="24"/>
        </w:rPr>
        <w:t xml:space="preserve">  </w:t>
      </w:r>
      <w:r w:rsidR="006E34C9">
        <w:rPr>
          <w:rFonts w:ascii="Arial" w:hAnsi="Arial" w:cs="Arial"/>
          <w:sz w:val="24"/>
          <w:szCs w:val="24"/>
        </w:rPr>
        <w:t xml:space="preserve">Recent years have witnessed several of significant problems for the UK High Street, with shops feeling more and more pressure from changing buyer tastes, advances in technology, and economic instability. Many retailers have struggled to adapt to the new </w:t>
      </w:r>
      <w:r w:rsidR="00193AE4">
        <w:rPr>
          <w:rFonts w:ascii="Arial" w:hAnsi="Arial" w:cs="Arial"/>
          <w:sz w:val="24"/>
          <w:szCs w:val="24"/>
        </w:rPr>
        <w:t>times but</w:t>
      </w:r>
      <w:r w:rsidR="006E34C9">
        <w:rPr>
          <w:rFonts w:ascii="Arial" w:hAnsi="Arial" w:cs="Arial"/>
          <w:sz w:val="24"/>
          <w:szCs w:val="24"/>
        </w:rPr>
        <w:t xml:space="preserve"> failed leading to stores closing and economic problems.</w:t>
      </w:r>
      <w:r w:rsidR="00193AE4">
        <w:rPr>
          <w:rFonts w:ascii="Arial" w:hAnsi="Arial" w:cs="Arial"/>
          <w:sz w:val="24"/>
          <w:szCs w:val="24"/>
        </w:rPr>
        <w:t xml:space="preserve"> “</w:t>
      </w:r>
      <w:r w:rsidR="00193AE4" w:rsidRPr="00193AE4">
        <w:rPr>
          <w:rFonts w:ascii="Arial" w:hAnsi="Arial" w:cs="Arial"/>
          <w:sz w:val="24"/>
          <w:szCs w:val="24"/>
        </w:rPr>
        <w:t>The COVID</w:t>
      </w:r>
      <w:r w:rsidR="00193AE4" w:rsidRPr="00193AE4">
        <w:rPr>
          <w:rFonts w:ascii="Cambria Math" w:hAnsi="Cambria Math" w:cs="Cambria Math"/>
          <w:sz w:val="24"/>
          <w:szCs w:val="24"/>
        </w:rPr>
        <w:t>‐</w:t>
      </w:r>
      <w:r w:rsidR="00193AE4" w:rsidRPr="00193AE4">
        <w:rPr>
          <w:rFonts w:ascii="Arial" w:hAnsi="Arial" w:cs="Arial"/>
          <w:sz w:val="24"/>
          <w:szCs w:val="24"/>
        </w:rPr>
        <w:t>19 outbreak unfolded as a unique global challenge paralysing the health system as well as the economy. Infections were widely prevalent, affecting all countries and territories</w:t>
      </w:r>
      <w:r w:rsidR="00193AE4">
        <w:rPr>
          <w:rFonts w:ascii="Arial" w:hAnsi="Arial" w:cs="Arial"/>
          <w:sz w:val="24"/>
          <w:szCs w:val="24"/>
        </w:rPr>
        <w:t>”</w:t>
      </w:r>
      <w:r w:rsidR="00193AE4" w:rsidRPr="00193AE4">
        <w:t xml:space="preserve"> </w:t>
      </w:r>
      <w:r w:rsidR="00193AE4" w:rsidRPr="00193AE4">
        <w:rPr>
          <w:rFonts w:ascii="Arial" w:hAnsi="Arial" w:cs="Arial"/>
          <w:sz w:val="24"/>
          <w:szCs w:val="24"/>
        </w:rPr>
        <w:t>(Baltaji, Fakih, and Sayour, 2023)</w:t>
      </w:r>
      <w:r w:rsidR="00193AE4">
        <w:rPr>
          <w:rFonts w:ascii="Arial" w:hAnsi="Arial" w:cs="Arial"/>
          <w:sz w:val="24"/>
          <w:szCs w:val="24"/>
        </w:rPr>
        <w:t xml:space="preserve">. </w:t>
      </w:r>
      <w:r w:rsidR="00FD551C">
        <w:rPr>
          <w:rFonts w:ascii="Arial" w:hAnsi="Arial" w:cs="Arial"/>
          <w:sz w:val="24"/>
          <w:szCs w:val="24"/>
        </w:rPr>
        <w:t>Primark,</w:t>
      </w:r>
      <w:r w:rsidR="00353D56">
        <w:rPr>
          <w:rFonts w:ascii="Arial" w:hAnsi="Arial" w:cs="Arial"/>
          <w:sz w:val="24"/>
          <w:szCs w:val="24"/>
        </w:rPr>
        <w:t xml:space="preserve"> is one of the big companies that resisted moving to internet retail, compared to many of its rivals, relying instead on </w:t>
      </w:r>
      <w:r w:rsidR="00FD551C">
        <w:rPr>
          <w:rFonts w:ascii="Arial" w:hAnsi="Arial" w:cs="Arial"/>
          <w:sz w:val="24"/>
          <w:szCs w:val="24"/>
        </w:rPr>
        <w:t>its low-cost and in-store experiences. This report will examine the external factors affecting the high street retailers in the UK</w:t>
      </w:r>
      <w:r w:rsidR="00FD551C" w:rsidRPr="00FD551C">
        <w:rPr>
          <w:rFonts w:ascii="Arial" w:hAnsi="Arial" w:cs="Arial"/>
          <w:sz w:val="24"/>
          <w:szCs w:val="24"/>
        </w:rPr>
        <w:t>. A case study on Primark will explore how the company has navigated these challenges, adapted to the evolving retail landscape, and what strategies it has implemented to ensure long-term success (Retail Gazette, 2023).</w:t>
      </w:r>
      <w:r>
        <w:rPr>
          <w:rFonts w:ascii="Arial" w:hAnsi="Arial" w:cs="Arial"/>
          <w:sz w:val="24"/>
          <w:szCs w:val="24"/>
        </w:rPr>
        <w:t xml:space="preserve"> This paper intends to provide information about the </w:t>
      </w:r>
      <w:r w:rsidR="002774E1">
        <w:rPr>
          <w:rFonts w:ascii="Arial" w:hAnsi="Arial" w:cs="Arial"/>
          <w:sz w:val="24"/>
          <w:szCs w:val="24"/>
        </w:rPr>
        <w:t>long-term</w:t>
      </w:r>
      <w:r>
        <w:rPr>
          <w:rFonts w:ascii="Arial" w:hAnsi="Arial" w:cs="Arial"/>
          <w:sz w:val="24"/>
          <w:szCs w:val="24"/>
        </w:rPr>
        <w:t xml:space="preserve"> sustainability of high street retail by carefully examining these challenges.</w:t>
      </w:r>
    </w:p>
    <w:p w14:paraId="465B738A" w14:textId="77777777" w:rsidR="00F82930" w:rsidRDefault="00F82930" w:rsidP="00393C6D">
      <w:pPr>
        <w:spacing w:after="30"/>
        <w:rPr>
          <w:rFonts w:ascii="Arial" w:hAnsi="Arial" w:cs="Arial"/>
          <w:sz w:val="24"/>
          <w:szCs w:val="24"/>
        </w:rPr>
      </w:pPr>
    </w:p>
    <w:p w14:paraId="56D1E916" w14:textId="045DFD5C" w:rsidR="009A40FA" w:rsidRDefault="009A40FA" w:rsidP="00393C6D">
      <w:pPr>
        <w:spacing w:after="30"/>
        <w:rPr>
          <w:rFonts w:ascii="Arial" w:hAnsi="Arial" w:cs="Arial"/>
          <w:b/>
          <w:bCs/>
          <w:sz w:val="32"/>
          <w:szCs w:val="32"/>
        </w:rPr>
      </w:pPr>
      <w:r w:rsidRPr="009A40FA">
        <w:rPr>
          <w:rFonts w:ascii="Arial" w:hAnsi="Arial" w:cs="Arial"/>
          <w:b/>
          <w:bCs/>
          <w:sz w:val="32"/>
          <w:szCs w:val="32"/>
        </w:rPr>
        <w:t xml:space="preserve">  2. PESTLE Analysis of external factors impacting UK Hight Street Retailers </w:t>
      </w:r>
    </w:p>
    <w:p w14:paraId="15F3EC15" w14:textId="77777777" w:rsidR="00F82930" w:rsidRPr="009A40FA" w:rsidRDefault="00F82930" w:rsidP="00393C6D">
      <w:pPr>
        <w:spacing w:after="30"/>
        <w:rPr>
          <w:rFonts w:ascii="Arial" w:hAnsi="Arial" w:cs="Arial"/>
          <w:b/>
          <w:bCs/>
          <w:sz w:val="32"/>
          <w:szCs w:val="32"/>
        </w:rPr>
      </w:pPr>
    </w:p>
    <w:p w14:paraId="008B5FB4" w14:textId="4575DEC0" w:rsidR="00FD551C" w:rsidRDefault="00676261" w:rsidP="00393C6D">
      <w:pPr>
        <w:spacing w:after="30"/>
        <w:rPr>
          <w:rFonts w:ascii="Arial" w:hAnsi="Arial" w:cs="Arial"/>
          <w:sz w:val="24"/>
          <w:szCs w:val="24"/>
        </w:rPr>
      </w:pPr>
      <w:r>
        <w:rPr>
          <w:rFonts w:ascii="Arial" w:hAnsi="Arial" w:cs="Arial"/>
          <w:sz w:val="24"/>
          <w:szCs w:val="24"/>
        </w:rPr>
        <w:t xml:space="preserve"> </w:t>
      </w:r>
      <w:r w:rsidR="007B3E4C">
        <w:rPr>
          <w:rFonts w:ascii="Arial" w:hAnsi="Arial" w:cs="Arial"/>
          <w:sz w:val="24"/>
          <w:szCs w:val="24"/>
        </w:rPr>
        <w:t>T</w:t>
      </w:r>
      <w:r w:rsidR="007B3E4C" w:rsidRPr="007B3E4C">
        <w:rPr>
          <w:rFonts w:ascii="Arial" w:hAnsi="Arial" w:cs="Arial"/>
          <w:sz w:val="24"/>
          <w:szCs w:val="24"/>
        </w:rPr>
        <w:t>his section provides a PESTLE analysis, examining the external factors influencing High Street retailers in the UK.</w:t>
      </w:r>
      <w:r w:rsidR="007B3E4C" w:rsidRPr="007B3E4C">
        <w:t xml:space="preserve"> </w:t>
      </w:r>
      <w:r w:rsidR="007B3E4C" w:rsidRPr="007B3E4C">
        <w:rPr>
          <w:rFonts w:ascii="Arial" w:hAnsi="Arial" w:cs="Arial"/>
          <w:sz w:val="24"/>
          <w:szCs w:val="24"/>
        </w:rPr>
        <w:t>PESTLE stands for Political, Economic, Social, Technological, Legal, and Environmental</w:t>
      </w:r>
      <w:r w:rsidR="007B3E4C">
        <w:rPr>
          <w:rFonts w:ascii="Arial" w:hAnsi="Arial" w:cs="Arial"/>
          <w:sz w:val="24"/>
          <w:szCs w:val="24"/>
        </w:rPr>
        <w:t xml:space="preserve">. </w:t>
      </w:r>
    </w:p>
    <w:p w14:paraId="308F558F" w14:textId="77777777" w:rsidR="00F82930" w:rsidRDefault="00E6191B" w:rsidP="00393C6D">
      <w:pPr>
        <w:spacing w:after="30"/>
        <w:rPr>
          <w:rFonts w:ascii="Arial" w:hAnsi="Arial" w:cs="Arial"/>
          <w:sz w:val="24"/>
          <w:szCs w:val="24"/>
        </w:rPr>
      </w:pPr>
      <w:r>
        <w:rPr>
          <w:rFonts w:ascii="Arial" w:hAnsi="Arial" w:cs="Arial"/>
          <w:sz w:val="24"/>
          <w:szCs w:val="24"/>
        </w:rPr>
        <w:t xml:space="preserve">  </w:t>
      </w:r>
      <w:r w:rsidR="007B5B72">
        <w:rPr>
          <w:rFonts w:ascii="Arial" w:hAnsi="Arial" w:cs="Arial"/>
          <w:sz w:val="24"/>
          <w:szCs w:val="24"/>
        </w:rPr>
        <w:t>The performance of High Street retailers is strongly influenced by economic factors</w:t>
      </w:r>
      <w:r w:rsidR="00B92970">
        <w:rPr>
          <w:rFonts w:ascii="Arial" w:hAnsi="Arial" w:cs="Arial"/>
          <w:sz w:val="24"/>
          <w:szCs w:val="24"/>
        </w:rPr>
        <w:t xml:space="preserve">. Key indicators </w:t>
      </w:r>
      <w:r>
        <w:rPr>
          <w:rFonts w:ascii="Arial" w:hAnsi="Arial" w:cs="Arial"/>
          <w:sz w:val="24"/>
          <w:szCs w:val="24"/>
        </w:rPr>
        <w:t>include</w:t>
      </w:r>
      <w:r w:rsidR="00B92970">
        <w:rPr>
          <w:rFonts w:ascii="Arial" w:hAnsi="Arial" w:cs="Arial"/>
          <w:sz w:val="24"/>
          <w:szCs w:val="24"/>
        </w:rPr>
        <w:t xml:space="preserve"> Inflation and the </w:t>
      </w:r>
      <w:r>
        <w:rPr>
          <w:rFonts w:ascii="Arial" w:hAnsi="Arial" w:cs="Arial"/>
          <w:sz w:val="24"/>
          <w:szCs w:val="24"/>
        </w:rPr>
        <w:t>c</w:t>
      </w:r>
      <w:r w:rsidR="00B92970">
        <w:rPr>
          <w:rFonts w:ascii="Arial" w:hAnsi="Arial" w:cs="Arial"/>
          <w:sz w:val="24"/>
          <w:szCs w:val="24"/>
        </w:rPr>
        <w:t xml:space="preserve">ost-of-living crisis, </w:t>
      </w:r>
      <w:r>
        <w:rPr>
          <w:rFonts w:ascii="Arial" w:hAnsi="Arial" w:cs="Arial"/>
          <w:sz w:val="24"/>
          <w:szCs w:val="24"/>
        </w:rPr>
        <w:t>s</w:t>
      </w:r>
      <w:r w:rsidR="00B92970">
        <w:rPr>
          <w:rFonts w:ascii="Arial" w:hAnsi="Arial" w:cs="Arial"/>
          <w:sz w:val="24"/>
          <w:szCs w:val="24"/>
        </w:rPr>
        <w:t xml:space="preserve">upply chain disruptions and rising costs, business rates and tax, consumer confidence and spending patterns. </w:t>
      </w:r>
      <w:r w:rsidR="00B92970" w:rsidRPr="00B92970">
        <w:rPr>
          <w:rFonts w:ascii="Arial" w:hAnsi="Arial" w:cs="Arial"/>
          <w:sz w:val="24"/>
          <w:szCs w:val="24"/>
        </w:rPr>
        <w:t>The United Kingdom has had a slow recovery in economic activity following the coronavirus disease 2019 (COVID-19) epidemic.</w:t>
      </w:r>
      <w:r>
        <w:rPr>
          <w:rFonts w:ascii="Arial" w:hAnsi="Arial" w:cs="Arial"/>
          <w:sz w:val="24"/>
          <w:szCs w:val="24"/>
        </w:rPr>
        <w:t xml:space="preserve"> </w:t>
      </w:r>
      <w:r w:rsidRPr="00E6191B">
        <w:rPr>
          <w:rFonts w:ascii="Arial" w:hAnsi="Arial" w:cs="Arial"/>
          <w:sz w:val="24"/>
          <w:szCs w:val="24"/>
        </w:rPr>
        <w:t>Data from the Office for National Statistics</w:t>
      </w:r>
      <w:r>
        <w:rPr>
          <w:rFonts w:ascii="Arial" w:hAnsi="Arial" w:cs="Arial"/>
          <w:sz w:val="24"/>
          <w:szCs w:val="24"/>
        </w:rPr>
        <w:t xml:space="preserve"> </w:t>
      </w:r>
      <w:r w:rsidRPr="00E6191B">
        <w:rPr>
          <w:rFonts w:ascii="Arial" w:hAnsi="Arial" w:cs="Arial"/>
          <w:sz w:val="24"/>
          <w:szCs w:val="24"/>
        </w:rPr>
        <w:t>(ONS) indicate that the price inflation rate in England increased from</w:t>
      </w:r>
      <w:r>
        <w:rPr>
          <w:rFonts w:ascii="Arial" w:hAnsi="Arial" w:cs="Arial"/>
          <w:sz w:val="24"/>
          <w:szCs w:val="24"/>
        </w:rPr>
        <w:t xml:space="preserve"> </w:t>
      </w:r>
      <w:r w:rsidRPr="00E6191B">
        <w:rPr>
          <w:rFonts w:ascii="Arial" w:hAnsi="Arial" w:cs="Arial"/>
          <w:sz w:val="24"/>
          <w:szCs w:val="24"/>
        </w:rPr>
        <w:t>1.5% to 6.2% from March 2020 to March 2022, and is now up to 8.9% as of</w:t>
      </w:r>
      <w:r>
        <w:rPr>
          <w:rFonts w:ascii="Arial" w:hAnsi="Arial" w:cs="Arial"/>
          <w:sz w:val="24"/>
          <w:szCs w:val="24"/>
        </w:rPr>
        <w:t xml:space="preserve"> </w:t>
      </w:r>
      <w:r w:rsidRPr="00E6191B">
        <w:rPr>
          <w:rFonts w:ascii="Arial" w:hAnsi="Arial" w:cs="Arial"/>
          <w:sz w:val="24"/>
          <w:szCs w:val="24"/>
        </w:rPr>
        <w:t>March 2023, in contrast to the relatively stable rate of 0.7–3% observed</w:t>
      </w:r>
      <w:r>
        <w:rPr>
          <w:rFonts w:ascii="Arial" w:hAnsi="Arial" w:cs="Arial"/>
          <w:sz w:val="24"/>
          <w:szCs w:val="24"/>
        </w:rPr>
        <w:t xml:space="preserve"> </w:t>
      </w:r>
      <w:r w:rsidRPr="00E6191B">
        <w:rPr>
          <w:rFonts w:ascii="Arial" w:hAnsi="Arial" w:cs="Arial"/>
          <w:sz w:val="24"/>
          <w:szCs w:val="24"/>
        </w:rPr>
        <w:t>between August 2016 and February 2020</w:t>
      </w:r>
      <w:r>
        <w:rPr>
          <w:rFonts w:ascii="Arial" w:hAnsi="Arial" w:cs="Arial"/>
          <w:sz w:val="24"/>
          <w:szCs w:val="24"/>
        </w:rPr>
        <w:t xml:space="preserve"> (</w:t>
      </w:r>
      <w:r w:rsidRPr="00E6191B">
        <w:rPr>
          <w:rFonts w:ascii="Arial" w:hAnsi="Arial" w:cs="Arial"/>
          <w:sz w:val="24"/>
          <w:szCs w:val="24"/>
        </w:rPr>
        <w:t>Chen, Yang and Kuper, 2024)</w:t>
      </w:r>
      <w:r>
        <w:rPr>
          <w:rFonts w:ascii="Arial" w:hAnsi="Arial" w:cs="Arial"/>
          <w:sz w:val="24"/>
          <w:szCs w:val="24"/>
        </w:rPr>
        <w:t xml:space="preserve">. </w:t>
      </w:r>
      <w:r w:rsidR="00D95CA2" w:rsidRPr="00E6191B">
        <w:rPr>
          <w:rFonts w:ascii="Arial" w:hAnsi="Arial" w:cs="Arial"/>
          <w:sz w:val="24"/>
          <w:szCs w:val="24"/>
        </w:rPr>
        <w:t>To</w:t>
      </w:r>
      <w:r w:rsidRPr="00E6191B">
        <w:rPr>
          <w:rFonts w:ascii="Arial" w:hAnsi="Arial" w:cs="Arial"/>
          <w:sz w:val="24"/>
          <w:szCs w:val="24"/>
        </w:rPr>
        <w:t xml:space="preserve"> stay competitive and pay for increased operating costs like wages, rent, and supply chain fees, retailers have had to modify their approach to prices.</w:t>
      </w:r>
      <w:r w:rsidR="00DE6313" w:rsidRPr="00DE6313">
        <w:t xml:space="preserve"> </w:t>
      </w:r>
      <w:r w:rsidR="00DE6313" w:rsidRPr="00DE6313">
        <w:rPr>
          <w:rFonts w:ascii="Arial" w:hAnsi="Arial" w:cs="Arial"/>
          <w:sz w:val="24"/>
          <w:szCs w:val="24"/>
        </w:rPr>
        <w:t xml:space="preserve">The pandemic underscored the necessity of robust supply chains, as </w:t>
      </w:r>
      <w:r w:rsidR="00DE6313" w:rsidRPr="00DE6313">
        <w:rPr>
          <w:rFonts w:ascii="Arial" w:hAnsi="Arial" w:cs="Arial"/>
          <w:sz w:val="24"/>
          <w:szCs w:val="24"/>
        </w:rPr>
        <w:lastRenderedPageBreak/>
        <w:t xml:space="preserve">disruptions led to critical shortages of consumer goods, medical supplies, and protective equipment. </w:t>
      </w:r>
    </w:p>
    <w:p w14:paraId="30991C17" w14:textId="49B49A46" w:rsidR="002774E1" w:rsidRDefault="00DE6313" w:rsidP="00393C6D">
      <w:pPr>
        <w:spacing w:after="30"/>
        <w:rPr>
          <w:rFonts w:ascii="Arial" w:hAnsi="Arial" w:cs="Arial"/>
          <w:sz w:val="24"/>
          <w:szCs w:val="24"/>
        </w:rPr>
      </w:pPr>
      <w:r w:rsidRPr="00DE6313">
        <w:rPr>
          <w:rFonts w:ascii="Arial" w:hAnsi="Arial" w:cs="Arial"/>
          <w:sz w:val="24"/>
          <w:szCs w:val="24"/>
        </w:rPr>
        <w:t>This was especially evident in healthcare, where supply chains were strained to their limits (Choi et al., 2020)</w:t>
      </w:r>
      <w:r>
        <w:rPr>
          <w:rFonts w:ascii="Arial" w:hAnsi="Arial" w:cs="Arial"/>
          <w:sz w:val="24"/>
          <w:szCs w:val="24"/>
        </w:rPr>
        <w:t>.</w:t>
      </w:r>
      <w:r w:rsidRPr="00DE6313">
        <w:t xml:space="preserve"> </w:t>
      </w:r>
      <w:r w:rsidRPr="00DE6313">
        <w:rPr>
          <w:rFonts w:ascii="Arial" w:hAnsi="Arial" w:cs="Arial"/>
          <w:sz w:val="24"/>
          <w:szCs w:val="24"/>
        </w:rPr>
        <w:t>Uncertainty in the economy has caused oscillations in consumer confidence. A lot of customers are still frugal with their purchasing, even if some have returned to High Street retailers since the epidemic started.</w:t>
      </w:r>
    </w:p>
    <w:p w14:paraId="6AE495C6" w14:textId="04AD50DA" w:rsidR="00A573DE" w:rsidRDefault="00DE6313" w:rsidP="00393C6D">
      <w:pPr>
        <w:spacing w:after="30"/>
        <w:rPr>
          <w:rFonts w:ascii="Arial" w:hAnsi="Arial" w:cs="Arial"/>
          <w:sz w:val="24"/>
          <w:szCs w:val="24"/>
        </w:rPr>
      </w:pPr>
      <w:r>
        <w:rPr>
          <w:rFonts w:ascii="Arial" w:hAnsi="Arial" w:cs="Arial"/>
          <w:sz w:val="24"/>
          <w:szCs w:val="24"/>
        </w:rPr>
        <w:t xml:space="preserve">Some of the political factors can </w:t>
      </w:r>
      <w:r w:rsidR="0004154A">
        <w:rPr>
          <w:rFonts w:ascii="Arial" w:hAnsi="Arial" w:cs="Arial"/>
          <w:sz w:val="24"/>
          <w:szCs w:val="24"/>
        </w:rPr>
        <w:t>include</w:t>
      </w:r>
      <w:r>
        <w:rPr>
          <w:rFonts w:ascii="Arial" w:hAnsi="Arial" w:cs="Arial"/>
          <w:sz w:val="24"/>
          <w:szCs w:val="24"/>
        </w:rPr>
        <w:t xml:space="preserve"> Brexit and Trade regulations, employment laws and minimum wage </w:t>
      </w:r>
      <w:r w:rsidR="00D95CA2">
        <w:rPr>
          <w:rFonts w:ascii="Arial" w:hAnsi="Arial" w:cs="Arial"/>
          <w:sz w:val="24"/>
          <w:szCs w:val="24"/>
        </w:rPr>
        <w:t>increases,</w:t>
      </w:r>
      <w:r>
        <w:rPr>
          <w:rFonts w:ascii="Arial" w:hAnsi="Arial" w:cs="Arial"/>
          <w:sz w:val="24"/>
          <w:szCs w:val="24"/>
        </w:rPr>
        <w:t xml:space="preserve"> Covid-19 recovery </w:t>
      </w:r>
      <w:r w:rsidR="00A573DE">
        <w:rPr>
          <w:rFonts w:ascii="Arial" w:hAnsi="Arial" w:cs="Arial"/>
          <w:sz w:val="24"/>
          <w:szCs w:val="24"/>
        </w:rPr>
        <w:t>policies</w:t>
      </w:r>
      <w:r w:rsidR="00C16417">
        <w:rPr>
          <w:rFonts w:ascii="Arial" w:hAnsi="Arial" w:cs="Arial"/>
          <w:b/>
          <w:bCs/>
          <w:sz w:val="24"/>
          <w:szCs w:val="24"/>
        </w:rPr>
        <w:t xml:space="preserve">, </w:t>
      </w:r>
      <w:r w:rsidR="00C16417">
        <w:rPr>
          <w:rFonts w:ascii="Arial" w:hAnsi="Arial" w:cs="Arial"/>
          <w:sz w:val="24"/>
          <w:szCs w:val="24"/>
        </w:rPr>
        <w:t>s</w:t>
      </w:r>
      <w:r w:rsidR="00A573DE" w:rsidRPr="00A573DE">
        <w:rPr>
          <w:rFonts w:ascii="Arial" w:hAnsi="Arial" w:cs="Arial"/>
          <w:sz w:val="24"/>
          <w:szCs w:val="24"/>
        </w:rPr>
        <w:t>ustainability and Environmental Regulations</w:t>
      </w:r>
      <w:r>
        <w:rPr>
          <w:rFonts w:ascii="Arial" w:hAnsi="Arial" w:cs="Arial"/>
          <w:sz w:val="24"/>
          <w:szCs w:val="24"/>
        </w:rPr>
        <w:t>.</w:t>
      </w:r>
      <w:r w:rsidR="0004154A" w:rsidRPr="0004154A">
        <w:rPr>
          <w:sz w:val="27"/>
          <w:szCs w:val="27"/>
        </w:rPr>
        <w:t xml:space="preserve"> </w:t>
      </w:r>
      <w:r w:rsidR="0004154A">
        <w:rPr>
          <w:sz w:val="27"/>
          <w:szCs w:val="27"/>
        </w:rPr>
        <w:t>O</w:t>
      </w:r>
      <w:r w:rsidR="0004154A" w:rsidRPr="0004154A">
        <w:rPr>
          <w:rFonts w:ascii="Arial" w:hAnsi="Arial" w:cs="Arial"/>
          <w:sz w:val="24"/>
          <w:szCs w:val="24"/>
        </w:rPr>
        <w:t>n March 29, 2017, the United Kingdom [hereinafter U.K.] decided to withdraw its membership from the E.U</w:t>
      </w:r>
      <w:r w:rsidR="001B7B5B">
        <w:rPr>
          <w:rFonts w:ascii="Arial" w:hAnsi="Arial" w:cs="Arial"/>
          <w:sz w:val="24"/>
          <w:szCs w:val="24"/>
        </w:rPr>
        <w:t xml:space="preserve"> </w:t>
      </w:r>
      <w:r w:rsidR="0004154A" w:rsidRPr="0004154A">
        <w:rPr>
          <w:rFonts w:ascii="Arial" w:hAnsi="Arial" w:cs="Arial"/>
          <w:sz w:val="24"/>
          <w:szCs w:val="24"/>
        </w:rPr>
        <w:t>Brexit saw the fall of two experienced Conservative Party leaders who were initially pro-</w:t>
      </w:r>
      <w:r w:rsidR="001B7B5B" w:rsidRPr="0004154A">
        <w:rPr>
          <w:rFonts w:ascii="Arial" w:hAnsi="Arial" w:cs="Arial"/>
          <w:sz w:val="24"/>
          <w:szCs w:val="24"/>
        </w:rPr>
        <w:t>E.U.</w:t>
      </w:r>
      <w:r w:rsidR="001B7B5B">
        <w:rPr>
          <w:rFonts w:ascii="Arial" w:hAnsi="Arial" w:cs="Arial"/>
          <w:sz w:val="24"/>
          <w:szCs w:val="24"/>
        </w:rPr>
        <w:t xml:space="preserve"> </w:t>
      </w:r>
      <w:r w:rsidR="0004154A" w:rsidRPr="0004154A">
        <w:rPr>
          <w:rFonts w:ascii="Arial" w:hAnsi="Arial" w:cs="Arial"/>
          <w:sz w:val="24"/>
          <w:szCs w:val="24"/>
        </w:rPr>
        <w:t>After Britain officially left the E.U. (“Brexit”) on January 31, 2020, it entered a transition period – as per which it remains a part of the E.U</w:t>
      </w:r>
      <w:r w:rsidR="0004154A">
        <w:rPr>
          <w:rFonts w:ascii="Arial" w:hAnsi="Arial" w:cs="Arial"/>
          <w:sz w:val="24"/>
          <w:szCs w:val="24"/>
        </w:rPr>
        <w:t xml:space="preserve"> </w:t>
      </w:r>
      <w:r w:rsidR="0004154A" w:rsidRPr="0004154A">
        <w:rPr>
          <w:rFonts w:ascii="Arial" w:hAnsi="Arial" w:cs="Arial"/>
          <w:sz w:val="24"/>
          <w:szCs w:val="24"/>
        </w:rPr>
        <w:t>(Rana and Meena, 2021)</w:t>
      </w:r>
      <w:r w:rsidR="0004154A">
        <w:rPr>
          <w:rFonts w:ascii="Arial" w:hAnsi="Arial" w:cs="Arial"/>
          <w:sz w:val="24"/>
          <w:szCs w:val="24"/>
        </w:rPr>
        <w:t>.</w:t>
      </w:r>
      <w:r w:rsidR="001B7B5B" w:rsidRPr="001B7B5B">
        <w:t xml:space="preserve"> </w:t>
      </w:r>
      <w:r w:rsidR="001B7B5B" w:rsidRPr="001B7B5B">
        <w:rPr>
          <w:rFonts w:ascii="Arial" w:hAnsi="Arial" w:cs="Arial"/>
          <w:sz w:val="24"/>
          <w:szCs w:val="24"/>
        </w:rPr>
        <w:t>When workers lack institutionalized bargaining power, companies may respond to policy changes in ways that do not prioritize employee well-being, potentially affecting job satisfaction and economic security (Storer and Reich, 2021)</w:t>
      </w:r>
      <w:r w:rsidR="001B7B5B">
        <w:rPr>
          <w:rFonts w:ascii="Arial" w:hAnsi="Arial" w:cs="Arial"/>
          <w:sz w:val="24"/>
          <w:szCs w:val="24"/>
        </w:rPr>
        <w:t xml:space="preserve">. </w:t>
      </w:r>
    </w:p>
    <w:p w14:paraId="7D84EC8E" w14:textId="22DDFAA9" w:rsidR="002774E1" w:rsidRDefault="00A573DE" w:rsidP="00393C6D">
      <w:pPr>
        <w:spacing w:after="30"/>
        <w:rPr>
          <w:rFonts w:ascii="Arial" w:hAnsi="Arial" w:cs="Arial"/>
          <w:sz w:val="24"/>
          <w:szCs w:val="24"/>
        </w:rPr>
      </w:pPr>
      <w:r w:rsidRPr="00A573DE">
        <w:rPr>
          <w:rFonts w:ascii="Arial" w:hAnsi="Arial" w:cs="Arial"/>
          <w:sz w:val="24"/>
          <w:szCs w:val="24"/>
        </w:rPr>
        <w:t>By using eco-friendly packaging, minimizing waste, and making investments in sustainable supply chains, street retailers must adapt. Financial fines and damages to one's reputation might result from violation.</w:t>
      </w:r>
      <w:r w:rsidRPr="00A573DE">
        <w:t xml:space="preserve"> </w:t>
      </w:r>
      <w:r w:rsidRPr="00A573DE">
        <w:rPr>
          <w:rFonts w:ascii="Arial" w:hAnsi="Arial" w:cs="Arial"/>
          <w:sz w:val="24"/>
          <w:szCs w:val="24"/>
        </w:rPr>
        <w:t>As global economic interdependence grows, sustainability standards have become a key issue in global governance. Policymakers face the challenge of ensuring these standards serve genuine sustainability goals rather than being used as tools for protectionism or coercion (Negi, 2020).</w:t>
      </w:r>
    </w:p>
    <w:p w14:paraId="280FDE84" w14:textId="7717E2F2" w:rsidR="00A573DE" w:rsidRDefault="00A573DE" w:rsidP="00393C6D">
      <w:pPr>
        <w:spacing w:after="30"/>
        <w:rPr>
          <w:rFonts w:ascii="Arial" w:hAnsi="Arial" w:cs="Arial"/>
          <w:sz w:val="24"/>
          <w:szCs w:val="24"/>
        </w:rPr>
      </w:pPr>
      <w:r>
        <w:rPr>
          <w:rFonts w:ascii="Arial" w:hAnsi="Arial" w:cs="Arial"/>
          <w:sz w:val="24"/>
          <w:szCs w:val="24"/>
        </w:rPr>
        <w:t xml:space="preserve"> When we are talking about social changes related to the high street retailers we are talking </w:t>
      </w:r>
      <w:r w:rsidR="005B2BB8">
        <w:rPr>
          <w:rFonts w:ascii="Arial" w:hAnsi="Arial" w:cs="Arial"/>
          <w:sz w:val="24"/>
          <w:szCs w:val="24"/>
        </w:rPr>
        <w:t>about</w:t>
      </w:r>
      <w:r>
        <w:rPr>
          <w:rFonts w:ascii="Arial" w:hAnsi="Arial" w:cs="Arial"/>
          <w:sz w:val="24"/>
          <w:szCs w:val="24"/>
        </w:rPr>
        <w:t xml:space="preserve"> </w:t>
      </w:r>
      <w:r w:rsidR="005B2BB8">
        <w:rPr>
          <w:rFonts w:ascii="Arial" w:hAnsi="Arial" w:cs="Arial"/>
          <w:sz w:val="24"/>
          <w:szCs w:val="24"/>
        </w:rPr>
        <w:t xml:space="preserve">shift in consumer preferences, demographic changes, increased urbanization and experience-driven shopping trends. </w:t>
      </w:r>
      <w:r w:rsidR="005B2BB8" w:rsidRPr="005B2BB8">
        <w:rPr>
          <w:rFonts w:ascii="Arial" w:hAnsi="Arial" w:cs="Arial"/>
          <w:sz w:val="24"/>
          <w:szCs w:val="24"/>
        </w:rPr>
        <w:t>Major changes in retail purchase habits are being caused by younger generations, particularly Millennials and Gen Z. Because of its convenience, improved product availability, and affordable prices, internet shopping is preferred by many customers.</w:t>
      </w:r>
      <w:r w:rsidR="005B2BB8">
        <w:rPr>
          <w:rFonts w:ascii="Arial" w:hAnsi="Arial" w:cs="Arial"/>
          <w:sz w:val="24"/>
          <w:szCs w:val="24"/>
        </w:rPr>
        <w:t xml:space="preserve"> </w:t>
      </w:r>
      <w:r w:rsidR="005B2BB8" w:rsidRPr="005B2BB8">
        <w:rPr>
          <w:rFonts w:ascii="Arial" w:hAnsi="Arial" w:cs="Arial"/>
          <w:sz w:val="24"/>
          <w:szCs w:val="24"/>
        </w:rPr>
        <w:t>The increasing age of the UK population has an influence on consumer buying habits.</w:t>
      </w:r>
      <w:r w:rsidR="005B2BB8" w:rsidRPr="005B2BB8">
        <w:t xml:space="preserve"> </w:t>
      </w:r>
      <w:r w:rsidR="005B2BB8" w:rsidRPr="005B2BB8">
        <w:rPr>
          <w:rFonts w:ascii="Arial" w:hAnsi="Arial" w:cs="Arial"/>
          <w:sz w:val="24"/>
          <w:szCs w:val="24"/>
        </w:rPr>
        <w:t>While young consumers prefer digital solutions, older clients may be more inclined to buy from High Street businesses since they enjoy in-person buying experiences.</w:t>
      </w:r>
      <w:r w:rsidR="00C16417" w:rsidRPr="00C16417">
        <w:t xml:space="preserve"> </w:t>
      </w:r>
      <w:r w:rsidR="00C16417" w:rsidRPr="00C16417">
        <w:rPr>
          <w:rFonts w:ascii="Arial" w:hAnsi="Arial" w:cs="Arial"/>
          <w:sz w:val="24"/>
          <w:szCs w:val="24"/>
        </w:rPr>
        <w:t>As society grows more divided, the police will struggle to effectively respond to the increasing variety and complexity of demands placed on them (Leaver, 1993).</w:t>
      </w:r>
    </w:p>
    <w:p w14:paraId="44CFAAE3" w14:textId="5FE0C13C" w:rsidR="00F82930" w:rsidRDefault="00C16417" w:rsidP="00393C6D">
      <w:pPr>
        <w:spacing w:after="30"/>
      </w:pPr>
      <w:r>
        <w:rPr>
          <w:rFonts w:ascii="Arial" w:hAnsi="Arial" w:cs="Arial"/>
          <w:sz w:val="24"/>
          <w:szCs w:val="24"/>
        </w:rPr>
        <w:t xml:space="preserve"> Moving on technology, we </w:t>
      </w:r>
      <w:r w:rsidR="00F20686">
        <w:rPr>
          <w:rFonts w:ascii="Arial" w:hAnsi="Arial" w:cs="Arial"/>
          <w:sz w:val="24"/>
          <w:szCs w:val="24"/>
        </w:rPr>
        <w:t>have:</w:t>
      </w:r>
      <w:r>
        <w:rPr>
          <w:rFonts w:ascii="Arial" w:hAnsi="Arial" w:cs="Arial"/>
          <w:sz w:val="24"/>
          <w:szCs w:val="24"/>
        </w:rPr>
        <w:t xml:space="preserve"> E-commerce and online </w:t>
      </w:r>
      <w:r w:rsidR="00F20686">
        <w:rPr>
          <w:rFonts w:ascii="Arial" w:hAnsi="Arial" w:cs="Arial"/>
          <w:sz w:val="24"/>
          <w:szCs w:val="24"/>
        </w:rPr>
        <w:t>shopping,</w:t>
      </w:r>
      <w:r>
        <w:rPr>
          <w:rFonts w:ascii="Arial" w:hAnsi="Arial" w:cs="Arial"/>
          <w:sz w:val="24"/>
          <w:szCs w:val="24"/>
        </w:rPr>
        <w:t xml:space="preserve"> artificial </w:t>
      </w:r>
      <w:r w:rsidR="00F20686">
        <w:rPr>
          <w:rFonts w:ascii="Arial" w:hAnsi="Arial" w:cs="Arial"/>
          <w:sz w:val="24"/>
          <w:szCs w:val="24"/>
        </w:rPr>
        <w:t>intelligence,</w:t>
      </w:r>
      <w:r>
        <w:rPr>
          <w:rFonts w:ascii="Arial" w:hAnsi="Arial" w:cs="Arial"/>
          <w:sz w:val="24"/>
          <w:szCs w:val="24"/>
        </w:rPr>
        <w:t xml:space="preserve"> in-store technology. </w:t>
      </w:r>
      <w:r w:rsidR="00F20686" w:rsidRPr="00F20686">
        <w:rPr>
          <w:rFonts w:ascii="Arial" w:hAnsi="Arial" w:cs="Arial"/>
          <w:sz w:val="24"/>
          <w:szCs w:val="24"/>
        </w:rPr>
        <w:t xml:space="preserve">For High Street retailers, one of the biggest technical disturbances has been the rise of e-commerce. Convenience, low prices, and the ability of </w:t>
      </w:r>
      <w:r w:rsidR="003D6DFA" w:rsidRPr="00F20686">
        <w:rPr>
          <w:rFonts w:ascii="Arial" w:hAnsi="Arial" w:cs="Arial"/>
          <w:sz w:val="24"/>
          <w:szCs w:val="24"/>
        </w:rPr>
        <w:t>always purchasing</w:t>
      </w:r>
      <w:r w:rsidR="00F20686">
        <w:rPr>
          <w:rFonts w:ascii="Arial" w:hAnsi="Arial" w:cs="Arial"/>
          <w:sz w:val="24"/>
          <w:szCs w:val="24"/>
        </w:rPr>
        <w:t xml:space="preserve">, </w:t>
      </w:r>
      <w:r w:rsidR="00F20686" w:rsidRPr="00F20686">
        <w:rPr>
          <w:rFonts w:ascii="Arial" w:hAnsi="Arial" w:cs="Arial"/>
          <w:sz w:val="24"/>
          <w:szCs w:val="24"/>
        </w:rPr>
        <w:t xml:space="preserve">are all advantages </w:t>
      </w:r>
      <w:r w:rsidR="00F20686" w:rsidRPr="00F20686">
        <w:rPr>
          <w:rFonts w:ascii="Arial" w:hAnsi="Arial" w:cs="Arial"/>
          <w:sz w:val="24"/>
          <w:szCs w:val="24"/>
        </w:rPr>
        <w:lastRenderedPageBreak/>
        <w:t>of online shopping.</w:t>
      </w:r>
      <w:r w:rsidR="00F20686" w:rsidRPr="00F20686">
        <w:t xml:space="preserve"> </w:t>
      </w:r>
      <w:r w:rsidR="00F20686" w:rsidRPr="00F20686">
        <w:rPr>
          <w:rFonts w:ascii="Arial" w:hAnsi="Arial" w:cs="Arial"/>
          <w:sz w:val="24"/>
          <w:szCs w:val="24"/>
        </w:rPr>
        <w:t>A lot of consumers are shifting away from traditional tangible and physically locations as an outcome of this, even for frequent purchases or basic goods.</w:t>
      </w:r>
      <w:r w:rsidR="00F20686" w:rsidRPr="00F20686">
        <w:t xml:space="preserve"> </w:t>
      </w:r>
    </w:p>
    <w:p w14:paraId="4CAFBC69" w14:textId="7F56D4BA" w:rsidR="00F82930" w:rsidRDefault="00F20686" w:rsidP="00393C6D">
      <w:pPr>
        <w:spacing w:after="30"/>
      </w:pPr>
      <w:r w:rsidRPr="00F20686">
        <w:rPr>
          <w:rFonts w:ascii="Arial" w:hAnsi="Arial" w:cs="Arial"/>
          <w:sz w:val="24"/>
          <w:szCs w:val="24"/>
        </w:rPr>
        <w:t xml:space="preserve">A key concern for businesses is the exposure of their products and services online, as consumer </w:t>
      </w:r>
      <w:r w:rsidR="003D6DFA" w:rsidRPr="00F20686">
        <w:rPr>
          <w:rFonts w:ascii="Arial" w:hAnsi="Arial" w:cs="Arial"/>
          <w:sz w:val="24"/>
          <w:szCs w:val="24"/>
        </w:rPr>
        <w:t>behaviour</w:t>
      </w:r>
      <w:r w:rsidRPr="00F20686">
        <w:rPr>
          <w:rFonts w:ascii="Arial" w:hAnsi="Arial" w:cs="Arial"/>
          <w:sz w:val="24"/>
          <w:szCs w:val="24"/>
        </w:rPr>
        <w:t>, driven by trends, convenience, and the widespread use of portable digital devices, increasingly embraces the advantages of new e-commerce solutions (Liebana-Cabanillas, 2020).</w:t>
      </w:r>
      <w:r w:rsidRPr="00F20686">
        <w:t xml:space="preserve"> </w:t>
      </w:r>
    </w:p>
    <w:p w14:paraId="6AFD8C44" w14:textId="77777777" w:rsidR="00F82930" w:rsidRDefault="00F82930" w:rsidP="00393C6D">
      <w:pPr>
        <w:spacing w:after="30"/>
      </w:pPr>
    </w:p>
    <w:p w14:paraId="5BCBCD1F" w14:textId="6679D14C" w:rsidR="004B395E" w:rsidRDefault="00F20686" w:rsidP="00393C6D">
      <w:pPr>
        <w:spacing w:after="30"/>
        <w:rPr>
          <w:rFonts w:ascii="Arial" w:hAnsi="Arial" w:cs="Arial"/>
          <w:sz w:val="24"/>
          <w:szCs w:val="24"/>
        </w:rPr>
      </w:pPr>
      <w:r w:rsidRPr="00F20686">
        <w:rPr>
          <w:rFonts w:ascii="Arial" w:hAnsi="Arial" w:cs="Arial"/>
          <w:sz w:val="24"/>
          <w:szCs w:val="24"/>
        </w:rPr>
        <w:t>Modern retail techniques depend heavily on artificial intelligence (AI). AI is being used more and more by high street companies for product ideas, inventory management, customer support, and specific marketing.</w:t>
      </w:r>
      <w:r w:rsidRPr="00F20686">
        <w:t xml:space="preserve"> </w:t>
      </w:r>
      <w:r w:rsidRPr="00F20686">
        <w:rPr>
          <w:rFonts w:ascii="Arial" w:hAnsi="Arial" w:cs="Arial"/>
          <w:sz w:val="24"/>
          <w:szCs w:val="24"/>
        </w:rPr>
        <w:t>Retailers can now offer personalized shopping experiences due to AI-driven recommendation engines, which increases customer buy odds and enhances sales conversion rates.</w:t>
      </w:r>
      <w:r w:rsidR="007B3E4C" w:rsidRPr="007B3E4C">
        <w:t xml:space="preserve"> </w:t>
      </w:r>
      <w:r w:rsidR="007B3E4C" w:rsidRPr="007B3E4C">
        <w:rPr>
          <w:rFonts w:ascii="Arial" w:hAnsi="Arial" w:cs="Arial"/>
          <w:sz w:val="24"/>
          <w:szCs w:val="24"/>
        </w:rPr>
        <w:t>Furthermore, AI-powered chatbots and virtual assistants promote the overall customer experience by helping customers with identifying goods, question responding, and troubleshooting.</w:t>
      </w:r>
      <w:r w:rsidR="007B3E4C" w:rsidRPr="007B3E4C">
        <w:rPr>
          <w:sz w:val="25"/>
          <w:szCs w:val="25"/>
        </w:rPr>
        <w:t xml:space="preserve"> </w:t>
      </w:r>
      <w:r w:rsidR="007B3E4C">
        <w:rPr>
          <w:sz w:val="25"/>
          <w:szCs w:val="25"/>
        </w:rPr>
        <w:t>“</w:t>
      </w:r>
      <w:r w:rsidR="007B3E4C" w:rsidRPr="007B3E4C">
        <w:rPr>
          <w:rFonts w:ascii="Arial" w:hAnsi="Arial" w:cs="Arial"/>
          <w:sz w:val="24"/>
          <w:szCs w:val="24"/>
        </w:rPr>
        <w:t>Many retailers invest in artificial intelligence (AI) to improve operational efficiency or enhance customer experience. However, AI often disrupts employees’ ways of working causing them to resist change, thus threatening the successful embedding</w:t>
      </w:r>
      <w:r w:rsidR="007B3E4C">
        <w:rPr>
          <w:rFonts w:ascii="Arial" w:hAnsi="Arial" w:cs="Arial"/>
          <w:sz w:val="24"/>
          <w:szCs w:val="24"/>
        </w:rPr>
        <w:t xml:space="preserve"> </w:t>
      </w:r>
      <w:r w:rsidR="007B3E4C" w:rsidRPr="007B3E4C">
        <w:rPr>
          <w:rFonts w:ascii="Arial" w:hAnsi="Arial" w:cs="Arial"/>
          <w:sz w:val="24"/>
          <w:szCs w:val="24"/>
        </w:rPr>
        <w:t>and sustained usage of the technology</w:t>
      </w:r>
      <w:r w:rsidR="007B3E4C">
        <w:rPr>
          <w:rFonts w:ascii="Arial" w:hAnsi="Arial" w:cs="Arial"/>
          <w:sz w:val="24"/>
          <w:szCs w:val="24"/>
        </w:rPr>
        <w:t>”</w:t>
      </w:r>
      <w:r w:rsidR="007B3E4C" w:rsidRPr="007B3E4C">
        <w:rPr>
          <w:rFonts w:ascii="Arial" w:hAnsi="Arial" w:cs="Arial"/>
          <w:sz w:val="24"/>
          <w:szCs w:val="24"/>
        </w:rPr>
        <w:t>.</w:t>
      </w:r>
      <w:r w:rsidR="007B3E4C" w:rsidRPr="007B3E4C">
        <w:t xml:space="preserve"> </w:t>
      </w:r>
      <w:r w:rsidR="007B3E4C" w:rsidRPr="007B3E4C">
        <w:rPr>
          <w:rFonts w:ascii="Arial" w:hAnsi="Arial" w:cs="Arial"/>
          <w:sz w:val="24"/>
          <w:szCs w:val="24"/>
        </w:rPr>
        <w:t>(Bonetti et al., 2023).</w:t>
      </w:r>
      <w:r w:rsidR="004B395E" w:rsidRPr="004B395E">
        <w:t xml:space="preserve"> </w:t>
      </w:r>
      <w:r w:rsidR="004B395E" w:rsidRPr="004B395E">
        <w:rPr>
          <w:rFonts w:ascii="Arial" w:hAnsi="Arial" w:cs="Arial"/>
          <w:sz w:val="24"/>
          <w:szCs w:val="24"/>
        </w:rPr>
        <w:t xml:space="preserve">Many High Street retailers are incorporating modern technology into their physical stores in addition to e-commerce </w:t>
      </w:r>
      <w:r w:rsidR="003D6DFA" w:rsidRPr="004B395E">
        <w:rPr>
          <w:rFonts w:ascii="Arial" w:hAnsi="Arial" w:cs="Arial"/>
          <w:sz w:val="24"/>
          <w:szCs w:val="24"/>
        </w:rPr>
        <w:t>to</w:t>
      </w:r>
      <w:r w:rsidR="004B395E" w:rsidRPr="004B395E">
        <w:rPr>
          <w:rFonts w:ascii="Arial" w:hAnsi="Arial" w:cs="Arial"/>
          <w:sz w:val="24"/>
          <w:szCs w:val="24"/>
        </w:rPr>
        <w:t xml:space="preserve"> enhance consumer satisfaction and efficiency in operation.</w:t>
      </w:r>
      <w:r w:rsidR="004B395E" w:rsidRPr="004B395E">
        <w:t xml:space="preserve"> </w:t>
      </w:r>
      <w:r w:rsidR="004B395E" w:rsidRPr="004B395E">
        <w:rPr>
          <w:rFonts w:ascii="Arial" w:hAnsi="Arial" w:cs="Arial"/>
          <w:sz w:val="24"/>
          <w:szCs w:val="24"/>
        </w:rPr>
        <w:t>Retailers can be utilizing self-checkout kiosks, smart mirrors, and contactless payment systems to accelerate operations and minimize the need for human interaction.</w:t>
      </w:r>
    </w:p>
    <w:p w14:paraId="21121E2E" w14:textId="7313DB2A" w:rsidR="00C16417" w:rsidRDefault="004B395E" w:rsidP="00393C6D">
      <w:pPr>
        <w:spacing w:after="30"/>
        <w:rPr>
          <w:rFonts w:ascii="Arial" w:hAnsi="Arial" w:cs="Arial"/>
          <w:sz w:val="24"/>
          <w:szCs w:val="24"/>
        </w:rPr>
      </w:pPr>
      <w:r w:rsidRPr="004B395E">
        <w:t xml:space="preserve"> </w:t>
      </w:r>
      <w:r w:rsidRPr="004B395E">
        <w:rPr>
          <w:rFonts w:ascii="Arial" w:hAnsi="Arial" w:cs="Arial"/>
          <w:sz w:val="24"/>
          <w:szCs w:val="24"/>
        </w:rPr>
        <w:t>Retailers today are increasingly adopting AI tools to enhance consumer satisfaction and create a seamless shopping experience, which in turn boosts revenue, profitability, and competitiveness in the market (Heins, 2023).</w:t>
      </w:r>
    </w:p>
    <w:p w14:paraId="202864E9" w14:textId="77777777" w:rsidR="00F82930" w:rsidRDefault="00F82930" w:rsidP="00393C6D">
      <w:pPr>
        <w:spacing w:after="30"/>
        <w:rPr>
          <w:rFonts w:ascii="Arial" w:hAnsi="Arial" w:cs="Arial"/>
          <w:sz w:val="24"/>
          <w:szCs w:val="24"/>
        </w:rPr>
      </w:pPr>
    </w:p>
    <w:p w14:paraId="6A96ABE7" w14:textId="1A827F5A" w:rsidR="00806BF9" w:rsidRDefault="004B395E" w:rsidP="00393C6D">
      <w:pPr>
        <w:spacing w:after="30"/>
        <w:rPr>
          <w:rFonts w:ascii="Arial" w:hAnsi="Arial" w:cs="Arial"/>
          <w:sz w:val="24"/>
          <w:szCs w:val="24"/>
        </w:rPr>
      </w:pPr>
      <w:r>
        <w:rPr>
          <w:rFonts w:ascii="Arial" w:hAnsi="Arial" w:cs="Arial"/>
          <w:sz w:val="24"/>
          <w:szCs w:val="24"/>
        </w:rPr>
        <w:t xml:space="preserve">Moving on the environmental factors like climate change, consumer demand for sustainable products, waste management and packaging. </w:t>
      </w:r>
      <w:r w:rsidR="000E5E1E" w:rsidRPr="000E5E1E">
        <w:rPr>
          <w:rFonts w:ascii="Arial" w:hAnsi="Arial" w:cs="Arial"/>
          <w:sz w:val="24"/>
          <w:szCs w:val="24"/>
        </w:rPr>
        <w:t>Given that the risk of climate action failure is ranked second in likelihood and first in impact over the next decade, it is crucial to focus on the discussion of climate-related financial risk (Colombo, 2022).</w:t>
      </w:r>
      <w:r w:rsidR="000E5E1E" w:rsidRPr="000E5E1E">
        <w:t xml:space="preserve"> </w:t>
      </w:r>
      <w:r w:rsidR="006952AF" w:rsidRPr="006952AF">
        <w:rPr>
          <w:rFonts w:ascii="Arial" w:hAnsi="Arial" w:cs="Arial"/>
          <w:sz w:val="24"/>
          <w:szCs w:val="24"/>
        </w:rPr>
        <w:t>Retail companies, particularly those with worldwide supply chains, are at danger from the increased frequency of catastrophes caused by climate change like floods, wildfires, and storms</w:t>
      </w:r>
      <w:r w:rsidR="006952AF" w:rsidRPr="006952AF">
        <w:t xml:space="preserve">. </w:t>
      </w:r>
      <w:r w:rsidR="000E5E1E" w:rsidRPr="000E5E1E">
        <w:rPr>
          <w:rFonts w:ascii="Arial" w:hAnsi="Arial" w:cs="Arial"/>
          <w:sz w:val="24"/>
          <w:szCs w:val="24"/>
        </w:rPr>
        <w:t>High Street retailers are being urged to adopt more sustainable practices to reduce their impact on the environment.</w:t>
      </w:r>
      <w:r w:rsidR="000E5E1E" w:rsidRPr="000E5E1E">
        <w:t xml:space="preserve"> </w:t>
      </w:r>
      <w:r w:rsidR="000E5E1E" w:rsidRPr="000E5E1E">
        <w:rPr>
          <w:rFonts w:ascii="Arial" w:hAnsi="Arial" w:cs="Arial"/>
          <w:sz w:val="24"/>
          <w:szCs w:val="24"/>
        </w:rPr>
        <w:t>Sustainability is becoming a top priority for consumers when making purchases, and many of them select organizations that show a dedication to environmental responsibility.</w:t>
      </w:r>
      <w:r w:rsidR="000E5E1E">
        <w:rPr>
          <w:rFonts w:ascii="Arial" w:hAnsi="Arial" w:cs="Arial"/>
          <w:sz w:val="24"/>
          <w:szCs w:val="24"/>
        </w:rPr>
        <w:t xml:space="preserve"> “</w:t>
      </w:r>
      <w:r w:rsidR="003D6DFA">
        <w:rPr>
          <w:rFonts w:ascii="Arial" w:hAnsi="Arial" w:cs="Arial"/>
          <w:sz w:val="24"/>
          <w:szCs w:val="24"/>
        </w:rPr>
        <w:t>Package less</w:t>
      </w:r>
      <w:r w:rsidR="000E5E1E">
        <w:rPr>
          <w:rFonts w:ascii="Arial" w:hAnsi="Arial" w:cs="Arial"/>
          <w:sz w:val="24"/>
          <w:szCs w:val="24"/>
        </w:rPr>
        <w:t xml:space="preserve"> consumption is gaining attention as regards building a more sustainable society”. </w:t>
      </w:r>
      <w:r w:rsidR="000E5E1E" w:rsidRPr="000E5E1E">
        <w:rPr>
          <w:rFonts w:ascii="Arial" w:hAnsi="Arial" w:cs="Arial"/>
          <w:sz w:val="24"/>
          <w:szCs w:val="24"/>
        </w:rPr>
        <w:t>(Bäckström, Egan-Wyer, and Samsioe, 2024).</w:t>
      </w:r>
      <w:r w:rsidR="000E5E1E">
        <w:rPr>
          <w:rFonts w:ascii="Arial" w:hAnsi="Arial" w:cs="Arial"/>
          <w:sz w:val="24"/>
          <w:szCs w:val="24"/>
        </w:rPr>
        <w:t xml:space="preserve"> </w:t>
      </w:r>
    </w:p>
    <w:p w14:paraId="524D94F7" w14:textId="77777777" w:rsidR="00F82930" w:rsidRDefault="00F82930" w:rsidP="00393C6D">
      <w:pPr>
        <w:spacing w:after="30"/>
        <w:rPr>
          <w:rFonts w:ascii="Arial" w:hAnsi="Arial" w:cs="Arial"/>
          <w:sz w:val="24"/>
          <w:szCs w:val="24"/>
        </w:rPr>
      </w:pPr>
    </w:p>
    <w:p w14:paraId="367FD597" w14:textId="77777777" w:rsidR="00F82930" w:rsidRDefault="00F82930" w:rsidP="00393C6D">
      <w:pPr>
        <w:spacing w:after="30"/>
        <w:rPr>
          <w:rFonts w:ascii="Arial" w:hAnsi="Arial" w:cs="Arial"/>
          <w:sz w:val="24"/>
          <w:szCs w:val="24"/>
        </w:rPr>
      </w:pPr>
    </w:p>
    <w:p w14:paraId="7BC2AAB1" w14:textId="0A36D035" w:rsidR="009A40FA" w:rsidRPr="009A40FA" w:rsidRDefault="009A40FA" w:rsidP="00393C6D">
      <w:pPr>
        <w:spacing w:after="30"/>
        <w:rPr>
          <w:rFonts w:ascii="Arial" w:hAnsi="Arial" w:cs="Arial"/>
          <w:b/>
          <w:bCs/>
          <w:sz w:val="32"/>
          <w:szCs w:val="32"/>
        </w:rPr>
      </w:pPr>
      <w:r>
        <w:rPr>
          <w:rFonts w:ascii="Arial" w:hAnsi="Arial" w:cs="Arial"/>
          <w:b/>
          <w:bCs/>
          <w:sz w:val="32"/>
          <w:szCs w:val="32"/>
        </w:rPr>
        <w:t xml:space="preserve">3. </w:t>
      </w:r>
      <w:r w:rsidRPr="009A40FA">
        <w:rPr>
          <w:rFonts w:ascii="Arial" w:hAnsi="Arial" w:cs="Arial"/>
          <w:b/>
          <w:bCs/>
          <w:sz w:val="32"/>
          <w:szCs w:val="32"/>
        </w:rPr>
        <w:t xml:space="preserve">Conclusion </w:t>
      </w:r>
    </w:p>
    <w:p w14:paraId="5D5ECC8D" w14:textId="4C353E51" w:rsidR="004807FB" w:rsidRDefault="004807FB" w:rsidP="00393C6D">
      <w:pPr>
        <w:spacing w:after="30"/>
        <w:rPr>
          <w:rFonts w:ascii="Arial" w:hAnsi="Arial" w:cs="Arial"/>
          <w:sz w:val="24"/>
          <w:szCs w:val="24"/>
        </w:rPr>
      </w:pPr>
      <w:r>
        <w:rPr>
          <w:rFonts w:ascii="Arial" w:hAnsi="Arial" w:cs="Arial"/>
          <w:sz w:val="24"/>
          <w:szCs w:val="24"/>
        </w:rPr>
        <w:t xml:space="preserve"> </w:t>
      </w:r>
      <w:r w:rsidR="000A1020" w:rsidRPr="000A1020">
        <w:rPr>
          <w:rFonts w:ascii="Arial" w:hAnsi="Arial" w:cs="Arial"/>
          <w:sz w:val="24"/>
          <w:szCs w:val="24"/>
        </w:rPr>
        <w:t xml:space="preserve">The various outside factors affecting UK High Street retail stores have been investigated in this paper, with an emphasis on the effects of the economy, politics, society, technology, and environment. It has been found </w:t>
      </w:r>
      <w:r w:rsidR="003D6DFA" w:rsidRPr="000A1020">
        <w:rPr>
          <w:rFonts w:ascii="Arial" w:hAnsi="Arial" w:cs="Arial"/>
          <w:sz w:val="24"/>
          <w:szCs w:val="24"/>
        </w:rPr>
        <w:t>using</w:t>
      </w:r>
      <w:r w:rsidR="000A1020" w:rsidRPr="000A1020">
        <w:rPr>
          <w:rFonts w:ascii="Arial" w:hAnsi="Arial" w:cs="Arial"/>
          <w:sz w:val="24"/>
          <w:szCs w:val="24"/>
        </w:rPr>
        <w:t xml:space="preserve"> techniques like PESTLE and SWOT analyses that High Street shops face </w:t>
      </w:r>
      <w:r w:rsidR="003D6DFA" w:rsidRPr="000A1020">
        <w:rPr>
          <w:rFonts w:ascii="Arial" w:hAnsi="Arial" w:cs="Arial"/>
          <w:sz w:val="24"/>
          <w:szCs w:val="24"/>
        </w:rPr>
        <w:t>several</w:t>
      </w:r>
      <w:r w:rsidR="000A1020" w:rsidRPr="000A1020">
        <w:rPr>
          <w:rFonts w:ascii="Arial" w:hAnsi="Arial" w:cs="Arial"/>
          <w:sz w:val="24"/>
          <w:szCs w:val="24"/>
        </w:rPr>
        <w:t xml:space="preserve"> challenges, such as increasing operating costs, changing customer preferences, and competition from online stores.</w:t>
      </w:r>
      <w:r w:rsidR="000A1020">
        <w:rPr>
          <w:rFonts w:ascii="Arial" w:hAnsi="Arial" w:cs="Arial"/>
          <w:sz w:val="24"/>
          <w:szCs w:val="24"/>
        </w:rPr>
        <w:t xml:space="preserve"> </w:t>
      </w:r>
      <w:r w:rsidR="000A1020" w:rsidRPr="000A1020">
        <w:rPr>
          <w:rFonts w:ascii="Arial" w:hAnsi="Arial" w:cs="Arial"/>
          <w:sz w:val="24"/>
          <w:szCs w:val="24"/>
        </w:rPr>
        <w:t>While financial problems like inflation and the cost-of-living problem have affected consumer spending, political factors like Brexit and trade regulations have caused fear.</w:t>
      </w:r>
      <w:r w:rsidR="000A1020" w:rsidRPr="000A1020">
        <w:t xml:space="preserve"> </w:t>
      </w:r>
      <w:r w:rsidR="000A1020" w:rsidRPr="000A1020">
        <w:rPr>
          <w:rFonts w:ascii="Arial" w:hAnsi="Arial" w:cs="Arial"/>
          <w:sz w:val="24"/>
          <w:szCs w:val="24"/>
        </w:rPr>
        <w:t>Advances in technology contribute to digital transformation, while social trends—like an increasing interest for sustainable products—have impacted the retail environment.</w:t>
      </w:r>
      <w:r w:rsidR="000A1020">
        <w:rPr>
          <w:rFonts w:ascii="Arial" w:hAnsi="Arial" w:cs="Arial"/>
          <w:sz w:val="24"/>
          <w:szCs w:val="24"/>
        </w:rPr>
        <w:t xml:space="preserve"> </w:t>
      </w:r>
      <w:r w:rsidR="00EF5095" w:rsidRPr="00EF5095">
        <w:rPr>
          <w:rFonts w:ascii="Arial" w:hAnsi="Arial" w:cs="Arial"/>
          <w:sz w:val="24"/>
          <w:szCs w:val="24"/>
        </w:rPr>
        <w:t xml:space="preserve">Engaging with both loyal customers and potential ones is essential in the world of business, especially given the advancements in social media, which have necessitated more developed methods for consumer-business relationship management and retention (Musso &amp; </w:t>
      </w:r>
      <w:proofErr w:type="spellStart"/>
      <w:r w:rsidR="00EF5095" w:rsidRPr="00EF5095">
        <w:rPr>
          <w:rFonts w:ascii="Arial" w:hAnsi="Arial" w:cs="Arial"/>
          <w:sz w:val="24"/>
          <w:szCs w:val="24"/>
        </w:rPr>
        <w:t>Druica</w:t>
      </w:r>
      <w:proofErr w:type="spellEnd"/>
      <w:r w:rsidR="00EF5095" w:rsidRPr="00EF5095">
        <w:rPr>
          <w:rFonts w:ascii="Arial" w:hAnsi="Arial" w:cs="Arial"/>
          <w:sz w:val="24"/>
          <w:szCs w:val="24"/>
        </w:rPr>
        <w:t>, 2020)</w:t>
      </w:r>
      <w:r w:rsidR="00EF5095">
        <w:rPr>
          <w:rFonts w:ascii="Arial" w:hAnsi="Arial" w:cs="Arial"/>
          <w:sz w:val="24"/>
          <w:szCs w:val="24"/>
        </w:rPr>
        <w:t>.</w:t>
      </w:r>
    </w:p>
    <w:p w14:paraId="1B3419D1" w14:textId="77777777" w:rsidR="00806BF9" w:rsidRDefault="00806BF9" w:rsidP="00FD551C">
      <w:pPr>
        <w:rPr>
          <w:rFonts w:ascii="Arial" w:hAnsi="Arial" w:cs="Arial"/>
          <w:sz w:val="24"/>
          <w:szCs w:val="24"/>
        </w:rPr>
      </w:pPr>
    </w:p>
    <w:bookmarkStart w:id="0" w:name="_MON_1804707518"/>
    <w:bookmarkEnd w:id="0"/>
    <w:p w14:paraId="1AD193CD" w14:textId="23214641" w:rsidR="00806BF9" w:rsidRPr="004807FB" w:rsidRDefault="004807FB" w:rsidP="00ED4715">
      <w:pPr>
        <w:rPr>
          <w:rFonts w:ascii="Arial" w:hAnsi="Arial" w:cs="Arial"/>
          <w:sz w:val="24"/>
          <w:szCs w:val="24"/>
        </w:rPr>
      </w:pPr>
      <w:r>
        <w:rPr>
          <w:rFonts w:ascii="Arial" w:hAnsi="Arial" w:cs="Arial"/>
          <w:sz w:val="24"/>
          <w:szCs w:val="24"/>
        </w:rPr>
        <w:object w:dxaOrig="11030" w:dyaOrig="13630" w14:anchorId="4B192B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1.5pt;height:681.5pt" o:ole="">
            <v:imagedata r:id="rId8" o:title=""/>
          </v:shape>
          <o:OLEObject Type="Embed" ProgID="Word.Document.12" ShapeID="_x0000_i1025" DrawAspect="Content" ObjectID="_1804710379" r:id="rId9">
            <o:FieldCodes>\s</o:FieldCodes>
          </o:OLEObject>
        </w:object>
      </w:r>
    </w:p>
    <w:p w14:paraId="4D59C380" w14:textId="77777777" w:rsidR="004807FB" w:rsidRDefault="004807FB" w:rsidP="00ED4715">
      <w:pPr>
        <w:rPr>
          <w:rFonts w:ascii="Arial" w:hAnsi="Arial" w:cs="Arial"/>
          <w:b/>
          <w:bCs/>
          <w:sz w:val="32"/>
          <w:szCs w:val="32"/>
        </w:rPr>
      </w:pPr>
    </w:p>
    <w:p w14:paraId="704E44B6" w14:textId="77777777" w:rsidR="00193AE4" w:rsidRDefault="00193AE4" w:rsidP="00ED4715">
      <w:pPr>
        <w:rPr>
          <w:rFonts w:ascii="Arial" w:hAnsi="Arial" w:cs="Arial"/>
          <w:b/>
          <w:bCs/>
          <w:sz w:val="32"/>
          <w:szCs w:val="32"/>
        </w:rPr>
      </w:pPr>
      <w:r>
        <w:rPr>
          <w:rFonts w:ascii="Arial" w:hAnsi="Arial" w:cs="Arial"/>
          <w:b/>
          <w:bCs/>
          <w:sz w:val="32"/>
          <w:szCs w:val="32"/>
        </w:rPr>
        <w:lastRenderedPageBreak/>
        <w:t>References</w:t>
      </w:r>
    </w:p>
    <w:p w14:paraId="069417CE" w14:textId="77777777" w:rsidR="00F82930" w:rsidRPr="00F82930" w:rsidRDefault="00F82930" w:rsidP="002774E1">
      <w:pPr>
        <w:rPr>
          <w:rFonts w:ascii="Arial" w:hAnsi="Arial" w:cs="Arial"/>
          <w:sz w:val="20"/>
          <w:szCs w:val="20"/>
        </w:rPr>
      </w:pPr>
      <w:r w:rsidRPr="00F82930">
        <w:rPr>
          <w:rFonts w:ascii="Arial" w:hAnsi="Arial" w:cs="Arial"/>
          <w:sz w:val="20"/>
          <w:szCs w:val="20"/>
        </w:rPr>
        <w:t>Abhishek Rana and Rishabha Meena (2021) ‘What Is Next for Digital Trade in a Post</w:t>
      </w:r>
      <w:r w:rsidRPr="00F82930">
        <w:rPr>
          <w:rFonts w:ascii="Cambria Math" w:hAnsi="Cambria Math" w:cs="Cambria Math"/>
          <w:sz w:val="20"/>
          <w:szCs w:val="20"/>
        </w:rPr>
        <w:t>‐</w:t>
      </w:r>
      <w:r w:rsidRPr="00F82930">
        <w:rPr>
          <w:rFonts w:ascii="Arial" w:hAnsi="Arial" w:cs="Arial"/>
          <w:sz w:val="20"/>
          <w:szCs w:val="20"/>
        </w:rPr>
        <w:t xml:space="preserve">Brexit Britain? – Examining the Regulation of Data Flows Under G.A.T.S. </w:t>
      </w:r>
    </w:p>
    <w:p w14:paraId="7A61FAF2"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Bäckström, K., Egan-Wyer, C. and Samsioe, E. (2024) </w:t>
      </w:r>
      <w:r w:rsidRPr="00F82930">
        <w:rPr>
          <w:rFonts w:ascii="Arial" w:hAnsi="Arial" w:cs="Arial"/>
          <w:i/>
          <w:iCs/>
          <w:sz w:val="20"/>
          <w:szCs w:val="20"/>
        </w:rPr>
        <w:t>The Future of Consumption : How Technology, Sustainability and Wellbeing will Transform Retail and Customer Experience</w:t>
      </w:r>
      <w:r w:rsidRPr="00F82930">
        <w:rPr>
          <w:rFonts w:ascii="Arial" w:hAnsi="Arial" w:cs="Arial"/>
          <w:sz w:val="20"/>
          <w:szCs w:val="20"/>
        </w:rPr>
        <w:t xml:space="preserve">. 1st ed. 2024. Cham: Springer International Publishing. Available at: </w:t>
      </w:r>
      <w:hyperlink r:id="rId10" w:history="1">
        <w:r w:rsidRPr="00F82930">
          <w:rPr>
            <w:rStyle w:val="Hyperlink"/>
            <w:rFonts w:ascii="Arial" w:hAnsi="Arial" w:cs="Arial"/>
            <w:sz w:val="20"/>
            <w:szCs w:val="20"/>
          </w:rPr>
          <w:t>https://doi.org/10.1007/978-3-031-33246-3</w:t>
        </w:r>
      </w:hyperlink>
      <w:r w:rsidRPr="00F82930">
        <w:rPr>
          <w:rFonts w:ascii="Arial" w:hAnsi="Arial" w:cs="Arial"/>
          <w:sz w:val="20"/>
          <w:szCs w:val="20"/>
        </w:rPr>
        <w:t>.</w:t>
      </w:r>
    </w:p>
    <w:p w14:paraId="1BE51033" w14:textId="77777777" w:rsidR="00F82930" w:rsidRPr="00F82930" w:rsidRDefault="00F82930" w:rsidP="00ED4715">
      <w:pPr>
        <w:rPr>
          <w:rFonts w:ascii="Arial" w:hAnsi="Arial" w:cs="Arial"/>
          <w:sz w:val="20"/>
          <w:szCs w:val="20"/>
        </w:rPr>
      </w:pPr>
      <w:r w:rsidRPr="00F82930">
        <w:rPr>
          <w:rFonts w:ascii="Arial" w:hAnsi="Arial" w:cs="Arial"/>
          <w:b/>
          <w:bCs/>
          <w:sz w:val="20"/>
          <w:szCs w:val="20"/>
        </w:rPr>
        <w:br/>
      </w:r>
      <w:r w:rsidRPr="00F82930">
        <w:rPr>
          <w:rFonts w:ascii="Arial" w:hAnsi="Arial" w:cs="Arial"/>
          <w:sz w:val="20"/>
          <w:szCs w:val="20"/>
        </w:rPr>
        <w:t>Baltaji, R., Fakih, A. and Sayour, N. (2023) ‘How did COVID</w:t>
      </w:r>
      <w:r w:rsidRPr="00F82930">
        <w:rPr>
          <w:rFonts w:ascii="Cambria Math" w:hAnsi="Cambria Math" w:cs="Cambria Math"/>
          <w:sz w:val="20"/>
          <w:szCs w:val="20"/>
        </w:rPr>
        <w:t>‐</w:t>
      </w:r>
      <w:r w:rsidRPr="00F82930">
        <w:rPr>
          <w:rFonts w:ascii="Arial" w:hAnsi="Arial" w:cs="Arial"/>
          <w:sz w:val="20"/>
          <w:szCs w:val="20"/>
        </w:rPr>
        <w:t xml:space="preserve">19 lockdowns affect firms and workers? Evidence from Jordan and Morocco’, </w:t>
      </w:r>
      <w:r w:rsidRPr="00F82930">
        <w:rPr>
          <w:rFonts w:ascii="Arial" w:hAnsi="Arial" w:cs="Arial"/>
          <w:i/>
          <w:iCs/>
          <w:sz w:val="20"/>
          <w:szCs w:val="20"/>
        </w:rPr>
        <w:t>Development Policy Review</w:t>
      </w:r>
      <w:r w:rsidRPr="00F82930">
        <w:rPr>
          <w:rFonts w:ascii="Arial" w:hAnsi="Arial" w:cs="Arial"/>
          <w:sz w:val="20"/>
          <w:szCs w:val="20"/>
        </w:rPr>
        <w:t>, 41(6), pp. 1–23. doi:10.1111/dpr.12722.</w:t>
      </w:r>
    </w:p>
    <w:p w14:paraId="3DAB38CA"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Bonetti, F. </w:t>
      </w:r>
      <w:r w:rsidRPr="00F82930">
        <w:rPr>
          <w:rFonts w:ascii="Arial" w:hAnsi="Arial" w:cs="Arial"/>
          <w:i/>
          <w:iCs/>
          <w:sz w:val="20"/>
          <w:szCs w:val="20"/>
        </w:rPr>
        <w:t>et al.</w:t>
      </w:r>
      <w:r w:rsidRPr="00F82930">
        <w:rPr>
          <w:rFonts w:ascii="Arial" w:hAnsi="Arial" w:cs="Arial"/>
          <w:sz w:val="20"/>
          <w:szCs w:val="20"/>
        </w:rPr>
        <w:t xml:space="preserve"> (2023) ‘Practice co-evolution: Collaboratively embedding artificial intelligence in retail practices’, </w:t>
      </w:r>
      <w:r w:rsidRPr="00F82930">
        <w:rPr>
          <w:rFonts w:ascii="Arial" w:hAnsi="Arial" w:cs="Arial"/>
          <w:i/>
          <w:iCs/>
          <w:sz w:val="20"/>
          <w:szCs w:val="20"/>
        </w:rPr>
        <w:t>Journal of the Academy of Marketing Science</w:t>
      </w:r>
      <w:r w:rsidRPr="00F82930">
        <w:rPr>
          <w:rFonts w:ascii="Arial" w:hAnsi="Arial" w:cs="Arial"/>
          <w:sz w:val="20"/>
          <w:szCs w:val="20"/>
        </w:rPr>
        <w:t xml:space="preserve">, 51(4), pp. 867–888. Available at: </w:t>
      </w:r>
      <w:hyperlink r:id="rId11" w:history="1">
        <w:r w:rsidRPr="00F82930">
          <w:rPr>
            <w:rStyle w:val="Hyperlink"/>
            <w:rFonts w:ascii="Arial" w:hAnsi="Arial" w:cs="Arial"/>
            <w:sz w:val="20"/>
            <w:szCs w:val="20"/>
          </w:rPr>
          <w:t>https://doi.org/10.1007/s11747-022-00896-1</w:t>
        </w:r>
      </w:hyperlink>
      <w:r w:rsidRPr="00F82930">
        <w:rPr>
          <w:rFonts w:ascii="Arial" w:hAnsi="Arial" w:cs="Arial"/>
          <w:sz w:val="20"/>
          <w:szCs w:val="20"/>
        </w:rPr>
        <w:t>.</w:t>
      </w:r>
    </w:p>
    <w:p w14:paraId="6CAE6310"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Chen, S., Yang, M. and Kuper, H. (2024) ‘Investigating inflation, living costs and mental health service utilization in post-COVID-19 England’. Available at: </w:t>
      </w:r>
      <w:hyperlink r:id="rId12" w:history="1">
        <w:r w:rsidRPr="00F82930">
          <w:rPr>
            <w:rStyle w:val="Hyperlink"/>
            <w:rFonts w:ascii="Arial" w:hAnsi="Arial" w:cs="Arial"/>
            <w:sz w:val="20"/>
            <w:szCs w:val="20"/>
          </w:rPr>
          <w:t>https://doi.org/10.1038/s44220-024-00250-0</w:t>
        </w:r>
      </w:hyperlink>
    </w:p>
    <w:p w14:paraId="791B5A2A" w14:textId="77777777" w:rsidR="00F82930" w:rsidRPr="00F82930" w:rsidRDefault="00F82930" w:rsidP="002774E1">
      <w:pPr>
        <w:rPr>
          <w:rFonts w:ascii="Arial" w:hAnsi="Arial" w:cs="Arial"/>
          <w:sz w:val="20"/>
          <w:szCs w:val="20"/>
        </w:rPr>
      </w:pPr>
      <w:r w:rsidRPr="00F82930">
        <w:rPr>
          <w:rFonts w:ascii="Arial" w:hAnsi="Arial" w:cs="Arial"/>
          <w:sz w:val="20"/>
          <w:szCs w:val="20"/>
        </w:rPr>
        <w:t>Choi, T.Y. et al. (eds) (2020) The Oxford handbook of supply chain management. New York: Oxford University Press.</w:t>
      </w:r>
    </w:p>
    <w:p w14:paraId="295EF91E"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Colombo, E. (2022) ‘From Bushfires to Misfires: Climate-related Financial Risk after McVeigh v. Retail Employees Superannuation Trust’, </w:t>
      </w:r>
      <w:r w:rsidRPr="00F82930">
        <w:rPr>
          <w:rFonts w:ascii="Arial" w:hAnsi="Arial" w:cs="Arial"/>
          <w:i/>
          <w:iCs/>
          <w:sz w:val="20"/>
          <w:szCs w:val="20"/>
        </w:rPr>
        <w:t>Transnational environmental law</w:t>
      </w:r>
      <w:r w:rsidRPr="00F82930">
        <w:rPr>
          <w:rFonts w:ascii="Arial" w:hAnsi="Arial" w:cs="Arial"/>
          <w:sz w:val="20"/>
          <w:szCs w:val="20"/>
        </w:rPr>
        <w:t xml:space="preserve">, 11(1), pp. 173–199. Available at: </w:t>
      </w:r>
      <w:hyperlink r:id="rId13" w:history="1">
        <w:r w:rsidRPr="00F82930">
          <w:rPr>
            <w:rStyle w:val="Hyperlink"/>
            <w:rFonts w:ascii="Arial" w:hAnsi="Arial" w:cs="Arial"/>
            <w:sz w:val="20"/>
            <w:szCs w:val="20"/>
          </w:rPr>
          <w:t>https://doi.org/10.1017/S204710252100025X</w:t>
        </w:r>
      </w:hyperlink>
      <w:r w:rsidRPr="00F82930">
        <w:rPr>
          <w:rFonts w:ascii="Arial" w:hAnsi="Arial" w:cs="Arial"/>
          <w:sz w:val="20"/>
          <w:szCs w:val="20"/>
        </w:rPr>
        <w:t>.</w:t>
      </w:r>
    </w:p>
    <w:p w14:paraId="3B87B11E"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Heins, C. (2023) ‘Artificial intelligence in retail – a systematic literature review’, </w:t>
      </w:r>
      <w:r w:rsidRPr="00F82930">
        <w:rPr>
          <w:rFonts w:ascii="Arial" w:hAnsi="Arial" w:cs="Arial"/>
          <w:i/>
          <w:iCs/>
          <w:sz w:val="20"/>
          <w:szCs w:val="20"/>
        </w:rPr>
        <w:t>Foresight (Cambridge)</w:t>
      </w:r>
      <w:r w:rsidRPr="00F82930">
        <w:rPr>
          <w:rFonts w:ascii="Arial" w:hAnsi="Arial" w:cs="Arial"/>
          <w:sz w:val="20"/>
          <w:szCs w:val="20"/>
        </w:rPr>
        <w:t xml:space="preserve">, 25(2), pp. 264–286. Available at: </w:t>
      </w:r>
      <w:hyperlink r:id="rId14" w:history="1">
        <w:r w:rsidRPr="00F82930">
          <w:rPr>
            <w:rStyle w:val="Hyperlink"/>
            <w:rFonts w:ascii="Arial" w:hAnsi="Arial" w:cs="Arial"/>
            <w:sz w:val="20"/>
            <w:szCs w:val="20"/>
          </w:rPr>
          <w:t>https://doi.org/10.1108/FS-10-2021-0210</w:t>
        </w:r>
      </w:hyperlink>
      <w:r w:rsidRPr="00F82930">
        <w:rPr>
          <w:rFonts w:ascii="Arial" w:hAnsi="Arial" w:cs="Arial"/>
          <w:sz w:val="20"/>
          <w:szCs w:val="20"/>
        </w:rPr>
        <w:t>.</w:t>
      </w:r>
    </w:p>
    <w:p w14:paraId="5FA28EBC" w14:textId="77777777" w:rsidR="00F82930" w:rsidRPr="00F82930" w:rsidRDefault="00F82930" w:rsidP="002774E1">
      <w:pPr>
        <w:rPr>
          <w:rFonts w:ascii="Arial" w:hAnsi="Arial" w:cs="Arial"/>
          <w:sz w:val="20"/>
          <w:szCs w:val="20"/>
        </w:rPr>
      </w:pPr>
      <w:r w:rsidRPr="00F82930">
        <w:rPr>
          <w:rFonts w:ascii="Arial" w:hAnsi="Arial" w:cs="Arial"/>
          <w:sz w:val="20"/>
          <w:szCs w:val="20"/>
        </w:rPr>
        <w:t>LEAVER, D., 1993. Legal and social changes affecting UK retailers' response to consumer theft. International Journal of Retail &amp; Distribution Management, 21(8), pp. 29.</w:t>
      </w:r>
    </w:p>
    <w:p w14:paraId="7A4A9D08"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Liebana-Cabanillas, F. (2020) Impact of mobile services on business development and e-commerce. Edited by F. Liebana et al. Hershey, Pennsylvania: Business Science Reference. Available at: </w:t>
      </w:r>
      <w:hyperlink r:id="rId15" w:history="1">
        <w:r w:rsidRPr="00F82930">
          <w:rPr>
            <w:rStyle w:val="Hyperlink"/>
            <w:rFonts w:ascii="Arial" w:hAnsi="Arial" w:cs="Arial"/>
            <w:sz w:val="20"/>
            <w:szCs w:val="20"/>
          </w:rPr>
          <w:t>https://doi.org/10.4018/978-1-7998-0050-7</w:t>
        </w:r>
      </w:hyperlink>
      <w:r w:rsidRPr="00F82930">
        <w:rPr>
          <w:rFonts w:ascii="Arial" w:hAnsi="Arial" w:cs="Arial"/>
          <w:sz w:val="20"/>
          <w:szCs w:val="20"/>
        </w:rPr>
        <w:t>.</w:t>
      </w:r>
    </w:p>
    <w:p w14:paraId="1B773AD6" w14:textId="77777777" w:rsidR="00F82930" w:rsidRPr="00F82930" w:rsidRDefault="00F82930" w:rsidP="00ED4715">
      <w:pPr>
        <w:rPr>
          <w:rFonts w:ascii="Arial" w:hAnsi="Arial" w:cs="Arial"/>
          <w:sz w:val="20"/>
          <w:szCs w:val="20"/>
        </w:rPr>
      </w:pPr>
      <w:r w:rsidRPr="00F82930">
        <w:rPr>
          <w:rFonts w:ascii="Arial" w:hAnsi="Arial" w:cs="Arial"/>
          <w:sz w:val="20"/>
          <w:szCs w:val="20"/>
        </w:rPr>
        <w:t xml:space="preserve">Musso, F. (2020) </w:t>
      </w:r>
      <w:r w:rsidRPr="00F82930">
        <w:rPr>
          <w:rFonts w:ascii="Arial" w:hAnsi="Arial" w:cs="Arial"/>
          <w:i/>
          <w:iCs/>
          <w:sz w:val="20"/>
          <w:szCs w:val="20"/>
        </w:rPr>
        <w:t>Handbook of research on retailing techniques for optimal consumer engagement and experiences</w:t>
      </w:r>
      <w:r w:rsidRPr="00F82930">
        <w:rPr>
          <w:rFonts w:ascii="Arial" w:hAnsi="Arial" w:cs="Arial"/>
          <w:sz w:val="20"/>
          <w:szCs w:val="20"/>
        </w:rPr>
        <w:t>. Edited by F. Musso and E. Druica. Hershey, Pennsylvania: IGI Global. Available at: https://doi.org/10.4018/978-1-7998-1412-2.</w:t>
      </w:r>
    </w:p>
    <w:p w14:paraId="4818F231"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Negi, A. (2020) </w:t>
      </w:r>
      <w:r w:rsidRPr="00F82930">
        <w:rPr>
          <w:rFonts w:ascii="Arial" w:hAnsi="Arial" w:cs="Arial"/>
          <w:i/>
          <w:iCs/>
          <w:sz w:val="20"/>
          <w:szCs w:val="20"/>
        </w:rPr>
        <w:t>Sustainability Standards and Global Governance : Experiences of Emerging Economies</w:t>
      </w:r>
      <w:r w:rsidRPr="00F82930">
        <w:rPr>
          <w:rFonts w:ascii="Arial" w:hAnsi="Arial" w:cs="Arial"/>
          <w:sz w:val="20"/>
          <w:szCs w:val="20"/>
        </w:rPr>
        <w:t xml:space="preserve">. 1st ed. 2020. Edited by Archna. Negi, J.Antonio. Pérez-Pineda, and Johannes. Blankenbach. Singapore: Springer Nature. Available at: </w:t>
      </w:r>
      <w:hyperlink r:id="rId16" w:history="1">
        <w:r w:rsidRPr="00F82930">
          <w:rPr>
            <w:rStyle w:val="Hyperlink"/>
            <w:rFonts w:ascii="Arial" w:hAnsi="Arial" w:cs="Arial"/>
            <w:sz w:val="20"/>
            <w:szCs w:val="20"/>
          </w:rPr>
          <w:t>https://doi.org/10.1007/978-981-15-3473-7</w:t>
        </w:r>
      </w:hyperlink>
      <w:r w:rsidRPr="00F82930">
        <w:rPr>
          <w:rFonts w:ascii="Arial" w:hAnsi="Arial" w:cs="Arial"/>
          <w:sz w:val="20"/>
          <w:szCs w:val="20"/>
        </w:rPr>
        <w:t>.</w:t>
      </w:r>
    </w:p>
    <w:p w14:paraId="00102276"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Possible Implications of G.D.P.R. on Britain as a Third Country’, </w:t>
      </w:r>
      <w:r w:rsidRPr="00F82930">
        <w:rPr>
          <w:rFonts w:ascii="Arial" w:hAnsi="Arial" w:cs="Arial"/>
          <w:i/>
          <w:iCs/>
          <w:sz w:val="20"/>
          <w:szCs w:val="20"/>
        </w:rPr>
        <w:t>University of Bologna law review</w:t>
      </w:r>
      <w:r w:rsidRPr="00F82930">
        <w:rPr>
          <w:rFonts w:ascii="Arial" w:hAnsi="Arial" w:cs="Arial"/>
          <w:sz w:val="20"/>
          <w:szCs w:val="20"/>
        </w:rPr>
        <w:t xml:space="preserve">, 6(1), pp. 6–28. Available at: </w:t>
      </w:r>
      <w:hyperlink r:id="rId17" w:history="1">
        <w:r w:rsidRPr="00F82930">
          <w:rPr>
            <w:rStyle w:val="Hyperlink"/>
            <w:rFonts w:ascii="Arial" w:hAnsi="Arial" w:cs="Arial"/>
            <w:sz w:val="20"/>
            <w:szCs w:val="20"/>
          </w:rPr>
          <w:t>https://doi.org/10.6092/issn.2531-6133/12880</w:t>
        </w:r>
      </w:hyperlink>
      <w:r w:rsidRPr="00F82930">
        <w:rPr>
          <w:rFonts w:ascii="Arial" w:hAnsi="Arial" w:cs="Arial"/>
          <w:sz w:val="20"/>
          <w:szCs w:val="20"/>
        </w:rPr>
        <w:t>.</w:t>
      </w:r>
    </w:p>
    <w:p w14:paraId="0606C87C" w14:textId="77777777" w:rsidR="00F82930" w:rsidRPr="00F82930" w:rsidRDefault="00F82930" w:rsidP="002774E1">
      <w:pPr>
        <w:rPr>
          <w:rFonts w:ascii="Arial" w:hAnsi="Arial" w:cs="Arial"/>
          <w:sz w:val="20"/>
          <w:szCs w:val="20"/>
        </w:rPr>
      </w:pPr>
      <w:r w:rsidRPr="002774E1">
        <w:rPr>
          <w:rFonts w:ascii="Arial" w:hAnsi="Arial" w:cs="Arial"/>
          <w:sz w:val="20"/>
          <w:szCs w:val="20"/>
        </w:rPr>
        <w:t xml:space="preserve">Retail Gazette (2023). </w:t>
      </w:r>
      <w:r w:rsidRPr="002774E1">
        <w:rPr>
          <w:rFonts w:ascii="Arial" w:hAnsi="Arial" w:cs="Arial"/>
          <w:i/>
          <w:iCs/>
          <w:sz w:val="20"/>
          <w:szCs w:val="20"/>
        </w:rPr>
        <w:t>Primark's Strategy for Growth Amid Economic Challenges</w:t>
      </w:r>
      <w:r w:rsidRPr="002774E1">
        <w:rPr>
          <w:rFonts w:ascii="Arial" w:hAnsi="Arial" w:cs="Arial"/>
          <w:sz w:val="20"/>
          <w:szCs w:val="20"/>
        </w:rPr>
        <w:t>.</w:t>
      </w:r>
    </w:p>
    <w:p w14:paraId="4D45F8B1" w14:textId="77777777" w:rsidR="00F82930" w:rsidRPr="00F82930" w:rsidRDefault="00F82930" w:rsidP="002774E1">
      <w:pPr>
        <w:rPr>
          <w:rFonts w:ascii="Arial" w:hAnsi="Arial" w:cs="Arial"/>
          <w:sz w:val="20"/>
          <w:szCs w:val="20"/>
        </w:rPr>
      </w:pPr>
      <w:r w:rsidRPr="00F82930">
        <w:rPr>
          <w:rFonts w:ascii="Arial" w:hAnsi="Arial" w:cs="Arial"/>
          <w:sz w:val="20"/>
          <w:szCs w:val="20"/>
        </w:rPr>
        <w:t xml:space="preserve">Storer, A. and Reich, A. (2021) ‘“Losing My Raise”: minimum wage increases, status loss and job satisfaction among low-wage employees’, Socio-economic review, 19(2), pp. 681–709. Available at: </w:t>
      </w:r>
      <w:hyperlink r:id="rId18" w:history="1">
        <w:r w:rsidRPr="00F82930">
          <w:rPr>
            <w:rStyle w:val="Hyperlink"/>
            <w:rFonts w:ascii="Arial" w:hAnsi="Arial" w:cs="Arial"/>
            <w:sz w:val="20"/>
            <w:szCs w:val="20"/>
          </w:rPr>
          <w:t>https://doi.org/10.1093/ser/mwz006</w:t>
        </w:r>
      </w:hyperlink>
      <w:r w:rsidRPr="00F82930">
        <w:rPr>
          <w:rFonts w:ascii="Arial" w:hAnsi="Arial" w:cs="Arial"/>
          <w:sz w:val="20"/>
          <w:szCs w:val="20"/>
        </w:rPr>
        <w:t>.</w:t>
      </w:r>
    </w:p>
    <w:sectPr w:rsidR="00F82930" w:rsidRPr="00F82930" w:rsidSect="004807FB">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BEC57" w14:textId="77777777" w:rsidR="004342CC" w:rsidRDefault="004342CC" w:rsidP="00F82930">
      <w:pPr>
        <w:spacing w:after="0" w:line="240" w:lineRule="auto"/>
      </w:pPr>
      <w:r>
        <w:separator/>
      </w:r>
    </w:p>
  </w:endnote>
  <w:endnote w:type="continuationSeparator" w:id="0">
    <w:p w14:paraId="76E4CE3D" w14:textId="77777777" w:rsidR="004342CC" w:rsidRDefault="004342CC" w:rsidP="00F82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820910"/>
      <w:docPartObj>
        <w:docPartGallery w:val="Page Numbers (Bottom of Page)"/>
        <w:docPartUnique/>
      </w:docPartObj>
    </w:sdtPr>
    <w:sdtEndPr>
      <w:rPr>
        <w:noProof/>
      </w:rPr>
    </w:sdtEndPr>
    <w:sdtContent>
      <w:p w14:paraId="753534E7" w14:textId="20E4C932" w:rsidR="00F82930" w:rsidRDefault="00F829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C1DD0" w14:textId="77777777" w:rsidR="00F82930" w:rsidRDefault="00F82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4D928" w14:textId="77777777" w:rsidR="004342CC" w:rsidRDefault="004342CC" w:rsidP="00F82930">
      <w:pPr>
        <w:spacing w:after="0" w:line="240" w:lineRule="auto"/>
      </w:pPr>
      <w:r>
        <w:separator/>
      </w:r>
    </w:p>
  </w:footnote>
  <w:footnote w:type="continuationSeparator" w:id="0">
    <w:p w14:paraId="599A436F" w14:textId="77777777" w:rsidR="004342CC" w:rsidRDefault="004342CC" w:rsidP="00F82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40C5F"/>
    <w:multiLevelType w:val="hybridMultilevel"/>
    <w:tmpl w:val="94A61CD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3B2C3479"/>
    <w:multiLevelType w:val="hybridMultilevel"/>
    <w:tmpl w:val="73589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132A43"/>
    <w:multiLevelType w:val="hybridMultilevel"/>
    <w:tmpl w:val="2BD87228"/>
    <w:lvl w:ilvl="0" w:tplc="B8F0680A">
      <w:start w:val="1"/>
      <w:numFmt w:val="bullet"/>
      <w:lvlText w:val=""/>
      <w:lvlJc w:val="left"/>
      <w:pPr>
        <w:ind w:left="15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293053"/>
    <w:multiLevelType w:val="hybridMultilevel"/>
    <w:tmpl w:val="200CB94A"/>
    <w:lvl w:ilvl="0" w:tplc="0809000F">
      <w:start w:val="1"/>
      <w:numFmt w:val="decimal"/>
      <w:lvlText w:val="%1."/>
      <w:lvlJc w:val="left"/>
      <w:pPr>
        <w:ind w:left="1520" w:hanging="360"/>
      </w:pPr>
    </w:lvl>
    <w:lvl w:ilvl="1" w:tplc="08090019" w:tentative="1">
      <w:start w:val="1"/>
      <w:numFmt w:val="lowerLetter"/>
      <w:lvlText w:val="%2."/>
      <w:lvlJc w:val="left"/>
      <w:pPr>
        <w:ind w:left="2240" w:hanging="360"/>
      </w:pPr>
    </w:lvl>
    <w:lvl w:ilvl="2" w:tplc="0809001B" w:tentative="1">
      <w:start w:val="1"/>
      <w:numFmt w:val="lowerRoman"/>
      <w:lvlText w:val="%3."/>
      <w:lvlJc w:val="right"/>
      <w:pPr>
        <w:ind w:left="2960" w:hanging="180"/>
      </w:pPr>
    </w:lvl>
    <w:lvl w:ilvl="3" w:tplc="0809000F" w:tentative="1">
      <w:start w:val="1"/>
      <w:numFmt w:val="decimal"/>
      <w:lvlText w:val="%4."/>
      <w:lvlJc w:val="left"/>
      <w:pPr>
        <w:ind w:left="3680" w:hanging="360"/>
      </w:pPr>
    </w:lvl>
    <w:lvl w:ilvl="4" w:tplc="08090019" w:tentative="1">
      <w:start w:val="1"/>
      <w:numFmt w:val="lowerLetter"/>
      <w:lvlText w:val="%5."/>
      <w:lvlJc w:val="left"/>
      <w:pPr>
        <w:ind w:left="4400" w:hanging="360"/>
      </w:pPr>
    </w:lvl>
    <w:lvl w:ilvl="5" w:tplc="0809001B" w:tentative="1">
      <w:start w:val="1"/>
      <w:numFmt w:val="lowerRoman"/>
      <w:lvlText w:val="%6."/>
      <w:lvlJc w:val="right"/>
      <w:pPr>
        <w:ind w:left="5120" w:hanging="180"/>
      </w:pPr>
    </w:lvl>
    <w:lvl w:ilvl="6" w:tplc="0809000F" w:tentative="1">
      <w:start w:val="1"/>
      <w:numFmt w:val="decimal"/>
      <w:lvlText w:val="%7."/>
      <w:lvlJc w:val="left"/>
      <w:pPr>
        <w:ind w:left="5840" w:hanging="360"/>
      </w:pPr>
    </w:lvl>
    <w:lvl w:ilvl="7" w:tplc="08090019" w:tentative="1">
      <w:start w:val="1"/>
      <w:numFmt w:val="lowerLetter"/>
      <w:lvlText w:val="%8."/>
      <w:lvlJc w:val="left"/>
      <w:pPr>
        <w:ind w:left="6560" w:hanging="360"/>
      </w:pPr>
    </w:lvl>
    <w:lvl w:ilvl="8" w:tplc="0809001B" w:tentative="1">
      <w:start w:val="1"/>
      <w:numFmt w:val="lowerRoman"/>
      <w:lvlText w:val="%9."/>
      <w:lvlJc w:val="right"/>
      <w:pPr>
        <w:ind w:left="7280" w:hanging="180"/>
      </w:pPr>
    </w:lvl>
  </w:abstractNum>
  <w:num w:numId="1" w16cid:durableId="269439605">
    <w:abstractNumId w:val="0"/>
  </w:num>
  <w:num w:numId="2" w16cid:durableId="1819952374">
    <w:abstractNumId w:val="2"/>
  </w:num>
  <w:num w:numId="3" w16cid:durableId="1471970648">
    <w:abstractNumId w:val="3"/>
  </w:num>
  <w:num w:numId="4" w16cid:durableId="454327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B2"/>
    <w:rsid w:val="0003045E"/>
    <w:rsid w:val="0004154A"/>
    <w:rsid w:val="000A1020"/>
    <w:rsid w:val="000E5E1E"/>
    <w:rsid w:val="00193AE4"/>
    <w:rsid w:val="001B7B5B"/>
    <w:rsid w:val="002774E1"/>
    <w:rsid w:val="00353D56"/>
    <w:rsid w:val="00393C6D"/>
    <w:rsid w:val="003D6DFA"/>
    <w:rsid w:val="004342CC"/>
    <w:rsid w:val="004807FB"/>
    <w:rsid w:val="004B395E"/>
    <w:rsid w:val="005B2BB8"/>
    <w:rsid w:val="00676261"/>
    <w:rsid w:val="006952AF"/>
    <w:rsid w:val="006E34C9"/>
    <w:rsid w:val="00704726"/>
    <w:rsid w:val="007B3E4C"/>
    <w:rsid w:val="007B5B72"/>
    <w:rsid w:val="007C4008"/>
    <w:rsid w:val="00806BF9"/>
    <w:rsid w:val="009A40FA"/>
    <w:rsid w:val="00A573DE"/>
    <w:rsid w:val="00AB2AFE"/>
    <w:rsid w:val="00B92970"/>
    <w:rsid w:val="00BA4C71"/>
    <w:rsid w:val="00BB5ECF"/>
    <w:rsid w:val="00C16417"/>
    <w:rsid w:val="00C73857"/>
    <w:rsid w:val="00CF6138"/>
    <w:rsid w:val="00D95CA2"/>
    <w:rsid w:val="00DB0014"/>
    <w:rsid w:val="00DE6313"/>
    <w:rsid w:val="00E2464E"/>
    <w:rsid w:val="00E6191B"/>
    <w:rsid w:val="00ED4715"/>
    <w:rsid w:val="00EF16B2"/>
    <w:rsid w:val="00EF5095"/>
    <w:rsid w:val="00F20686"/>
    <w:rsid w:val="00F82930"/>
    <w:rsid w:val="00FD5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A7E43"/>
  <w15:chartTrackingRefBased/>
  <w15:docId w15:val="{80543386-3928-4E5C-A32C-8C6653F5E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930"/>
  </w:style>
  <w:style w:type="paragraph" w:styleId="Heading1">
    <w:name w:val="heading 1"/>
    <w:basedOn w:val="Normal"/>
    <w:next w:val="Normal"/>
    <w:link w:val="Heading1Char"/>
    <w:uiPriority w:val="9"/>
    <w:qFormat/>
    <w:rsid w:val="00EF16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F16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F16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16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16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16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6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6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6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6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16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16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16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16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16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6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6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6B2"/>
    <w:rPr>
      <w:rFonts w:eastAsiaTheme="majorEastAsia" w:cstheme="majorBidi"/>
      <w:color w:val="272727" w:themeColor="text1" w:themeTint="D8"/>
    </w:rPr>
  </w:style>
  <w:style w:type="paragraph" w:styleId="Title">
    <w:name w:val="Title"/>
    <w:basedOn w:val="Normal"/>
    <w:next w:val="Normal"/>
    <w:link w:val="TitleChar"/>
    <w:uiPriority w:val="10"/>
    <w:qFormat/>
    <w:rsid w:val="00EF16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6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6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6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6B2"/>
    <w:pPr>
      <w:spacing w:before="160"/>
      <w:jc w:val="center"/>
    </w:pPr>
    <w:rPr>
      <w:i/>
      <w:iCs/>
      <w:color w:val="404040" w:themeColor="text1" w:themeTint="BF"/>
    </w:rPr>
  </w:style>
  <w:style w:type="character" w:customStyle="1" w:styleId="QuoteChar">
    <w:name w:val="Quote Char"/>
    <w:basedOn w:val="DefaultParagraphFont"/>
    <w:link w:val="Quote"/>
    <w:uiPriority w:val="29"/>
    <w:rsid w:val="00EF16B2"/>
    <w:rPr>
      <w:i/>
      <w:iCs/>
      <w:color w:val="404040" w:themeColor="text1" w:themeTint="BF"/>
    </w:rPr>
  </w:style>
  <w:style w:type="paragraph" w:styleId="ListParagraph">
    <w:name w:val="List Paragraph"/>
    <w:basedOn w:val="Normal"/>
    <w:uiPriority w:val="34"/>
    <w:qFormat/>
    <w:rsid w:val="00EF16B2"/>
    <w:pPr>
      <w:ind w:left="720"/>
      <w:contextualSpacing/>
    </w:pPr>
  </w:style>
  <w:style w:type="character" w:styleId="IntenseEmphasis">
    <w:name w:val="Intense Emphasis"/>
    <w:basedOn w:val="DefaultParagraphFont"/>
    <w:uiPriority w:val="21"/>
    <w:qFormat/>
    <w:rsid w:val="00EF16B2"/>
    <w:rPr>
      <w:i/>
      <w:iCs/>
      <w:color w:val="2F5496" w:themeColor="accent1" w:themeShade="BF"/>
    </w:rPr>
  </w:style>
  <w:style w:type="paragraph" w:styleId="IntenseQuote">
    <w:name w:val="Intense Quote"/>
    <w:basedOn w:val="Normal"/>
    <w:next w:val="Normal"/>
    <w:link w:val="IntenseQuoteChar"/>
    <w:uiPriority w:val="30"/>
    <w:qFormat/>
    <w:rsid w:val="00EF16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16B2"/>
    <w:rPr>
      <w:i/>
      <w:iCs/>
      <w:color w:val="2F5496" w:themeColor="accent1" w:themeShade="BF"/>
    </w:rPr>
  </w:style>
  <w:style w:type="character" w:styleId="IntenseReference">
    <w:name w:val="Intense Reference"/>
    <w:basedOn w:val="DefaultParagraphFont"/>
    <w:uiPriority w:val="32"/>
    <w:qFormat/>
    <w:rsid w:val="00EF16B2"/>
    <w:rPr>
      <w:b/>
      <w:bCs/>
      <w:smallCaps/>
      <w:color w:val="2F5496" w:themeColor="accent1" w:themeShade="BF"/>
      <w:spacing w:val="5"/>
    </w:rPr>
  </w:style>
  <w:style w:type="paragraph" w:styleId="NormalWeb">
    <w:name w:val="Normal (Web)"/>
    <w:basedOn w:val="Normal"/>
    <w:uiPriority w:val="99"/>
    <w:semiHidden/>
    <w:unhideWhenUsed/>
    <w:rsid w:val="00FD551C"/>
    <w:rPr>
      <w:rFonts w:ascii="Times New Roman" w:hAnsi="Times New Roman" w:cs="Times New Roman"/>
      <w:sz w:val="24"/>
      <w:szCs w:val="24"/>
    </w:rPr>
  </w:style>
  <w:style w:type="character" w:styleId="Hyperlink">
    <w:name w:val="Hyperlink"/>
    <w:basedOn w:val="DefaultParagraphFont"/>
    <w:uiPriority w:val="99"/>
    <w:unhideWhenUsed/>
    <w:rsid w:val="00DE6313"/>
    <w:rPr>
      <w:color w:val="0563C1" w:themeColor="hyperlink"/>
      <w:u w:val="single"/>
    </w:rPr>
  </w:style>
  <w:style w:type="character" w:styleId="UnresolvedMention">
    <w:name w:val="Unresolved Mention"/>
    <w:basedOn w:val="DefaultParagraphFont"/>
    <w:uiPriority w:val="99"/>
    <w:semiHidden/>
    <w:unhideWhenUsed/>
    <w:rsid w:val="00DE6313"/>
    <w:rPr>
      <w:color w:val="605E5C"/>
      <w:shd w:val="clear" w:color="auto" w:fill="E1DFDD"/>
    </w:rPr>
  </w:style>
  <w:style w:type="paragraph" w:styleId="Header">
    <w:name w:val="header"/>
    <w:basedOn w:val="Normal"/>
    <w:link w:val="HeaderChar"/>
    <w:uiPriority w:val="99"/>
    <w:unhideWhenUsed/>
    <w:rsid w:val="00F82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930"/>
  </w:style>
  <w:style w:type="paragraph" w:styleId="Footer">
    <w:name w:val="footer"/>
    <w:basedOn w:val="Normal"/>
    <w:link w:val="FooterChar"/>
    <w:uiPriority w:val="99"/>
    <w:unhideWhenUsed/>
    <w:rsid w:val="00F82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201878">
      <w:bodyDiv w:val="1"/>
      <w:marLeft w:val="0"/>
      <w:marRight w:val="0"/>
      <w:marTop w:val="0"/>
      <w:marBottom w:val="0"/>
      <w:divBdr>
        <w:top w:val="none" w:sz="0" w:space="0" w:color="auto"/>
        <w:left w:val="none" w:sz="0" w:space="0" w:color="auto"/>
        <w:bottom w:val="none" w:sz="0" w:space="0" w:color="auto"/>
        <w:right w:val="none" w:sz="0" w:space="0" w:color="auto"/>
      </w:divBdr>
    </w:div>
    <w:div w:id="283195448">
      <w:bodyDiv w:val="1"/>
      <w:marLeft w:val="0"/>
      <w:marRight w:val="0"/>
      <w:marTop w:val="0"/>
      <w:marBottom w:val="0"/>
      <w:divBdr>
        <w:top w:val="none" w:sz="0" w:space="0" w:color="auto"/>
        <w:left w:val="none" w:sz="0" w:space="0" w:color="auto"/>
        <w:bottom w:val="none" w:sz="0" w:space="0" w:color="auto"/>
        <w:right w:val="none" w:sz="0" w:space="0" w:color="auto"/>
      </w:divBdr>
    </w:div>
    <w:div w:id="991910572">
      <w:bodyDiv w:val="1"/>
      <w:marLeft w:val="0"/>
      <w:marRight w:val="0"/>
      <w:marTop w:val="0"/>
      <w:marBottom w:val="0"/>
      <w:divBdr>
        <w:top w:val="none" w:sz="0" w:space="0" w:color="auto"/>
        <w:left w:val="none" w:sz="0" w:space="0" w:color="auto"/>
        <w:bottom w:val="none" w:sz="0" w:space="0" w:color="auto"/>
        <w:right w:val="none" w:sz="0" w:space="0" w:color="auto"/>
      </w:divBdr>
    </w:div>
    <w:div w:id="1115248360">
      <w:bodyDiv w:val="1"/>
      <w:marLeft w:val="0"/>
      <w:marRight w:val="0"/>
      <w:marTop w:val="0"/>
      <w:marBottom w:val="0"/>
      <w:divBdr>
        <w:top w:val="none" w:sz="0" w:space="0" w:color="auto"/>
        <w:left w:val="none" w:sz="0" w:space="0" w:color="auto"/>
        <w:bottom w:val="none" w:sz="0" w:space="0" w:color="auto"/>
        <w:right w:val="none" w:sz="0" w:space="0" w:color="auto"/>
      </w:divBdr>
    </w:div>
    <w:div w:id="1169709509">
      <w:bodyDiv w:val="1"/>
      <w:marLeft w:val="0"/>
      <w:marRight w:val="0"/>
      <w:marTop w:val="0"/>
      <w:marBottom w:val="0"/>
      <w:divBdr>
        <w:top w:val="none" w:sz="0" w:space="0" w:color="auto"/>
        <w:left w:val="none" w:sz="0" w:space="0" w:color="auto"/>
        <w:bottom w:val="none" w:sz="0" w:space="0" w:color="auto"/>
        <w:right w:val="none" w:sz="0" w:space="0" w:color="auto"/>
      </w:divBdr>
    </w:div>
    <w:div w:id="1240604746">
      <w:bodyDiv w:val="1"/>
      <w:marLeft w:val="0"/>
      <w:marRight w:val="0"/>
      <w:marTop w:val="0"/>
      <w:marBottom w:val="0"/>
      <w:divBdr>
        <w:top w:val="none" w:sz="0" w:space="0" w:color="auto"/>
        <w:left w:val="none" w:sz="0" w:space="0" w:color="auto"/>
        <w:bottom w:val="none" w:sz="0" w:space="0" w:color="auto"/>
        <w:right w:val="none" w:sz="0" w:space="0" w:color="auto"/>
      </w:divBdr>
    </w:div>
    <w:div w:id="1309214002">
      <w:bodyDiv w:val="1"/>
      <w:marLeft w:val="0"/>
      <w:marRight w:val="0"/>
      <w:marTop w:val="0"/>
      <w:marBottom w:val="0"/>
      <w:divBdr>
        <w:top w:val="none" w:sz="0" w:space="0" w:color="auto"/>
        <w:left w:val="none" w:sz="0" w:space="0" w:color="auto"/>
        <w:bottom w:val="none" w:sz="0" w:space="0" w:color="auto"/>
        <w:right w:val="none" w:sz="0" w:space="0" w:color="auto"/>
      </w:divBdr>
    </w:div>
    <w:div w:id="1335375550">
      <w:bodyDiv w:val="1"/>
      <w:marLeft w:val="0"/>
      <w:marRight w:val="0"/>
      <w:marTop w:val="0"/>
      <w:marBottom w:val="0"/>
      <w:divBdr>
        <w:top w:val="none" w:sz="0" w:space="0" w:color="auto"/>
        <w:left w:val="none" w:sz="0" w:space="0" w:color="auto"/>
        <w:bottom w:val="none" w:sz="0" w:space="0" w:color="auto"/>
        <w:right w:val="none" w:sz="0" w:space="0" w:color="auto"/>
      </w:divBdr>
    </w:div>
    <w:div w:id="1743674805">
      <w:bodyDiv w:val="1"/>
      <w:marLeft w:val="0"/>
      <w:marRight w:val="0"/>
      <w:marTop w:val="0"/>
      <w:marBottom w:val="0"/>
      <w:divBdr>
        <w:top w:val="none" w:sz="0" w:space="0" w:color="auto"/>
        <w:left w:val="none" w:sz="0" w:space="0" w:color="auto"/>
        <w:bottom w:val="none" w:sz="0" w:space="0" w:color="auto"/>
        <w:right w:val="none" w:sz="0" w:space="0" w:color="auto"/>
      </w:divBdr>
    </w:div>
    <w:div w:id="178507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doi.org/10.1017/S204710252100025X" TargetMode="External"/><Relationship Id="rId18" Type="http://schemas.openxmlformats.org/officeDocument/2006/relationships/hyperlink" Target="https://doi.org/10.1093/ser/mwz00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38/s44220-024-00250-0" TargetMode="External"/><Relationship Id="rId17" Type="http://schemas.openxmlformats.org/officeDocument/2006/relationships/hyperlink" Target="https://doi.org/10.6092/issn.2531-6133/12880" TargetMode="External"/><Relationship Id="rId2" Type="http://schemas.openxmlformats.org/officeDocument/2006/relationships/styles" Target="styles.xml"/><Relationship Id="rId16" Type="http://schemas.openxmlformats.org/officeDocument/2006/relationships/hyperlink" Target="https://doi.org/10.1007/978-981-15-3473-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747-022-00896-1" TargetMode="External"/><Relationship Id="rId5" Type="http://schemas.openxmlformats.org/officeDocument/2006/relationships/footnotes" Target="footnotes.xml"/><Relationship Id="rId15" Type="http://schemas.openxmlformats.org/officeDocument/2006/relationships/hyperlink" Target="https://doi.org/10.4018/978-1-7998-0050-7" TargetMode="External"/><Relationship Id="rId10" Type="http://schemas.openxmlformats.org/officeDocument/2006/relationships/hyperlink" Target="https://doi.org/10.1007/978-3-031-33246-3"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package" Target="embeddings/Microsoft_Word_Document.docx"/><Relationship Id="rId14" Type="http://schemas.openxmlformats.org/officeDocument/2006/relationships/hyperlink" Target="https://doi.org/10.1108/FS-10-2021-0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2013</Words>
  <Characters>11479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 Lakme Azmi (2412715)</dc:creator>
  <cp:keywords/>
  <dc:description/>
  <cp:lastModifiedBy>Edit Lakme Azmi (2412715)</cp:lastModifiedBy>
  <cp:revision>2</cp:revision>
  <dcterms:created xsi:type="dcterms:W3CDTF">2025-03-28T23:40:00Z</dcterms:created>
  <dcterms:modified xsi:type="dcterms:W3CDTF">2025-03-28T23:40:00Z</dcterms:modified>
</cp:coreProperties>
</file>