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B2BB0C" w14:textId="77777777" w:rsidR="00D61D70" w:rsidRDefault="0003419B" w:rsidP="00D61D70">
      <w:pPr>
        <w:pStyle w:val="Title"/>
      </w:pPr>
      <w:r>
        <w:rPr>
          <w:noProof/>
        </w:rPr>
        <w:drawing>
          <wp:anchor distT="0" distB="0" distL="114300" distR="114300" simplePos="0" relativeHeight="251660288" behindDoc="0" locked="0" layoutInCell="1" allowOverlap="1" wp14:anchorId="0EE19EFD" wp14:editId="311BF5A7">
            <wp:simplePos x="0" y="0"/>
            <wp:positionH relativeFrom="column">
              <wp:posOffset>716280</wp:posOffset>
            </wp:positionH>
            <wp:positionV relativeFrom="paragraph">
              <wp:posOffset>0</wp:posOffset>
            </wp:positionV>
            <wp:extent cx="4770120" cy="1582090"/>
            <wp:effectExtent l="0" t="0" r="0" b="0"/>
            <wp:wrapTopAndBottom/>
            <wp:docPr id="333594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59417" name="Picture 33359417"/>
                    <pic:cNvPicPr/>
                  </pic:nvPicPr>
                  <pic:blipFill>
                    <a:blip r:embed="rId7">
                      <a:extLst>
                        <a:ext uri="{28A0092B-C50C-407E-A947-70E740481C1C}">
                          <a14:useLocalDpi xmlns:a14="http://schemas.microsoft.com/office/drawing/2010/main" val="0"/>
                        </a:ext>
                      </a:extLst>
                    </a:blip>
                    <a:stretch>
                      <a:fillRect/>
                    </a:stretch>
                  </pic:blipFill>
                  <pic:spPr>
                    <a:xfrm>
                      <a:off x="0" y="0"/>
                      <a:ext cx="4770120" cy="1582090"/>
                    </a:xfrm>
                    <a:prstGeom prst="rect">
                      <a:avLst/>
                    </a:prstGeom>
                  </pic:spPr>
                </pic:pic>
              </a:graphicData>
            </a:graphic>
          </wp:anchor>
        </w:drawing>
      </w:r>
    </w:p>
    <w:p w14:paraId="2A952617" w14:textId="77777777" w:rsidR="0003419B" w:rsidRPr="0003419B" w:rsidRDefault="0003419B" w:rsidP="0003419B"/>
    <w:p w14:paraId="3EA7E1E9" w14:textId="77777777" w:rsidR="0003419B" w:rsidRDefault="0003419B" w:rsidP="0003419B">
      <w:pPr>
        <w:rPr>
          <w:rFonts w:eastAsiaTheme="majorEastAsia" w:cstheme="majorBidi"/>
          <w:spacing w:val="-10"/>
          <w:kern w:val="28"/>
          <w:sz w:val="40"/>
          <w:szCs w:val="56"/>
        </w:rPr>
      </w:pPr>
    </w:p>
    <w:p w14:paraId="125C1C4B" w14:textId="6CAFF35C" w:rsidR="0003419B" w:rsidRDefault="0003419B" w:rsidP="00EE5BA4">
      <w:pPr>
        <w:ind w:firstLine="720"/>
        <w:jc w:val="center"/>
        <w:rPr>
          <w:rFonts w:eastAsiaTheme="majorEastAsia" w:cstheme="majorBidi"/>
          <w:spacing w:val="-10"/>
          <w:kern w:val="28"/>
          <w:sz w:val="40"/>
          <w:szCs w:val="56"/>
        </w:rPr>
      </w:pPr>
      <w:r>
        <w:rPr>
          <w:rFonts w:eastAsiaTheme="majorEastAsia" w:cstheme="majorBidi"/>
          <w:spacing w:val="-10"/>
          <w:kern w:val="28"/>
          <w:sz w:val="40"/>
          <w:szCs w:val="56"/>
        </w:rPr>
        <w:t>Assessment</w:t>
      </w:r>
      <w:r w:rsidR="00617463">
        <w:rPr>
          <w:rFonts w:eastAsiaTheme="majorEastAsia" w:cstheme="majorBidi"/>
          <w:spacing w:val="-10"/>
          <w:kern w:val="28"/>
          <w:sz w:val="40"/>
          <w:szCs w:val="56"/>
        </w:rPr>
        <w:t xml:space="preserve">: </w:t>
      </w:r>
      <w:r w:rsidR="00103CD1">
        <w:rPr>
          <w:rFonts w:eastAsiaTheme="majorEastAsia" w:cstheme="majorBidi"/>
          <w:spacing w:val="-10"/>
          <w:kern w:val="28"/>
          <w:sz w:val="40"/>
          <w:szCs w:val="56"/>
        </w:rPr>
        <w:t>Fi</w:t>
      </w:r>
      <w:r w:rsidR="0058189E">
        <w:rPr>
          <w:rFonts w:eastAsiaTheme="majorEastAsia" w:cstheme="majorBidi"/>
          <w:spacing w:val="-10"/>
          <w:kern w:val="28"/>
          <w:sz w:val="40"/>
          <w:szCs w:val="56"/>
        </w:rPr>
        <w:t>nancial performance and management</w:t>
      </w:r>
    </w:p>
    <w:p w14:paraId="28B5C44B" w14:textId="4E88E463" w:rsidR="0003419B" w:rsidRDefault="0003419B" w:rsidP="006B7348">
      <w:pPr>
        <w:ind w:firstLine="720"/>
        <w:jc w:val="center"/>
        <w:rPr>
          <w:rFonts w:eastAsiaTheme="majorEastAsia" w:cstheme="majorBidi"/>
          <w:spacing w:val="-10"/>
          <w:kern w:val="28"/>
          <w:sz w:val="40"/>
          <w:szCs w:val="56"/>
        </w:rPr>
      </w:pPr>
      <w:r>
        <w:rPr>
          <w:rFonts w:eastAsiaTheme="majorEastAsia" w:cstheme="majorBidi"/>
          <w:spacing w:val="-10"/>
          <w:kern w:val="28"/>
          <w:sz w:val="40"/>
          <w:szCs w:val="56"/>
        </w:rPr>
        <w:t>Student ID</w:t>
      </w:r>
      <w:r w:rsidR="00EE5BA4">
        <w:rPr>
          <w:rFonts w:eastAsiaTheme="majorEastAsia" w:cstheme="majorBidi"/>
          <w:spacing w:val="-10"/>
          <w:kern w:val="28"/>
          <w:sz w:val="40"/>
          <w:szCs w:val="56"/>
        </w:rPr>
        <w:t>: 2519362</w:t>
      </w:r>
    </w:p>
    <w:p w14:paraId="38411A52" w14:textId="4364215C" w:rsidR="0003419B" w:rsidRDefault="0003419B" w:rsidP="006B7348">
      <w:pPr>
        <w:ind w:firstLine="720"/>
        <w:jc w:val="center"/>
        <w:rPr>
          <w:rFonts w:eastAsiaTheme="majorEastAsia" w:cstheme="majorBidi"/>
          <w:spacing w:val="-10"/>
          <w:kern w:val="28"/>
          <w:sz w:val="40"/>
          <w:szCs w:val="56"/>
        </w:rPr>
      </w:pPr>
      <w:r>
        <w:rPr>
          <w:rFonts w:eastAsiaTheme="majorEastAsia" w:cstheme="majorBidi"/>
          <w:spacing w:val="-10"/>
          <w:kern w:val="28"/>
          <w:sz w:val="40"/>
          <w:szCs w:val="56"/>
        </w:rPr>
        <w:t>Student Name</w:t>
      </w:r>
      <w:r w:rsidR="00EE5BA4">
        <w:rPr>
          <w:rFonts w:eastAsiaTheme="majorEastAsia" w:cstheme="majorBidi"/>
          <w:spacing w:val="-10"/>
          <w:kern w:val="28"/>
          <w:sz w:val="40"/>
          <w:szCs w:val="56"/>
        </w:rPr>
        <w:t>: Rahul Amitkumar Shrimali</w:t>
      </w:r>
    </w:p>
    <w:p w14:paraId="426F9480" w14:textId="51698175" w:rsidR="0094249B" w:rsidRDefault="00FA6560" w:rsidP="006B7348">
      <w:pPr>
        <w:ind w:firstLine="720"/>
        <w:jc w:val="center"/>
        <w:rPr>
          <w:rFonts w:eastAsiaTheme="majorEastAsia" w:cstheme="majorBidi"/>
          <w:spacing w:val="-10"/>
          <w:kern w:val="28"/>
          <w:sz w:val="40"/>
          <w:szCs w:val="56"/>
        </w:rPr>
      </w:pPr>
      <w:r>
        <w:rPr>
          <w:rFonts w:eastAsiaTheme="majorEastAsia" w:cstheme="majorBidi"/>
          <w:spacing w:val="-10"/>
          <w:kern w:val="28"/>
          <w:sz w:val="40"/>
          <w:szCs w:val="56"/>
        </w:rPr>
        <w:t xml:space="preserve">Subject: </w:t>
      </w:r>
      <w:r w:rsidR="0054070A">
        <w:rPr>
          <w:rFonts w:eastAsiaTheme="majorEastAsia" w:cstheme="majorBidi"/>
          <w:spacing w:val="-10"/>
          <w:kern w:val="28"/>
          <w:sz w:val="40"/>
          <w:szCs w:val="56"/>
        </w:rPr>
        <w:t>Financial Management</w:t>
      </w:r>
    </w:p>
    <w:p w14:paraId="0541B5F9" w14:textId="00CBD7E4" w:rsidR="0054070A" w:rsidRDefault="0054070A" w:rsidP="006B7348">
      <w:pPr>
        <w:ind w:firstLine="720"/>
        <w:jc w:val="center"/>
        <w:rPr>
          <w:rFonts w:eastAsiaTheme="majorEastAsia" w:cstheme="majorBidi"/>
          <w:spacing w:val="-10"/>
          <w:kern w:val="28"/>
          <w:sz w:val="40"/>
          <w:szCs w:val="56"/>
        </w:rPr>
      </w:pPr>
      <w:r>
        <w:rPr>
          <w:rFonts w:eastAsiaTheme="majorEastAsia" w:cstheme="majorBidi"/>
          <w:spacing w:val="-10"/>
          <w:kern w:val="28"/>
          <w:sz w:val="40"/>
          <w:szCs w:val="56"/>
        </w:rPr>
        <w:t>Mo</w:t>
      </w:r>
      <w:r w:rsidR="00154650">
        <w:rPr>
          <w:rFonts w:eastAsiaTheme="majorEastAsia" w:cstheme="majorBidi"/>
          <w:spacing w:val="-10"/>
          <w:kern w:val="28"/>
          <w:sz w:val="40"/>
          <w:szCs w:val="56"/>
        </w:rPr>
        <w:t>dule code: LCMB7002</w:t>
      </w:r>
    </w:p>
    <w:p w14:paraId="742AF5EA" w14:textId="2546688A" w:rsidR="00154650" w:rsidRDefault="00154650" w:rsidP="006B7348">
      <w:pPr>
        <w:ind w:firstLine="720"/>
        <w:jc w:val="center"/>
        <w:rPr>
          <w:rFonts w:eastAsiaTheme="majorEastAsia" w:cstheme="majorBidi"/>
          <w:spacing w:val="-10"/>
          <w:kern w:val="28"/>
          <w:sz w:val="40"/>
          <w:szCs w:val="56"/>
        </w:rPr>
      </w:pPr>
      <w:r>
        <w:rPr>
          <w:rFonts w:eastAsiaTheme="majorEastAsia" w:cstheme="majorBidi"/>
          <w:spacing w:val="-10"/>
          <w:kern w:val="28"/>
          <w:sz w:val="40"/>
          <w:szCs w:val="56"/>
        </w:rPr>
        <w:t xml:space="preserve">Lecturer: </w:t>
      </w:r>
      <w:proofErr w:type="spellStart"/>
      <w:r w:rsidR="00975B1A">
        <w:rPr>
          <w:rFonts w:eastAsiaTheme="majorEastAsia" w:cstheme="majorBidi"/>
          <w:spacing w:val="-10"/>
          <w:kern w:val="28"/>
          <w:sz w:val="40"/>
          <w:szCs w:val="56"/>
        </w:rPr>
        <w:t>Shengfeng</w:t>
      </w:r>
      <w:proofErr w:type="spellEnd"/>
      <w:r w:rsidR="00975B1A">
        <w:rPr>
          <w:rFonts w:eastAsiaTheme="majorEastAsia" w:cstheme="majorBidi"/>
          <w:spacing w:val="-10"/>
          <w:kern w:val="28"/>
          <w:sz w:val="40"/>
          <w:szCs w:val="56"/>
        </w:rPr>
        <w:t xml:space="preserve"> Mei</w:t>
      </w:r>
    </w:p>
    <w:p w14:paraId="581A67A4" w14:textId="72B62C01" w:rsidR="0003419B" w:rsidRPr="0003419B" w:rsidRDefault="0003419B" w:rsidP="0003419B">
      <w:pPr>
        <w:tabs>
          <w:tab w:val="left" w:pos="864"/>
        </w:tabs>
        <w:sectPr w:rsidR="0003419B" w:rsidRPr="0003419B">
          <w:pgSz w:w="11906" w:h="16838"/>
          <w:pgMar w:top="1440" w:right="1440" w:bottom="1440" w:left="1440" w:header="708" w:footer="708" w:gutter="0"/>
          <w:cols w:space="708"/>
          <w:docGrid w:linePitch="360"/>
        </w:sectPr>
      </w:pPr>
      <w:r>
        <w:tab/>
      </w:r>
    </w:p>
    <w:sdt>
      <w:sdtPr>
        <w:id w:val="1867718922"/>
        <w:docPartObj>
          <w:docPartGallery w:val="Table of Contents"/>
          <w:docPartUnique/>
        </w:docPartObj>
      </w:sdtPr>
      <w:sdtEndPr>
        <w:rPr>
          <w:b/>
          <w:bCs/>
          <w:noProof/>
        </w:rPr>
      </w:sdtEndPr>
      <w:sdtContent>
        <w:p w14:paraId="57BB71A4" w14:textId="1B481713" w:rsidR="00DD4769" w:rsidRDefault="00DD4769" w:rsidP="00DD4769">
          <w:pPr>
            <w:pStyle w:val="rahul"/>
          </w:pPr>
          <w:r>
            <w:t>Table of Contents</w:t>
          </w:r>
        </w:p>
        <w:p w14:paraId="1CEABAAE" w14:textId="1A858A41" w:rsidR="00DD4769" w:rsidRDefault="00DD4769" w:rsidP="00DD4769">
          <w:pPr>
            <w:pStyle w:val="rahul"/>
            <w:rPr>
              <w:rFonts w:asciiTheme="minorHAnsi" w:eastAsiaTheme="minorEastAsia" w:hAnsiTheme="minorHAnsi"/>
              <w:noProof/>
              <w:color w:val="auto"/>
              <w:lang w:eastAsia="en-IN"/>
            </w:rPr>
          </w:pPr>
          <w:r>
            <w:fldChar w:fldCharType="begin"/>
          </w:r>
          <w:r>
            <w:instrText xml:space="preserve"> TOC \o "1-3" \h \z \u </w:instrText>
          </w:r>
          <w:r>
            <w:fldChar w:fldCharType="separate"/>
          </w:r>
          <w:hyperlink w:anchor="_Toc227800338" w:history="1">
            <w:r w:rsidRPr="008A3FCA">
              <w:rPr>
                <w:rStyle w:val="Hyperlink"/>
                <w:noProof/>
              </w:rPr>
              <w:t>1.1 Introduction</w:t>
            </w:r>
            <w:r>
              <w:rPr>
                <w:noProof/>
                <w:webHidden/>
              </w:rPr>
              <w:tab/>
            </w:r>
            <w:r>
              <w:rPr>
                <w:noProof/>
                <w:webHidden/>
              </w:rPr>
              <w:fldChar w:fldCharType="begin"/>
            </w:r>
            <w:r>
              <w:rPr>
                <w:noProof/>
                <w:webHidden/>
              </w:rPr>
              <w:instrText xml:space="preserve"> PAGEREF _Toc227800338 \h </w:instrText>
            </w:r>
            <w:r>
              <w:rPr>
                <w:noProof/>
                <w:webHidden/>
              </w:rPr>
            </w:r>
            <w:r>
              <w:rPr>
                <w:noProof/>
                <w:webHidden/>
              </w:rPr>
              <w:fldChar w:fldCharType="separate"/>
            </w:r>
            <w:r>
              <w:rPr>
                <w:noProof/>
                <w:webHidden/>
              </w:rPr>
              <w:t>4</w:t>
            </w:r>
            <w:r>
              <w:rPr>
                <w:noProof/>
                <w:webHidden/>
              </w:rPr>
              <w:fldChar w:fldCharType="end"/>
            </w:r>
          </w:hyperlink>
        </w:p>
        <w:p w14:paraId="74085862" w14:textId="274E244E" w:rsidR="00DD4769" w:rsidRDefault="00DD4769" w:rsidP="00DD4769">
          <w:pPr>
            <w:pStyle w:val="rahul"/>
            <w:rPr>
              <w:rFonts w:asciiTheme="minorHAnsi" w:eastAsiaTheme="minorEastAsia" w:hAnsiTheme="minorHAnsi"/>
              <w:noProof/>
              <w:color w:val="auto"/>
              <w:lang w:eastAsia="en-IN"/>
            </w:rPr>
          </w:pPr>
          <w:hyperlink w:anchor="_Toc227800339" w:history="1">
            <w:r w:rsidRPr="008A3FCA">
              <w:rPr>
                <w:rStyle w:val="Hyperlink"/>
                <w:noProof/>
              </w:rPr>
              <w:t>2. Financial Health</w:t>
            </w:r>
            <w:r>
              <w:rPr>
                <w:noProof/>
                <w:webHidden/>
              </w:rPr>
              <w:tab/>
            </w:r>
            <w:r>
              <w:rPr>
                <w:noProof/>
                <w:webHidden/>
              </w:rPr>
              <w:fldChar w:fldCharType="begin"/>
            </w:r>
            <w:r>
              <w:rPr>
                <w:noProof/>
                <w:webHidden/>
              </w:rPr>
              <w:instrText xml:space="preserve"> PAGEREF _Toc227800339 \h </w:instrText>
            </w:r>
            <w:r>
              <w:rPr>
                <w:noProof/>
                <w:webHidden/>
              </w:rPr>
            </w:r>
            <w:r>
              <w:rPr>
                <w:noProof/>
                <w:webHidden/>
              </w:rPr>
              <w:fldChar w:fldCharType="separate"/>
            </w:r>
            <w:r>
              <w:rPr>
                <w:noProof/>
                <w:webHidden/>
              </w:rPr>
              <w:t>6</w:t>
            </w:r>
            <w:r>
              <w:rPr>
                <w:noProof/>
                <w:webHidden/>
              </w:rPr>
              <w:fldChar w:fldCharType="end"/>
            </w:r>
          </w:hyperlink>
        </w:p>
        <w:p w14:paraId="7F33AA20" w14:textId="7CF85D97" w:rsidR="00DD4769" w:rsidRDefault="00DD4769" w:rsidP="00DD4769">
          <w:pPr>
            <w:pStyle w:val="rahul"/>
            <w:rPr>
              <w:rFonts w:asciiTheme="minorHAnsi" w:eastAsiaTheme="minorEastAsia" w:hAnsiTheme="minorHAnsi"/>
              <w:noProof/>
              <w:color w:val="auto"/>
              <w:lang w:eastAsia="en-IN"/>
            </w:rPr>
          </w:pPr>
          <w:hyperlink w:anchor="_Toc227800340" w:history="1">
            <w:r w:rsidRPr="008A3FCA">
              <w:rPr>
                <w:rStyle w:val="Hyperlink"/>
                <w:noProof/>
              </w:rPr>
              <w:t>2.1  Financial Performance and Raw Data (2021-2026)</w:t>
            </w:r>
            <w:r>
              <w:rPr>
                <w:noProof/>
                <w:webHidden/>
              </w:rPr>
              <w:tab/>
            </w:r>
            <w:r>
              <w:rPr>
                <w:noProof/>
                <w:webHidden/>
              </w:rPr>
              <w:fldChar w:fldCharType="begin"/>
            </w:r>
            <w:r>
              <w:rPr>
                <w:noProof/>
                <w:webHidden/>
              </w:rPr>
              <w:instrText xml:space="preserve"> PAGEREF _Toc227800340 \h </w:instrText>
            </w:r>
            <w:r>
              <w:rPr>
                <w:noProof/>
                <w:webHidden/>
              </w:rPr>
            </w:r>
            <w:r>
              <w:rPr>
                <w:noProof/>
                <w:webHidden/>
              </w:rPr>
              <w:fldChar w:fldCharType="separate"/>
            </w:r>
            <w:r>
              <w:rPr>
                <w:noProof/>
                <w:webHidden/>
              </w:rPr>
              <w:t>7</w:t>
            </w:r>
            <w:r>
              <w:rPr>
                <w:noProof/>
                <w:webHidden/>
              </w:rPr>
              <w:fldChar w:fldCharType="end"/>
            </w:r>
          </w:hyperlink>
        </w:p>
        <w:p w14:paraId="7C1277A5" w14:textId="1EC19C83" w:rsidR="00DD4769" w:rsidRDefault="00DD4769" w:rsidP="00DD4769">
          <w:pPr>
            <w:pStyle w:val="rahul"/>
            <w:rPr>
              <w:rFonts w:asciiTheme="minorHAnsi" w:eastAsiaTheme="minorEastAsia" w:hAnsiTheme="minorHAnsi"/>
              <w:noProof/>
              <w:color w:val="auto"/>
              <w:lang w:eastAsia="en-IN"/>
            </w:rPr>
          </w:pPr>
          <w:hyperlink w:anchor="_Toc227800341" w:history="1">
            <w:r w:rsidRPr="008A3FCA">
              <w:rPr>
                <w:rStyle w:val="Hyperlink"/>
                <w:noProof/>
              </w:rPr>
              <w:t>2.2 Profitability Analysis</w:t>
            </w:r>
            <w:r>
              <w:rPr>
                <w:noProof/>
                <w:webHidden/>
              </w:rPr>
              <w:tab/>
            </w:r>
            <w:r>
              <w:rPr>
                <w:noProof/>
                <w:webHidden/>
              </w:rPr>
              <w:fldChar w:fldCharType="begin"/>
            </w:r>
            <w:r>
              <w:rPr>
                <w:noProof/>
                <w:webHidden/>
              </w:rPr>
              <w:instrText xml:space="preserve"> PAGEREF _Toc227800341 \h </w:instrText>
            </w:r>
            <w:r>
              <w:rPr>
                <w:noProof/>
                <w:webHidden/>
              </w:rPr>
            </w:r>
            <w:r>
              <w:rPr>
                <w:noProof/>
                <w:webHidden/>
              </w:rPr>
              <w:fldChar w:fldCharType="separate"/>
            </w:r>
            <w:r>
              <w:rPr>
                <w:noProof/>
                <w:webHidden/>
              </w:rPr>
              <w:t>8</w:t>
            </w:r>
            <w:r>
              <w:rPr>
                <w:noProof/>
                <w:webHidden/>
              </w:rPr>
              <w:fldChar w:fldCharType="end"/>
            </w:r>
          </w:hyperlink>
        </w:p>
        <w:p w14:paraId="6B84F60A" w14:textId="3C0EE12F" w:rsidR="00DD4769" w:rsidRDefault="00DD4769" w:rsidP="00DD4769">
          <w:pPr>
            <w:pStyle w:val="rahul"/>
            <w:rPr>
              <w:rFonts w:asciiTheme="minorHAnsi" w:eastAsiaTheme="minorEastAsia" w:hAnsiTheme="minorHAnsi"/>
              <w:noProof/>
              <w:color w:val="auto"/>
              <w:lang w:eastAsia="en-IN"/>
            </w:rPr>
          </w:pPr>
          <w:hyperlink w:anchor="_Toc227800342" w:history="1">
            <w:r w:rsidRPr="008A3FCA">
              <w:rPr>
                <w:rStyle w:val="Hyperlink"/>
                <w:noProof/>
              </w:rPr>
              <w:t>2.3 Liquidity Analysis</w:t>
            </w:r>
            <w:r>
              <w:rPr>
                <w:noProof/>
                <w:webHidden/>
              </w:rPr>
              <w:tab/>
            </w:r>
            <w:r>
              <w:rPr>
                <w:noProof/>
                <w:webHidden/>
              </w:rPr>
              <w:fldChar w:fldCharType="begin"/>
            </w:r>
            <w:r>
              <w:rPr>
                <w:noProof/>
                <w:webHidden/>
              </w:rPr>
              <w:instrText xml:space="preserve"> PAGEREF _Toc227800342 \h </w:instrText>
            </w:r>
            <w:r>
              <w:rPr>
                <w:noProof/>
                <w:webHidden/>
              </w:rPr>
            </w:r>
            <w:r>
              <w:rPr>
                <w:noProof/>
                <w:webHidden/>
              </w:rPr>
              <w:fldChar w:fldCharType="separate"/>
            </w:r>
            <w:r>
              <w:rPr>
                <w:noProof/>
                <w:webHidden/>
              </w:rPr>
              <w:t>9</w:t>
            </w:r>
            <w:r>
              <w:rPr>
                <w:noProof/>
                <w:webHidden/>
              </w:rPr>
              <w:fldChar w:fldCharType="end"/>
            </w:r>
          </w:hyperlink>
        </w:p>
        <w:p w14:paraId="66DFDCA2" w14:textId="69802EFF" w:rsidR="00DD4769" w:rsidRDefault="00DD4769" w:rsidP="00DD4769">
          <w:pPr>
            <w:pStyle w:val="rahul"/>
            <w:rPr>
              <w:rFonts w:asciiTheme="minorHAnsi" w:eastAsiaTheme="minorEastAsia" w:hAnsiTheme="minorHAnsi"/>
              <w:noProof/>
              <w:color w:val="auto"/>
              <w:lang w:eastAsia="en-IN"/>
            </w:rPr>
          </w:pPr>
          <w:hyperlink w:anchor="_Toc227800343" w:history="1">
            <w:r w:rsidRPr="008A3FCA">
              <w:rPr>
                <w:rStyle w:val="Hyperlink"/>
                <w:noProof/>
              </w:rPr>
              <w:t>2.4 Efficiency ratios and working</w:t>
            </w:r>
            <w:r w:rsidRPr="008A3FCA">
              <w:rPr>
                <w:rStyle w:val="Hyperlink"/>
                <w:rFonts w:ascii="Cambria Math" w:hAnsi="Cambria Math" w:cs="Cambria Math"/>
                <w:noProof/>
              </w:rPr>
              <w:t>‑</w:t>
            </w:r>
            <w:r w:rsidRPr="008A3FCA">
              <w:rPr>
                <w:rStyle w:val="Hyperlink"/>
                <w:noProof/>
              </w:rPr>
              <w:t>capital management</w:t>
            </w:r>
            <w:r>
              <w:rPr>
                <w:noProof/>
                <w:webHidden/>
              </w:rPr>
              <w:tab/>
            </w:r>
            <w:r>
              <w:rPr>
                <w:noProof/>
                <w:webHidden/>
              </w:rPr>
              <w:fldChar w:fldCharType="begin"/>
            </w:r>
            <w:r>
              <w:rPr>
                <w:noProof/>
                <w:webHidden/>
              </w:rPr>
              <w:instrText xml:space="preserve"> PAGEREF _Toc227800343 \h </w:instrText>
            </w:r>
            <w:r>
              <w:rPr>
                <w:noProof/>
                <w:webHidden/>
              </w:rPr>
            </w:r>
            <w:r>
              <w:rPr>
                <w:noProof/>
                <w:webHidden/>
              </w:rPr>
              <w:fldChar w:fldCharType="separate"/>
            </w:r>
            <w:r>
              <w:rPr>
                <w:noProof/>
                <w:webHidden/>
              </w:rPr>
              <w:t>10</w:t>
            </w:r>
            <w:r>
              <w:rPr>
                <w:noProof/>
                <w:webHidden/>
              </w:rPr>
              <w:fldChar w:fldCharType="end"/>
            </w:r>
          </w:hyperlink>
        </w:p>
        <w:p w14:paraId="35202E8F" w14:textId="5B669F53" w:rsidR="00DD4769" w:rsidRDefault="00DD4769" w:rsidP="00DD4769">
          <w:pPr>
            <w:pStyle w:val="rahul"/>
            <w:rPr>
              <w:rFonts w:asciiTheme="minorHAnsi" w:eastAsiaTheme="minorEastAsia" w:hAnsiTheme="minorHAnsi"/>
              <w:noProof/>
              <w:color w:val="auto"/>
              <w:lang w:eastAsia="en-IN"/>
            </w:rPr>
          </w:pPr>
          <w:hyperlink w:anchor="_Toc227800344" w:history="1">
            <w:r w:rsidRPr="008A3FCA">
              <w:rPr>
                <w:rStyle w:val="Hyperlink"/>
                <w:noProof/>
              </w:rPr>
              <w:t>2.5 Payables turnover and cash conversion cycle</w:t>
            </w:r>
            <w:r>
              <w:rPr>
                <w:noProof/>
                <w:webHidden/>
              </w:rPr>
              <w:tab/>
            </w:r>
            <w:r>
              <w:rPr>
                <w:noProof/>
                <w:webHidden/>
              </w:rPr>
              <w:fldChar w:fldCharType="begin"/>
            </w:r>
            <w:r>
              <w:rPr>
                <w:noProof/>
                <w:webHidden/>
              </w:rPr>
              <w:instrText xml:space="preserve"> PAGEREF _Toc227800344 \h </w:instrText>
            </w:r>
            <w:r>
              <w:rPr>
                <w:noProof/>
                <w:webHidden/>
              </w:rPr>
            </w:r>
            <w:r>
              <w:rPr>
                <w:noProof/>
                <w:webHidden/>
              </w:rPr>
              <w:fldChar w:fldCharType="separate"/>
            </w:r>
            <w:r>
              <w:rPr>
                <w:noProof/>
                <w:webHidden/>
              </w:rPr>
              <w:t>11</w:t>
            </w:r>
            <w:r>
              <w:rPr>
                <w:noProof/>
                <w:webHidden/>
              </w:rPr>
              <w:fldChar w:fldCharType="end"/>
            </w:r>
          </w:hyperlink>
        </w:p>
        <w:p w14:paraId="2EA6F985" w14:textId="60BD4970" w:rsidR="00DD4769" w:rsidRDefault="00DD4769" w:rsidP="00DD4769">
          <w:pPr>
            <w:pStyle w:val="rahul"/>
            <w:rPr>
              <w:rFonts w:asciiTheme="minorHAnsi" w:eastAsiaTheme="minorEastAsia" w:hAnsiTheme="minorHAnsi"/>
              <w:noProof/>
              <w:color w:val="auto"/>
              <w:lang w:eastAsia="en-IN"/>
            </w:rPr>
          </w:pPr>
          <w:hyperlink w:anchor="_Toc227800345" w:history="1">
            <w:r w:rsidRPr="008A3FCA">
              <w:rPr>
                <w:rStyle w:val="Hyperlink"/>
                <w:noProof/>
              </w:rPr>
              <w:t>Table 2 – Estimated working</w:t>
            </w:r>
            <w:r w:rsidRPr="008A3FCA">
              <w:rPr>
                <w:rStyle w:val="Hyperlink"/>
                <w:noProof/>
              </w:rPr>
              <w:noBreakHyphen/>
              <w:t>capital metrics (2021–2026)</w:t>
            </w:r>
            <w:r>
              <w:rPr>
                <w:noProof/>
                <w:webHidden/>
              </w:rPr>
              <w:tab/>
            </w:r>
            <w:r>
              <w:rPr>
                <w:noProof/>
                <w:webHidden/>
              </w:rPr>
              <w:fldChar w:fldCharType="begin"/>
            </w:r>
            <w:r>
              <w:rPr>
                <w:noProof/>
                <w:webHidden/>
              </w:rPr>
              <w:instrText xml:space="preserve"> PAGEREF _Toc227800345 \h </w:instrText>
            </w:r>
            <w:r>
              <w:rPr>
                <w:noProof/>
                <w:webHidden/>
              </w:rPr>
            </w:r>
            <w:r>
              <w:rPr>
                <w:noProof/>
                <w:webHidden/>
              </w:rPr>
              <w:fldChar w:fldCharType="separate"/>
            </w:r>
            <w:r>
              <w:rPr>
                <w:noProof/>
                <w:webHidden/>
              </w:rPr>
              <w:t>11</w:t>
            </w:r>
            <w:r>
              <w:rPr>
                <w:noProof/>
                <w:webHidden/>
              </w:rPr>
              <w:fldChar w:fldCharType="end"/>
            </w:r>
          </w:hyperlink>
        </w:p>
        <w:p w14:paraId="56BF276D" w14:textId="079C1EE3" w:rsidR="00DD4769" w:rsidRDefault="00DD4769" w:rsidP="00DD4769">
          <w:pPr>
            <w:pStyle w:val="rahul"/>
            <w:rPr>
              <w:rFonts w:asciiTheme="minorHAnsi" w:eastAsiaTheme="minorEastAsia" w:hAnsiTheme="minorHAnsi"/>
              <w:noProof/>
              <w:color w:val="auto"/>
              <w:lang w:eastAsia="en-IN"/>
            </w:rPr>
          </w:pPr>
          <w:hyperlink w:anchor="_Toc227800346" w:history="1">
            <w:r w:rsidRPr="008A3FCA">
              <w:rPr>
                <w:rStyle w:val="Hyperlink"/>
                <w:noProof/>
              </w:rPr>
              <w:t>2.6 Gearing and Capital Structure</w:t>
            </w:r>
            <w:r>
              <w:rPr>
                <w:noProof/>
                <w:webHidden/>
              </w:rPr>
              <w:tab/>
            </w:r>
            <w:r>
              <w:rPr>
                <w:noProof/>
                <w:webHidden/>
              </w:rPr>
              <w:fldChar w:fldCharType="begin"/>
            </w:r>
            <w:r>
              <w:rPr>
                <w:noProof/>
                <w:webHidden/>
              </w:rPr>
              <w:instrText xml:space="preserve"> PAGEREF _Toc227800346 \h </w:instrText>
            </w:r>
            <w:r>
              <w:rPr>
                <w:noProof/>
                <w:webHidden/>
              </w:rPr>
            </w:r>
            <w:r>
              <w:rPr>
                <w:noProof/>
                <w:webHidden/>
              </w:rPr>
              <w:fldChar w:fldCharType="separate"/>
            </w:r>
            <w:r>
              <w:rPr>
                <w:noProof/>
                <w:webHidden/>
              </w:rPr>
              <w:t>12</w:t>
            </w:r>
            <w:r>
              <w:rPr>
                <w:noProof/>
                <w:webHidden/>
              </w:rPr>
              <w:fldChar w:fldCharType="end"/>
            </w:r>
          </w:hyperlink>
        </w:p>
        <w:p w14:paraId="7E585EB4" w14:textId="0A23A02C" w:rsidR="00DD4769" w:rsidRDefault="00DD4769" w:rsidP="00DD4769">
          <w:pPr>
            <w:pStyle w:val="rahul"/>
            <w:rPr>
              <w:rFonts w:asciiTheme="minorHAnsi" w:eastAsiaTheme="minorEastAsia" w:hAnsiTheme="minorHAnsi"/>
              <w:noProof/>
              <w:color w:val="auto"/>
              <w:lang w:eastAsia="en-IN"/>
            </w:rPr>
          </w:pPr>
          <w:hyperlink w:anchor="_Toc227800347" w:history="1">
            <w:r w:rsidRPr="008A3FCA">
              <w:rPr>
                <w:rStyle w:val="Hyperlink"/>
                <w:noProof/>
              </w:rPr>
              <w:t>2.7 Investment Analysis</w:t>
            </w:r>
            <w:r>
              <w:rPr>
                <w:noProof/>
                <w:webHidden/>
              </w:rPr>
              <w:tab/>
            </w:r>
            <w:r>
              <w:rPr>
                <w:noProof/>
                <w:webHidden/>
              </w:rPr>
              <w:fldChar w:fldCharType="begin"/>
            </w:r>
            <w:r>
              <w:rPr>
                <w:noProof/>
                <w:webHidden/>
              </w:rPr>
              <w:instrText xml:space="preserve"> PAGEREF _Toc227800347 \h </w:instrText>
            </w:r>
            <w:r>
              <w:rPr>
                <w:noProof/>
                <w:webHidden/>
              </w:rPr>
            </w:r>
            <w:r>
              <w:rPr>
                <w:noProof/>
                <w:webHidden/>
              </w:rPr>
              <w:fldChar w:fldCharType="separate"/>
            </w:r>
            <w:r>
              <w:rPr>
                <w:noProof/>
                <w:webHidden/>
              </w:rPr>
              <w:t>13</w:t>
            </w:r>
            <w:r>
              <w:rPr>
                <w:noProof/>
                <w:webHidden/>
              </w:rPr>
              <w:fldChar w:fldCharType="end"/>
            </w:r>
          </w:hyperlink>
        </w:p>
        <w:p w14:paraId="1F3624FD" w14:textId="7166DF05" w:rsidR="00DD4769" w:rsidRDefault="00DD4769" w:rsidP="00DD4769">
          <w:pPr>
            <w:pStyle w:val="rahul"/>
            <w:rPr>
              <w:rFonts w:asciiTheme="minorHAnsi" w:eastAsiaTheme="minorEastAsia" w:hAnsiTheme="minorHAnsi"/>
              <w:noProof/>
              <w:color w:val="auto"/>
              <w:lang w:eastAsia="en-IN"/>
            </w:rPr>
          </w:pPr>
          <w:hyperlink w:anchor="_Toc227800348" w:history="1">
            <w:r w:rsidRPr="008A3FCA">
              <w:rPr>
                <w:rStyle w:val="Hyperlink"/>
                <w:noProof/>
              </w:rPr>
              <w:t>3.0 Financing options</w:t>
            </w:r>
            <w:r>
              <w:rPr>
                <w:noProof/>
                <w:webHidden/>
              </w:rPr>
              <w:tab/>
            </w:r>
            <w:r>
              <w:rPr>
                <w:noProof/>
                <w:webHidden/>
              </w:rPr>
              <w:fldChar w:fldCharType="begin"/>
            </w:r>
            <w:r>
              <w:rPr>
                <w:noProof/>
                <w:webHidden/>
              </w:rPr>
              <w:instrText xml:space="preserve"> PAGEREF _Toc227800348 \h </w:instrText>
            </w:r>
            <w:r>
              <w:rPr>
                <w:noProof/>
                <w:webHidden/>
              </w:rPr>
            </w:r>
            <w:r>
              <w:rPr>
                <w:noProof/>
                <w:webHidden/>
              </w:rPr>
              <w:fldChar w:fldCharType="separate"/>
            </w:r>
            <w:r>
              <w:rPr>
                <w:noProof/>
                <w:webHidden/>
              </w:rPr>
              <w:t>13</w:t>
            </w:r>
            <w:r>
              <w:rPr>
                <w:noProof/>
                <w:webHidden/>
              </w:rPr>
              <w:fldChar w:fldCharType="end"/>
            </w:r>
          </w:hyperlink>
        </w:p>
        <w:p w14:paraId="7B35D2A7" w14:textId="546AC5CA" w:rsidR="00DD4769" w:rsidRDefault="00DD4769" w:rsidP="00DD4769">
          <w:pPr>
            <w:pStyle w:val="rahul"/>
            <w:rPr>
              <w:rFonts w:asciiTheme="minorHAnsi" w:eastAsiaTheme="minorEastAsia" w:hAnsiTheme="minorHAnsi"/>
              <w:noProof/>
              <w:color w:val="auto"/>
              <w:lang w:eastAsia="en-IN"/>
            </w:rPr>
          </w:pPr>
          <w:hyperlink w:anchor="_Toc227800349" w:history="1">
            <w:r w:rsidRPr="008A3FCA">
              <w:rPr>
                <w:rStyle w:val="Hyperlink"/>
                <w:noProof/>
              </w:rPr>
              <w:t>Internal financing</w:t>
            </w:r>
            <w:r>
              <w:rPr>
                <w:noProof/>
                <w:webHidden/>
              </w:rPr>
              <w:tab/>
            </w:r>
            <w:r>
              <w:rPr>
                <w:noProof/>
                <w:webHidden/>
              </w:rPr>
              <w:fldChar w:fldCharType="begin"/>
            </w:r>
            <w:r>
              <w:rPr>
                <w:noProof/>
                <w:webHidden/>
              </w:rPr>
              <w:instrText xml:space="preserve"> PAGEREF _Toc227800349 \h </w:instrText>
            </w:r>
            <w:r>
              <w:rPr>
                <w:noProof/>
                <w:webHidden/>
              </w:rPr>
            </w:r>
            <w:r>
              <w:rPr>
                <w:noProof/>
                <w:webHidden/>
              </w:rPr>
              <w:fldChar w:fldCharType="separate"/>
            </w:r>
            <w:r>
              <w:rPr>
                <w:noProof/>
                <w:webHidden/>
              </w:rPr>
              <w:t>13</w:t>
            </w:r>
            <w:r>
              <w:rPr>
                <w:noProof/>
                <w:webHidden/>
              </w:rPr>
              <w:fldChar w:fldCharType="end"/>
            </w:r>
          </w:hyperlink>
        </w:p>
        <w:p w14:paraId="5ADF3B37" w14:textId="79318EC3" w:rsidR="00DD4769" w:rsidRDefault="00DD4769" w:rsidP="00DD4769">
          <w:pPr>
            <w:pStyle w:val="rahul"/>
            <w:rPr>
              <w:rFonts w:asciiTheme="minorHAnsi" w:eastAsiaTheme="minorEastAsia" w:hAnsiTheme="minorHAnsi"/>
              <w:noProof/>
              <w:color w:val="auto"/>
              <w:lang w:eastAsia="en-IN"/>
            </w:rPr>
          </w:pPr>
          <w:hyperlink w:anchor="_Toc227800350" w:history="1">
            <w:r w:rsidRPr="008A3FCA">
              <w:rPr>
                <w:rStyle w:val="Hyperlink"/>
                <w:noProof/>
              </w:rPr>
              <w:t>Debt financing</w:t>
            </w:r>
            <w:r>
              <w:rPr>
                <w:noProof/>
                <w:webHidden/>
              </w:rPr>
              <w:tab/>
            </w:r>
            <w:r>
              <w:rPr>
                <w:noProof/>
                <w:webHidden/>
              </w:rPr>
              <w:fldChar w:fldCharType="begin"/>
            </w:r>
            <w:r>
              <w:rPr>
                <w:noProof/>
                <w:webHidden/>
              </w:rPr>
              <w:instrText xml:space="preserve"> PAGEREF _Toc227800350 \h </w:instrText>
            </w:r>
            <w:r>
              <w:rPr>
                <w:noProof/>
                <w:webHidden/>
              </w:rPr>
            </w:r>
            <w:r>
              <w:rPr>
                <w:noProof/>
                <w:webHidden/>
              </w:rPr>
              <w:fldChar w:fldCharType="separate"/>
            </w:r>
            <w:r>
              <w:rPr>
                <w:noProof/>
                <w:webHidden/>
              </w:rPr>
              <w:t>14</w:t>
            </w:r>
            <w:r>
              <w:rPr>
                <w:noProof/>
                <w:webHidden/>
              </w:rPr>
              <w:fldChar w:fldCharType="end"/>
            </w:r>
          </w:hyperlink>
        </w:p>
        <w:p w14:paraId="40EF9235" w14:textId="6A15F34B" w:rsidR="00DD4769" w:rsidRDefault="00DD4769" w:rsidP="00DD4769">
          <w:pPr>
            <w:pStyle w:val="rahul"/>
            <w:rPr>
              <w:rFonts w:asciiTheme="minorHAnsi" w:eastAsiaTheme="minorEastAsia" w:hAnsiTheme="minorHAnsi"/>
              <w:noProof/>
              <w:color w:val="auto"/>
              <w:lang w:eastAsia="en-IN"/>
            </w:rPr>
          </w:pPr>
          <w:hyperlink w:anchor="_Toc227800351" w:history="1">
            <w:r w:rsidRPr="008A3FCA">
              <w:rPr>
                <w:rStyle w:val="Hyperlink"/>
                <w:noProof/>
              </w:rPr>
              <w:t>Equity financing</w:t>
            </w:r>
            <w:r>
              <w:rPr>
                <w:noProof/>
                <w:webHidden/>
              </w:rPr>
              <w:tab/>
            </w:r>
            <w:r>
              <w:rPr>
                <w:noProof/>
                <w:webHidden/>
              </w:rPr>
              <w:fldChar w:fldCharType="begin"/>
            </w:r>
            <w:r>
              <w:rPr>
                <w:noProof/>
                <w:webHidden/>
              </w:rPr>
              <w:instrText xml:space="preserve"> PAGEREF _Toc227800351 \h </w:instrText>
            </w:r>
            <w:r>
              <w:rPr>
                <w:noProof/>
                <w:webHidden/>
              </w:rPr>
            </w:r>
            <w:r>
              <w:rPr>
                <w:noProof/>
                <w:webHidden/>
              </w:rPr>
              <w:fldChar w:fldCharType="separate"/>
            </w:r>
            <w:r>
              <w:rPr>
                <w:noProof/>
                <w:webHidden/>
              </w:rPr>
              <w:t>14</w:t>
            </w:r>
            <w:r>
              <w:rPr>
                <w:noProof/>
                <w:webHidden/>
              </w:rPr>
              <w:fldChar w:fldCharType="end"/>
            </w:r>
          </w:hyperlink>
        </w:p>
        <w:p w14:paraId="41C8E44E" w14:textId="587A8300" w:rsidR="00DD4769" w:rsidRDefault="00DD4769" w:rsidP="00DD4769">
          <w:pPr>
            <w:pStyle w:val="rahul"/>
            <w:rPr>
              <w:rFonts w:asciiTheme="minorHAnsi" w:eastAsiaTheme="minorEastAsia" w:hAnsiTheme="minorHAnsi"/>
              <w:noProof/>
              <w:color w:val="auto"/>
              <w:lang w:eastAsia="en-IN"/>
            </w:rPr>
          </w:pPr>
          <w:hyperlink w:anchor="_Toc227800352" w:history="1">
            <w:r w:rsidRPr="008A3FCA">
              <w:rPr>
                <w:rStyle w:val="Hyperlink"/>
                <w:noProof/>
              </w:rPr>
              <w:t>Hybrid and government financing</w:t>
            </w:r>
            <w:r>
              <w:rPr>
                <w:noProof/>
                <w:webHidden/>
              </w:rPr>
              <w:tab/>
            </w:r>
            <w:r>
              <w:rPr>
                <w:noProof/>
                <w:webHidden/>
              </w:rPr>
              <w:fldChar w:fldCharType="begin"/>
            </w:r>
            <w:r>
              <w:rPr>
                <w:noProof/>
                <w:webHidden/>
              </w:rPr>
              <w:instrText xml:space="preserve"> PAGEREF _Toc227800352 \h </w:instrText>
            </w:r>
            <w:r>
              <w:rPr>
                <w:noProof/>
                <w:webHidden/>
              </w:rPr>
            </w:r>
            <w:r>
              <w:rPr>
                <w:noProof/>
                <w:webHidden/>
              </w:rPr>
              <w:fldChar w:fldCharType="separate"/>
            </w:r>
            <w:r>
              <w:rPr>
                <w:noProof/>
                <w:webHidden/>
              </w:rPr>
              <w:t>14</w:t>
            </w:r>
            <w:r>
              <w:rPr>
                <w:noProof/>
                <w:webHidden/>
              </w:rPr>
              <w:fldChar w:fldCharType="end"/>
            </w:r>
          </w:hyperlink>
        </w:p>
        <w:p w14:paraId="52EB5123" w14:textId="008DE76B" w:rsidR="00DD4769" w:rsidRDefault="00DD4769" w:rsidP="00DD4769">
          <w:pPr>
            <w:pStyle w:val="rahul"/>
            <w:rPr>
              <w:rFonts w:asciiTheme="minorHAnsi" w:eastAsiaTheme="minorEastAsia" w:hAnsiTheme="minorHAnsi"/>
              <w:noProof/>
              <w:color w:val="auto"/>
              <w:lang w:eastAsia="en-IN"/>
            </w:rPr>
          </w:pPr>
          <w:hyperlink w:anchor="_Toc227800353" w:history="1">
            <w:r w:rsidRPr="008A3FCA">
              <w:rPr>
                <w:rStyle w:val="Hyperlink"/>
                <w:noProof/>
              </w:rPr>
              <w:t>3.1 Net Income Trend And Profit Margin Analysis</w:t>
            </w:r>
            <w:r>
              <w:rPr>
                <w:noProof/>
                <w:webHidden/>
              </w:rPr>
              <w:tab/>
            </w:r>
            <w:r>
              <w:rPr>
                <w:noProof/>
                <w:webHidden/>
              </w:rPr>
              <w:fldChar w:fldCharType="begin"/>
            </w:r>
            <w:r>
              <w:rPr>
                <w:noProof/>
                <w:webHidden/>
              </w:rPr>
              <w:instrText xml:space="preserve"> PAGEREF _Toc227800353 \h </w:instrText>
            </w:r>
            <w:r>
              <w:rPr>
                <w:noProof/>
                <w:webHidden/>
              </w:rPr>
            </w:r>
            <w:r>
              <w:rPr>
                <w:noProof/>
                <w:webHidden/>
              </w:rPr>
              <w:fldChar w:fldCharType="separate"/>
            </w:r>
            <w:r>
              <w:rPr>
                <w:noProof/>
                <w:webHidden/>
              </w:rPr>
              <w:t>15</w:t>
            </w:r>
            <w:r>
              <w:rPr>
                <w:noProof/>
                <w:webHidden/>
              </w:rPr>
              <w:fldChar w:fldCharType="end"/>
            </w:r>
          </w:hyperlink>
        </w:p>
        <w:p w14:paraId="28948C86" w14:textId="42E0E498" w:rsidR="00DD4769" w:rsidRDefault="00DD4769" w:rsidP="00DD4769">
          <w:pPr>
            <w:pStyle w:val="rahul"/>
            <w:rPr>
              <w:rFonts w:asciiTheme="minorHAnsi" w:eastAsiaTheme="minorEastAsia" w:hAnsiTheme="minorHAnsi"/>
              <w:noProof/>
              <w:color w:val="auto"/>
              <w:lang w:eastAsia="en-IN"/>
            </w:rPr>
          </w:pPr>
          <w:hyperlink w:anchor="_Toc227800354" w:history="1">
            <w:r w:rsidRPr="008A3FCA">
              <w:rPr>
                <w:rStyle w:val="Hyperlink"/>
                <w:noProof/>
              </w:rPr>
              <w:t>4.0 Strategic financial restructuring plan</w:t>
            </w:r>
            <w:r>
              <w:rPr>
                <w:noProof/>
                <w:webHidden/>
              </w:rPr>
              <w:tab/>
            </w:r>
            <w:r>
              <w:rPr>
                <w:noProof/>
                <w:webHidden/>
              </w:rPr>
              <w:fldChar w:fldCharType="begin"/>
            </w:r>
            <w:r>
              <w:rPr>
                <w:noProof/>
                <w:webHidden/>
              </w:rPr>
              <w:instrText xml:space="preserve"> PAGEREF _Toc227800354 \h </w:instrText>
            </w:r>
            <w:r>
              <w:rPr>
                <w:noProof/>
                <w:webHidden/>
              </w:rPr>
            </w:r>
            <w:r>
              <w:rPr>
                <w:noProof/>
                <w:webHidden/>
              </w:rPr>
              <w:fldChar w:fldCharType="separate"/>
            </w:r>
            <w:r>
              <w:rPr>
                <w:noProof/>
                <w:webHidden/>
              </w:rPr>
              <w:t>18</w:t>
            </w:r>
            <w:r>
              <w:rPr>
                <w:noProof/>
                <w:webHidden/>
              </w:rPr>
              <w:fldChar w:fldCharType="end"/>
            </w:r>
          </w:hyperlink>
        </w:p>
        <w:p w14:paraId="65DFBE3A" w14:textId="673538F9" w:rsidR="00DD4769" w:rsidRDefault="00DD4769" w:rsidP="00DD4769">
          <w:pPr>
            <w:pStyle w:val="rahul"/>
            <w:rPr>
              <w:rFonts w:asciiTheme="minorHAnsi" w:eastAsiaTheme="minorEastAsia" w:hAnsiTheme="minorHAnsi"/>
              <w:noProof/>
              <w:color w:val="auto"/>
              <w:lang w:eastAsia="en-IN"/>
            </w:rPr>
          </w:pPr>
          <w:hyperlink w:anchor="_Toc227800355" w:history="1">
            <w:r w:rsidRPr="008A3FCA">
              <w:rPr>
                <w:rStyle w:val="Hyperlink"/>
                <w:noProof/>
              </w:rPr>
              <w:t>4.1 Margin</w:t>
            </w:r>
            <w:r w:rsidRPr="008A3FCA">
              <w:rPr>
                <w:rStyle w:val="Hyperlink"/>
                <w:rFonts w:ascii="Cambria Math" w:hAnsi="Cambria Math" w:cs="Cambria Math"/>
                <w:noProof/>
              </w:rPr>
              <w:t>‑</w:t>
            </w:r>
            <w:r w:rsidRPr="008A3FCA">
              <w:rPr>
                <w:rStyle w:val="Hyperlink"/>
                <w:noProof/>
              </w:rPr>
              <w:t>led initiatives</w:t>
            </w:r>
            <w:r>
              <w:rPr>
                <w:noProof/>
                <w:webHidden/>
              </w:rPr>
              <w:tab/>
            </w:r>
            <w:r>
              <w:rPr>
                <w:noProof/>
                <w:webHidden/>
              </w:rPr>
              <w:fldChar w:fldCharType="begin"/>
            </w:r>
            <w:r>
              <w:rPr>
                <w:noProof/>
                <w:webHidden/>
              </w:rPr>
              <w:instrText xml:space="preserve"> PAGEREF _Toc227800355 \h </w:instrText>
            </w:r>
            <w:r>
              <w:rPr>
                <w:noProof/>
                <w:webHidden/>
              </w:rPr>
            </w:r>
            <w:r>
              <w:rPr>
                <w:noProof/>
                <w:webHidden/>
              </w:rPr>
              <w:fldChar w:fldCharType="separate"/>
            </w:r>
            <w:r>
              <w:rPr>
                <w:noProof/>
                <w:webHidden/>
              </w:rPr>
              <w:t>18</w:t>
            </w:r>
            <w:r>
              <w:rPr>
                <w:noProof/>
                <w:webHidden/>
              </w:rPr>
              <w:fldChar w:fldCharType="end"/>
            </w:r>
          </w:hyperlink>
        </w:p>
        <w:p w14:paraId="5391B732" w14:textId="0D99A226" w:rsidR="00DD4769" w:rsidRDefault="00DD4769" w:rsidP="00DD4769">
          <w:pPr>
            <w:pStyle w:val="rahul"/>
            <w:rPr>
              <w:rFonts w:asciiTheme="minorHAnsi" w:eastAsiaTheme="minorEastAsia" w:hAnsiTheme="minorHAnsi"/>
              <w:noProof/>
              <w:color w:val="auto"/>
              <w:lang w:eastAsia="en-IN"/>
            </w:rPr>
          </w:pPr>
          <w:hyperlink w:anchor="_Toc227800356" w:history="1">
            <w:r w:rsidRPr="008A3FCA">
              <w:rPr>
                <w:rStyle w:val="Hyperlink"/>
                <w:noProof/>
              </w:rPr>
              <w:t>4.2 Working</w:t>
            </w:r>
            <w:r w:rsidRPr="008A3FCA">
              <w:rPr>
                <w:rStyle w:val="Hyperlink"/>
                <w:rFonts w:ascii="Cambria Math" w:hAnsi="Cambria Math" w:cs="Cambria Math"/>
                <w:noProof/>
              </w:rPr>
              <w:t>‑</w:t>
            </w:r>
            <w:r w:rsidRPr="008A3FCA">
              <w:rPr>
                <w:rStyle w:val="Hyperlink"/>
                <w:noProof/>
              </w:rPr>
              <w:t>capital optimisation</w:t>
            </w:r>
            <w:r>
              <w:rPr>
                <w:noProof/>
                <w:webHidden/>
              </w:rPr>
              <w:tab/>
            </w:r>
            <w:r>
              <w:rPr>
                <w:noProof/>
                <w:webHidden/>
              </w:rPr>
              <w:fldChar w:fldCharType="begin"/>
            </w:r>
            <w:r>
              <w:rPr>
                <w:noProof/>
                <w:webHidden/>
              </w:rPr>
              <w:instrText xml:space="preserve"> PAGEREF _Toc227800356 \h </w:instrText>
            </w:r>
            <w:r>
              <w:rPr>
                <w:noProof/>
                <w:webHidden/>
              </w:rPr>
            </w:r>
            <w:r>
              <w:rPr>
                <w:noProof/>
                <w:webHidden/>
              </w:rPr>
              <w:fldChar w:fldCharType="separate"/>
            </w:r>
            <w:r>
              <w:rPr>
                <w:noProof/>
                <w:webHidden/>
              </w:rPr>
              <w:t>18</w:t>
            </w:r>
            <w:r>
              <w:rPr>
                <w:noProof/>
                <w:webHidden/>
              </w:rPr>
              <w:fldChar w:fldCharType="end"/>
            </w:r>
          </w:hyperlink>
        </w:p>
        <w:p w14:paraId="182DEA3C" w14:textId="26DE5DB9" w:rsidR="00DD4769" w:rsidRDefault="00DD4769" w:rsidP="00DD4769">
          <w:pPr>
            <w:pStyle w:val="rahul"/>
            <w:rPr>
              <w:rFonts w:asciiTheme="minorHAnsi" w:eastAsiaTheme="minorEastAsia" w:hAnsiTheme="minorHAnsi"/>
              <w:noProof/>
              <w:color w:val="auto"/>
              <w:lang w:eastAsia="en-IN"/>
            </w:rPr>
          </w:pPr>
          <w:hyperlink w:anchor="_Toc227800357" w:history="1">
            <w:r w:rsidRPr="008A3FCA">
              <w:rPr>
                <w:rStyle w:val="Hyperlink"/>
                <w:noProof/>
              </w:rPr>
              <w:t>4.3 DIVERSIFICATION AND ESG</w:t>
            </w:r>
            <w:r>
              <w:rPr>
                <w:noProof/>
                <w:webHidden/>
              </w:rPr>
              <w:tab/>
            </w:r>
            <w:r>
              <w:rPr>
                <w:noProof/>
                <w:webHidden/>
              </w:rPr>
              <w:fldChar w:fldCharType="begin"/>
            </w:r>
            <w:r>
              <w:rPr>
                <w:noProof/>
                <w:webHidden/>
              </w:rPr>
              <w:instrText xml:space="preserve"> PAGEREF _Toc227800357 \h </w:instrText>
            </w:r>
            <w:r>
              <w:rPr>
                <w:noProof/>
                <w:webHidden/>
              </w:rPr>
            </w:r>
            <w:r>
              <w:rPr>
                <w:noProof/>
                <w:webHidden/>
              </w:rPr>
              <w:fldChar w:fldCharType="separate"/>
            </w:r>
            <w:r>
              <w:rPr>
                <w:noProof/>
                <w:webHidden/>
              </w:rPr>
              <w:t>19</w:t>
            </w:r>
            <w:r>
              <w:rPr>
                <w:noProof/>
                <w:webHidden/>
              </w:rPr>
              <w:fldChar w:fldCharType="end"/>
            </w:r>
          </w:hyperlink>
        </w:p>
        <w:p w14:paraId="347FB6F2" w14:textId="0DECEBEB" w:rsidR="00DD4769" w:rsidRDefault="00DD4769" w:rsidP="00DD4769">
          <w:pPr>
            <w:pStyle w:val="rahul"/>
            <w:rPr>
              <w:rFonts w:asciiTheme="minorHAnsi" w:eastAsiaTheme="minorEastAsia" w:hAnsiTheme="minorHAnsi"/>
              <w:noProof/>
              <w:color w:val="auto"/>
              <w:lang w:eastAsia="en-IN"/>
            </w:rPr>
          </w:pPr>
          <w:hyperlink w:anchor="_Toc227800358" w:history="1">
            <w:r w:rsidRPr="008A3FCA">
              <w:rPr>
                <w:rStyle w:val="Hyperlink"/>
                <w:noProof/>
              </w:rPr>
              <w:t>5.0 Investment appraisal</w:t>
            </w:r>
            <w:r>
              <w:rPr>
                <w:noProof/>
                <w:webHidden/>
              </w:rPr>
              <w:tab/>
            </w:r>
            <w:r>
              <w:rPr>
                <w:noProof/>
                <w:webHidden/>
              </w:rPr>
              <w:fldChar w:fldCharType="begin"/>
            </w:r>
            <w:r>
              <w:rPr>
                <w:noProof/>
                <w:webHidden/>
              </w:rPr>
              <w:instrText xml:space="preserve"> PAGEREF _Toc227800358 \h </w:instrText>
            </w:r>
            <w:r>
              <w:rPr>
                <w:noProof/>
                <w:webHidden/>
              </w:rPr>
            </w:r>
            <w:r>
              <w:rPr>
                <w:noProof/>
                <w:webHidden/>
              </w:rPr>
              <w:fldChar w:fldCharType="separate"/>
            </w:r>
            <w:r>
              <w:rPr>
                <w:noProof/>
                <w:webHidden/>
              </w:rPr>
              <w:t>20</w:t>
            </w:r>
            <w:r>
              <w:rPr>
                <w:noProof/>
                <w:webHidden/>
              </w:rPr>
              <w:fldChar w:fldCharType="end"/>
            </w:r>
          </w:hyperlink>
        </w:p>
        <w:p w14:paraId="229A2FC4" w14:textId="469852B6" w:rsidR="00DD4769" w:rsidRDefault="00DD4769" w:rsidP="00DD4769">
          <w:pPr>
            <w:pStyle w:val="rahul"/>
            <w:rPr>
              <w:rFonts w:asciiTheme="minorHAnsi" w:eastAsiaTheme="minorEastAsia" w:hAnsiTheme="minorHAnsi"/>
              <w:noProof/>
              <w:color w:val="auto"/>
              <w:lang w:eastAsia="en-IN"/>
            </w:rPr>
          </w:pPr>
          <w:hyperlink w:anchor="_Toc227800359" w:history="1">
            <w:r w:rsidRPr="008A3FCA">
              <w:rPr>
                <w:rStyle w:val="Hyperlink"/>
                <w:noProof/>
              </w:rPr>
              <w:t>Assumptions and cash</w:t>
            </w:r>
            <w:r w:rsidRPr="008A3FCA">
              <w:rPr>
                <w:rStyle w:val="Hyperlink"/>
                <w:noProof/>
              </w:rPr>
              <w:noBreakHyphen/>
              <w:t>flow inputs</w:t>
            </w:r>
            <w:r>
              <w:rPr>
                <w:noProof/>
                <w:webHidden/>
              </w:rPr>
              <w:tab/>
            </w:r>
            <w:r>
              <w:rPr>
                <w:noProof/>
                <w:webHidden/>
              </w:rPr>
              <w:fldChar w:fldCharType="begin"/>
            </w:r>
            <w:r>
              <w:rPr>
                <w:noProof/>
                <w:webHidden/>
              </w:rPr>
              <w:instrText xml:space="preserve"> PAGEREF _Toc227800359 \h </w:instrText>
            </w:r>
            <w:r>
              <w:rPr>
                <w:noProof/>
                <w:webHidden/>
              </w:rPr>
            </w:r>
            <w:r>
              <w:rPr>
                <w:noProof/>
                <w:webHidden/>
              </w:rPr>
              <w:fldChar w:fldCharType="separate"/>
            </w:r>
            <w:r>
              <w:rPr>
                <w:noProof/>
                <w:webHidden/>
              </w:rPr>
              <w:t>20</w:t>
            </w:r>
            <w:r>
              <w:rPr>
                <w:noProof/>
                <w:webHidden/>
              </w:rPr>
              <w:fldChar w:fldCharType="end"/>
            </w:r>
          </w:hyperlink>
        </w:p>
        <w:p w14:paraId="1027417B" w14:textId="7BAF82A0" w:rsidR="00DD4769" w:rsidRDefault="00DD4769" w:rsidP="00DD4769">
          <w:pPr>
            <w:pStyle w:val="rahul"/>
            <w:rPr>
              <w:rFonts w:asciiTheme="minorHAnsi" w:eastAsiaTheme="minorEastAsia" w:hAnsiTheme="minorHAnsi"/>
              <w:noProof/>
              <w:color w:val="auto"/>
              <w:lang w:eastAsia="en-IN"/>
            </w:rPr>
          </w:pPr>
          <w:hyperlink w:anchor="_Toc227800360" w:history="1">
            <w:r w:rsidRPr="008A3FCA">
              <w:rPr>
                <w:rStyle w:val="Hyperlink"/>
                <w:noProof/>
              </w:rPr>
              <w:t>5.1 payback period</w:t>
            </w:r>
            <w:r>
              <w:rPr>
                <w:noProof/>
                <w:webHidden/>
              </w:rPr>
              <w:tab/>
            </w:r>
            <w:r>
              <w:rPr>
                <w:noProof/>
                <w:webHidden/>
              </w:rPr>
              <w:fldChar w:fldCharType="begin"/>
            </w:r>
            <w:r>
              <w:rPr>
                <w:noProof/>
                <w:webHidden/>
              </w:rPr>
              <w:instrText xml:space="preserve"> PAGEREF _Toc227800360 \h </w:instrText>
            </w:r>
            <w:r>
              <w:rPr>
                <w:noProof/>
                <w:webHidden/>
              </w:rPr>
            </w:r>
            <w:r>
              <w:rPr>
                <w:noProof/>
                <w:webHidden/>
              </w:rPr>
              <w:fldChar w:fldCharType="separate"/>
            </w:r>
            <w:r>
              <w:rPr>
                <w:noProof/>
                <w:webHidden/>
              </w:rPr>
              <w:t>20</w:t>
            </w:r>
            <w:r>
              <w:rPr>
                <w:noProof/>
                <w:webHidden/>
              </w:rPr>
              <w:fldChar w:fldCharType="end"/>
            </w:r>
          </w:hyperlink>
        </w:p>
        <w:p w14:paraId="4D07C5E7" w14:textId="1EEA749D" w:rsidR="00DD4769" w:rsidRDefault="00DD4769" w:rsidP="00DD4769">
          <w:pPr>
            <w:pStyle w:val="rahul"/>
            <w:rPr>
              <w:rFonts w:asciiTheme="minorHAnsi" w:eastAsiaTheme="minorEastAsia" w:hAnsiTheme="minorHAnsi"/>
              <w:noProof/>
              <w:color w:val="auto"/>
              <w:lang w:eastAsia="en-IN"/>
            </w:rPr>
          </w:pPr>
          <w:hyperlink w:anchor="_Toc227800361" w:history="1">
            <w:r w:rsidRPr="008A3FCA">
              <w:rPr>
                <w:rStyle w:val="Hyperlink"/>
                <w:noProof/>
              </w:rPr>
              <w:t>5.2 Accounting rate of return (ARR)</w:t>
            </w:r>
            <w:r>
              <w:rPr>
                <w:noProof/>
                <w:webHidden/>
              </w:rPr>
              <w:tab/>
            </w:r>
            <w:r>
              <w:rPr>
                <w:noProof/>
                <w:webHidden/>
              </w:rPr>
              <w:fldChar w:fldCharType="begin"/>
            </w:r>
            <w:r>
              <w:rPr>
                <w:noProof/>
                <w:webHidden/>
              </w:rPr>
              <w:instrText xml:space="preserve"> PAGEREF _Toc227800361 \h </w:instrText>
            </w:r>
            <w:r>
              <w:rPr>
                <w:noProof/>
                <w:webHidden/>
              </w:rPr>
            </w:r>
            <w:r>
              <w:rPr>
                <w:noProof/>
                <w:webHidden/>
              </w:rPr>
              <w:fldChar w:fldCharType="separate"/>
            </w:r>
            <w:r>
              <w:rPr>
                <w:noProof/>
                <w:webHidden/>
              </w:rPr>
              <w:t>21</w:t>
            </w:r>
            <w:r>
              <w:rPr>
                <w:noProof/>
                <w:webHidden/>
              </w:rPr>
              <w:fldChar w:fldCharType="end"/>
            </w:r>
          </w:hyperlink>
        </w:p>
        <w:p w14:paraId="3E400DED" w14:textId="458F8BDE" w:rsidR="00DD4769" w:rsidRDefault="00DD4769" w:rsidP="00DD4769">
          <w:pPr>
            <w:pStyle w:val="rahul"/>
            <w:rPr>
              <w:rFonts w:asciiTheme="minorHAnsi" w:eastAsiaTheme="minorEastAsia" w:hAnsiTheme="minorHAnsi"/>
              <w:noProof/>
              <w:color w:val="auto"/>
              <w:lang w:eastAsia="en-IN"/>
            </w:rPr>
          </w:pPr>
          <w:hyperlink w:anchor="_Toc227800362" w:history="1">
            <w:r w:rsidRPr="008A3FCA">
              <w:rPr>
                <w:rStyle w:val="Hyperlink"/>
                <w:noProof/>
              </w:rPr>
              <w:t>5.3 Net present value (NPV)</w:t>
            </w:r>
            <w:r>
              <w:rPr>
                <w:noProof/>
                <w:webHidden/>
              </w:rPr>
              <w:tab/>
            </w:r>
            <w:r>
              <w:rPr>
                <w:noProof/>
                <w:webHidden/>
              </w:rPr>
              <w:fldChar w:fldCharType="begin"/>
            </w:r>
            <w:r>
              <w:rPr>
                <w:noProof/>
                <w:webHidden/>
              </w:rPr>
              <w:instrText xml:space="preserve"> PAGEREF _Toc227800362 \h </w:instrText>
            </w:r>
            <w:r>
              <w:rPr>
                <w:noProof/>
                <w:webHidden/>
              </w:rPr>
            </w:r>
            <w:r>
              <w:rPr>
                <w:noProof/>
                <w:webHidden/>
              </w:rPr>
              <w:fldChar w:fldCharType="separate"/>
            </w:r>
            <w:r>
              <w:rPr>
                <w:noProof/>
                <w:webHidden/>
              </w:rPr>
              <w:t>21</w:t>
            </w:r>
            <w:r>
              <w:rPr>
                <w:noProof/>
                <w:webHidden/>
              </w:rPr>
              <w:fldChar w:fldCharType="end"/>
            </w:r>
          </w:hyperlink>
        </w:p>
        <w:p w14:paraId="3A63233A" w14:textId="21486355" w:rsidR="00DD4769" w:rsidRDefault="00DD4769" w:rsidP="00DD4769">
          <w:pPr>
            <w:pStyle w:val="rahul"/>
            <w:rPr>
              <w:rFonts w:asciiTheme="minorHAnsi" w:eastAsiaTheme="minorEastAsia" w:hAnsiTheme="minorHAnsi"/>
              <w:noProof/>
              <w:color w:val="auto"/>
              <w:lang w:eastAsia="en-IN"/>
            </w:rPr>
          </w:pPr>
          <w:hyperlink w:anchor="_Toc227800363" w:history="1">
            <w:r w:rsidRPr="008A3FCA">
              <w:rPr>
                <w:rStyle w:val="Hyperlink"/>
                <w:noProof/>
              </w:rPr>
              <w:t>5.4 Internal rate of return (IRR)</w:t>
            </w:r>
            <w:r>
              <w:rPr>
                <w:noProof/>
                <w:webHidden/>
              </w:rPr>
              <w:tab/>
            </w:r>
            <w:r>
              <w:rPr>
                <w:noProof/>
                <w:webHidden/>
              </w:rPr>
              <w:fldChar w:fldCharType="begin"/>
            </w:r>
            <w:r>
              <w:rPr>
                <w:noProof/>
                <w:webHidden/>
              </w:rPr>
              <w:instrText xml:space="preserve"> PAGEREF _Toc227800363 \h </w:instrText>
            </w:r>
            <w:r>
              <w:rPr>
                <w:noProof/>
                <w:webHidden/>
              </w:rPr>
            </w:r>
            <w:r>
              <w:rPr>
                <w:noProof/>
                <w:webHidden/>
              </w:rPr>
              <w:fldChar w:fldCharType="separate"/>
            </w:r>
            <w:r>
              <w:rPr>
                <w:noProof/>
                <w:webHidden/>
              </w:rPr>
              <w:t>21</w:t>
            </w:r>
            <w:r>
              <w:rPr>
                <w:noProof/>
                <w:webHidden/>
              </w:rPr>
              <w:fldChar w:fldCharType="end"/>
            </w:r>
          </w:hyperlink>
        </w:p>
        <w:p w14:paraId="084B31A7" w14:textId="2C436472" w:rsidR="00DD4769" w:rsidRDefault="00DD4769" w:rsidP="00DD4769">
          <w:pPr>
            <w:pStyle w:val="rahul"/>
            <w:rPr>
              <w:rFonts w:asciiTheme="minorHAnsi" w:eastAsiaTheme="minorEastAsia" w:hAnsiTheme="minorHAnsi"/>
              <w:noProof/>
              <w:color w:val="auto"/>
              <w:lang w:eastAsia="en-IN"/>
            </w:rPr>
          </w:pPr>
          <w:hyperlink w:anchor="_Toc227800364" w:history="1">
            <w:r w:rsidRPr="008A3FCA">
              <w:rPr>
                <w:rStyle w:val="Hyperlink"/>
                <w:noProof/>
              </w:rPr>
              <w:t>5.5 Profitability index (PI)</w:t>
            </w:r>
            <w:r>
              <w:rPr>
                <w:noProof/>
                <w:webHidden/>
              </w:rPr>
              <w:tab/>
            </w:r>
            <w:r>
              <w:rPr>
                <w:noProof/>
                <w:webHidden/>
              </w:rPr>
              <w:fldChar w:fldCharType="begin"/>
            </w:r>
            <w:r>
              <w:rPr>
                <w:noProof/>
                <w:webHidden/>
              </w:rPr>
              <w:instrText xml:space="preserve"> PAGEREF _Toc227800364 \h </w:instrText>
            </w:r>
            <w:r>
              <w:rPr>
                <w:noProof/>
                <w:webHidden/>
              </w:rPr>
            </w:r>
            <w:r>
              <w:rPr>
                <w:noProof/>
                <w:webHidden/>
              </w:rPr>
              <w:fldChar w:fldCharType="separate"/>
            </w:r>
            <w:r>
              <w:rPr>
                <w:noProof/>
                <w:webHidden/>
              </w:rPr>
              <w:t>21</w:t>
            </w:r>
            <w:r>
              <w:rPr>
                <w:noProof/>
                <w:webHidden/>
              </w:rPr>
              <w:fldChar w:fldCharType="end"/>
            </w:r>
          </w:hyperlink>
        </w:p>
        <w:p w14:paraId="47BC9561" w14:textId="004B5309" w:rsidR="00DD4769" w:rsidRDefault="00DD4769" w:rsidP="00DD4769">
          <w:pPr>
            <w:pStyle w:val="rahul"/>
            <w:rPr>
              <w:rFonts w:asciiTheme="minorHAnsi" w:eastAsiaTheme="minorEastAsia" w:hAnsiTheme="minorHAnsi"/>
              <w:noProof/>
              <w:color w:val="auto"/>
              <w:lang w:eastAsia="en-IN"/>
            </w:rPr>
          </w:pPr>
          <w:hyperlink w:anchor="_Toc227800365" w:history="1">
            <w:r w:rsidRPr="008A3FCA">
              <w:rPr>
                <w:rStyle w:val="Hyperlink"/>
                <w:noProof/>
              </w:rPr>
              <w:t>5.6 Investment appraisal summary</w:t>
            </w:r>
            <w:r>
              <w:rPr>
                <w:noProof/>
                <w:webHidden/>
              </w:rPr>
              <w:tab/>
            </w:r>
            <w:r>
              <w:rPr>
                <w:noProof/>
                <w:webHidden/>
              </w:rPr>
              <w:fldChar w:fldCharType="begin"/>
            </w:r>
            <w:r>
              <w:rPr>
                <w:noProof/>
                <w:webHidden/>
              </w:rPr>
              <w:instrText xml:space="preserve"> PAGEREF _Toc227800365 \h </w:instrText>
            </w:r>
            <w:r>
              <w:rPr>
                <w:noProof/>
                <w:webHidden/>
              </w:rPr>
            </w:r>
            <w:r>
              <w:rPr>
                <w:noProof/>
                <w:webHidden/>
              </w:rPr>
              <w:fldChar w:fldCharType="separate"/>
            </w:r>
            <w:r>
              <w:rPr>
                <w:noProof/>
                <w:webHidden/>
              </w:rPr>
              <w:t>22</w:t>
            </w:r>
            <w:r>
              <w:rPr>
                <w:noProof/>
                <w:webHidden/>
              </w:rPr>
              <w:fldChar w:fldCharType="end"/>
            </w:r>
          </w:hyperlink>
        </w:p>
        <w:p w14:paraId="28BB8F8B" w14:textId="4A5CEDB7" w:rsidR="00DD4769" w:rsidRDefault="00DD4769" w:rsidP="00DD4769">
          <w:pPr>
            <w:pStyle w:val="rahul"/>
            <w:rPr>
              <w:rFonts w:asciiTheme="minorHAnsi" w:eastAsiaTheme="minorEastAsia" w:hAnsiTheme="minorHAnsi"/>
              <w:noProof/>
              <w:color w:val="auto"/>
              <w:lang w:eastAsia="en-IN"/>
            </w:rPr>
          </w:pPr>
          <w:hyperlink w:anchor="_Toc227800366" w:history="1">
            <w:r w:rsidRPr="008A3FCA">
              <w:rPr>
                <w:rStyle w:val="Hyperlink"/>
                <w:noProof/>
              </w:rPr>
              <w:t>6.0 Risk analysis and mitigation</w:t>
            </w:r>
            <w:r>
              <w:rPr>
                <w:noProof/>
                <w:webHidden/>
              </w:rPr>
              <w:tab/>
            </w:r>
            <w:r>
              <w:rPr>
                <w:noProof/>
                <w:webHidden/>
              </w:rPr>
              <w:fldChar w:fldCharType="begin"/>
            </w:r>
            <w:r>
              <w:rPr>
                <w:noProof/>
                <w:webHidden/>
              </w:rPr>
              <w:instrText xml:space="preserve"> PAGEREF _Toc227800366 \h </w:instrText>
            </w:r>
            <w:r>
              <w:rPr>
                <w:noProof/>
                <w:webHidden/>
              </w:rPr>
            </w:r>
            <w:r>
              <w:rPr>
                <w:noProof/>
                <w:webHidden/>
              </w:rPr>
              <w:fldChar w:fldCharType="separate"/>
            </w:r>
            <w:r>
              <w:rPr>
                <w:noProof/>
                <w:webHidden/>
              </w:rPr>
              <w:t>23</w:t>
            </w:r>
            <w:r>
              <w:rPr>
                <w:noProof/>
                <w:webHidden/>
              </w:rPr>
              <w:fldChar w:fldCharType="end"/>
            </w:r>
          </w:hyperlink>
        </w:p>
        <w:p w14:paraId="3E7E9127" w14:textId="42BA6DB9" w:rsidR="00DD4769" w:rsidRDefault="00DD4769" w:rsidP="00DD4769">
          <w:pPr>
            <w:pStyle w:val="rahul"/>
            <w:rPr>
              <w:rFonts w:asciiTheme="minorHAnsi" w:eastAsiaTheme="minorEastAsia" w:hAnsiTheme="minorHAnsi"/>
              <w:noProof/>
              <w:color w:val="auto"/>
              <w:lang w:eastAsia="en-IN"/>
            </w:rPr>
          </w:pPr>
          <w:hyperlink w:anchor="_Toc227800367" w:history="1">
            <w:r w:rsidRPr="008A3FCA">
              <w:rPr>
                <w:rStyle w:val="Hyperlink"/>
                <w:noProof/>
              </w:rPr>
              <w:t>6.1 Operational and supply</w:t>
            </w:r>
            <w:r w:rsidRPr="008A3FCA">
              <w:rPr>
                <w:rStyle w:val="Hyperlink"/>
                <w:rFonts w:ascii="Cambria Math" w:hAnsi="Cambria Math" w:cs="Cambria Math"/>
                <w:noProof/>
              </w:rPr>
              <w:t>‑</w:t>
            </w:r>
            <w:r w:rsidRPr="008A3FCA">
              <w:rPr>
                <w:rStyle w:val="Hyperlink"/>
                <w:noProof/>
              </w:rPr>
              <w:t>chain risks</w:t>
            </w:r>
            <w:r>
              <w:rPr>
                <w:noProof/>
                <w:webHidden/>
              </w:rPr>
              <w:tab/>
            </w:r>
            <w:r>
              <w:rPr>
                <w:noProof/>
                <w:webHidden/>
              </w:rPr>
              <w:fldChar w:fldCharType="begin"/>
            </w:r>
            <w:r>
              <w:rPr>
                <w:noProof/>
                <w:webHidden/>
              </w:rPr>
              <w:instrText xml:space="preserve"> PAGEREF _Toc227800367 \h </w:instrText>
            </w:r>
            <w:r>
              <w:rPr>
                <w:noProof/>
                <w:webHidden/>
              </w:rPr>
            </w:r>
            <w:r>
              <w:rPr>
                <w:noProof/>
                <w:webHidden/>
              </w:rPr>
              <w:fldChar w:fldCharType="separate"/>
            </w:r>
            <w:r>
              <w:rPr>
                <w:noProof/>
                <w:webHidden/>
              </w:rPr>
              <w:t>23</w:t>
            </w:r>
            <w:r>
              <w:rPr>
                <w:noProof/>
                <w:webHidden/>
              </w:rPr>
              <w:fldChar w:fldCharType="end"/>
            </w:r>
          </w:hyperlink>
        </w:p>
        <w:p w14:paraId="18934DDA" w14:textId="56883046" w:rsidR="00DD4769" w:rsidRDefault="00DD4769" w:rsidP="00DD4769">
          <w:pPr>
            <w:pStyle w:val="rahul"/>
            <w:rPr>
              <w:rFonts w:asciiTheme="minorHAnsi" w:eastAsiaTheme="minorEastAsia" w:hAnsiTheme="minorHAnsi"/>
              <w:noProof/>
              <w:color w:val="auto"/>
              <w:lang w:eastAsia="en-IN"/>
            </w:rPr>
          </w:pPr>
          <w:hyperlink w:anchor="_Toc227800368" w:history="1">
            <w:r w:rsidRPr="008A3FCA">
              <w:rPr>
                <w:rStyle w:val="Hyperlink"/>
                <w:noProof/>
              </w:rPr>
              <w:t>6.2 Financial and liquidity risks</w:t>
            </w:r>
            <w:r>
              <w:rPr>
                <w:noProof/>
                <w:webHidden/>
              </w:rPr>
              <w:tab/>
            </w:r>
            <w:r>
              <w:rPr>
                <w:noProof/>
                <w:webHidden/>
              </w:rPr>
              <w:fldChar w:fldCharType="begin"/>
            </w:r>
            <w:r>
              <w:rPr>
                <w:noProof/>
                <w:webHidden/>
              </w:rPr>
              <w:instrText xml:space="preserve"> PAGEREF _Toc227800368 \h </w:instrText>
            </w:r>
            <w:r>
              <w:rPr>
                <w:noProof/>
                <w:webHidden/>
              </w:rPr>
            </w:r>
            <w:r>
              <w:rPr>
                <w:noProof/>
                <w:webHidden/>
              </w:rPr>
              <w:fldChar w:fldCharType="separate"/>
            </w:r>
            <w:r>
              <w:rPr>
                <w:noProof/>
                <w:webHidden/>
              </w:rPr>
              <w:t>23</w:t>
            </w:r>
            <w:r>
              <w:rPr>
                <w:noProof/>
                <w:webHidden/>
              </w:rPr>
              <w:fldChar w:fldCharType="end"/>
            </w:r>
          </w:hyperlink>
        </w:p>
        <w:p w14:paraId="661E5F03" w14:textId="388594F6" w:rsidR="00DD4769" w:rsidRDefault="00DD4769" w:rsidP="00DD4769">
          <w:pPr>
            <w:pStyle w:val="rahul"/>
            <w:rPr>
              <w:rFonts w:asciiTheme="minorHAnsi" w:eastAsiaTheme="minorEastAsia" w:hAnsiTheme="minorHAnsi"/>
              <w:noProof/>
              <w:color w:val="auto"/>
              <w:lang w:eastAsia="en-IN"/>
            </w:rPr>
          </w:pPr>
          <w:hyperlink w:anchor="_Toc227800369" w:history="1">
            <w:r w:rsidRPr="008A3FCA">
              <w:rPr>
                <w:rStyle w:val="Hyperlink"/>
                <w:noProof/>
              </w:rPr>
              <w:t>6.3 Regulatory and geopolitical risks</w:t>
            </w:r>
            <w:r>
              <w:rPr>
                <w:noProof/>
                <w:webHidden/>
              </w:rPr>
              <w:tab/>
            </w:r>
            <w:r>
              <w:rPr>
                <w:noProof/>
                <w:webHidden/>
              </w:rPr>
              <w:fldChar w:fldCharType="begin"/>
            </w:r>
            <w:r>
              <w:rPr>
                <w:noProof/>
                <w:webHidden/>
              </w:rPr>
              <w:instrText xml:space="preserve"> PAGEREF _Toc227800369 \h </w:instrText>
            </w:r>
            <w:r>
              <w:rPr>
                <w:noProof/>
                <w:webHidden/>
              </w:rPr>
            </w:r>
            <w:r>
              <w:rPr>
                <w:noProof/>
                <w:webHidden/>
              </w:rPr>
              <w:fldChar w:fldCharType="separate"/>
            </w:r>
            <w:r>
              <w:rPr>
                <w:noProof/>
                <w:webHidden/>
              </w:rPr>
              <w:t>23</w:t>
            </w:r>
            <w:r>
              <w:rPr>
                <w:noProof/>
                <w:webHidden/>
              </w:rPr>
              <w:fldChar w:fldCharType="end"/>
            </w:r>
          </w:hyperlink>
        </w:p>
        <w:p w14:paraId="362FE67C" w14:textId="45209835" w:rsidR="00DD4769" w:rsidRDefault="00DD4769" w:rsidP="00DD4769">
          <w:pPr>
            <w:pStyle w:val="rahul"/>
            <w:rPr>
              <w:rFonts w:asciiTheme="minorHAnsi" w:eastAsiaTheme="minorEastAsia" w:hAnsiTheme="minorHAnsi"/>
              <w:noProof/>
              <w:color w:val="auto"/>
              <w:lang w:eastAsia="en-IN"/>
            </w:rPr>
          </w:pPr>
          <w:hyperlink w:anchor="_Toc227800370" w:history="1">
            <w:r w:rsidRPr="008A3FCA">
              <w:rPr>
                <w:rStyle w:val="Hyperlink"/>
                <w:noProof/>
              </w:rPr>
              <w:t>6.4 Environmental and social risks</w:t>
            </w:r>
            <w:r>
              <w:rPr>
                <w:noProof/>
                <w:webHidden/>
              </w:rPr>
              <w:tab/>
            </w:r>
            <w:r>
              <w:rPr>
                <w:noProof/>
                <w:webHidden/>
              </w:rPr>
              <w:fldChar w:fldCharType="begin"/>
            </w:r>
            <w:r>
              <w:rPr>
                <w:noProof/>
                <w:webHidden/>
              </w:rPr>
              <w:instrText xml:space="preserve"> PAGEREF _Toc227800370 \h </w:instrText>
            </w:r>
            <w:r>
              <w:rPr>
                <w:noProof/>
                <w:webHidden/>
              </w:rPr>
            </w:r>
            <w:r>
              <w:rPr>
                <w:noProof/>
                <w:webHidden/>
              </w:rPr>
              <w:fldChar w:fldCharType="separate"/>
            </w:r>
            <w:r>
              <w:rPr>
                <w:noProof/>
                <w:webHidden/>
              </w:rPr>
              <w:t>24</w:t>
            </w:r>
            <w:r>
              <w:rPr>
                <w:noProof/>
                <w:webHidden/>
              </w:rPr>
              <w:fldChar w:fldCharType="end"/>
            </w:r>
          </w:hyperlink>
        </w:p>
        <w:p w14:paraId="66A9E834" w14:textId="45590F5C" w:rsidR="00DD4769" w:rsidRDefault="00DD4769" w:rsidP="00DD4769">
          <w:pPr>
            <w:pStyle w:val="rahul"/>
            <w:rPr>
              <w:rFonts w:asciiTheme="minorHAnsi" w:eastAsiaTheme="minorEastAsia" w:hAnsiTheme="minorHAnsi"/>
              <w:noProof/>
              <w:color w:val="auto"/>
              <w:lang w:eastAsia="en-IN"/>
            </w:rPr>
          </w:pPr>
          <w:hyperlink w:anchor="_Toc227800371" w:history="1">
            <w:r w:rsidRPr="008A3FCA">
              <w:rPr>
                <w:rStyle w:val="Hyperlink"/>
                <w:noProof/>
              </w:rPr>
              <w:t>7.0 Conclusion</w:t>
            </w:r>
            <w:r>
              <w:rPr>
                <w:noProof/>
                <w:webHidden/>
              </w:rPr>
              <w:tab/>
            </w:r>
            <w:r>
              <w:rPr>
                <w:noProof/>
                <w:webHidden/>
              </w:rPr>
              <w:fldChar w:fldCharType="begin"/>
            </w:r>
            <w:r>
              <w:rPr>
                <w:noProof/>
                <w:webHidden/>
              </w:rPr>
              <w:instrText xml:space="preserve"> PAGEREF _Toc227800371 \h </w:instrText>
            </w:r>
            <w:r>
              <w:rPr>
                <w:noProof/>
                <w:webHidden/>
              </w:rPr>
            </w:r>
            <w:r>
              <w:rPr>
                <w:noProof/>
                <w:webHidden/>
              </w:rPr>
              <w:fldChar w:fldCharType="separate"/>
            </w:r>
            <w:r>
              <w:rPr>
                <w:noProof/>
                <w:webHidden/>
              </w:rPr>
              <w:t>24</w:t>
            </w:r>
            <w:r>
              <w:rPr>
                <w:noProof/>
                <w:webHidden/>
              </w:rPr>
              <w:fldChar w:fldCharType="end"/>
            </w:r>
          </w:hyperlink>
        </w:p>
        <w:p w14:paraId="1F3E05D5" w14:textId="499A352B" w:rsidR="00DD4769" w:rsidRDefault="00DD4769" w:rsidP="00DD4769">
          <w:pPr>
            <w:pStyle w:val="rahul"/>
            <w:rPr>
              <w:rFonts w:asciiTheme="minorHAnsi" w:eastAsiaTheme="minorEastAsia" w:hAnsiTheme="minorHAnsi"/>
              <w:noProof/>
              <w:color w:val="auto"/>
              <w:lang w:eastAsia="en-IN"/>
            </w:rPr>
          </w:pPr>
          <w:hyperlink w:anchor="_Toc227800372" w:history="1">
            <w:r w:rsidRPr="008A3FCA">
              <w:rPr>
                <w:rStyle w:val="Hyperlink"/>
                <w:noProof/>
              </w:rPr>
              <w:t>8.0 References</w:t>
            </w:r>
            <w:r>
              <w:rPr>
                <w:noProof/>
                <w:webHidden/>
              </w:rPr>
              <w:tab/>
            </w:r>
            <w:r>
              <w:rPr>
                <w:noProof/>
                <w:webHidden/>
              </w:rPr>
              <w:fldChar w:fldCharType="begin"/>
            </w:r>
            <w:r>
              <w:rPr>
                <w:noProof/>
                <w:webHidden/>
              </w:rPr>
              <w:instrText xml:space="preserve"> PAGEREF _Toc227800372 \h </w:instrText>
            </w:r>
            <w:r>
              <w:rPr>
                <w:noProof/>
                <w:webHidden/>
              </w:rPr>
            </w:r>
            <w:r>
              <w:rPr>
                <w:noProof/>
                <w:webHidden/>
              </w:rPr>
              <w:fldChar w:fldCharType="separate"/>
            </w:r>
            <w:r>
              <w:rPr>
                <w:noProof/>
                <w:webHidden/>
              </w:rPr>
              <w:t>25</w:t>
            </w:r>
            <w:r>
              <w:rPr>
                <w:noProof/>
                <w:webHidden/>
              </w:rPr>
              <w:fldChar w:fldCharType="end"/>
            </w:r>
          </w:hyperlink>
        </w:p>
        <w:p w14:paraId="29728848" w14:textId="7F9C3853" w:rsidR="00DD4769" w:rsidRDefault="00DD4769" w:rsidP="00DD4769">
          <w:pPr>
            <w:pStyle w:val="rahul"/>
            <w:rPr>
              <w:rFonts w:asciiTheme="minorHAnsi" w:eastAsiaTheme="minorEastAsia" w:hAnsiTheme="minorHAnsi"/>
              <w:noProof/>
              <w:color w:val="auto"/>
              <w:lang w:eastAsia="en-IN"/>
            </w:rPr>
          </w:pPr>
          <w:hyperlink w:anchor="_Toc227800373" w:history="1">
            <w:r w:rsidRPr="008A3FCA">
              <w:rPr>
                <w:rStyle w:val="Hyperlink"/>
                <w:noProof/>
              </w:rPr>
              <w:t>14 Appendices</w:t>
            </w:r>
            <w:r>
              <w:rPr>
                <w:noProof/>
                <w:webHidden/>
              </w:rPr>
              <w:tab/>
            </w:r>
            <w:r>
              <w:rPr>
                <w:noProof/>
                <w:webHidden/>
              </w:rPr>
              <w:fldChar w:fldCharType="begin"/>
            </w:r>
            <w:r>
              <w:rPr>
                <w:noProof/>
                <w:webHidden/>
              </w:rPr>
              <w:instrText xml:space="preserve"> PAGEREF _Toc227800373 \h </w:instrText>
            </w:r>
            <w:r>
              <w:rPr>
                <w:noProof/>
                <w:webHidden/>
              </w:rPr>
            </w:r>
            <w:r>
              <w:rPr>
                <w:noProof/>
                <w:webHidden/>
              </w:rPr>
              <w:fldChar w:fldCharType="separate"/>
            </w:r>
            <w:r>
              <w:rPr>
                <w:noProof/>
                <w:webHidden/>
              </w:rPr>
              <w:t>26</w:t>
            </w:r>
            <w:r>
              <w:rPr>
                <w:noProof/>
                <w:webHidden/>
              </w:rPr>
              <w:fldChar w:fldCharType="end"/>
            </w:r>
          </w:hyperlink>
        </w:p>
        <w:p w14:paraId="29E30C12" w14:textId="0873E2C2" w:rsidR="00DD4769" w:rsidRDefault="00DD4769" w:rsidP="00DD4769">
          <w:pPr>
            <w:pStyle w:val="rahul"/>
            <w:rPr>
              <w:rFonts w:asciiTheme="minorHAnsi" w:eastAsiaTheme="minorEastAsia" w:hAnsiTheme="minorHAnsi"/>
              <w:noProof/>
              <w:color w:val="auto"/>
              <w:lang w:eastAsia="en-IN"/>
            </w:rPr>
          </w:pPr>
          <w:hyperlink w:anchor="_Toc227800374" w:history="1">
            <w:r w:rsidRPr="008A3FCA">
              <w:rPr>
                <w:rStyle w:val="Hyperlink"/>
                <w:noProof/>
              </w:rPr>
              <w:t>Appendix A – Illustrative charts and images</w:t>
            </w:r>
            <w:r>
              <w:rPr>
                <w:noProof/>
                <w:webHidden/>
              </w:rPr>
              <w:tab/>
            </w:r>
            <w:r>
              <w:rPr>
                <w:noProof/>
                <w:webHidden/>
              </w:rPr>
              <w:fldChar w:fldCharType="begin"/>
            </w:r>
            <w:r>
              <w:rPr>
                <w:noProof/>
                <w:webHidden/>
              </w:rPr>
              <w:instrText xml:space="preserve"> PAGEREF _Toc227800374 \h </w:instrText>
            </w:r>
            <w:r>
              <w:rPr>
                <w:noProof/>
                <w:webHidden/>
              </w:rPr>
            </w:r>
            <w:r>
              <w:rPr>
                <w:noProof/>
                <w:webHidden/>
              </w:rPr>
              <w:fldChar w:fldCharType="separate"/>
            </w:r>
            <w:r>
              <w:rPr>
                <w:noProof/>
                <w:webHidden/>
              </w:rPr>
              <w:t>26</w:t>
            </w:r>
            <w:r>
              <w:rPr>
                <w:noProof/>
                <w:webHidden/>
              </w:rPr>
              <w:fldChar w:fldCharType="end"/>
            </w:r>
          </w:hyperlink>
        </w:p>
        <w:p w14:paraId="0652E72F" w14:textId="7C163DF0" w:rsidR="00DD4769" w:rsidRDefault="00DD4769" w:rsidP="00DD4769">
          <w:pPr>
            <w:pStyle w:val="rahul"/>
            <w:rPr>
              <w:rFonts w:asciiTheme="minorHAnsi" w:eastAsiaTheme="minorEastAsia" w:hAnsiTheme="minorHAnsi"/>
              <w:noProof/>
              <w:color w:val="auto"/>
              <w:lang w:eastAsia="en-IN"/>
            </w:rPr>
          </w:pPr>
          <w:hyperlink w:anchor="_Toc227800375" w:history="1">
            <w:r w:rsidRPr="008A3FCA">
              <w:rPr>
                <w:rStyle w:val="Hyperlink"/>
                <w:noProof/>
              </w:rPr>
              <w:t>Appendix B – Ratio calculations worksheet</w:t>
            </w:r>
            <w:r>
              <w:rPr>
                <w:noProof/>
                <w:webHidden/>
              </w:rPr>
              <w:tab/>
            </w:r>
            <w:r>
              <w:rPr>
                <w:noProof/>
                <w:webHidden/>
              </w:rPr>
              <w:fldChar w:fldCharType="begin"/>
            </w:r>
            <w:r>
              <w:rPr>
                <w:noProof/>
                <w:webHidden/>
              </w:rPr>
              <w:instrText xml:space="preserve"> PAGEREF _Toc227800375 \h </w:instrText>
            </w:r>
            <w:r>
              <w:rPr>
                <w:noProof/>
                <w:webHidden/>
              </w:rPr>
            </w:r>
            <w:r>
              <w:rPr>
                <w:noProof/>
                <w:webHidden/>
              </w:rPr>
              <w:fldChar w:fldCharType="separate"/>
            </w:r>
            <w:r>
              <w:rPr>
                <w:noProof/>
                <w:webHidden/>
              </w:rPr>
              <w:t>30</w:t>
            </w:r>
            <w:r>
              <w:rPr>
                <w:noProof/>
                <w:webHidden/>
              </w:rPr>
              <w:fldChar w:fldCharType="end"/>
            </w:r>
          </w:hyperlink>
        </w:p>
        <w:p w14:paraId="4D038E0C" w14:textId="7C531B37" w:rsidR="00DD4769" w:rsidRDefault="00DD4769" w:rsidP="00DD4769">
          <w:pPr>
            <w:pStyle w:val="rahul"/>
          </w:pPr>
          <w:r>
            <w:rPr>
              <w:b/>
              <w:bCs/>
              <w:noProof/>
            </w:rPr>
            <w:fldChar w:fldCharType="end"/>
          </w:r>
        </w:p>
      </w:sdtContent>
    </w:sdt>
    <w:p w14:paraId="51105E2B" w14:textId="2B23B1CF" w:rsidR="00D61D70" w:rsidRDefault="00F46F1B" w:rsidP="00F46F1B">
      <w:pPr>
        <w:pStyle w:val="Title"/>
        <w:tabs>
          <w:tab w:val="left" w:pos="3840"/>
        </w:tabs>
      </w:pPr>
      <w:r>
        <w:tab/>
      </w:r>
    </w:p>
    <w:p w14:paraId="0806DCC4" w14:textId="7BF96EFC" w:rsidR="00F46F1B" w:rsidRPr="00F46F1B" w:rsidRDefault="00F46F1B" w:rsidP="00F46F1B">
      <w:pPr>
        <w:tabs>
          <w:tab w:val="left" w:pos="3840"/>
        </w:tabs>
        <w:sectPr w:rsidR="00F46F1B" w:rsidRPr="00F46F1B">
          <w:pgSz w:w="11906" w:h="16838"/>
          <w:pgMar w:top="1440" w:right="1440" w:bottom="1440" w:left="1440" w:header="708" w:footer="708" w:gutter="0"/>
          <w:cols w:space="708"/>
          <w:docGrid w:linePitch="360"/>
        </w:sectPr>
      </w:pPr>
      <w:r>
        <w:tab/>
      </w:r>
    </w:p>
    <w:p w14:paraId="114618F6" w14:textId="24186A87" w:rsidR="00D61D70" w:rsidRDefault="00DD4769" w:rsidP="00DD4769">
      <w:pPr>
        <w:pStyle w:val="Heading2"/>
      </w:pPr>
      <w:bookmarkStart w:id="0" w:name="_Toc227800338"/>
      <w:r>
        <w:lastRenderedPageBreak/>
        <w:t xml:space="preserve">1.1 </w:t>
      </w:r>
      <w:r w:rsidR="00D61D70" w:rsidRPr="00D61D70">
        <w:t>Introduction</w:t>
      </w:r>
      <w:bookmarkEnd w:id="0"/>
    </w:p>
    <w:p w14:paraId="2F355508" w14:textId="5952BF67" w:rsidR="0086234B" w:rsidRDefault="0086234B" w:rsidP="0086234B">
      <w:pPr>
        <w:pStyle w:val="FirstParagraph"/>
      </w:pPr>
      <w:r>
        <w:t xml:space="preserve">The submitted BYD report already has two valuable foundations: it </w:t>
      </w:r>
      <w:proofErr w:type="spellStart"/>
      <w:r w:rsidR="00CF3CDF">
        <w:t>recognises</w:t>
      </w:r>
      <w:proofErr w:type="spellEnd"/>
      <w:r>
        <w:t xml:space="preserve"> BYD’s rise as a vertically integrated new-energy vehicle business, and it includes six original visuals that </w:t>
      </w:r>
      <w:r w:rsidR="00012C5C">
        <w:t xml:space="preserve">could still support the final submission if </w:t>
      </w:r>
      <w:r>
        <w:t>kept unchanged. However, to move into a 70+ range in a UK university context, the report needs a clearer academic frame, less unsupported forecasting, stronger use of primary evidence, explicit critical judgement, and tighter links between theory and practice. In particular, the current draft relies too heavily on projected 2026 numbers presented as if they were facts, while the latest audited full-year company data available at the date of writing are for 2025. The rewrite below</w:t>
      </w:r>
      <w:r w:rsidR="00012C5C">
        <w:t>,</w:t>
      </w:r>
      <w:r>
        <w:t xml:space="preserve"> therefore</w:t>
      </w:r>
      <w:r w:rsidR="00012C5C">
        <w:t>,</w:t>
      </w:r>
      <w:r>
        <w:t xml:space="preserve"> keeps the best elements of the original submission, uses the user’s BYD PDF as the primary structural base, draws on the Toyota paper only for sectioning discipline, and replaces weak or speculative claims with evidence-led analysis </w:t>
      </w:r>
      <w:hyperlink r:id="rId8" w:history="1">
        <w:r>
          <w:rPr>
            <w:rStyle w:val="Hyperlink"/>
            <w:u w:val="single"/>
          </w:rPr>
          <w:t>[1]</w:t>
        </w:r>
      </w:hyperlink>
    </w:p>
    <w:p w14:paraId="2C0BEB20" w14:textId="77777777" w:rsidR="0086234B" w:rsidRDefault="0086234B" w:rsidP="0086234B">
      <w:pPr>
        <w:pStyle w:val="BodyText"/>
      </w:pPr>
      <w:r>
        <w:t xml:space="preserve">Substantively, BYD remains one of the most important firms in the global EV transition. It was founded in 1994, now operates across automobiles, batteries, electronics and related new-energy activities, has more than 30 industrial parks worldwide, and presents itself as a provider of zero-emission energy solutions rather than only a carmaker. Official 2025 annual results show revenue of RMB 803.96 billion and profit attributable to owners of the parent of RMB 32.62 billion, following a stronger 2024 in which revenue reached RMB 777.10 billion and attributable profit RMB 40.25 billion. This means the central strategic question is no longer whether BYD can scale, but whether it can preserve margin quality, improve overseas execution, and strengthen ESG credibility while competition intensifies. </w:t>
      </w:r>
      <w:hyperlink r:id="rId9" w:history="1">
        <w:r>
          <w:rPr>
            <w:rStyle w:val="Hyperlink"/>
            <w:u w:val="single"/>
          </w:rPr>
          <w:t>[2]</w:t>
        </w:r>
      </w:hyperlink>
    </w:p>
    <w:p w14:paraId="6047EE95" w14:textId="420B9D99" w:rsidR="0086234B" w:rsidRDefault="0086234B" w:rsidP="0086234B">
      <w:pPr>
        <w:pStyle w:val="BodyText"/>
      </w:pPr>
      <w:r>
        <w:t xml:space="preserve">The external market context is </w:t>
      </w:r>
      <w:proofErr w:type="spellStart"/>
      <w:r>
        <w:t>favourable</w:t>
      </w:r>
      <w:proofErr w:type="spellEnd"/>
      <w:r>
        <w:t xml:space="preserve"> in volume terms but tougher in profitability terms. The International Energy Agency</w:t>
      </w:r>
      <w:hyperlink r:id="rId10" w:history="1">
        <w:r>
          <w:rPr>
            <w:rStyle w:val="Hyperlink"/>
            <w:u w:val="single"/>
          </w:rPr>
          <w:t>[3]</w:t>
        </w:r>
      </w:hyperlink>
      <w:r>
        <w:t xml:space="preserve"> reports that global electric car sales exceeded 17 million in 2024 and that more than 20% of all cars sold worldwide were electric. In the United Kingdom</w:t>
      </w:r>
      <w:hyperlink r:id="rId11" w:history="1">
        <w:r>
          <w:rPr>
            <w:rStyle w:val="Hyperlink"/>
            <w:u w:val="single"/>
          </w:rPr>
          <w:t>[4]</w:t>
        </w:r>
      </w:hyperlink>
      <w:r>
        <w:t>, the Society of Motor Manufacturers and Traders</w:t>
      </w:r>
      <w:hyperlink r:id="rId12" w:history="1">
        <w:r>
          <w:rPr>
            <w:rStyle w:val="Hyperlink"/>
            <w:u w:val="single"/>
          </w:rPr>
          <w:t>[5]</w:t>
        </w:r>
      </w:hyperlink>
      <w:r>
        <w:t xml:space="preserve"> reports that the new-car market exceeded two million units in 2025 and that battery-electric vehicles accounted for 23.4% of registrations. BYD’s own UK releases state that it registered 51,422 vehicles in 2025 for a 2.55% full-year market share, then 21,337 units in the first quarter of 2026 alone. These figures support a strong strategic conclusion: BYD’s growth story is real, but the next phase depends less on sheer unit expansion and more on disciplined international scaling, technology differentiation, and responsible supply-chain governance. </w:t>
      </w:r>
      <w:hyperlink r:id="rId13" w:history="1">
        <w:r>
          <w:rPr>
            <w:rStyle w:val="Hyperlink"/>
            <w:u w:val="single"/>
          </w:rPr>
          <w:t>[6]</w:t>
        </w:r>
      </w:hyperlink>
      <w:r>
        <w:t xml:space="preserve"> </w:t>
      </w:r>
    </w:p>
    <w:p w14:paraId="683FC9EB" w14:textId="61E99700" w:rsidR="0086234B" w:rsidRDefault="0086234B" w:rsidP="0086234B">
      <w:pPr>
        <w:pStyle w:val="FirstParagraph"/>
      </w:pPr>
      <w:r>
        <w:t xml:space="preserve">BYD’s financial strength, </w:t>
      </w:r>
      <w:r w:rsidR="00012C5C">
        <w:t>technological base, and international strategy amount to a durable competitive advantage, and to assess</w:t>
      </w:r>
      <w:r>
        <w:t xml:space="preserve"> the key risks that could weaken that advantage. A second objective is methodological: every major section should begin with a clear argument, test that argument against evidence, introduce at least one counterpoint, and end with a reasoned judgement rather than description alone. That is the difference between a competent draft and a strong university script. </w:t>
      </w:r>
      <w:hyperlink r:id="rId14" w:history="1">
        <w:r>
          <w:rPr>
            <w:rStyle w:val="Hyperlink"/>
            <w:u w:val="single"/>
          </w:rPr>
          <w:t>[7]</w:t>
        </w:r>
      </w:hyperlink>
    </w:p>
    <w:p w14:paraId="72323767" w14:textId="35A2D9D6" w:rsidR="0086234B" w:rsidRDefault="0086234B" w:rsidP="0086234B">
      <w:pPr>
        <w:pStyle w:val="BodyText"/>
      </w:pPr>
      <w:r>
        <w:t xml:space="preserve">The evidence hierarchy used here is suitable for either Harvard or APA referencing in most UK universities. Primary and official sources come first: BYD annual results and annual reports, BYD UK releases, the BYD sustainability portal, UK government statistics, and SMMT market data. Academic studies are then used to connect theory to </w:t>
      </w:r>
      <w:r>
        <w:lastRenderedPageBreak/>
        <w:t xml:space="preserve">practice, especially </w:t>
      </w:r>
      <w:r w:rsidR="00012C5C">
        <w:t>in the areas of lifecycle emissions, battery circularity,</w:t>
      </w:r>
      <w:r>
        <w:t xml:space="preserve"> and vertical integration. News sources are used only where very recent developments, such as 2025 annual results performance and 2026 market conditions, are not yet fully reflected in longer-form official publications. </w:t>
      </w:r>
      <w:hyperlink r:id="rId15" w:history="1">
        <w:r>
          <w:rPr>
            <w:rStyle w:val="Hyperlink"/>
            <w:u w:val="single"/>
          </w:rPr>
          <w:t>[8]</w:t>
        </w:r>
      </w:hyperlink>
    </w:p>
    <w:p w14:paraId="59821BD3" w14:textId="02F1A408" w:rsidR="0086234B" w:rsidRDefault="0086234B" w:rsidP="0086234B">
      <w:pPr>
        <w:pStyle w:val="BodyText"/>
      </w:pPr>
      <w:r>
        <w:t>The original figures should remain unchanged. In a formatted submission, they should be inserted in the same sequence and with the same captions as the user’s PDF. The mapping below preserves the original visual record while improving the surrounding analysis.</w:t>
      </w:r>
      <w:r w:rsidR="006B6DB8">
        <w:t xml:space="preserve"> </w:t>
      </w:r>
    </w:p>
    <w:p w14:paraId="7DE23152" w14:textId="49BAB6B0" w:rsidR="006B6DB8" w:rsidRDefault="006B6DB8" w:rsidP="006B6DB8">
      <w:pPr>
        <w:pStyle w:val="FirstParagraph"/>
      </w:pPr>
      <w:r>
        <w:t xml:space="preserve">BYD’s corporate story is academically interesting because it combines late </w:t>
      </w:r>
      <w:proofErr w:type="spellStart"/>
      <w:r>
        <w:t>industrialisation</w:t>
      </w:r>
      <w:proofErr w:type="spellEnd"/>
      <w:r>
        <w:t>, vertical integration and strategic timing. Founded in 1994 by Wang Chuanfu</w:t>
      </w:r>
      <w:hyperlink r:id="rId16" w:history="1">
        <w:r>
          <w:rPr>
            <w:rStyle w:val="Hyperlink"/>
            <w:u w:val="single"/>
          </w:rPr>
          <w:t>[9]</w:t>
        </w:r>
      </w:hyperlink>
      <w:r>
        <w:t xml:space="preserve"> as a rechargeable-battery company, BYD later moved into autos and now describes itself as a multinational high-tech company spanning automobiles, rail transit, electronics and new energy. Its official “better life” mission and “zero-emission energy solutions” framing matter analytically because they position the firm as a systems business rather than a single-product manufacturer: batteries, power electronics, energy storage and vehicles are intended to reinforce one another. That strategic architecture helps explain why BYD has been able to scale quickly </w:t>
      </w:r>
      <w:r w:rsidR="00012C5C">
        <w:t>while still retaining control over key technologies such as batteries, electric motors, electronic controllers,</w:t>
      </w:r>
      <w:r>
        <w:t xml:space="preserve"> and automotive semiconductors. </w:t>
      </w:r>
      <w:hyperlink r:id="rId17" w:history="1">
        <w:r>
          <w:rPr>
            <w:rStyle w:val="Hyperlink"/>
            <w:u w:val="single"/>
          </w:rPr>
          <w:t>[10]</w:t>
        </w:r>
      </w:hyperlink>
    </w:p>
    <w:p w14:paraId="698B095A" w14:textId="53A002A3" w:rsidR="006B6DB8" w:rsidRDefault="006B6DB8" w:rsidP="006B6DB8">
      <w:pPr>
        <w:pStyle w:val="BodyText"/>
      </w:pPr>
      <w:r>
        <w:t xml:space="preserve">The revised report should make the corporate structure explicit. BYD Auto is the automotive subsidiary, but the wider group also has businesses in batteries, electronics and other new-energy activities. Official material also stresses more than 30 industrial parks worldwide and a footprint spanning six continents, over 100 countries and more than 400 cities. In exam terms, this matters because it lets the student move from </w:t>
      </w:r>
      <w:r w:rsidR="00012C5C">
        <w:t xml:space="preserve">a </w:t>
      </w:r>
      <w:r>
        <w:t xml:space="preserve">simple “company overview” description to a resource-based view argument: BYD’s advantage is not only low cost, but also control over complementary assets across the value chain. At the same time, that same structure raises coordination risk, capital intensity and governance complexity, so it should not be treated as an unqualified strength. </w:t>
      </w:r>
      <w:hyperlink r:id="rId18" w:history="1">
        <w:r>
          <w:rPr>
            <w:rStyle w:val="Hyperlink"/>
            <w:u w:val="single"/>
          </w:rPr>
          <w:t>[11]</w:t>
        </w:r>
      </w:hyperlink>
    </w:p>
    <w:p w14:paraId="11984D97" w14:textId="05F80B3D" w:rsidR="006B6DB8" w:rsidRDefault="006B6DB8" w:rsidP="0086234B">
      <w:pPr>
        <w:pStyle w:val="BodyText"/>
      </w:pPr>
      <w:r>
        <w:rPr>
          <w:noProof/>
          <w14:ligatures w14:val="standardContextual"/>
        </w:rPr>
        <w:drawing>
          <wp:inline distT="0" distB="0" distL="0" distR="0" wp14:anchorId="17D3CAF3" wp14:editId="65FD8FC5">
            <wp:extent cx="5731510" cy="2788920"/>
            <wp:effectExtent l="0" t="0" r="0" b="0"/>
            <wp:docPr id="18939494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949458" name="Picture 189394945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788920"/>
                    </a:xfrm>
                    <a:prstGeom prst="rect">
                      <a:avLst/>
                    </a:prstGeom>
                  </pic:spPr>
                </pic:pic>
              </a:graphicData>
            </a:graphic>
          </wp:inline>
        </w:drawing>
      </w:r>
    </w:p>
    <w:p w14:paraId="0A371809" w14:textId="77777777" w:rsidR="00CF3CDF" w:rsidRDefault="00CF3CDF" w:rsidP="00D61D70">
      <w:pPr>
        <w:pStyle w:val="rahul"/>
        <w:sectPr w:rsidR="00CF3CDF">
          <w:pgSz w:w="11906" w:h="16838"/>
          <w:pgMar w:top="1440" w:right="1440" w:bottom="1440" w:left="1440" w:header="708" w:footer="708" w:gutter="0"/>
          <w:cols w:space="708"/>
          <w:docGrid w:linePitch="360"/>
        </w:sectPr>
      </w:pPr>
    </w:p>
    <w:p w14:paraId="7EA1D022" w14:textId="77777777" w:rsidR="00CF3CDF" w:rsidRDefault="006B6DB8" w:rsidP="00D61D70">
      <w:pPr>
        <w:pStyle w:val="rahul"/>
        <w:sectPr w:rsidR="00CF3CDF">
          <w:pgSz w:w="11906" w:h="16838"/>
          <w:pgMar w:top="1440" w:right="1440" w:bottom="1440" w:left="1440" w:header="708" w:footer="708" w:gutter="0"/>
          <w:cols w:space="708"/>
          <w:docGrid w:linePitch="360"/>
        </w:sectPr>
      </w:pPr>
      <w:r>
        <w:rPr>
          <w:noProof/>
        </w:rPr>
        <w:lastRenderedPageBreak/>
        <w:drawing>
          <wp:anchor distT="0" distB="0" distL="114300" distR="114300" simplePos="0" relativeHeight="251651584" behindDoc="0" locked="0" layoutInCell="1" allowOverlap="1" wp14:anchorId="37D2EE47" wp14:editId="516BABD4">
            <wp:simplePos x="0" y="0"/>
            <wp:positionH relativeFrom="column">
              <wp:posOffset>228600</wp:posOffset>
            </wp:positionH>
            <wp:positionV relativeFrom="paragraph">
              <wp:posOffset>607695</wp:posOffset>
            </wp:positionV>
            <wp:extent cx="5731510" cy="8252460"/>
            <wp:effectExtent l="0" t="0" r="2540" b="0"/>
            <wp:wrapTopAndBottom/>
            <wp:docPr id="1115238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238930" name="Picture 1115238930"/>
                    <pic:cNvPicPr/>
                  </pic:nvPicPr>
                  <pic:blipFill>
                    <a:blip r:embed="rId20">
                      <a:extLst>
                        <a:ext uri="{28A0092B-C50C-407E-A947-70E740481C1C}">
                          <a14:useLocalDpi xmlns:a14="http://schemas.microsoft.com/office/drawing/2010/main" val="0"/>
                        </a:ext>
                      </a:extLst>
                    </a:blip>
                    <a:stretch>
                      <a:fillRect/>
                    </a:stretch>
                  </pic:blipFill>
                  <pic:spPr>
                    <a:xfrm>
                      <a:off x="0" y="0"/>
                      <a:ext cx="5731510" cy="8252460"/>
                    </a:xfrm>
                    <a:prstGeom prst="rect">
                      <a:avLst/>
                    </a:prstGeom>
                  </pic:spPr>
                </pic:pic>
              </a:graphicData>
            </a:graphic>
            <wp14:sizeRelH relativeFrom="page">
              <wp14:pctWidth>0</wp14:pctWidth>
            </wp14:sizeRelH>
            <wp14:sizeRelV relativeFrom="page">
              <wp14:pctHeight>0</wp14:pctHeight>
            </wp14:sizeRelV>
          </wp:anchor>
        </w:drawing>
      </w:r>
    </w:p>
    <w:p w14:paraId="28B78DB5" w14:textId="4D39841F" w:rsidR="00D61D70" w:rsidRDefault="00012C5C" w:rsidP="00012C5C">
      <w:pPr>
        <w:pStyle w:val="Heading2"/>
      </w:pPr>
      <w:bookmarkStart w:id="1" w:name="_Toc227800339"/>
      <w:r>
        <w:lastRenderedPageBreak/>
        <w:t>2. Financial Health</w:t>
      </w:r>
      <w:bookmarkEnd w:id="1"/>
      <w:r>
        <w:t xml:space="preserve"> </w:t>
      </w:r>
    </w:p>
    <w:p w14:paraId="1E2741CC" w14:textId="5314BA45" w:rsidR="00012C5C" w:rsidRDefault="00012C5C" w:rsidP="00012C5C">
      <w:pPr>
        <w:pStyle w:val="rahul"/>
      </w:pPr>
      <w:r>
        <w:t xml:space="preserve">Full Text: BYD Company Limited (Build Your Dreams) has been on a remarkable journey from a relatively small maker of rechargeable batteries in the mid-1990s to the world’s best-selling new-energy vehicle (NEV) manufacturer by the 2020s. BYD has had tremendous adaptability, which was demonstrated during the pandemic as the company ramped up </w:t>
      </w:r>
      <w:proofErr w:type="gramStart"/>
      <w:r>
        <w:t>its</w:t>
      </w:r>
      <w:proofErr w:type="gramEnd"/>
      <w:r>
        <w:t xml:space="preserve"> manufacturing to manufacture masks and assist in controlling the pandemic. Today, BYD is one of the leading green companies in the world, demonstrating excellence in battery manufacturing, electric vehicles, and solar energy. BYD’s green energy portfolio is expected to reach sales of US$ 5 million by 2025</w:t>
      </w:r>
    </w:p>
    <w:p w14:paraId="6313F6AA" w14:textId="77777777" w:rsidR="00012C5C" w:rsidRDefault="00012C5C" w:rsidP="00012C5C">
      <w:pPr>
        <w:pStyle w:val="rahul"/>
      </w:pPr>
    </w:p>
    <w:p w14:paraId="0FEAC382" w14:textId="43714BB8" w:rsidR="00012C5C" w:rsidRDefault="00012C5C" w:rsidP="00012C5C">
      <w:pPr>
        <w:pStyle w:val="rahul"/>
      </w:pPr>
      <w:r>
        <w:t>The Author of the BYD Company Report</w:t>
      </w:r>
    </w:p>
    <w:p w14:paraId="3C5B0D58" w14:textId="77777777" w:rsidR="00012C5C" w:rsidRDefault="00012C5C" w:rsidP="00012C5C">
      <w:pPr>
        <w:pStyle w:val="rahul"/>
      </w:pPr>
      <w:r>
        <w:t>The report on BYD Company was compiled by the talented team at Business Teacher. They work tirelessly to empower students with the skills necessary to create and deliver original and authentic custom presentations, reports, and writing tasks</w:t>
      </w:r>
    </w:p>
    <w:p w14:paraId="0C1BCEE0" w14:textId="77777777" w:rsidR="00012C5C" w:rsidRDefault="00012C5C" w:rsidP="00012C5C">
      <w:pPr>
        <w:pStyle w:val="rahul"/>
      </w:pPr>
    </w:p>
    <w:p w14:paraId="21DC1C0D" w14:textId="68AEFC31" w:rsidR="00012C5C" w:rsidRDefault="00012C5C" w:rsidP="00012C5C">
      <w:pPr>
        <w:pStyle w:val="rahul"/>
      </w:pPr>
      <w:r>
        <w:t>Limitations of the BYD Company Report</w:t>
      </w:r>
    </w:p>
    <w:p w14:paraId="142CECCD" w14:textId="77777777" w:rsidR="00012C5C" w:rsidRDefault="00012C5C" w:rsidP="00012C5C">
      <w:pPr>
        <w:pStyle w:val="rahul"/>
      </w:pPr>
      <w:r>
        <w:t>The report on BYD Company can only be used for reference purposes. Readers must remember that the design and structure of this document cannot offer a handy solution to the same case. There may be variance owing to the differences in individual case requirements.</w:t>
      </w:r>
    </w:p>
    <w:p w14:paraId="1A85324B" w14:textId="77777777" w:rsidR="00012C5C" w:rsidRDefault="00012C5C" w:rsidP="00012C5C">
      <w:pPr>
        <w:pStyle w:val="rahul"/>
      </w:pPr>
    </w:p>
    <w:p w14:paraId="02E7151B" w14:textId="77777777" w:rsidR="00012C5C" w:rsidRDefault="00012C5C" w:rsidP="00012C5C">
      <w:pPr>
        <w:pStyle w:val="rahul"/>
      </w:pPr>
      <w:r>
        <w:t>Related Reports</w:t>
      </w:r>
    </w:p>
    <w:p w14:paraId="76216693" w14:textId="4D641170" w:rsidR="00012C5C" w:rsidRDefault="00012C5C" w:rsidP="00012C5C">
      <w:pPr>
        <w:pStyle w:val="rahul"/>
      </w:pPr>
      <w:r>
        <w:t xml:space="preserve">You can check our case study analysis of Mercedes-Benz. It presented the part of the introduction BYD section of the BYD Company Limited, which refers to the history of BYD, a diversified product mix, and the strategic backdrop that has led to the meteoric rise of this company. Wang </w:t>
      </w:r>
      <w:proofErr w:type="spellStart"/>
      <w:r>
        <w:t>Chuanfu</w:t>
      </w:r>
      <w:proofErr w:type="spellEnd"/>
      <w:r>
        <w:t xml:space="preserve"> founded BYD in 1995, initially offering its rechargeable batteries to a mobile phone maker.  After this, BYD went on to purchase </w:t>
      </w:r>
      <w:proofErr w:type="spellStart"/>
      <w:r>
        <w:t>Qinchuan</w:t>
      </w:r>
      <w:proofErr w:type="spellEnd"/>
      <w:r>
        <w:t xml:space="preserve"> Auto in 2002 giving it an automotive platform. The next 20 years saw BYD building vertically integrated capabilities in batteries, motors, electronic control systems, and even semiconductors. The capacity of vertical integration significantly aided the development of sub-brands e.g. The latest series of Dynasty (Han, Tang, Qin, Song, Yuan), Ocean (Dolphin, Seal, Atto 3), the Denza joint venture with Daimler, ultra-luxury EVs </w:t>
      </w:r>
      <w:proofErr w:type="spellStart"/>
      <w:r>
        <w:t>Yangwang</w:t>
      </w:r>
      <w:proofErr w:type="spellEnd"/>
      <w:r>
        <w:t xml:space="preserve"> and off-road </w:t>
      </w:r>
      <w:proofErr w:type="spellStart"/>
      <w:r>
        <w:t>Fangchengbao</w:t>
      </w:r>
      <w:proofErr w:type="spellEnd"/>
      <w:r>
        <w:t xml:space="preserve">. BYD installs Blade </w:t>
      </w:r>
      <w:r>
        <w:lastRenderedPageBreak/>
        <w:t>battery, a Dual-Mode plug-in hybrid system, and a cell-to-body platform with an eye on safety, efficiency, and cost leadership.  The pace of international expansion increased after the year 2021.</w:t>
      </w:r>
    </w:p>
    <w:p w14:paraId="7A691754" w14:textId="77777777" w:rsidR="00012C5C" w:rsidRDefault="00012C5C" w:rsidP="00012C5C">
      <w:pPr>
        <w:pStyle w:val="rahul"/>
      </w:pPr>
    </w:p>
    <w:p w14:paraId="1DBD1FCD" w14:textId="37C03AAA" w:rsidR="00012C5C" w:rsidRDefault="00012C5C" w:rsidP="00012C5C">
      <w:pPr>
        <w:pStyle w:val="rahul"/>
      </w:pPr>
      <w:r>
        <w:t>Despite facing stiff competition and trade barriers, BYD remains a symbol of China’s electrification drive in the automobile market. This is basically a Chinese electric bus climate case, which shows how innovation, vertical integration, and strategic agility can combine to create a global champion.</w:t>
      </w:r>
    </w:p>
    <w:p w14:paraId="4ABBFCB0" w14:textId="77777777" w:rsidR="00012C5C" w:rsidRDefault="00012C5C" w:rsidP="00012C5C">
      <w:pPr>
        <w:pStyle w:val="rahul"/>
      </w:pPr>
    </w:p>
    <w:p w14:paraId="46BBA6FF" w14:textId="49A5F3FE" w:rsidR="00012C5C" w:rsidRDefault="00012C5C" w:rsidP="00012C5C">
      <w:pPr>
        <w:pStyle w:val="Heading2"/>
      </w:pPr>
      <w:bookmarkStart w:id="2" w:name="_Toc227800340"/>
      <w:proofErr w:type="gramStart"/>
      <w:r>
        <w:t xml:space="preserve">2.1 </w:t>
      </w:r>
      <w:r w:rsidR="00F95C8A" w:rsidRPr="00F95C8A">
        <w:t xml:space="preserve"> Financial</w:t>
      </w:r>
      <w:proofErr w:type="gramEnd"/>
      <w:r w:rsidR="00F95C8A" w:rsidRPr="00F95C8A">
        <w:t xml:space="preserve"> Performance and Raw Data (2021-2026</w:t>
      </w:r>
      <w:r w:rsidR="00F95C8A">
        <w:t>)</w:t>
      </w:r>
      <w:bookmarkEnd w:id="2"/>
    </w:p>
    <w:p w14:paraId="513A94AF" w14:textId="77777777" w:rsidR="00F95C8A" w:rsidRDefault="00F95C8A" w:rsidP="00F95C8A">
      <w:pPr>
        <w:pStyle w:val="rahul"/>
      </w:pPr>
      <w:r>
        <w:t xml:space="preserve">This section summarises BYD’s financial performance from 2021 to 2026. The period witnessed </w:t>
      </w:r>
    </w:p>
    <w:p w14:paraId="4F66EF2A" w14:textId="77777777" w:rsidR="00F95C8A" w:rsidRDefault="00F95C8A" w:rsidP="00F95C8A">
      <w:pPr>
        <w:pStyle w:val="rahul"/>
      </w:pPr>
      <w:r>
        <w:t xml:space="preserve">unprecedented growth in revenue and NEV sales, but profitability fluctuated as margins </w:t>
      </w:r>
    </w:p>
    <w:p w14:paraId="3AF2062F" w14:textId="77777777" w:rsidR="00F95C8A" w:rsidRDefault="00F95C8A" w:rsidP="00F95C8A">
      <w:pPr>
        <w:pStyle w:val="rahul"/>
      </w:pPr>
      <w:r>
        <w:t xml:space="preserve">compressed during China’s price war and international competition intensified. Table 1 presents </w:t>
      </w:r>
    </w:p>
    <w:p w14:paraId="71E41070" w14:textId="77777777" w:rsidR="00F95C8A" w:rsidRDefault="00F95C8A" w:rsidP="00F95C8A">
      <w:pPr>
        <w:pStyle w:val="rahul"/>
      </w:pPr>
      <w:r>
        <w:t xml:space="preserve">the raw data used in subsequent analyses, combining reported figures from BYD’s annual </w:t>
      </w:r>
    </w:p>
    <w:p w14:paraId="5F9EE57D" w14:textId="77777777" w:rsidR="00F95C8A" w:rsidRDefault="00F95C8A" w:rsidP="00F95C8A">
      <w:pPr>
        <w:pStyle w:val="rahul"/>
      </w:pPr>
      <w:r>
        <w:t xml:space="preserve">reports and reputable news sources with the author’s reasonable projections for 2026.This section summarises BYD’s financial performance from 2021 to 2026. The period witnessed </w:t>
      </w:r>
    </w:p>
    <w:p w14:paraId="6DD6C323" w14:textId="77777777" w:rsidR="00F95C8A" w:rsidRDefault="00F95C8A" w:rsidP="00F95C8A">
      <w:pPr>
        <w:pStyle w:val="rahul"/>
      </w:pPr>
      <w:r>
        <w:t xml:space="preserve">unprecedented growth in revenue and NEV sales, but profitability fluctuated as margins </w:t>
      </w:r>
    </w:p>
    <w:p w14:paraId="63090C40" w14:textId="77777777" w:rsidR="00F95C8A" w:rsidRDefault="00F95C8A" w:rsidP="00F95C8A">
      <w:pPr>
        <w:pStyle w:val="rahul"/>
      </w:pPr>
      <w:r>
        <w:t xml:space="preserve">compressed during China’s price war and international competition intensified. Table 1 presents </w:t>
      </w:r>
    </w:p>
    <w:p w14:paraId="6D27DAE0" w14:textId="77777777" w:rsidR="00F95C8A" w:rsidRDefault="00F95C8A" w:rsidP="00F95C8A">
      <w:pPr>
        <w:pStyle w:val="rahul"/>
      </w:pPr>
      <w:r>
        <w:t xml:space="preserve">the raw data used in subsequent analyses, combining reported figures from BYD’s annual </w:t>
      </w:r>
    </w:p>
    <w:p w14:paraId="66949D3D" w14:textId="4AE43AA5" w:rsidR="0003419B" w:rsidRDefault="00F95C8A" w:rsidP="00F95C8A">
      <w:pPr>
        <w:pStyle w:val="rahul"/>
      </w:pPr>
      <w:r>
        <w:t>reports and reputable news sources with the author’s reasonable projections for 2026.</w:t>
      </w:r>
    </w:p>
    <w:p w14:paraId="1D19A85F" w14:textId="77777777" w:rsidR="0003419B" w:rsidRDefault="0003419B" w:rsidP="00F95C8A">
      <w:pPr>
        <w:pStyle w:val="rahul"/>
      </w:pPr>
    </w:p>
    <w:p w14:paraId="165A6E4F" w14:textId="77777777" w:rsidR="0003419B" w:rsidRDefault="0003419B" w:rsidP="00F95C8A">
      <w:pPr>
        <w:pStyle w:val="rahul"/>
      </w:pPr>
    </w:p>
    <w:p w14:paraId="7A5C8842" w14:textId="77777777" w:rsidR="0003419B" w:rsidRDefault="0003419B" w:rsidP="00F95C8A">
      <w:pPr>
        <w:pStyle w:val="rahul"/>
      </w:pPr>
    </w:p>
    <w:p w14:paraId="0D029A1A" w14:textId="77F89D23" w:rsidR="00F95C8A" w:rsidRDefault="00F95C8A" w:rsidP="00F95C8A">
      <w:pPr>
        <w:pStyle w:val="rahul"/>
      </w:pPr>
      <w:r>
        <w:rPr>
          <w:noProof/>
        </w:rPr>
        <w:lastRenderedPageBreak/>
        <w:drawing>
          <wp:anchor distT="0" distB="0" distL="114300" distR="114300" simplePos="0" relativeHeight="251652608" behindDoc="0" locked="0" layoutInCell="1" allowOverlap="1" wp14:anchorId="10778AA7" wp14:editId="630CDB59">
            <wp:simplePos x="0" y="0"/>
            <wp:positionH relativeFrom="margin">
              <wp:posOffset>-254000</wp:posOffset>
            </wp:positionH>
            <wp:positionV relativeFrom="paragraph">
              <wp:posOffset>0</wp:posOffset>
            </wp:positionV>
            <wp:extent cx="6178550" cy="4762500"/>
            <wp:effectExtent l="0" t="0" r="0" b="0"/>
            <wp:wrapTopAndBottom/>
            <wp:docPr id="6385357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535724" name="Picture 3"/>
                    <pic:cNvPicPr/>
                  </pic:nvPicPr>
                  <pic:blipFill>
                    <a:blip r:embed="rId21">
                      <a:extLst>
                        <a:ext uri="{28A0092B-C50C-407E-A947-70E740481C1C}">
                          <a14:useLocalDpi xmlns:a14="http://schemas.microsoft.com/office/drawing/2010/main" val="0"/>
                        </a:ext>
                      </a:extLst>
                    </a:blip>
                    <a:stretch>
                      <a:fillRect/>
                    </a:stretch>
                  </pic:blipFill>
                  <pic:spPr>
                    <a:xfrm>
                      <a:off x="0" y="0"/>
                      <a:ext cx="6178550" cy="4762500"/>
                    </a:xfrm>
                    <a:prstGeom prst="rect">
                      <a:avLst/>
                    </a:prstGeom>
                  </pic:spPr>
                </pic:pic>
              </a:graphicData>
            </a:graphic>
            <wp14:sizeRelV relativeFrom="margin">
              <wp14:pctHeight>0</wp14:pctHeight>
            </wp14:sizeRelV>
          </wp:anchor>
        </w:drawing>
      </w:r>
      <w:r w:rsidR="0003419B">
        <w:t xml:space="preserve">                                                           </w:t>
      </w:r>
    </w:p>
    <w:p w14:paraId="0388FD82" w14:textId="53F875CD" w:rsidR="0003419B" w:rsidRDefault="0003419B" w:rsidP="0003419B">
      <w:pPr>
        <w:pStyle w:val="Heading2"/>
      </w:pPr>
      <w:bookmarkStart w:id="3" w:name="_Toc227800341"/>
      <w:r>
        <w:t>2.2 Profitability Analysis</w:t>
      </w:r>
      <w:bookmarkEnd w:id="3"/>
    </w:p>
    <w:p w14:paraId="24F2270A" w14:textId="77777777" w:rsidR="0003419B" w:rsidRDefault="0003419B" w:rsidP="0003419B">
      <w:pPr>
        <w:pStyle w:val="rahul"/>
      </w:pPr>
    </w:p>
    <w:p w14:paraId="6C223244" w14:textId="77777777" w:rsidR="0003419B" w:rsidRDefault="0003419B" w:rsidP="0003419B">
      <w:pPr>
        <w:pStyle w:val="rahul"/>
      </w:pPr>
      <w:r>
        <w:t xml:space="preserve">BYD’s profitability evolved dramatically between 2021 and 2026. In 2021 gross profit margin </w:t>
      </w:r>
    </w:p>
    <w:p w14:paraId="76EF4CD1" w14:textId="77777777" w:rsidR="0003419B" w:rsidRDefault="0003419B" w:rsidP="0003419B">
      <w:pPr>
        <w:pStyle w:val="rahul"/>
      </w:pPr>
      <w:r>
        <w:t xml:space="preserve">slumped to around 13 % due to rising raw material costs and a product mix tilted toward </w:t>
      </w:r>
    </w:p>
    <w:p w14:paraId="5562E057" w14:textId="6B9D6A5F" w:rsidR="0003419B" w:rsidRDefault="0003419B" w:rsidP="0003419B">
      <w:pPr>
        <w:pStyle w:val="rahul"/>
      </w:pPr>
      <w:r>
        <w:t xml:space="preserve">lower-margin mobile phone assembly. Net profit was only </w:t>
      </w:r>
    </w:p>
    <w:p w14:paraId="4D455188" w14:textId="77777777" w:rsidR="0003419B" w:rsidRDefault="0003419B" w:rsidP="0003419B">
      <w:pPr>
        <w:pStyle w:val="rahul"/>
      </w:pPr>
      <w:r>
        <w:t xml:space="preserve">RMB 3.0 bn, translating to a net margin of 1.4 %. The company responded by doubling down on </w:t>
      </w:r>
    </w:p>
    <w:p w14:paraId="7755A5C5" w14:textId="566B499C" w:rsidR="0003419B" w:rsidRDefault="0003419B" w:rsidP="0003419B">
      <w:pPr>
        <w:pStyle w:val="rahul"/>
      </w:pPr>
      <w:r>
        <w:t xml:space="preserve">premium NEV models and vertical integration. In 2022, revenue surged 96 % to RMB 424 bn, and </w:t>
      </w:r>
    </w:p>
    <w:p w14:paraId="50398305" w14:textId="5A5C7383" w:rsidR="0003419B" w:rsidRDefault="0003419B" w:rsidP="0003419B">
      <w:pPr>
        <w:pStyle w:val="rahul"/>
      </w:pPr>
      <w:r>
        <w:t>net profit climbed to RMB 16.6. Gross margin rebounded to 20.39 %, aided by a higher share of NEVs.</w:t>
      </w:r>
    </w:p>
    <w:p w14:paraId="26DEA9D9" w14:textId="64A2901D" w:rsidR="0003419B" w:rsidRDefault="0003419B" w:rsidP="0003419B">
      <w:pPr>
        <w:pStyle w:val="rahul"/>
      </w:pPr>
      <w:r>
        <w:lastRenderedPageBreak/>
        <w:t xml:space="preserve">The net margin improved to nearly 4 %. By 2023, revenue reached RMB 602 bn and net profit RMB 30 bn, while gross </w:t>
      </w:r>
    </w:p>
    <w:p w14:paraId="4726AB9E" w14:textId="77777777" w:rsidR="0003419B" w:rsidRDefault="0003419B" w:rsidP="0003419B">
      <w:pPr>
        <w:pStyle w:val="rahul"/>
      </w:pPr>
      <w:r>
        <w:t xml:space="preserve">margin stabilised around 19 %. 2024 marked another leap with revenue of RMB 777 bn and net </w:t>
      </w:r>
    </w:p>
    <w:p w14:paraId="3192B8AC" w14:textId="28744A70" w:rsidR="0003419B" w:rsidRDefault="0003419B" w:rsidP="0003419B">
      <w:pPr>
        <w:pStyle w:val="rahul"/>
      </w:pPr>
      <w:r>
        <w:t xml:space="preserve">profit of RMB 40.3 bn, yet by 2025, net profit dipped to </w:t>
      </w:r>
    </w:p>
    <w:p w14:paraId="64C36404" w14:textId="77777777" w:rsidR="0003419B" w:rsidRDefault="0003419B" w:rsidP="0003419B">
      <w:pPr>
        <w:pStyle w:val="rahul"/>
      </w:pPr>
      <w:r>
        <w:t xml:space="preserve">RMB 32.6 bn despite record sales due to an intense price war and a decline in the auto gross </w:t>
      </w:r>
    </w:p>
    <w:p w14:paraId="36E0DCDF" w14:textId="102BC43C" w:rsidR="0003419B" w:rsidRDefault="0003419B" w:rsidP="0003419B">
      <w:pPr>
        <w:pStyle w:val="rahul"/>
      </w:pPr>
      <w:r>
        <w:t xml:space="preserve">margin to 20.5 %. Projections </w:t>
      </w:r>
    </w:p>
    <w:p w14:paraId="6B8634AB" w14:textId="77777777" w:rsidR="0003419B" w:rsidRDefault="0003419B" w:rsidP="0003419B">
      <w:pPr>
        <w:pStyle w:val="rahul"/>
      </w:pPr>
      <w:r>
        <w:t xml:space="preserve">for 2026 suggest modest profit recovery as premium models and overseas sales gain traction. </w:t>
      </w:r>
    </w:p>
    <w:p w14:paraId="7162F40B" w14:textId="169F8646" w:rsidR="0003419B" w:rsidRDefault="0003419B" w:rsidP="0003419B">
      <w:pPr>
        <w:pStyle w:val="rahul"/>
      </w:pPr>
      <w:r>
        <w:t>The chart below illustrates the divergence between gross and net margins across the period.</w:t>
      </w:r>
    </w:p>
    <w:p w14:paraId="5B3AA205" w14:textId="4EBBFC93" w:rsidR="00777DA5" w:rsidRPr="0003419B" w:rsidRDefault="00095D7D" w:rsidP="0003419B">
      <w:pPr>
        <w:pStyle w:val="rahul"/>
      </w:pPr>
      <w:r>
        <w:rPr>
          <w:noProof/>
        </w:rPr>
        <w:drawing>
          <wp:inline distT="0" distB="0" distL="0" distR="0" wp14:anchorId="1CD58406" wp14:editId="7F46307C">
            <wp:extent cx="5731510" cy="3460750"/>
            <wp:effectExtent l="0" t="0" r="2540" b="6350"/>
            <wp:docPr id="2013980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980410" name="Picture 2013980410"/>
                    <pic:cNvPicPr/>
                  </pic:nvPicPr>
                  <pic:blipFill>
                    <a:blip r:embed="rId22">
                      <a:extLst>
                        <a:ext uri="{28A0092B-C50C-407E-A947-70E740481C1C}">
                          <a14:useLocalDpi xmlns:a14="http://schemas.microsoft.com/office/drawing/2010/main" val="0"/>
                        </a:ext>
                      </a:extLst>
                    </a:blip>
                    <a:stretch>
                      <a:fillRect/>
                    </a:stretch>
                  </pic:blipFill>
                  <pic:spPr>
                    <a:xfrm>
                      <a:off x="0" y="0"/>
                      <a:ext cx="5731510" cy="3460750"/>
                    </a:xfrm>
                    <a:prstGeom prst="rect">
                      <a:avLst/>
                    </a:prstGeom>
                  </pic:spPr>
                </pic:pic>
              </a:graphicData>
            </a:graphic>
          </wp:inline>
        </w:drawing>
      </w:r>
    </w:p>
    <w:p w14:paraId="1C52301A" w14:textId="7CB76466" w:rsidR="0003419B" w:rsidRDefault="00F07A88" w:rsidP="008E7138">
      <w:pPr>
        <w:pStyle w:val="Heading2"/>
      </w:pPr>
      <w:bookmarkStart w:id="4" w:name="_Toc227800342"/>
      <w:r>
        <w:t>2.3 Liquidity Analysis</w:t>
      </w:r>
      <w:bookmarkEnd w:id="4"/>
    </w:p>
    <w:p w14:paraId="69AD6F68" w14:textId="77777777" w:rsidR="008234C7" w:rsidRDefault="008234C7" w:rsidP="008234C7">
      <w:pPr>
        <w:pStyle w:val="rahul"/>
      </w:pPr>
      <w:r>
        <w:t xml:space="preserve">Liquidity measures BYD’s ability to meet short-term obligations. In 2021 and 2022 the company </w:t>
      </w:r>
    </w:p>
    <w:p w14:paraId="3D97E05E" w14:textId="77777777" w:rsidR="008234C7" w:rsidRDefault="008234C7" w:rsidP="008234C7">
      <w:pPr>
        <w:pStyle w:val="rahul"/>
      </w:pPr>
      <w:r>
        <w:t xml:space="preserve">operated with negative working capital as current liabilities exceeded current assets. The </w:t>
      </w:r>
    </w:p>
    <w:p w14:paraId="06874C18" w14:textId="77777777" w:rsidR="008234C7" w:rsidRDefault="008234C7" w:rsidP="008234C7">
      <w:pPr>
        <w:pStyle w:val="rahul"/>
      </w:pPr>
      <w:r>
        <w:t xml:space="preserve">current ratio was only 0.43 in 2021 and 0.50 in 2022, reflecting dependence on supplier credit. </w:t>
      </w:r>
    </w:p>
    <w:p w14:paraId="0F7EF54F" w14:textId="77777777" w:rsidR="008234C7" w:rsidRDefault="008234C7" w:rsidP="008234C7">
      <w:pPr>
        <w:pStyle w:val="rahul"/>
      </w:pPr>
      <w:r>
        <w:t>However, robust operating cash flow (RMB 65 bn in 2021 and RMB 141 bn in 2022</w:t>
      </w:r>
    </w:p>
    <w:p w14:paraId="1495A135" w14:textId="7F8A0F35" w:rsidR="008234C7" w:rsidRDefault="008234C7" w:rsidP="008234C7">
      <w:pPr>
        <w:pStyle w:val="rahul"/>
      </w:pPr>
      <w:r>
        <w:t xml:space="preserve">mitigated liquidity risk. In 2023 </w:t>
      </w:r>
    </w:p>
    <w:p w14:paraId="4B5628FF" w14:textId="77777777" w:rsidR="008234C7" w:rsidRDefault="008234C7" w:rsidP="008234C7">
      <w:pPr>
        <w:pStyle w:val="rahul"/>
      </w:pPr>
      <w:r>
        <w:lastRenderedPageBreak/>
        <w:t xml:space="preserve">and 2024 the ratio improved slightly, but the turning point came in 2025 when current assets </w:t>
      </w:r>
    </w:p>
    <w:p w14:paraId="436FA810" w14:textId="77777777" w:rsidR="008234C7" w:rsidRDefault="008234C7" w:rsidP="008234C7">
      <w:pPr>
        <w:pStyle w:val="rahul"/>
      </w:pPr>
      <w:r>
        <w:t xml:space="preserve">surged because of reclassified short-term investments. The current ratio leapt to 3.14 in 2025 </w:t>
      </w:r>
    </w:p>
    <w:p w14:paraId="2D8F3718" w14:textId="77777777" w:rsidR="008234C7" w:rsidRDefault="008234C7" w:rsidP="008234C7">
      <w:pPr>
        <w:pStyle w:val="rahul"/>
      </w:pPr>
      <w:r>
        <w:t xml:space="preserve">and is projected at 3.2 in 2026. Quick and cash ratios show a similar trajectory. This liquidity </w:t>
      </w:r>
    </w:p>
    <w:p w14:paraId="6A415FEB" w14:textId="77777777" w:rsidR="008234C7" w:rsidRDefault="008234C7" w:rsidP="008234C7">
      <w:pPr>
        <w:pStyle w:val="rahul"/>
      </w:pPr>
      <w:r>
        <w:t xml:space="preserve">buffer provides BYD with flexibility to fund R&amp;D and overseas expansion. The chart below </w:t>
      </w:r>
    </w:p>
    <w:p w14:paraId="132768C2" w14:textId="6909B028" w:rsidR="00F07A88" w:rsidRPr="00F07A88" w:rsidRDefault="008234C7" w:rsidP="008234C7">
      <w:pPr>
        <w:pStyle w:val="rahul"/>
      </w:pPr>
      <w:r>
        <w:t>visualises the trend</w:t>
      </w:r>
    </w:p>
    <w:p w14:paraId="2F28B294" w14:textId="77777777" w:rsidR="00C36907" w:rsidRDefault="00C36907" w:rsidP="0003419B">
      <w:pPr>
        <w:pStyle w:val="rahul"/>
      </w:pPr>
    </w:p>
    <w:p w14:paraId="2BCEC2A3" w14:textId="3E8E901D" w:rsidR="0003419B" w:rsidRDefault="00C53EE6" w:rsidP="002E4179">
      <w:pPr>
        <w:pStyle w:val="Heading2"/>
      </w:pPr>
      <w:bookmarkStart w:id="5" w:name="_Toc227800343"/>
      <w:r>
        <w:rPr>
          <w:noProof/>
        </w:rPr>
        <w:drawing>
          <wp:anchor distT="0" distB="0" distL="114300" distR="114300" simplePos="0" relativeHeight="251654656" behindDoc="0" locked="0" layoutInCell="1" allowOverlap="1" wp14:anchorId="01E17840" wp14:editId="74DF9353">
            <wp:simplePos x="0" y="0"/>
            <wp:positionH relativeFrom="column">
              <wp:posOffset>0</wp:posOffset>
            </wp:positionH>
            <wp:positionV relativeFrom="paragraph">
              <wp:posOffset>-3810</wp:posOffset>
            </wp:positionV>
            <wp:extent cx="5731510" cy="3421380"/>
            <wp:effectExtent l="0" t="0" r="2540" b="7620"/>
            <wp:wrapTopAndBottom/>
            <wp:docPr id="16209514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951448" name="Picture 1620951448"/>
                    <pic:cNvPicPr/>
                  </pic:nvPicPr>
                  <pic:blipFill>
                    <a:blip r:embed="rId23">
                      <a:extLst>
                        <a:ext uri="{28A0092B-C50C-407E-A947-70E740481C1C}">
                          <a14:useLocalDpi xmlns:a14="http://schemas.microsoft.com/office/drawing/2010/main" val="0"/>
                        </a:ext>
                      </a:extLst>
                    </a:blip>
                    <a:stretch>
                      <a:fillRect/>
                    </a:stretch>
                  </pic:blipFill>
                  <pic:spPr>
                    <a:xfrm>
                      <a:off x="0" y="0"/>
                      <a:ext cx="5731510" cy="3421380"/>
                    </a:xfrm>
                    <a:prstGeom prst="rect">
                      <a:avLst/>
                    </a:prstGeom>
                  </pic:spPr>
                </pic:pic>
              </a:graphicData>
            </a:graphic>
          </wp:anchor>
        </w:drawing>
      </w:r>
      <w:r w:rsidR="002E4179">
        <w:t xml:space="preserve">2.4 </w:t>
      </w:r>
      <w:r w:rsidR="00570151" w:rsidRPr="00570151">
        <w:t>Efficiency ratios and working</w:t>
      </w:r>
      <w:r w:rsidR="00570151" w:rsidRPr="00570151">
        <w:rPr>
          <w:rFonts w:ascii="Cambria Math" w:hAnsi="Cambria Math" w:cs="Cambria Math"/>
        </w:rPr>
        <w:t>‑</w:t>
      </w:r>
      <w:r w:rsidR="00570151" w:rsidRPr="00570151">
        <w:t>capital management</w:t>
      </w:r>
      <w:bookmarkEnd w:id="5"/>
    </w:p>
    <w:p w14:paraId="1C5C5B88" w14:textId="303B8B4B" w:rsidR="000E71DF" w:rsidRDefault="000E71DF" w:rsidP="000E71DF">
      <w:pPr>
        <w:pStyle w:val="rahul"/>
      </w:pPr>
      <w:r w:rsidRPr="000E71DF">
        <w:t xml:space="preserve">A company’s efficiency ratios tell us how well it uses its assets.  The period taken to convert accounts receivable to cash has improved from 95 days in 2021 to 35 days in 2024. The collection cycle is speedier now. One reason this is happening is due to retail-sales share increasing and payment being made upfront.  Another factor is the efficient dealer financing systems. The number of days for inventory turnover has also decreased from 73 days in 2021 to 61 days in 2024 due to better supply‑chain coordination and a leaner production </w:t>
      </w:r>
      <w:proofErr w:type="gramStart"/>
      <w:r w:rsidRPr="000E71DF">
        <w:t>system[</w:t>
      </w:r>
      <w:proofErr w:type="gramEnd"/>
      <w:r w:rsidRPr="000E71DF">
        <w:t>29]. A decline in inventory days reduces holding costs and obsolescence risk.  Remember that both of these metrics actually worsened slightly in 2023, due to the rapid scale.</w:t>
      </w:r>
      <w:r w:rsidR="00D17211">
        <w:t xml:space="preserve"> </w:t>
      </w:r>
    </w:p>
    <w:p w14:paraId="0C831F3B" w14:textId="77777777" w:rsidR="00D17211" w:rsidRDefault="00D17211" w:rsidP="000E71DF">
      <w:pPr>
        <w:pStyle w:val="rahul"/>
      </w:pPr>
    </w:p>
    <w:p w14:paraId="3FED9EA3" w14:textId="2F56CE78" w:rsidR="00D17211" w:rsidRDefault="00D17211" w:rsidP="00D17211">
      <w:pPr>
        <w:pStyle w:val="Heading2"/>
      </w:pPr>
      <w:bookmarkStart w:id="6" w:name="_Toc227800344"/>
      <w:r>
        <w:lastRenderedPageBreak/>
        <w:t xml:space="preserve">2.5 </w:t>
      </w:r>
      <w:r w:rsidRPr="00D17211">
        <w:t>Payables turnover and cash conversion cycle</w:t>
      </w:r>
      <w:bookmarkEnd w:id="6"/>
    </w:p>
    <w:p w14:paraId="095AED1C" w14:textId="77777777" w:rsidR="00A8425F" w:rsidRDefault="00A8425F" w:rsidP="00A8425F">
      <w:pPr>
        <w:pStyle w:val="rahul"/>
      </w:pPr>
      <w:r>
        <w:t>Data on payables turnover days are not disclosed in BYD’s public reports. However, the company’s negative net‑debt position implies that suppliers effectively finance inventory. Industry observers note that BYD negotiates favourable credit terms with battery suppliers and component manufacturers. Assuming payables days remain around 106–158 days (derived from estimated cash conversion cycles), the cash conversion cycle (CCC = receivables days + inventory days – payables days) turned negative after 2022, reaching approximately −10 days by 2024. A negative CCC means BYD is paid by customers before it must pay suppliers, providing a source of financing.</w:t>
      </w:r>
    </w:p>
    <w:p w14:paraId="454344AD" w14:textId="0046FF8D" w:rsidR="00D17211" w:rsidRDefault="00A8425F" w:rsidP="00A8425F">
      <w:pPr>
        <w:pStyle w:val="rahul"/>
      </w:pPr>
      <w:r>
        <w:t>To extend the analysis beyond the available data, reasonable projections for 2025 and 2026 are included. These projections assume further improvements in receivables and inventory management due to digital invoicing and tighter production scheduling, and a modest increase in payables days as BYD continues to leverage supplier credit. Table 2 presents the estimated CCC trend for 2021–2026, with 2025–2026 values marked as projections.</w:t>
      </w:r>
    </w:p>
    <w:p w14:paraId="10F4360D" w14:textId="77777777" w:rsidR="00993EE6" w:rsidRDefault="00993EE6" w:rsidP="00A8425F">
      <w:pPr>
        <w:pStyle w:val="rahul"/>
      </w:pPr>
    </w:p>
    <w:p w14:paraId="56E5390B" w14:textId="77777777" w:rsidR="00993EE6" w:rsidRDefault="00993EE6" w:rsidP="00993EE6">
      <w:pPr>
        <w:pStyle w:val="Heading3"/>
        <w:rPr>
          <w:rFonts w:asciiTheme="minorHAnsi" w:hAnsiTheme="minorHAnsi"/>
        </w:rPr>
      </w:pPr>
      <w:bookmarkStart w:id="7" w:name="_Toc227800345"/>
      <w:r>
        <w:t>Table 2 – Estimated working</w:t>
      </w:r>
      <w:r>
        <w:noBreakHyphen/>
        <w:t>capital metrics (2021–2026)</w:t>
      </w:r>
      <w:bookmarkEnd w:id="7"/>
    </w:p>
    <w:tbl>
      <w:tblPr>
        <w:tblStyle w:val="Table"/>
        <w:tblW w:w="0" w:type="auto"/>
        <w:tblInd w:w="0" w:type="dxa"/>
        <w:tblLook w:val="0020" w:firstRow="1" w:lastRow="0" w:firstColumn="0" w:lastColumn="0" w:noHBand="0" w:noVBand="0"/>
      </w:tblPr>
      <w:tblGrid>
        <w:gridCol w:w="1426"/>
        <w:gridCol w:w="1745"/>
        <w:gridCol w:w="1448"/>
        <w:gridCol w:w="2097"/>
        <w:gridCol w:w="2310"/>
      </w:tblGrid>
      <w:tr w:rsidR="00993EE6" w14:paraId="426912D3" w14:textId="77777777">
        <w:trPr>
          <w:cnfStyle w:val="100000000000" w:firstRow="1" w:lastRow="0" w:firstColumn="0" w:lastColumn="0" w:oddVBand="0" w:evenVBand="0" w:oddHBand="0" w:evenHBand="0" w:firstRowFirstColumn="0" w:firstRowLastColumn="0" w:lastRowFirstColumn="0" w:lastRowLastColumn="0"/>
          <w:tblHeader/>
        </w:trPr>
        <w:tc>
          <w:tcPr>
            <w:tcW w:w="0" w:type="auto"/>
            <w:tcBorders>
              <w:top w:val="nil"/>
              <w:left w:val="nil"/>
              <w:right w:val="nil"/>
            </w:tcBorders>
            <w:hideMark/>
          </w:tcPr>
          <w:p w14:paraId="32CA3523" w14:textId="77777777" w:rsidR="00993EE6" w:rsidRDefault="00993EE6">
            <w:pPr>
              <w:pStyle w:val="Compact"/>
            </w:pPr>
            <w:r>
              <w:t>Year</w:t>
            </w:r>
          </w:p>
        </w:tc>
        <w:tc>
          <w:tcPr>
            <w:tcW w:w="0" w:type="auto"/>
            <w:tcBorders>
              <w:top w:val="nil"/>
              <w:left w:val="nil"/>
              <w:right w:val="nil"/>
            </w:tcBorders>
            <w:hideMark/>
          </w:tcPr>
          <w:p w14:paraId="126546E6" w14:textId="77777777" w:rsidR="00993EE6" w:rsidRDefault="00993EE6">
            <w:pPr>
              <w:pStyle w:val="Compact"/>
            </w:pPr>
            <w:r>
              <w:t>Receivables days</w:t>
            </w:r>
          </w:p>
        </w:tc>
        <w:tc>
          <w:tcPr>
            <w:tcW w:w="0" w:type="auto"/>
            <w:tcBorders>
              <w:top w:val="nil"/>
              <w:left w:val="nil"/>
              <w:right w:val="nil"/>
            </w:tcBorders>
            <w:hideMark/>
          </w:tcPr>
          <w:p w14:paraId="525DAE76" w14:textId="77777777" w:rsidR="00993EE6" w:rsidRDefault="00993EE6">
            <w:pPr>
              <w:pStyle w:val="Compact"/>
            </w:pPr>
            <w:r>
              <w:t>Inventory days</w:t>
            </w:r>
          </w:p>
        </w:tc>
        <w:tc>
          <w:tcPr>
            <w:tcW w:w="0" w:type="auto"/>
            <w:tcBorders>
              <w:top w:val="nil"/>
              <w:left w:val="nil"/>
              <w:right w:val="nil"/>
            </w:tcBorders>
            <w:hideMark/>
          </w:tcPr>
          <w:p w14:paraId="6EFAB497" w14:textId="77777777" w:rsidR="00993EE6" w:rsidRDefault="00993EE6">
            <w:pPr>
              <w:pStyle w:val="Compact"/>
            </w:pPr>
            <w:r>
              <w:t>Estimated payables days*</w:t>
            </w:r>
          </w:p>
        </w:tc>
        <w:tc>
          <w:tcPr>
            <w:tcW w:w="0" w:type="auto"/>
            <w:tcBorders>
              <w:top w:val="nil"/>
              <w:left w:val="nil"/>
              <w:right w:val="nil"/>
            </w:tcBorders>
            <w:hideMark/>
          </w:tcPr>
          <w:p w14:paraId="22EEE8E3" w14:textId="77777777" w:rsidR="00993EE6" w:rsidRDefault="00993EE6">
            <w:pPr>
              <w:pStyle w:val="Compact"/>
            </w:pPr>
            <w:r>
              <w:t>Cash conversion cycle (CCC)</w:t>
            </w:r>
          </w:p>
        </w:tc>
      </w:tr>
      <w:tr w:rsidR="00993EE6" w14:paraId="24A9FDB5" w14:textId="77777777">
        <w:tc>
          <w:tcPr>
            <w:tcW w:w="0" w:type="auto"/>
            <w:hideMark/>
          </w:tcPr>
          <w:p w14:paraId="5403F1A2" w14:textId="77777777" w:rsidR="00993EE6" w:rsidRDefault="00993EE6">
            <w:pPr>
              <w:pStyle w:val="Compact"/>
            </w:pPr>
            <w:r>
              <w:rPr>
                <w:b/>
                <w:bCs/>
              </w:rPr>
              <w:t>2021</w:t>
            </w:r>
          </w:p>
        </w:tc>
        <w:tc>
          <w:tcPr>
            <w:tcW w:w="0" w:type="auto"/>
            <w:hideMark/>
          </w:tcPr>
          <w:p w14:paraId="3659AA8B" w14:textId="77777777" w:rsidR="00993EE6" w:rsidRDefault="00993EE6">
            <w:pPr>
              <w:pStyle w:val="Compact"/>
            </w:pPr>
            <w:r>
              <w:t>95</w:t>
            </w:r>
          </w:p>
        </w:tc>
        <w:tc>
          <w:tcPr>
            <w:tcW w:w="0" w:type="auto"/>
            <w:hideMark/>
          </w:tcPr>
          <w:p w14:paraId="28F07668" w14:textId="77777777" w:rsidR="00993EE6" w:rsidRDefault="00993EE6">
            <w:pPr>
              <w:pStyle w:val="Compact"/>
            </w:pPr>
            <w:r>
              <w:t>73</w:t>
            </w:r>
          </w:p>
        </w:tc>
        <w:tc>
          <w:tcPr>
            <w:tcW w:w="0" w:type="auto"/>
            <w:hideMark/>
          </w:tcPr>
          <w:p w14:paraId="2BFB3A71" w14:textId="77777777" w:rsidR="00993EE6" w:rsidRDefault="00993EE6">
            <w:pPr>
              <w:pStyle w:val="Compact"/>
            </w:pPr>
            <w:r>
              <w:t>158</w:t>
            </w:r>
          </w:p>
        </w:tc>
        <w:tc>
          <w:tcPr>
            <w:tcW w:w="0" w:type="auto"/>
            <w:hideMark/>
          </w:tcPr>
          <w:p w14:paraId="5FFDBF8A" w14:textId="77777777" w:rsidR="00993EE6" w:rsidRDefault="00993EE6">
            <w:pPr>
              <w:pStyle w:val="Compact"/>
            </w:pPr>
            <w:r>
              <w:t>+10 days</w:t>
            </w:r>
          </w:p>
        </w:tc>
      </w:tr>
      <w:tr w:rsidR="00993EE6" w14:paraId="5D82C4F5" w14:textId="77777777">
        <w:tc>
          <w:tcPr>
            <w:tcW w:w="0" w:type="auto"/>
            <w:hideMark/>
          </w:tcPr>
          <w:p w14:paraId="2876C3CD" w14:textId="77777777" w:rsidR="00993EE6" w:rsidRDefault="00993EE6">
            <w:pPr>
              <w:pStyle w:val="Compact"/>
            </w:pPr>
            <w:r>
              <w:rPr>
                <w:b/>
                <w:bCs/>
              </w:rPr>
              <w:t>2022</w:t>
            </w:r>
          </w:p>
        </w:tc>
        <w:tc>
          <w:tcPr>
            <w:tcW w:w="0" w:type="auto"/>
            <w:hideMark/>
          </w:tcPr>
          <w:p w14:paraId="6F42480A" w14:textId="77777777" w:rsidR="00993EE6" w:rsidRDefault="00993EE6">
            <w:pPr>
              <w:pStyle w:val="Compact"/>
            </w:pPr>
            <w:r>
              <w:t>53</w:t>
            </w:r>
          </w:p>
        </w:tc>
        <w:tc>
          <w:tcPr>
            <w:tcW w:w="0" w:type="auto"/>
            <w:hideMark/>
          </w:tcPr>
          <w:p w14:paraId="5CD2AD27" w14:textId="77777777" w:rsidR="00993EE6" w:rsidRDefault="00993EE6">
            <w:pPr>
              <w:pStyle w:val="Compact"/>
            </w:pPr>
            <w:r>
              <w:t>63</w:t>
            </w:r>
          </w:p>
        </w:tc>
        <w:tc>
          <w:tcPr>
            <w:tcW w:w="0" w:type="auto"/>
            <w:hideMark/>
          </w:tcPr>
          <w:p w14:paraId="1949A562" w14:textId="77777777" w:rsidR="00993EE6" w:rsidRDefault="00993EE6">
            <w:pPr>
              <w:pStyle w:val="Compact"/>
            </w:pPr>
            <w:r>
              <w:t>111</w:t>
            </w:r>
          </w:p>
        </w:tc>
        <w:tc>
          <w:tcPr>
            <w:tcW w:w="0" w:type="auto"/>
            <w:hideMark/>
          </w:tcPr>
          <w:p w14:paraId="395A6FE0" w14:textId="77777777" w:rsidR="00993EE6" w:rsidRDefault="00993EE6">
            <w:pPr>
              <w:pStyle w:val="Compact"/>
            </w:pPr>
            <w:r>
              <w:t>+5 days</w:t>
            </w:r>
          </w:p>
        </w:tc>
      </w:tr>
      <w:tr w:rsidR="00993EE6" w14:paraId="774F29CB" w14:textId="77777777">
        <w:tc>
          <w:tcPr>
            <w:tcW w:w="0" w:type="auto"/>
            <w:hideMark/>
          </w:tcPr>
          <w:p w14:paraId="7CCACA02" w14:textId="77777777" w:rsidR="00993EE6" w:rsidRDefault="00993EE6">
            <w:pPr>
              <w:pStyle w:val="Compact"/>
            </w:pPr>
            <w:r>
              <w:rPr>
                <w:b/>
                <w:bCs/>
              </w:rPr>
              <w:t>2023</w:t>
            </w:r>
          </w:p>
        </w:tc>
        <w:tc>
          <w:tcPr>
            <w:tcW w:w="0" w:type="auto"/>
            <w:hideMark/>
          </w:tcPr>
          <w:p w14:paraId="0AB4BB38" w14:textId="77777777" w:rsidR="00993EE6" w:rsidRDefault="00993EE6">
            <w:pPr>
              <w:pStyle w:val="Compact"/>
            </w:pPr>
            <w:r>
              <w:t>43</w:t>
            </w:r>
          </w:p>
        </w:tc>
        <w:tc>
          <w:tcPr>
            <w:tcW w:w="0" w:type="auto"/>
            <w:hideMark/>
          </w:tcPr>
          <w:p w14:paraId="527F1CFF" w14:textId="77777777" w:rsidR="00993EE6" w:rsidRDefault="00993EE6">
            <w:pPr>
              <w:pStyle w:val="Compact"/>
            </w:pPr>
            <w:r>
              <w:t>63</w:t>
            </w:r>
          </w:p>
        </w:tc>
        <w:tc>
          <w:tcPr>
            <w:tcW w:w="0" w:type="auto"/>
            <w:hideMark/>
          </w:tcPr>
          <w:p w14:paraId="718851AE" w14:textId="77777777" w:rsidR="00993EE6" w:rsidRDefault="00993EE6">
            <w:pPr>
              <w:pStyle w:val="Compact"/>
            </w:pPr>
            <w:r>
              <w:t>111</w:t>
            </w:r>
          </w:p>
        </w:tc>
        <w:tc>
          <w:tcPr>
            <w:tcW w:w="0" w:type="auto"/>
            <w:hideMark/>
          </w:tcPr>
          <w:p w14:paraId="15B26165" w14:textId="77777777" w:rsidR="00993EE6" w:rsidRDefault="00993EE6">
            <w:pPr>
              <w:pStyle w:val="Compact"/>
            </w:pPr>
            <w:r>
              <w:t>–5 days</w:t>
            </w:r>
          </w:p>
        </w:tc>
      </w:tr>
      <w:tr w:rsidR="00993EE6" w14:paraId="7DF08616" w14:textId="77777777">
        <w:tc>
          <w:tcPr>
            <w:tcW w:w="0" w:type="auto"/>
            <w:hideMark/>
          </w:tcPr>
          <w:p w14:paraId="3303433D" w14:textId="77777777" w:rsidR="00993EE6" w:rsidRDefault="00993EE6">
            <w:pPr>
              <w:pStyle w:val="Compact"/>
            </w:pPr>
            <w:r>
              <w:rPr>
                <w:b/>
                <w:bCs/>
              </w:rPr>
              <w:t>2024</w:t>
            </w:r>
          </w:p>
        </w:tc>
        <w:tc>
          <w:tcPr>
            <w:tcW w:w="0" w:type="auto"/>
            <w:hideMark/>
          </w:tcPr>
          <w:p w14:paraId="1F37439E" w14:textId="77777777" w:rsidR="00993EE6" w:rsidRDefault="00993EE6">
            <w:pPr>
              <w:pStyle w:val="Compact"/>
            </w:pPr>
            <w:r>
              <w:t>35</w:t>
            </w:r>
          </w:p>
        </w:tc>
        <w:tc>
          <w:tcPr>
            <w:tcW w:w="0" w:type="auto"/>
            <w:hideMark/>
          </w:tcPr>
          <w:p w14:paraId="2629D0AD" w14:textId="77777777" w:rsidR="00993EE6" w:rsidRDefault="00993EE6">
            <w:pPr>
              <w:pStyle w:val="Compact"/>
            </w:pPr>
            <w:r>
              <w:t>61</w:t>
            </w:r>
          </w:p>
        </w:tc>
        <w:tc>
          <w:tcPr>
            <w:tcW w:w="0" w:type="auto"/>
            <w:hideMark/>
          </w:tcPr>
          <w:p w14:paraId="2D37533E" w14:textId="77777777" w:rsidR="00993EE6" w:rsidRDefault="00993EE6">
            <w:pPr>
              <w:pStyle w:val="Compact"/>
            </w:pPr>
            <w:r>
              <w:t>106</w:t>
            </w:r>
          </w:p>
        </w:tc>
        <w:tc>
          <w:tcPr>
            <w:tcW w:w="0" w:type="auto"/>
            <w:hideMark/>
          </w:tcPr>
          <w:p w14:paraId="3E81358F" w14:textId="77777777" w:rsidR="00993EE6" w:rsidRDefault="00993EE6">
            <w:pPr>
              <w:pStyle w:val="Compact"/>
            </w:pPr>
            <w:r>
              <w:t>–10 days</w:t>
            </w:r>
          </w:p>
        </w:tc>
      </w:tr>
      <w:tr w:rsidR="00993EE6" w14:paraId="2EC00D06" w14:textId="77777777">
        <w:tc>
          <w:tcPr>
            <w:tcW w:w="0" w:type="auto"/>
            <w:hideMark/>
          </w:tcPr>
          <w:p w14:paraId="0F5503B7" w14:textId="77777777" w:rsidR="00993EE6" w:rsidRDefault="00993EE6">
            <w:pPr>
              <w:pStyle w:val="Compact"/>
            </w:pPr>
            <w:r>
              <w:rPr>
                <w:b/>
                <w:bCs/>
              </w:rPr>
              <w:t>2025</w:t>
            </w:r>
            <w:r>
              <w:rPr>
                <w:rFonts w:ascii="Arial" w:hAnsi="Arial" w:cs="Arial"/>
                <w:b/>
                <w:bCs/>
              </w:rPr>
              <w:t> </w:t>
            </w:r>
            <w:r>
              <w:rPr>
                <w:b/>
                <w:bCs/>
              </w:rPr>
              <w:t>(</w:t>
            </w:r>
            <w:proofErr w:type="spellStart"/>
            <w:r>
              <w:rPr>
                <w:b/>
                <w:bCs/>
              </w:rPr>
              <w:t>Proj</w:t>
            </w:r>
            <w:proofErr w:type="spellEnd"/>
            <w:r>
              <w:rPr>
                <w:b/>
                <w:bCs/>
              </w:rPr>
              <w:t>.)</w:t>
            </w:r>
          </w:p>
        </w:tc>
        <w:tc>
          <w:tcPr>
            <w:tcW w:w="0" w:type="auto"/>
            <w:hideMark/>
          </w:tcPr>
          <w:p w14:paraId="4B7C3190" w14:textId="77777777" w:rsidR="00993EE6" w:rsidRDefault="00993EE6">
            <w:pPr>
              <w:pStyle w:val="Compact"/>
            </w:pPr>
            <w:r>
              <w:t>30</w:t>
            </w:r>
          </w:p>
        </w:tc>
        <w:tc>
          <w:tcPr>
            <w:tcW w:w="0" w:type="auto"/>
            <w:hideMark/>
          </w:tcPr>
          <w:p w14:paraId="76862FFC" w14:textId="77777777" w:rsidR="00993EE6" w:rsidRDefault="00993EE6">
            <w:pPr>
              <w:pStyle w:val="Compact"/>
            </w:pPr>
            <w:r>
              <w:t>60</w:t>
            </w:r>
          </w:p>
        </w:tc>
        <w:tc>
          <w:tcPr>
            <w:tcW w:w="0" w:type="auto"/>
            <w:hideMark/>
          </w:tcPr>
          <w:p w14:paraId="14EBCC1D" w14:textId="77777777" w:rsidR="00993EE6" w:rsidRDefault="00993EE6">
            <w:pPr>
              <w:pStyle w:val="Compact"/>
            </w:pPr>
            <w:r>
              <w:t>110</w:t>
            </w:r>
          </w:p>
        </w:tc>
        <w:tc>
          <w:tcPr>
            <w:tcW w:w="0" w:type="auto"/>
            <w:hideMark/>
          </w:tcPr>
          <w:p w14:paraId="350227DD" w14:textId="77777777" w:rsidR="00993EE6" w:rsidRDefault="00993EE6">
            <w:pPr>
              <w:pStyle w:val="Compact"/>
            </w:pPr>
            <w:r>
              <w:t>–20 days</w:t>
            </w:r>
          </w:p>
        </w:tc>
      </w:tr>
      <w:tr w:rsidR="00993EE6" w14:paraId="43D71FCF" w14:textId="77777777">
        <w:tc>
          <w:tcPr>
            <w:tcW w:w="0" w:type="auto"/>
            <w:hideMark/>
          </w:tcPr>
          <w:p w14:paraId="18C05A73" w14:textId="77777777" w:rsidR="00993EE6" w:rsidRDefault="00993EE6">
            <w:pPr>
              <w:pStyle w:val="Compact"/>
            </w:pPr>
            <w:r>
              <w:rPr>
                <w:b/>
                <w:bCs/>
              </w:rPr>
              <w:t>2026</w:t>
            </w:r>
            <w:r>
              <w:rPr>
                <w:rFonts w:ascii="Arial" w:hAnsi="Arial" w:cs="Arial"/>
                <w:b/>
                <w:bCs/>
              </w:rPr>
              <w:t> </w:t>
            </w:r>
            <w:r>
              <w:rPr>
                <w:b/>
                <w:bCs/>
              </w:rPr>
              <w:t>(</w:t>
            </w:r>
            <w:proofErr w:type="spellStart"/>
            <w:r>
              <w:rPr>
                <w:b/>
                <w:bCs/>
              </w:rPr>
              <w:t>Proj</w:t>
            </w:r>
            <w:proofErr w:type="spellEnd"/>
            <w:r>
              <w:rPr>
                <w:b/>
                <w:bCs/>
              </w:rPr>
              <w:t>.)</w:t>
            </w:r>
          </w:p>
        </w:tc>
        <w:tc>
          <w:tcPr>
            <w:tcW w:w="0" w:type="auto"/>
            <w:hideMark/>
          </w:tcPr>
          <w:p w14:paraId="265ABB41" w14:textId="77777777" w:rsidR="00993EE6" w:rsidRDefault="00993EE6">
            <w:pPr>
              <w:pStyle w:val="Compact"/>
            </w:pPr>
            <w:r>
              <w:t>28</w:t>
            </w:r>
          </w:p>
        </w:tc>
        <w:tc>
          <w:tcPr>
            <w:tcW w:w="0" w:type="auto"/>
            <w:hideMark/>
          </w:tcPr>
          <w:p w14:paraId="01CE7F6A" w14:textId="77777777" w:rsidR="00993EE6" w:rsidRDefault="00993EE6">
            <w:pPr>
              <w:pStyle w:val="Compact"/>
            </w:pPr>
            <w:r>
              <w:t>58</w:t>
            </w:r>
          </w:p>
        </w:tc>
        <w:tc>
          <w:tcPr>
            <w:tcW w:w="0" w:type="auto"/>
            <w:hideMark/>
          </w:tcPr>
          <w:p w14:paraId="69FAADF8" w14:textId="77777777" w:rsidR="00993EE6" w:rsidRDefault="00993EE6">
            <w:pPr>
              <w:pStyle w:val="Compact"/>
            </w:pPr>
            <w:r>
              <w:t>115</w:t>
            </w:r>
          </w:p>
        </w:tc>
        <w:tc>
          <w:tcPr>
            <w:tcW w:w="0" w:type="auto"/>
            <w:hideMark/>
          </w:tcPr>
          <w:p w14:paraId="50F0E03B" w14:textId="77777777" w:rsidR="00993EE6" w:rsidRDefault="00993EE6">
            <w:pPr>
              <w:pStyle w:val="Compact"/>
            </w:pPr>
            <w:r>
              <w:t>–29 days</w:t>
            </w:r>
          </w:p>
        </w:tc>
      </w:tr>
    </w:tbl>
    <w:p w14:paraId="77B4EBD6" w14:textId="77777777" w:rsidR="00993EE6" w:rsidRDefault="00993EE6" w:rsidP="00A8425F">
      <w:pPr>
        <w:pStyle w:val="rahul"/>
      </w:pPr>
    </w:p>
    <w:p w14:paraId="35465332" w14:textId="01B93A92" w:rsidR="00742739" w:rsidRDefault="00742739" w:rsidP="00742739">
      <w:pPr>
        <w:pStyle w:val="rahul"/>
      </w:pPr>
      <w:r>
        <w:t xml:space="preserve">Payables days for 2024–2026 are </w:t>
      </w:r>
      <w:r>
        <w:t>estimated based on the trend that BYD’s CCC has become increasingly negative as receivables and inventory turnover have improved</w:t>
      </w:r>
      <w:r>
        <w:t>. The 2025–2026 values are projections and should be interpreted with caution.</w:t>
      </w:r>
    </w:p>
    <w:p w14:paraId="4765BB1D" w14:textId="77777777" w:rsidR="00AF0487" w:rsidRDefault="00742739" w:rsidP="00742739">
      <w:pPr>
        <w:pStyle w:val="rahul"/>
      </w:pPr>
      <w:r>
        <w:t xml:space="preserve">BYD’s ability to maintain a negative CCC is a competitive advantage. It reduces the need for working‑capital financing and increases cash available for investment. However, the company must monitor supplier relationships and avoid straining supply chains through overly extended payment terms. The price war among Chinese EV makers makes suppliers wary of credit risk. </w:t>
      </w:r>
      <w:r>
        <w:lastRenderedPageBreak/>
        <w:t>To mitigate this, BYD could further digitise its supply‑chain management, negotiate dynamic discount programmes and diversify supplier financing channels.</w:t>
      </w:r>
    </w:p>
    <w:p w14:paraId="707A9ECD" w14:textId="1C51C9AC" w:rsidR="00AF0487" w:rsidRDefault="00AF0487" w:rsidP="00742739">
      <w:pPr>
        <w:pStyle w:val="rahul"/>
      </w:pPr>
      <w:r>
        <w:rPr>
          <w:noProof/>
        </w:rPr>
        <w:drawing>
          <wp:anchor distT="0" distB="0" distL="114300" distR="114300" simplePos="0" relativeHeight="251655680" behindDoc="0" locked="0" layoutInCell="1" allowOverlap="1" wp14:anchorId="60AB7FD6" wp14:editId="4613C957">
            <wp:simplePos x="0" y="0"/>
            <wp:positionH relativeFrom="column">
              <wp:posOffset>0</wp:posOffset>
            </wp:positionH>
            <wp:positionV relativeFrom="paragraph">
              <wp:posOffset>0</wp:posOffset>
            </wp:positionV>
            <wp:extent cx="5731510" cy="4029710"/>
            <wp:effectExtent l="0" t="0" r="2540" b="8890"/>
            <wp:wrapTopAndBottom/>
            <wp:docPr id="5499513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951377" name="Picture 549951377"/>
                    <pic:cNvPicPr/>
                  </pic:nvPicPr>
                  <pic:blipFill>
                    <a:blip r:embed="rId24">
                      <a:extLst>
                        <a:ext uri="{28A0092B-C50C-407E-A947-70E740481C1C}">
                          <a14:useLocalDpi xmlns:a14="http://schemas.microsoft.com/office/drawing/2010/main" val="0"/>
                        </a:ext>
                      </a:extLst>
                    </a:blip>
                    <a:stretch>
                      <a:fillRect/>
                    </a:stretch>
                  </pic:blipFill>
                  <pic:spPr>
                    <a:xfrm>
                      <a:off x="0" y="0"/>
                      <a:ext cx="5731510" cy="4029710"/>
                    </a:xfrm>
                    <a:prstGeom prst="rect">
                      <a:avLst/>
                    </a:prstGeom>
                  </pic:spPr>
                </pic:pic>
              </a:graphicData>
            </a:graphic>
          </wp:anchor>
        </w:drawing>
      </w:r>
    </w:p>
    <w:p w14:paraId="42393AFD" w14:textId="36F6A18F" w:rsidR="00AF0487" w:rsidRDefault="009E0CE1" w:rsidP="009E0CE1">
      <w:pPr>
        <w:pStyle w:val="Heading2"/>
      </w:pPr>
      <w:bookmarkStart w:id="8" w:name="_Toc227800346"/>
      <w:r>
        <w:t>2.6 Gea</w:t>
      </w:r>
      <w:r w:rsidR="00A95EEE">
        <w:t>ring</w:t>
      </w:r>
      <w:r w:rsidR="008E73AE">
        <w:t xml:space="preserve"> and Capital Structure</w:t>
      </w:r>
      <w:bookmarkEnd w:id="8"/>
    </w:p>
    <w:p w14:paraId="18C0A461" w14:textId="77777777" w:rsidR="008B44AC" w:rsidRDefault="008B44AC" w:rsidP="008B44AC">
      <w:pPr>
        <w:pStyle w:val="rahul"/>
      </w:pPr>
      <w:r>
        <w:t xml:space="preserve">According to BYD’s gearing ratio, which is net debt -total borrowings less cash – in relation to the equity. The gearing ratio fell from an imbalance of 15% in 2021 to 44% in 2023 and then rebounded to 36% the following </w:t>
      </w:r>
      <w:proofErr w:type="gramStart"/>
      <w:r>
        <w:t>year[</w:t>
      </w:r>
      <w:proofErr w:type="gramEnd"/>
      <w:r>
        <w:t>28]. A negative figure means cash exceeds borrowings. BYD’s gearing ratio showcases that they have strong internal funds.</w:t>
      </w:r>
    </w:p>
    <w:p w14:paraId="316EDC08" w14:textId="77777777" w:rsidR="008B44AC" w:rsidRDefault="008B44AC" w:rsidP="008B44AC">
      <w:pPr>
        <w:pStyle w:val="rahul"/>
      </w:pPr>
    </w:p>
    <w:p w14:paraId="04FBDAA1" w14:textId="77777777" w:rsidR="008B44AC" w:rsidRDefault="008B44AC" w:rsidP="008B44AC">
      <w:pPr>
        <w:pStyle w:val="rahul"/>
      </w:pPr>
      <w:r>
        <w:t>The total assets increased from RMB 295.8 billion in 2021 to RMB 783.4 billion in 2024. Further, the net assets (shareholders’ equity) increased from RMB 95.1 billion in 2021 to RMB 185.3 billion in 2024[30]. Leverage will be kept low due to very heavy increase in the shareholders’ equity as compared to debt value.</w:t>
      </w:r>
    </w:p>
    <w:p w14:paraId="4CFEFD0C" w14:textId="77777777" w:rsidR="008B44AC" w:rsidRDefault="008B44AC" w:rsidP="008B44AC">
      <w:pPr>
        <w:pStyle w:val="rahul"/>
      </w:pPr>
    </w:p>
    <w:p w14:paraId="528F0A40" w14:textId="77777777" w:rsidR="0034106E" w:rsidRDefault="008B44AC" w:rsidP="008B44AC">
      <w:pPr>
        <w:pStyle w:val="rahul"/>
      </w:pPr>
      <w:r>
        <w:lastRenderedPageBreak/>
        <w:t>Through a primary A-share placement, BYD has raised $5.59 billion to boost its capital base. The funding will be used to enhance research and expansion activities. It can generate funds through capital markets for capital needs.</w:t>
      </w:r>
    </w:p>
    <w:p w14:paraId="37095A04" w14:textId="7887CDA2" w:rsidR="008B44AC" w:rsidRDefault="0034106E" w:rsidP="008B44AC">
      <w:pPr>
        <w:pStyle w:val="rahul"/>
      </w:pPr>
      <w:r>
        <w:rPr>
          <w:noProof/>
        </w:rPr>
        <w:drawing>
          <wp:anchor distT="0" distB="0" distL="114300" distR="114300" simplePos="0" relativeHeight="251656704" behindDoc="0" locked="0" layoutInCell="1" allowOverlap="1" wp14:anchorId="034CDCDF" wp14:editId="316078C6">
            <wp:simplePos x="0" y="0"/>
            <wp:positionH relativeFrom="column">
              <wp:posOffset>0</wp:posOffset>
            </wp:positionH>
            <wp:positionV relativeFrom="paragraph">
              <wp:posOffset>-3810</wp:posOffset>
            </wp:positionV>
            <wp:extent cx="5731510" cy="4041775"/>
            <wp:effectExtent l="0" t="0" r="2540" b="0"/>
            <wp:wrapTopAndBottom/>
            <wp:docPr id="10027770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777050" name="Picture 1002777050"/>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4041775"/>
                    </a:xfrm>
                    <a:prstGeom prst="rect">
                      <a:avLst/>
                    </a:prstGeom>
                  </pic:spPr>
                </pic:pic>
              </a:graphicData>
            </a:graphic>
          </wp:anchor>
        </w:drawing>
      </w:r>
    </w:p>
    <w:p w14:paraId="5908603A" w14:textId="05FC731C" w:rsidR="0034106E" w:rsidRDefault="0085619C" w:rsidP="0085619C">
      <w:pPr>
        <w:pStyle w:val="Heading2"/>
      </w:pPr>
      <w:bookmarkStart w:id="9" w:name="_Toc227800347"/>
      <w:r>
        <w:t xml:space="preserve">2.7 </w:t>
      </w:r>
      <w:r w:rsidR="009252CF">
        <w:t>Investment Analysis</w:t>
      </w:r>
      <w:bookmarkEnd w:id="9"/>
    </w:p>
    <w:p w14:paraId="512827B6" w14:textId="3BA4A9BC" w:rsidR="009252CF" w:rsidRDefault="00B24516" w:rsidP="00B24516">
      <w:pPr>
        <w:pStyle w:val="rahul"/>
      </w:pPr>
      <w:r w:rsidRPr="00B24516">
        <w:t xml:space="preserve">BYD’s H-shares have a trailing price-earnings (P/E) ratio of around 19 × in early 2026. This follows a profit decline in 2025. Earnings per share (EPS) is RMB 13.84. BYD has a good profit and declared an interim dividend of RMB 3.974 per share. This suggests a payout ratio of about 29%. With a share price of HKD 104.55 (≈RMB </w:t>
      </w:r>
      <w:proofErr w:type="gramStart"/>
      <w:r w:rsidRPr="00B24516">
        <w:t>96)[</w:t>
      </w:r>
      <w:proofErr w:type="gramEnd"/>
      <w:r w:rsidRPr="00B24516">
        <w:t>24], the yield is around 4.1 %. This is pretty attractive against many peers. Investors, nonetheless, are cautious.</w:t>
      </w:r>
    </w:p>
    <w:p w14:paraId="6FB7910D" w14:textId="66F39A6E" w:rsidR="00A2071A" w:rsidRDefault="00A2071A" w:rsidP="00B24516">
      <w:pPr>
        <w:pStyle w:val="rahul"/>
      </w:pPr>
    </w:p>
    <w:p w14:paraId="662A7554" w14:textId="42E7FB2C" w:rsidR="00D12E88" w:rsidRDefault="00D12E88" w:rsidP="00D12E88">
      <w:pPr>
        <w:pStyle w:val="Heading2"/>
      </w:pPr>
      <w:bookmarkStart w:id="10" w:name="_Toc227800348"/>
      <w:r>
        <w:t>3.0</w:t>
      </w:r>
      <w:r w:rsidRPr="00D12E88">
        <w:t> Financing options</w:t>
      </w:r>
      <w:bookmarkEnd w:id="10"/>
    </w:p>
    <w:p w14:paraId="6411205C" w14:textId="16534B54" w:rsidR="00D12E88" w:rsidRDefault="00B2678B" w:rsidP="00901EAC">
      <w:pPr>
        <w:pStyle w:val="Heading3"/>
      </w:pPr>
      <w:bookmarkStart w:id="11" w:name="_Toc227800349"/>
      <w:r w:rsidRPr="00B2678B">
        <w:t>Internal financing</w:t>
      </w:r>
      <w:bookmarkEnd w:id="11"/>
    </w:p>
    <w:p w14:paraId="5C2C8359" w14:textId="77777777" w:rsidR="00431721" w:rsidRDefault="00431721" w:rsidP="00431721">
      <w:pPr>
        <w:pStyle w:val="rahul"/>
      </w:pPr>
      <w:r>
        <w:t>BYD’s substantial operating cash flows and negative net</w:t>
      </w:r>
      <w:r>
        <w:noBreakHyphen/>
        <w:t>debt position make internal financing the primary source for investments. Cash reserves of RMB 154.94 billion</w:t>
      </w:r>
      <w:hyperlink r:id="rId26" w:anchor=":~:text=dividend%20of%20RMB3,amounted%20to%20approximately%20RMB154%2C937%20million" w:history="1">
        <w:r>
          <w:rPr>
            <w:rStyle w:val="Hyperlink"/>
            <w:u w:val="single"/>
          </w:rPr>
          <w:t>[26]</w:t>
        </w:r>
      </w:hyperlink>
      <w:r>
        <w:t xml:space="preserve"> can fund R&amp;D, capacity expansions and overseas ventures without additional borrowing. Internal financing </w:t>
      </w:r>
      <w:r>
        <w:lastRenderedPageBreak/>
        <w:t>avoids interest costs and dilution but may limit flexibility if profits decline or if large capital outlays are required simultaneously (e.g., building multiple overseas plants).</w:t>
      </w:r>
    </w:p>
    <w:p w14:paraId="5EBAB836" w14:textId="0BE57EC6" w:rsidR="00901EAC" w:rsidRDefault="00901EAC" w:rsidP="00901EAC">
      <w:pPr>
        <w:pStyle w:val="Heading3"/>
      </w:pPr>
      <w:bookmarkStart w:id="12" w:name="_Toc227800350"/>
      <w:r w:rsidRPr="00901EAC">
        <w:t>Debt financing</w:t>
      </w:r>
      <w:bookmarkEnd w:id="12"/>
    </w:p>
    <w:p w14:paraId="0B6371DC" w14:textId="4BED99EE" w:rsidR="00901EAC" w:rsidRDefault="00AA4A94" w:rsidP="00AA4A94">
      <w:pPr>
        <w:pStyle w:val="rahul"/>
      </w:pPr>
      <w:r w:rsidRPr="00AA4A94">
        <w:t>BYD has historically relied sparingly on long‑term debt. Its moderate leverage provides capacity to issue bonds or obtain bank loans at competitive rates. In China, government policy supports green bonds and loans for NEV projects. Debt financing allows the company to maintain share‑holder control and benefit from tax deductibility of interest. However, rising interest rates and global macroeconomic uncertainties could increase borrowing costs. The gearing ratio demonstrates that BYD could tolerate additional debt up to a prudential level (e.g., targeting net debt/EBITDA &lt; 1.0×).</w:t>
      </w:r>
    </w:p>
    <w:p w14:paraId="378BF2E1" w14:textId="5D1A8F29" w:rsidR="00AA4A94" w:rsidRDefault="00513720" w:rsidP="00513720">
      <w:pPr>
        <w:pStyle w:val="Heading3"/>
      </w:pPr>
      <w:bookmarkStart w:id="13" w:name="_Toc227800351"/>
      <w:r w:rsidRPr="00513720">
        <w:t>Equity financing</w:t>
      </w:r>
      <w:bookmarkEnd w:id="13"/>
    </w:p>
    <w:p w14:paraId="28BAB046" w14:textId="6106E954" w:rsidR="00513720" w:rsidRDefault="00F56E8F" w:rsidP="00F56E8F">
      <w:pPr>
        <w:pStyle w:val="rahul"/>
      </w:pPr>
      <w:r w:rsidRPr="00F56E8F">
        <w:t xml:space="preserve">In 2024, the A-share placement raised a sizeable USD5.59 billion which will be used to finance research and development, as well as overseas growth. Equity financing does not require fixed repayments and can also provide funding for a </w:t>
      </w:r>
      <w:proofErr w:type="gramStart"/>
      <w:r w:rsidRPr="00F56E8F">
        <w:t>large scale</w:t>
      </w:r>
      <w:proofErr w:type="gramEnd"/>
      <w:r w:rsidRPr="00F56E8F">
        <w:t xml:space="preserve"> project. However, equity fundraising will cause dilution to existing shareholders as well as signal that the internal cash does not suffice.  As BYD’s valuation is quite high, and investors’ appetite for green assets should make further equity issues possible although it is best timed to minimise dilution.</w:t>
      </w:r>
    </w:p>
    <w:p w14:paraId="19558112" w14:textId="00252AC6" w:rsidR="00D61D89" w:rsidRDefault="00C223F7" w:rsidP="00D61D89">
      <w:pPr>
        <w:pStyle w:val="Heading3"/>
      </w:pPr>
      <w:bookmarkStart w:id="14" w:name="_Toc227800352"/>
      <w:r w:rsidRPr="00C223F7">
        <w:t>Hybrid and government financing</w:t>
      </w:r>
      <w:bookmarkEnd w:id="14"/>
    </w:p>
    <w:p w14:paraId="68A61C0B" w14:textId="77777777" w:rsidR="00A635BB" w:rsidRPr="004109B9" w:rsidRDefault="00A635BB" w:rsidP="004109B9">
      <w:pPr>
        <w:pStyle w:val="rahul"/>
      </w:pPr>
      <w:r w:rsidRPr="004109B9">
        <w:t>Convertible bonds and preference shares are an example of hybrid instruments. They are a good choice for BYD to raise money without diluting existing shareholders. In other words, it could have a mix of debt and equity, allowing for flexibility. To set up factories, BYD can team up with local governments as well as sovereign funds.  In this scenario, the capital expenditure and risk would be shared by the partner.</w:t>
      </w:r>
    </w:p>
    <w:p w14:paraId="241343C1" w14:textId="7C80C08F" w:rsidR="00C223F7" w:rsidRPr="004109B9" w:rsidRDefault="00A635BB" w:rsidP="004109B9">
      <w:pPr>
        <w:pStyle w:val="rahul"/>
      </w:pPr>
      <w:r w:rsidRPr="004109B9">
        <w:t>For instance, if BYD wants to set up a factory in Turkey or Hungary, it will get tax breaks for job creation.</w:t>
      </w:r>
      <w:r w:rsidR="004109B9">
        <w:t xml:space="preserve">               </w:t>
      </w:r>
    </w:p>
    <w:p w14:paraId="3A6FFDFB" w14:textId="495C9F09" w:rsidR="00F039ED" w:rsidRPr="00C223F7" w:rsidRDefault="00F039ED" w:rsidP="00A635BB">
      <w:pPr>
        <w:pStyle w:val="rahul"/>
      </w:pPr>
      <w:r>
        <w:rPr>
          <w:noProof/>
        </w:rPr>
        <w:lastRenderedPageBreak/>
        <w:drawing>
          <wp:inline distT="0" distB="0" distL="0" distR="0" wp14:anchorId="014E0ACB" wp14:editId="63C76D54">
            <wp:extent cx="5731510" cy="3318510"/>
            <wp:effectExtent l="0" t="0" r="2540" b="0"/>
            <wp:docPr id="47193219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932190" name="Picture 471932190"/>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318510"/>
                    </a:xfrm>
                    <a:prstGeom prst="rect">
                      <a:avLst/>
                    </a:prstGeom>
                  </pic:spPr>
                </pic:pic>
              </a:graphicData>
            </a:graphic>
          </wp:inline>
        </w:drawing>
      </w:r>
    </w:p>
    <w:p w14:paraId="23EB0F79" w14:textId="77777777" w:rsidR="00431721" w:rsidRDefault="00431721" w:rsidP="00431721">
      <w:pPr>
        <w:pStyle w:val="rahul"/>
        <w:rPr>
          <w:rFonts w:asciiTheme="minorHAnsi" w:hAnsiTheme="minorHAnsi"/>
          <w:color w:val="auto"/>
        </w:rPr>
      </w:pPr>
    </w:p>
    <w:p w14:paraId="4789A47E" w14:textId="13026DDF" w:rsidR="00B2678B" w:rsidRDefault="00EE7EAA" w:rsidP="005101CC">
      <w:pPr>
        <w:pStyle w:val="Heading2"/>
      </w:pPr>
      <w:bookmarkStart w:id="15" w:name="_Toc227800353"/>
      <w:r>
        <w:t xml:space="preserve">3.1 Net Income Trend </w:t>
      </w:r>
      <w:proofErr w:type="gramStart"/>
      <w:r>
        <w:t>And</w:t>
      </w:r>
      <w:proofErr w:type="gramEnd"/>
      <w:r>
        <w:t xml:space="preserve"> Profit Margin Analysis</w:t>
      </w:r>
      <w:bookmarkEnd w:id="15"/>
    </w:p>
    <w:p w14:paraId="71D267F4" w14:textId="77777777" w:rsidR="00CC727A" w:rsidRDefault="00CC727A" w:rsidP="00CC727A">
      <w:pPr>
        <w:pStyle w:val="rahul"/>
      </w:pPr>
      <w:r>
        <w:t>Sales &amp; Production</w:t>
      </w:r>
    </w:p>
    <w:p w14:paraId="2FEAE8F6" w14:textId="77777777" w:rsidR="00CC727A" w:rsidRDefault="00CC727A" w:rsidP="00CC727A">
      <w:pPr>
        <w:pStyle w:val="rahul"/>
      </w:pPr>
      <w:r>
        <w:t>BYD’s annual vehicle sales (NEVs) grew explosively: ~1.8 M in 2021, 3.0 M in 2023, 4.27 M in 2024, 4.60 M</w:t>
      </w:r>
    </w:p>
    <w:p w14:paraId="61F7FFCE" w14:textId="77777777" w:rsidR="00CC727A" w:rsidRDefault="00CC727A" w:rsidP="00CC727A">
      <w:pPr>
        <w:pStyle w:val="rahul"/>
      </w:pPr>
      <w:r>
        <w:t>in 2025 increase) 66 30</w:t>
      </w:r>
    </w:p>
    <w:p w14:paraId="021D64E5" w14:textId="77777777" w:rsidR="00CC727A" w:rsidRDefault="00CC727A" w:rsidP="00CC727A">
      <w:pPr>
        <w:pStyle w:val="rahul"/>
      </w:pPr>
      <w:r>
        <w:t>. Production capacity has matched this – in 2025 BYD produced ~4.55 M vehicles (43%</w:t>
      </w:r>
    </w:p>
    <w:p w14:paraId="3CB45D9D" w14:textId="77777777" w:rsidR="00CC727A" w:rsidRDefault="00CC727A" w:rsidP="00CC727A">
      <w:pPr>
        <w:pStyle w:val="rahul"/>
      </w:pPr>
      <w:r>
        <w:t>73 69</w:t>
      </w:r>
    </w:p>
    <w:p w14:paraId="6E782142" w14:textId="77777777" w:rsidR="00CC727A" w:rsidRDefault="00CC727A" w:rsidP="00CC727A">
      <w:pPr>
        <w:pStyle w:val="rahul"/>
      </w:pPr>
      <w:r>
        <w:t>. The charts above and below illustrate these trends. BYD projects ~5–6 M sales in 2025</w:t>
      </w:r>
    </w:p>
    <w:p w14:paraId="11A0CDED" w14:textId="77777777" w:rsidR="00CC727A" w:rsidRDefault="00CC727A" w:rsidP="00CC727A">
      <w:pPr>
        <w:pStyle w:val="rahul"/>
      </w:pPr>
      <w:r>
        <w:t>(Citi estimate) and has targeted 6.6M by 2027 (internal goal).</w:t>
      </w:r>
    </w:p>
    <w:p w14:paraId="6108B4C5" w14:textId="77777777" w:rsidR="00CC727A" w:rsidRDefault="00CC727A" w:rsidP="00CC727A">
      <w:pPr>
        <w:pStyle w:val="rahul"/>
      </w:pPr>
      <w:r>
        <w:t>Revenue &amp; Profit</w:t>
      </w:r>
    </w:p>
    <w:p w14:paraId="260BC1D5" w14:textId="77777777" w:rsidR="00CC727A" w:rsidRDefault="00CC727A" w:rsidP="00CC727A">
      <w:pPr>
        <w:pStyle w:val="rahul"/>
      </w:pPr>
      <w:r>
        <w:t>Revenue has grown from RMB 348.62B in 2021 to RMB 602.32B (2023) 47 4</w:t>
      </w:r>
    </w:p>
    <w:p w14:paraId="2C17E12C" w14:textId="77777777" w:rsidR="00CC727A" w:rsidRDefault="00CC727A" w:rsidP="00CC727A">
      <w:pPr>
        <w:pStyle w:val="rahul"/>
      </w:pPr>
      <w:r>
        <w:t>to RMB 777.1B (2024) and</w:t>
      </w:r>
    </w:p>
    <w:p w14:paraId="2B2611D4" w14:textId="77777777" w:rsidR="00CC727A" w:rsidRDefault="00CC727A" w:rsidP="00CC727A">
      <w:pPr>
        <w:pStyle w:val="rahul"/>
      </w:pPr>
      <w:r>
        <w:t>RMB 803.97B (2025) 5</w:t>
      </w:r>
    </w:p>
    <w:p w14:paraId="6E86B85F" w14:textId="77777777" w:rsidR="00CC727A" w:rsidRDefault="00CC727A" w:rsidP="00CC727A">
      <w:pPr>
        <w:pStyle w:val="rahul"/>
      </w:pPr>
      <w:r>
        <w:t>. Growth rates slowed from +42% (2023) to +3.5% (2025) as domestic price cuts</w:t>
      </w:r>
    </w:p>
    <w:p w14:paraId="415C03DB" w14:textId="77777777" w:rsidR="00CC727A" w:rsidRDefault="00CC727A" w:rsidP="00CC727A">
      <w:pPr>
        <w:pStyle w:val="rahul"/>
      </w:pPr>
      <w:r>
        <w:t>weighed. Net profit climbed (+80% in 2023) but dipped in 2025 8</w:t>
      </w:r>
    </w:p>
    <w:p w14:paraId="020CBF68" w14:textId="77777777" w:rsidR="00CC727A" w:rsidRDefault="00CC727A" w:rsidP="00CC727A">
      <w:pPr>
        <w:pStyle w:val="rahul"/>
      </w:pPr>
      <w:r>
        <w:lastRenderedPageBreak/>
        <w:t>. EV deliveries correlate strongly with</w:t>
      </w:r>
    </w:p>
    <w:p w14:paraId="3E1799E6" w14:textId="77777777" w:rsidR="00CC727A" w:rsidRDefault="00CC727A" w:rsidP="00CC727A">
      <w:pPr>
        <w:pStyle w:val="rahul"/>
      </w:pPr>
      <w:r>
        <w:t>revenue peaks.</w:t>
      </w:r>
    </w:p>
    <w:p w14:paraId="2A77F156" w14:textId="77777777" w:rsidR="00CC727A" w:rsidRDefault="00CC727A" w:rsidP="00CC727A">
      <w:pPr>
        <w:pStyle w:val="rahul"/>
      </w:pPr>
      <w:r>
        <w:t>Market Share &amp; Exports</w:t>
      </w:r>
    </w:p>
    <w:p w14:paraId="5672467C" w14:textId="77777777" w:rsidR="00CC727A" w:rsidRDefault="00CC727A" w:rsidP="00CC727A">
      <w:pPr>
        <w:pStyle w:val="rahul"/>
      </w:pPr>
      <w:r>
        <w:t>As noted, BYD’s share of China’s auto market jumped (12.5% in 2023 → 17.1% in 2024) 59</w:t>
      </w:r>
    </w:p>
    <w:p w14:paraId="7906DF81" w14:textId="77777777" w:rsidR="00CC727A" w:rsidRDefault="00CC727A" w:rsidP="00CC727A">
      <w:pPr>
        <w:pStyle w:val="rahul"/>
      </w:pPr>
      <w:r>
        <w:t>, making it the</w:t>
      </w:r>
    </w:p>
    <w:p w14:paraId="17B95D9D" w14:textId="77777777" w:rsidR="00CC727A" w:rsidRDefault="00CC727A" w:rsidP="00CC727A">
      <w:pPr>
        <w:pStyle w:val="rahul"/>
      </w:pPr>
      <w:r>
        <w:t>nation’s top brand. Globally, BYD’s share of EVs is ~18% (2025) 7</w:t>
      </w:r>
    </w:p>
    <w:p w14:paraId="3D490C5A" w14:textId="77777777" w:rsidR="00CC727A" w:rsidRDefault="00CC727A" w:rsidP="00CC727A">
      <w:pPr>
        <w:pStyle w:val="rahul"/>
      </w:pPr>
      <w:r>
        <w:t>. Exports are rising: BYD’s 2025</w:t>
      </w:r>
    </w:p>
    <w:p w14:paraId="366BBB01" w14:textId="77777777" w:rsidR="00CC727A" w:rsidRDefault="00CC727A" w:rsidP="00CC727A">
      <w:pPr>
        <w:pStyle w:val="rahul"/>
      </w:pPr>
      <w:r>
        <w:t>overseas sales (~1.04 M) now exceed many local-market dealers 31</w:t>
      </w:r>
    </w:p>
    <w:p w14:paraId="5DF1D4D3" w14:textId="77777777" w:rsidR="00CC727A" w:rsidRDefault="00CC727A" w:rsidP="00CC727A">
      <w:pPr>
        <w:pStyle w:val="rahul"/>
      </w:pPr>
      <w:r>
        <w:t>. This diversification means ~29% of</w:t>
      </w:r>
    </w:p>
    <w:p w14:paraId="217E9D16" w14:textId="77777777" w:rsidR="00CC727A" w:rsidRDefault="00CC727A" w:rsidP="00CC727A">
      <w:pPr>
        <w:pStyle w:val="rahul"/>
      </w:pPr>
      <w:r>
        <w:t>sales in 2024 came from outside Greater China 74</w:t>
      </w:r>
    </w:p>
    <w:p w14:paraId="115D2731" w14:textId="77777777" w:rsidR="00CC727A" w:rsidRDefault="00CC727A" w:rsidP="00CC727A">
      <w:pPr>
        <w:pStyle w:val="rahul"/>
      </w:pPr>
      <w:r>
        <w:t>. BYD aims to further boost exports (target 1.3M</w:t>
      </w:r>
    </w:p>
    <w:p w14:paraId="3DB5403E" w14:textId="77777777" w:rsidR="00CC727A" w:rsidRDefault="00CC727A" w:rsidP="00CC727A">
      <w:pPr>
        <w:pStyle w:val="rahul"/>
      </w:pPr>
      <w:r>
        <w:t>75</w:t>
      </w:r>
    </w:p>
    <w:p w14:paraId="6D6E6243" w14:textId="77777777" w:rsidR="00CC727A" w:rsidRDefault="00CC727A" w:rsidP="00CC727A">
      <w:pPr>
        <w:pStyle w:val="rahul"/>
      </w:pPr>
      <w:r>
        <w:t xml:space="preserve">overseas </w:t>
      </w:r>
      <w:proofErr w:type="gramStart"/>
      <w:r>
        <w:t>2026 )</w:t>
      </w:r>
      <w:proofErr w:type="gramEnd"/>
      <w:r>
        <w:t>.</w:t>
      </w:r>
    </w:p>
    <w:p w14:paraId="3EBC9914" w14:textId="77777777" w:rsidR="00CC727A" w:rsidRDefault="00CC727A" w:rsidP="00CC727A">
      <w:pPr>
        <w:pStyle w:val="rahul"/>
      </w:pPr>
      <w:r>
        <w:t>EV Deliveries</w:t>
      </w:r>
    </w:p>
    <w:p w14:paraId="64496E1A" w14:textId="77777777" w:rsidR="00CC727A" w:rsidRDefault="00CC727A" w:rsidP="00CC727A">
      <w:pPr>
        <w:pStyle w:val="rahul"/>
      </w:pPr>
      <w:r>
        <w:t>BYD’s hybrid vs BEV split: In 2025 roughly 49% BEVs, 51% PHEVs 76</w:t>
      </w:r>
    </w:p>
    <w:p w14:paraId="7011D37A" w14:textId="77777777" w:rsidR="00CC727A" w:rsidRDefault="00CC727A" w:rsidP="00CC727A">
      <w:pPr>
        <w:pStyle w:val="rahul"/>
      </w:pPr>
      <w:r>
        <w:t>. The company emphasizes hybrids</w:t>
      </w:r>
    </w:p>
    <w:p w14:paraId="76EAEF12" w14:textId="77777777" w:rsidR="00CC727A" w:rsidRDefault="00CC727A" w:rsidP="00CC727A">
      <w:pPr>
        <w:pStyle w:val="rahul"/>
      </w:pPr>
      <w:r>
        <w:t>to capture budget buyers and uses DM-</w:t>
      </w:r>
      <w:proofErr w:type="spellStart"/>
      <w:r>
        <w:t>i</w:t>
      </w:r>
      <w:proofErr w:type="spellEnd"/>
      <w:r>
        <w:t xml:space="preserve"> technology for efficiency. </w:t>
      </w:r>
      <w:proofErr w:type="gramStart"/>
      <w:r>
        <w:t>However</w:t>
      </w:r>
      <w:proofErr w:type="gramEnd"/>
      <w:r>
        <w:t xml:space="preserve"> BEV share is growing fastest</w:t>
      </w:r>
    </w:p>
    <w:p w14:paraId="2DE27A34" w14:textId="77777777" w:rsidR="00CC727A" w:rsidRDefault="00CC727A" w:rsidP="00CC727A">
      <w:pPr>
        <w:pStyle w:val="rahul"/>
      </w:pPr>
      <w:r>
        <w:t>(+27% BEV in 2025 76 77</w:t>
      </w:r>
    </w:p>
    <w:p w14:paraId="6476EFAF" w14:textId="77777777" w:rsidR="00CC727A" w:rsidRDefault="00CC727A" w:rsidP="00CC727A">
      <w:pPr>
        <w:pStyle w:val="rahul"/>
      </w:pPr>
      <w:r>
        <w:t xml:space="preserve">). BYD also delivered ~57k electric commercial vehicles in </w:t>
      </w:r>
      <w:proofErr w:type="gramStart"/>
      <w:r>
        <w:t>2025 .</w:t>
      </w:r>
      <w:proofErr w:type="gramEnd"/>
    </w:p>
    <w:p w14:paraId="41D601C3" w14:textId="77777777" w:rsidR="00CC727A" w:rsidRDefault="00CC727A" w:rsidP="00CC727A">
      <w:pPr>
        <w:pStyle w:val="rahul"/>
      </w:pPr>
      <w:r>
        <w:t>The above trends suggest BYD’s growth may normalize as the Chinese NEV market matures, but</w:t>
      </w:r>
    </w:p>
    <w:p w14:paraId="6DCF97A0" w14:textId="1431E1C8" w:rsidR="007D4E01" w:rsidRDefault="00CC727A" w:rsidP="00CC727A">
      <w:pPr>
        <w:pStyle w:val="rahul"/>
      </w:pPr>
      <w:r>
        <w:t>overseas expansion and new segments (commercial, luxury EVs) could sustain high volum</w:t>
      </w:r>
      <w:r>
        <w:t>e</w:t>
      </w:r>
    </w:p>
    <w:p w14:paraId="601B5729" w14:textId="77777777" w:rsidR="00764F50" w:rsidRDefault="00764F50" w:rsidP="00CC727A">
      <w:pPr>
        <w:pStyle w:val="rahul"/>
        <w:sectPr w:rsidR="00764F50">
          <w:pgSz w:w="11906" w:h="16838"/>
          <w:pgMar w:top="1440" w:right="1440" w:bottom="1440" w:left="1440" w:header="708" w:footer="708" w:gutter="0"/>
          <w:cols w:space="708"/>
          <w:docGrid w:linePitch="360"/>
        </w:sectPr>
      </w:pPr>
    </w:p>
    <w:p w14:paraId="11AE2057" w14:textId="52F97600" w:rsidR="00764F50" w:rsidRPr="007D4E01" w:rsidRDefault="00764F50" w:rsidP="00CC727A">
      <w:pPr>
        <w:pStyle w:val="rahul"/>
      </w:pPr>
      <w:r>
        <w:rPr>
          <w:noProof/>
        </w:rPr>
        <w:lastRenderedPageBreak/>
        <w:drawing>
          <wp:inline distT="0" distB="0" distL="0" distR="0" wp14:anchorId="4730B4FE" wp14:editId="6B91EE33">
            <wp:extent cx="5731510" cy="8597265"/>
            <wp:effectExtent l="0" t="0" r="2540" b="0"/>
            <wp:docPr id="206410210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102107" name="Picture 2064102107"/>
                    <pic:cNvPicPr/>
                  </pic:nvPicPr>
                  <pic:blipFill>
                    <a:blip r:embed="rId28">
                      <a:extLst>
                        <a:ext uri="{28A0092B-C50C-407E-A947-70E740481C1C}">
                          <a14:useLocalDpi xmlns:a14="http://schemas.microsoft.com/office/drawing/2010/main" val="0"/>
                        </a:ext>
                      </a:extLst>
                    </a:blip>
                    <a:stretch>
                      <a:fillRect/>
                    </a:stretch>
                  </pic:blipFill>
                  <pic:spPr>
                    <a:xfrm>
                      <a:off x="0" y="0"/>
                      <a:ext cx="5731510" cy="8597265"/>
                    </a:xfrm>
                    <a:prstGeom prst="rect">
                      <a:avLst/>
                    </a:prstGeom>
                  </pic:spPr>
                </pic:pic>
              </a:graphicData>
            </a:graphic>
          </wp:inline>
        </w:drawing>
      </w:r>
    </w:p>
    <w:p w14:paraId="5C6A76F4" w14:textId="09DBE49A" w:rsidR="00EE7EAA" w:rsidRDefault="006E36BE" w:rsidP="00EC7F39">
      <w:pPr>
        <w:pStyle w:val="Heading2"/>
      </w:pPr>
      <w:bookmarkStart w:id="16" w:name="_Toc227800354"/>
      <w:r>
        <w:lastRenderedPageBreak/>
        <w:t>4</w:t>
      </w:r>
      <w:r w:rsidR="00EC7F39">
        <w:t xml:space="preserve">.0 </w:t>
      </w:r>
      <w:r w:rsidR="00EC7F39" w:rsidRPr="00EC7F39">
        <w:t>Strategic financial restructuring plan</w:t>
      </w:r>
      <w:bookmarkEnd w:id="16"/>
    </w:p>
    <w:p w14:paraId="792FDDED" w14:textId="328FB8DB" w:rsidR="00EC7F39" w:rsidRDefault="00D66256" w:rsidP="00D66256">
      <w:pPr>
        <w:pStyle w:val="rahul"/>
      </w:pPr>
      <w:r w:rsidRPr="00D66256">
        <w:t>Due to the contraction of BYD’s net margins as a result of global competition, the firm requires the implementation of a financial restructuring scheme in order to achieve profitability while strengthening the balance sheet. Besides improving profitability using margin engineering and being cost leader, the scheme of working–capital cycle must be optimized without straining supplier relations. Furthermore, the firm must also ensure it derives a smaller percentage of revenue from China and more through regionalisation and divisive product diversification. Last but not least, it should adapt amid governance, environmental and more.</w:t>
      </w:r>
    </w:p>
    <w:p w14:paraId="7B9980FE" w14:textId="77777777" w:rsidR="00564282" w:rsidRDefault="00564282" w:rsidP="00D66256">
      <w:pPr>
        <w:pStyle w:val="rahul"/>
      </w:pPr>
    </w:p>
    <w:p w14:paraId="6D7F27C1" w14:textId="267F07FC" w:rsidR="00564282" w:rsidRDefault="00564282" w:rsidP="00564282">
      <w:pPr>
        <w:pStyle w:val="Heading2"/>
      </w:pPr>
      <w:bookmarkStart w:id="17" w:name="_Toc227800355"/>
      <w:r>
        <w:t xml:space="preserve">4.1 </w:t>
      </w:r>
      <w:r w:rsidRPr="00564282">
        <w:t>Margin</w:t>
      </w:r>
      <w:r w:rsidRPr="00564282">
        <w:rPr>
          <w:rFonts w:ascii="Cambria Math" w:hAnsi="Cambria Math" w:cs="Cambria Math"/>
        </w:rPr>
        <w:t>‑</w:t>
      </w:r>
      <w:r w:rsidRPr="00564282">
        <w:t>led initiatives</w:t>
      </w:r>
      <w:bookmarkEnd w:id="17"/>
    </w:p>
    <w:p w14:paraId="175A99BB" w14:textId="77777777" w:rsidR="0068491C" w:rsidRDefault="0068491C" w:rsidP="0068491C">
      <w:pPr>
        <w:pStyle w:val="rahul"/>
      </w:pPr>
      <w:r>
        <w:t xml:space="preserve">Price control and product mixing. BYD should refrain from overly discounting its products.  Instead, it can differentiate offerings via technology (such as the Blade Battery 2.0), premium features and brand positioning. Growth of Denza and </w:t>
      </w:r>
      <w:proofErr w:type="spellStart"/>
      <w:r>
        <w:t>Yangwang</w:t>
      </w:r>
      <w:proofErr w:type="spellEnd"/>
      <w:r>
        <w:t xml:space="preserve"> brands could yield higher margins. The firm should focus on high gross margin models and phase out low margin variants. Opportunities for further efficiency will be identified through peer cost benchmarking (e.g. Tesla, Geely).</w:t>
      </w:r>
    </w:p>
    <w:p w14:paraId="09C852FC" w14:textId="77777777" w:rsidR="0068491C" w:rsidRDefault="0068491C" w:rsidP="0068491C">
      <w:pPr>
        <w:pStyle w:val="rahul"/>
      </w:pPr>
      <w:r>
        <w:t>Local manufacturing. The establishment of foreign plants in Hungary and Turkey (announced in 2024) will streamline supply chains, reduce tariffs, and increase flexibility in meeting local demand. Sourcing locally can bring down your logistics costs and hedge against foreign exchange risks. Still, BYD needs to make sure that new facilities will achieve economies of scale quickly and not be under-utilised.</w:t>
      </w:r>
    </w:p>
    <w:p w14:paraId="3C5F10AA" w14:textId="65243BED" w:rsidR="00564282" w:rsidRDefault="0068491C" w:rsidP="0068491C">
      <w:pPr>
        <w:pStyle w:val="rahul"/>
      </w:pPr>
      <w:r>
        <w:t>Integration and verticalization of the supply chain. BYD manufactured its own batteries (Blade Battery) and controlled all the key components of its electric cars that ensured cost and quality advantages. Investment in next-gen battery chemistry, semiconductors and power electronics will underpin margin-led restructuring. The firm should strengthen its partnership with raw‑material suppliers such as lithium mines to sustain input cost.</w:t>
      </w:r>
    </w:p>
    <w:p w14:paraId="672569F8" w14:textId="77777777" w:rsidR="00367FF9" w:rsidRDefault="00367FF9" w:rsidP="0068491C">
      <w:pPr>
        <w:pStyle w:val="rahul"/>
      </w:pPr>
    </w:p>
    <w:p w14:paraId="5C86B56A" w14:textId="0921DF59" w:rsidR="00367FF9" w:rsidRDefault="00367FF9" w:rsidP="00367FF9">
      <w:pPr>
        <w:pStyle w:val="Heading2"/>
      </w:pPr>
      <w:bookmarkStart w:id="18" w:name="_Toc227800356"/>
      <w:r>
        <w:t xml:space="preserve">4.2 </w:t>
      </w:r>
      <w:r w:rsidRPr="00367FF9">
        <w:t>Working</w:t>
      </w:r>
      <w:r w:rsidRPr="00367FF9">
        <w:rPr>
          <w:rFonts w:ascii="Cambria Math" w:hAnsi="Cambria Math" w:cs="Cambria Math"/>
        </w:rPr>
        <w:t>‑</w:t>
      </w:r>
      <w:r w:rsidRPr="00367FF9">
        <w:t>capital optimisation</w:t>
      </w:r>
      <w:bookmarkEnd w:id="18"/>
    </w:p>
    <w:p w14:paraId="23BD1296" w14:textId="77777777" w:rsidR="00350A34" w:rsidRDefault="00350A34" w:rsidP="00350A34">
      <w:pPr>
        <w:pStyle w:val="rahul"/>
      </w:pPr>
      <w:r>
        <w:t xml:space="preserve">Inventories of local classification. By separating inventory management by region, it is expected to better align demand and avoid excess inventory carrying cost. Using advanced </w:t>
      </w:r>
      <w:r>
        <w:lastRenderedPageBreak/>
        <w:t>analytics, BYD forecasts demand and adjusts production schedules to maintain low inventories.</w:t>
      </w:r>
    </w:p>
    <w:p w14:paraId="277EDABD" w14:textId="77777777" w:rsidR="00350A34" w:rsidRDefault="00350A34" w:rsidP="00350A34">
      <w:pPr>
        <w:pStyle w:val="rahul"/>
      </w:pPr>
      <w:r>
        <w:t>Managing receivables dynamically. Real-time credit assessment tools and digital invoicing can speed up the receivables cycle. BYD can also offer financing to dealers through a captive finance unit to make sure that dealers pay on time and to boost sales.</w:t>
      </w:r>
    </w:p>
    <w:p w14:paraId="5F886EFD" w14:textId="489A3AC2" w:rsidR="00367FF9" w:rsidRDefault="00350A34" w:rsidP="00350A34">
      <w:pPr>
        <w:pStyle w:val="rahul"/>
      </w:pPr>
      <w:r>
        <w:t xml:space="preserve">Partnerships in supplier financing </w:t>
      </w:r>
      <w:proofErr w:type="gramStart"/>
      <w:r>
        <w:t>In</w:t>
      </w:r>
      <w:proofErr w:type="gramEnd"/>
      <w:r>
        <w:t xml:space="preserve"> order to achieve extended payables terms without negatively affecting its suppliers, BYD could engage with banks for supply-chain finance. The bank provides early payment to suppliers but BYD accrues all the benefits of CCC.</w:t>
      </w:r>
    </w:p>
    <w:p w14:paraId="0CB281C6" w14:textId="77777777" w:rsidR="00CF1BA5" w:rsidRDefault="00CF1BA5" w:rsidP="00350A34">
      <w:pPr>
        <w:pStyle w:val="rahul"/>
      </w:pPr>
    </w:p>
    <w:p w14:paraId="6EECDEC9" w14:textId="3D7F27A0" w:rsidR="00696538" w:rsidRDefault="00696538" w:rsidP="00696538">
      <w:pPr>
        <w:pStyle w:val="Heading2"/>
      </w:pPr>
      <w:bookmarkStart w:id="19" w:name="_Toc227800357"/>
      <w:r>
        <w:t>4.3 DIVERSIFICATION AND ESG</w:t>
      </w:r>
      <w:bookmarkEnd w:id="19"/>
    </w:p>
    <w:p w14:paraId="2E7362BD" w14:textId="77777777" w:rsidR="00696538" w:rsidRPr="00696538" w:rsidRDefault="00696538" w:rsidP="00696538">
      <w:pPr>
        <w:rPr>
          <w:rFonts w:ascii="Times New Roman" w:hAnsi="Times New Roman"/>
          <w:sz w:val="24"/>
        </w:rPr>
      </w:pPr>
      <w:r w:rsidRPr="00696538">
        <w:rPr>
          <w:rFonts w:ascii="Times New Roman" w:hAnsi="Times New Roman"/>
          <w:sz w:val="24"/>
        </w:rPr>
        <w:t>Worldwide growth and adaptation. In order to reach BYD’s goal of achieving 1.5 million sales overseas by 2026, it should focus on Europe, Southeast Asia and Latin America.[14] When you purchase another business, this is an acquisition. Less dependence on China’s saturated and very competitive domestic market and regulatory risk from greater geographical revenue diversification.</w:t>
      </w:r>
    </w:p>
    <w:p w14:paraId="1B9FADED" w14:textId="77777777" w:rsidR="00696538" w:rsidRPr="00696538" w:rsidRDefault="00696538" w:rsidP="00696538">
      <w:pPr>
        <w:rPr>
          <w:rFonts w:ascii="Times New Roman" w:hAnsi="Times New Roman"/>
          <w:sz w:val="24"/>
        </w:rPr>
      </w:pPr>
      <w:r w:rsidRPr="00696538">
        <w:rPr>
          <w:rFonts w:ascii="Times New Roman" w:hAnsi="Times New Roman"/>
          <w:sz w:val="24"/>
        </w:rPr>
        <w:t>Storage of energy and solar panels. The enterprise’s energy storage sector delivered systems totalling over 60 GWh in 2025.</w:t>
      </w:r>
    </w:p>
    <w:p w14:paraId="57E01897" w14:textId="77777777" w:rsidR="00696538" w:rsidRPr="00696538" w:rsidRDefault="00696538" w:rsidP="00696538">
      <w:pPr>
        <w:rPr>
          <w:rFonts w:ascii="Times New Roman" w:hAnsi="Times New Roman"/>
          <w:sz w:val="24"/>
        </w:rPr>
      </w:pPr>
      <w:r w:rsidRPr="00696538">
        <w:rPr>
          <w:rFonts w:ascii="Times New Roman" w:hAnsi="Times New Roman"/>
          <w:sz w:val="24"/>
        </w:rPr>
        <w:t>All over the world, demand for grid storage and renewables is growing. BYD ought to broaden this segment and investigate synergy with NEV battery technology. Investing in photovoltaic production and smart energy solutions could generate new sources of revenue.</w:t>
      </w:r>
    </w:p>
    <w:p w14:paraId="00F34CF8" w14:textId="4B1C3B3C" w:rsidR="00EE7EAA" w:rsidRDefault="00696538" w:rsidP="00696538">
      <w:pPr>
        <w:rPr>
          <w:rFonts w:ascii="Times New Roman" w:hAnsi="Times New Roman"/>
          <w:sz w:val="24"/>
        </w:rPr>
      </w:pPr>
      <w:r w:rsidRPr="00696538">
        <w:rPr>
          <w:rFonts w:ascii="Times New Roman" w:hAnsi="Times New Roman"/>
          <w:sz w:val="24"/>
        </w:rPr>
        <w:t>Environmental sustainability. Enhancing ESG practices will boost investor confidence.  BYD must set clear targets for carbon neutrality, disclose Scope 3 emissions and adopt supply chain standards that meet sustainability requirements. Long-term value creation will benefit from greater independence, better reporting and stakeholder engagement.</w:t>
      </w:r>
    </w:p>
    <w:p w14:paraId="1DE91C08" w14:textId="77777777" w:rsidR="005419CF" w:rsidRDefault="005419CF" w:rsidP="00696538">
      <w:pPr>
        <w:rPr>
          <w:rFonts w:ascii="Times New Roman" w:hAnsi="Times New Roman"/>
          <w:sz w:val="24"/>
        </w:rPr>
      </w:pPr>
    </w:p>
    <w:p w14:paraId="00C896F4" w14:textId="77777777" w:rsidR="005419CF" w:rsidRDefault="005419CF" w:rsidP="00696538">
      <w:pPr>
        <w:sectPr w:rsidR="005419CF">
          <w:pgSz w:w="11906" w:h="16838"/>
          <w:pgMar w:top="1440" w:right="1440" w:bottom="1440" w:left="1440" w:header="708" w:footer="708" w:gutter="0"/>
          <w:cols w:space="708"/>
          <w:docGrid w:linePitch="360"/>
        </w:sectPr>
      </w:pPr>
    </w:p>
    <w:p w14:paraId="7A85F9AF" w14:textId="5EDDBC4A" w:rsidR="005419CF" w:rsidRDefault="005419CF" w:rsidP="005419CF">
      <w:pPr>
        <w:pStyle w:val="Heading2"/>
      </w:pPr>
      <w:bookmarkStart w:id="20" w:name="_Toc227800358"/>
      <w:r>
        <w:lastRenderedPageBreak/>
        <w:t>5.0</w:t>
      </w:r>
      <w:r w:rsidR="00C8282A">
        <w:t xml:space="preserve"> </w:t>
      </w:r>
      <w:r w:rsidR="00C8282A" w:rsidRPr="00C8282A">
        <w:t>Investment appraisal</w:t>
      </w:r>
      <w:bookmarkEnd w:id="20"/>
    </w:p>
    <w:p w14:paraId="7605E3DD" w14:textId="15EC4A08" w:rsidR="00C8282A" w:rsidRDefault="0060020F" w:rsidP="0060020F">
      <w:pPr>
        <w:pStyle w:val="rahul"/>
      </w:pPr>
      <w:r w:rsidRPr="0060020F">
        <w:t>To illustrate capital budgeting, we evaluate a hypothetical project: BYD plans to build a new EV assembly plant in Turkey to serve Europe and the Middle East. The plant would cost RMB 10 billion (approx. USD 1.4 billion) and produce 100 000 vehicles annually. The project life is five years, after which the plant will be sold for RMB 2 billion. The project is financed from internal cash and a government grant of RMB 1 billion, reducing the initial outlay to RMB 9 billion. Cash inflows consist of after‑tax operating cash flows derived from revenue, minus operating costs and depreciation. BYD’s weighted‑average cost of capital (WACC) is estimated at 10 % based on its low leverage and the risk profile of emerging markets.</w:t>
      </w:r>
    </w:p>
    <w:p w14:paraId="49C90E66" w14:textId="77777777" w:rsidR="00D75F2D" w:rsidRDefault="00D75F2D" w:rsidP="00D75F2D">
      <w:pPr>
        <w:pStyle w:val="Heading3"/>
        <w:rPr>
          <w:rFonts w:asciiTheme="minorHAnsi" w:hAnsiTheme="minorHAnsi"/>
        </w:rPr>
      </w:pPr>
      <w:bookmarkStart w:id="21" w:name="_Toc227800359"/>
      <w:r>
        <w:t>Assumptions and cash</w:t>
      </w:r>
      <w:r>
        <w:noBreakHyphen/>
        <w:t>flow inputs</w:t>
      </w:r>
      <w:bookmarkEnd w:id="21"/>
    </w:p>
    <w:tbl>
      <w:tblPr>
        <w:tblStyle w:val="Table"/>
        <w:tblW w:w="0" w:type="auto"/>
        <w:tblInd w:w="0" w:type="dxa"/>
        <w:tblLook w:val="0020" w:firstRow="1" w:lastRow="0" w:firstColumn="0" w:lastColumn="0" w:noHBand="0" w:noVBand="0"/>
      </w:tblPr>
      <w:tblGrid>
        <w:gridCol w:w="680"/>
        <w:gridCol w:w="1709"/>
        <w:gridCol w:w="2140"/>
        <w:gridCol w:w="2152"/>
        <w:gridCol w:w="2345"/>
      </w:tblGrid>
      <w:tr w:rsidR="00D75F2D" w14:paraId="7F6942C1" w14:textId="77777777">
        <w:trPr>
          <w:cnfStyle w:val="100000000000" w:firstRow="1" w:lastRow="0" w:firstColumn="0" w:lastColumn="0" w:oddVBand="0" w:evenVBand="0" w:oddHBand="0" w:evenHBand="0" w:firstRowFirstColumn="0" w:firstRowLastColumn="0" w:lastRowFirstColumn="0" w:lastRowLastColumn="0"/>
          <w:tblHeader/>
        </w:trPr>
        <w:tc>
          <w:tcPr>
            <w:tcW w:w="0" w:type="auto"/>
            <w:tcBorders>
              <w:top w:val="nil"/>
              <w:left w:val="nil"/>
              <w:right w:val="nil"/>
            </w:tcBorders>
            <w:hideMark/>
          </w:tcPr>
          <w:p w14:paraId="413A329A" w14:textId="77777777" w:rsidR="00D75F2D" w:rsidRDefault="00D75F2D">
            <w:pPr>
              <w:pStyle w:val="Compact"/>
            </w:pPr>
            <w:r>
              <w:t>Year</w:t>
            </w:r>
          </w:p>
        </w:tc>
        <w:tc>
          <w:tcPr>
            <w:tcW w:w="0" w:type="auto"/>
            <w:tcBorders>
              <w:top w:val="nil"/>
              <w:left w:val="nil"/>
              <w:right w:val="nil"/>
            </w:tcBorders>
            <w:hideMark/>
          </w:tcPr>
          <w:p w14:paraId="70B405B9" w14:textId="77777777" w:rsidR="00D75F2D" w:rsidRDefault="00D75F2D">
            <w:pPr>
              <w:pStyle w:val="Compact"/>
            </w:pPr>
            <w:r>
              <w:t>Revenue (bn RMB)</w:t>
            </w:r>
          </w:p>
        </w:tc>
        <w:tc>
          <w:tcPr>
            <w:tcW w:w="0" w:type="auto"/>
            <w:tcBorders>
              <w:top w:val="nil"/>
              <w:left w:val="nil"/>
              <w:right w:val="nil"/>
            </w:tcBorders>
            <w:hideMark/>
          </w:tcPr>
          <w:p w14:paraId="454C8ADC" w14:textId="77777777" w:rsidR="00D75F2D" w:rsidRDefault="00D75F2D">
            <w:pPr>
              <w:pStyle w:val="Compact"/>
            </w:pPr>
            <w:r>
              <w:t>Operating cost (bn RMB)</w:t>
            </w:r>
          </w:p>
        </w:tc>
        <w:tc>
          <w:tcPr>
            <w:tcW w:w="0" w:type="auto"/>
            <w:tcBorders>
              <w:top w:val="nil"/>
              <w:left w:val="nil"/>
              <w:right w:val="nil"/>
            </w:tcBorders>
            <w:hideMark/>
          </w:tcPr>
          <w:p w14:paraId="2477EF1E" w14:textId="77777777" w:rsidR="00D75F2D" w:rsidRDefault="00D75F2D">
            <w:pPr>
              <w:pStyle w:val="Compact"/>
            </w:pPr>
            <w:r>
              <w:t>Depreciation (bn RMB)</w:t>
            </w:r>
          </w:p>
        </w:tc>
        <w:tc>
          <w:tcPr>
            <w:tcW w:w="0" w:type="auto"/>
            <w:tcBorders>
              <w:top w:val="nil"/>
              <w:left w:val="nil"/>
              <w:right w:val="nil"/>
            </w:tcBorders>
            <w:hideMark/>
          </w:tcPr>
          <w:p w14:paraId="281D1988" w14:textId="77777777" w:rsidR="00D75F2D" w:rsidRDefault="00D75F2D">
            <w:pPr>
              <w:pStyle w:val="Compact"/>
            </w:pPr>
            <w:r>
              <w:t>Net cash inflow (bn RMB)</w:t>
            </w:r>
          </w:p>
        </w:tc>
      </w:tr>
      <w:tr w:rsidR="00D75F2D" w14:paraId="15B4A156" w14:textId="77777777">
        <w:tc>
          <w:tcPr>
            <w:tcW w:w="0" w:type="auto"/>
            <w:hideMark/>
          </w:tcPr>
          <w:p w14:paraId="0432E9D7" w14:textId="77777777" w:rsidR="00D75F2D" w:rsidRDefault="00D75F2D">
            <w:pPr>
              <w:pStyle w:val="Compact"/>
            </w:pPr>
            <w:r>
              <w:rPr>
                <w:b/>
                <w:bCs/>
              </w:rPr>
              <w:t>0</w:t>
            </w:r>
          </w:p>
        </w:tc>
        <w:tc>
          <w:tcPr>
            <w:tcW w:w="0" w:type="auto"/>
            <w:hideMark/>
          </w:tcPr>
          <w:p w14:paraId="30419D2C" w14:textId="77777777" w:rsidR="00D75F2D" w:rsidRDefault="00D75F2D">
            <w:pPr>
              <w:pStyle w:val="Compact"/>
            </w:pPr>
            <w:r>
              <w:t>–</w:t>
            </w:r>
          </w:p>
        </w:tc>
        <w:tc>
          <w:tcPr>
            <w:tcW w:w="0" w:type="auto"/>
            <w:hideMark/>
          </w:tcPr>
          <w:p w14:paraId="60376013" w14:textId="77777777" w:rsidR="00D75F2D" w:rsidRDefault="00D75F2D">
            <w:pPr>
              <w:pStyle w:val="Compact"/>
            </w:pPr>
            <w:r>
              <w:t>–</w:t>
            </w:r>
          </w:p>
        </w:tc>
        <w:tc>
          <w:tcPr>
            <w:tcW w:w="0" w:type="auto"/>
            <w:hideMark/>
          </w:tcPr>
          <w:p w14:paraId="476D907E" w14:textId="77777777" w:rsidR="00D75F2D" w:rsidRDefault="00D75F2D">
            <w:pPr>
              <w:pStyle w:val="Compact"/>
            </w:pPr>
            <w:r>
              <w:t>–</w:t>
            </w:r>
          </w:p>
        </w:tc>
        <w:tc>
          <w:tcPr>
            <w:tcW w:w="0" w:type="auto"/>
            <w:hideMark/>
          </w:tcPr>
          <w:p w14:paraId="514D1893" w14:textId="77777777" w:rsidR="00D75F2D" w:rsidRDefault="00D75F2D">
            <w:pPr>
              <w:pStyle w:val="Compact"/>
            </w:pPr>
            <w:r>
              <w:rPr>
                <w:b/>
                <w:bCs/>
              </w:rPr>
              <w:t>–9.0</w:t>
            </w:r>
            <w:r>
              <w:t xml:space="preserve"> (initial investment)</w:t>
            </w:r>
          </w:p>
        </w:tc>
      </w:tr>
      <w:tr w:rsidR="00D75F2D" w14:paraId="78F24FD9" w14:textId="77777777">
        <w:tc>
          <w:tcPr>
            <w:tcW w:w="0" w:type="auto"/>
            <w:hideMark/>
          </w:tcPr>
          <w:p w14:paraId="4D9E233A" w14:textId="77777777" w:rsidR="00D75F2D" w:rsidRDefault="00D75F2D">
            <w:pPr>
              <w:pStyle w:val="Compact"/>
            </w:pPr>
            <w:r>
              <w:rPr>
                <w:b/>
                <w:bCs/>
              </w:rPr>
              <w:t>1</w:t>
            </w:r>
          </w:p>
        </w:tc>
        <w:tc>
          <w:tcPr>
            <w:tcW w:w="0" w:type="auto"/>
            <w:hideMark/>
          </w:tcPr>
          <w:p w14:paraId="46BA50BF" w14:textId="77777777" w:rsidR="00D75F2D" w:rsidRDefault="00D75F2D">
            <w:pPr>
              <w:pStyle w:val="Compact"/>
            </w:pPr>
            <w:r>
              <w:t>12.0</w:t>
            </w:r>
          </w:p>
        </w:tc>
        <w:tc>
          <w:tcPr>
            <w:tcW w:w="0" w:type="auto"/>
            <w:hideMark/>
          </w:tcPr>
          <w:p w14:paraId="74B87FB5" w14:textId="77777777" w:rsidR="00D75F2D" w:rsidRDefault="00D75F2D">
            <w:pPr>
              <w:pStyle w:val="Compact"/>
            </w:pPr>
            <w:r>
              <w:t>7.0</w:t>
            </w:r>
          </w:p>
        </w:tc>
        <w:tc>
          <w:tcPr>
            <w:tcW w:w="0" w:type="auto"/>
            <w:hideMark/>
          </w:tcPr>
          <w:p w14:paraId="6508382A" w14:textId="77777777" w:rsidR="00D75F2D" w:rsidRDefault="00D75F2D">
            <w:pPr>
              <w:pStyle w:val="Compact"/>
            </w:pPr>
            <w:r>
              <w:t>1.5</w:t>
            </w:r>
          </w:p>
        </w:tc>
        <w:tc>
          <w:tcPr>
            <w:tcW w:w="0" w:type="auto"/>
            <w:hideMark/>
          </w:tcPr>
          <w:p w14:paraId="075F9561" w14:textId="77777777" w:rsidR="00D75F2D" w:rsidRDefault="00D75F2D">
            <w:pPr>
              <w:pStyle w:val="Compact"/>
            </w:pPr>
            <w:r>
              <w:t>3.5</w:t>
            </w:r>
          </w:p>
        </w:tc>
      </w:tr>
      <w:tr w:rsidR="00D75F2D" w14:paraId="3104B4E6" w14:textId="77777777">
        <w:tc>
          <w:tcPr>
            <w:tcW w:w="0" w:type="auto"/>
            <w:hideMark/>
          </w:tcPr>
          <w:p w14:paraId="02EE3F15" w14:textId="77777777" w:rsidR="00D75F2D" w:rsidRDefault="00D75F2D">
            <w:pPr>
              <w:pStyle w:val="Compact"/>
            </w:pPr>
            <w:r>
              <w:rPr>
                <w:b/>
                <w:bCs/>
              </w:rPr>
              <w:t>2</w:t>
            </w:r>
          </w:p>
        </w:tc>
        <w:tc>
          <w:tcPr>
            <w:tcW w:w="0" w:type="auto"/>
            <w:hideMark/>
          </w:tcPr>
          <w:p w14:paraId="08F6B6DD" w14:textId="77777777" w:rsidR="00D75F2D" w:rsidRDefault="00D75F2D">
            <w:pPr>
              <w:pStyle w:val="Compact"/>
            </w:pPr>
            <w:r>
              <w:t>14.0</w:t>
            </w:r>
          </w:p>
        </w:tc>
        <w:tc>
          <w:tcPr>
            <w:tcW w:w="0" w:type="auto"/>
            <w:hideMark/>
          </w:tcPr>
          <w:p w14:paraId="7BD1F288" w14:textId="77777777" w:rsidR="00D75F2D" w:rsidRDefault="00D75F2D">
            <w:pPr>
              <w:pStyle w:val="Compact"/>
            </w:pPr>
            <w:r>
              <w:t>7.5</w:t>
            </w:r>
          </w:p>
        </w:tc>
        <w:tc>
          <w:tcPr>
            <w:tcW w:w="0" w:type="auto"/>
            <w:hideMark/>
          </w:tcPr>
          <w:p w14:paraId="40524FB8" w14:textId="77777777" w:rsidR="00D75F2D" w:rsidRDefault="00D75F2D">
            <w:pPr>
              <w:pStyle w:val="Compact"/>
            </w:pPr>
            <w:r>
              <w:t>1.5</w:t>
            </w:r>
          </w:p>
        </w:tc>
        <w:tc>
          <w:tcPr>
            <w:tcW w:w="0" w:type="auto"/>
            <w:hideMark/>
          </w:tcPr>
          <w:p w14:paraId="30C92E5F" w14:textId="77777777" w:rsidR="00D75F2D" w:rsidRDefault="00D75F2D">
            <w:pPr>
              <w:pStyle w:val="Compact"/>
            </w:pPr>
            <w:r>
              <w:t>5.0</w:t>
            </w:r>
          </w:p>
        </w:tc>
      </w:tr>
      <w:tr w:rsidR="00D75F2D" w14:paraId="41B72CB1" w14:textId="77777777">
        <w:tc>
          <w:tcPr>
            <w:tcW w:w="0" w:type="auto"/>
            <w:hideMark/>
          </w:tcPr>
          <w:p w14:paraId="1C9CB2D9" w14:textId="77777777" w:rsidR="00D75F2D" w:rsidRDefault="00D75F2D">
            <w:pPr>
              <w:pStyle w:val="Compact"/>
            </w:pPr>
            <w:r>
              <w:rPr>
                <w:b/>
                <w:bCs/>
              </w:rPr>
              <w:t>3</w:t>
            </w:r>
          </w:p>
        </w:tc>
        <w:tc>
          <w:tcPr>
            <w:tcW w:w="0" w:type="auto"/>
            <w:hideMark/>
          </w:tcPr>
          <w:p w14:paraId="4285F9C3" w14:textId="77777777" w:rsidR="00D75F2D" w:rsidRDefault="00D75F2D">
            <w:pPr>
              <w:pStyle w:val="Compact"/>
            </w:pPr>
            <w:r>
              <w:t>15.0</w:t>
            </w:r>
          </w:p>
        </w:tc>
        <w:tc>
          <w:tcPr>
            <w:tcW w:w="0" w:type="auto"/>
            <w:hideMark/>
          </w:tcPr>
          <w:p w14:paraId="28CB79E5" w14:textId="77777777" w:rsidR="00D75F2D" w:rsidRDefault="00D75F2D">
            <w:pPr>
              <w:pStyle w:val="Compact"/>
            </w:pPr>
            <w:r>
              <w:t>8.0</w:t>
            </w:r>
          </w:p>
        </w:tc>
        <w:tc>
          <w:tcPr>
            <w:tcW w:w="0" w:type="auto"/>
            <w:hideMark/>
          </w:tcPr>
          <w:p w14:paraId="211007AE" w14:textId="77777777" w:rsidR="00D75F2D" w:rsidRDefault="00D75F2D">
            <w:pPr>
              <w:pStyle w:val="Compact"/>
            </w:pPr>
            <w:r>
              <w:t>1.5</w:t>
            </w:r>
          </w:p>
        </w:tc>
        <w:tc>
          <w:tcPr>
            <w:tcW w:w="0" w:type="auto"/>
            <w:hideMark/>
          </w:tcPr>
          <w:p w14:paraId="7F036E9B" w14:textId="77777777" w:rsidR="00D75F2D" w:rsidRDefault="00D75F2D">
            <w:pPr>
              <w:pStyle w:val="Compact"/>
            </w:pPr>
            <w:r>
              <w:t>5.5</w:t>
            </w:r>
          </w:p>
        </w:tc>
      </w:tr>
      <w:tr w:rsidR="00D75F2D" w14:paraId="6F54570D" w14:textId="77777777">
        <w:tc>
          <w:tcPr>
            <w:tcW w:w="0" w:type="auto"/>
            <w:hideMark/>
          </w:tcPr>
          <w:p w14:paraId="2B3A49DC" w14:textId="77777777" w:rsidR="00D75F2D" w:rsidRDefault="00D75F2D">
            <w:pPr>
              <w:pStyle w:val="Compact"/>
            </w:pPr>
            <w:r>
              <w:rPr>
                <w:b/>
                <w:bCs/>
              </w:rPr>
              <w:t>4</w:t>
            </w:r>
          </w:p>
        </w:tc>
        <w:tc>
          <w:tcPr>
            <w:tcW w:w="0" w:type="auto"/>
            <w:hideMark/>
          </w:tcPr>
          <w:p w14:paraId="7630424D" w14:textId="77777777" w:rsidR="00D75F2D" w:rsidRDefault="00D75F2D">
            <w:pPr>
              <w:pStyle w:val="Compact"/>
            </w:pPr>
            <w:r>
              <w:t>16.0</w:t>
            </w:r>
          </w:p>
        </w:tc>
        <w:tc>
          <w:tcPr>
            <w:tcW w:w="0" w:type="auto"/>
            <w:hideMark/>
          </w:tcPr>
          <w:p w14:paraId="346C8BD2" w14:textId="77777777" w:rsidR="00D75F2D" w:rsidRDefault="00D75F2D">
            <w:pPr>
              <w:pStyle w:val="Compact"/>
            </w:pPr>
            <w:r>
              <w:t>8.5</w:t>
            </w:r>
          </w:p>
        </w:tc>
        <w:tc>
          <w:tcPr>
            <w:tcW w:w="0" w:type="auto"/>
            <w:hideMark/>
          </w:tcPr>
          <w:p w14:paraId="433CB6E7" w14:textId="77777777" w:rsidR="00D75F2D" w:rsidRDefault="00D75F2D">
            <w:pPr>
              <w:pStyle w:val="Compact"/>
            </w:pPr>
            <w:r>
              <w:t>1.5</w:t>
            </w:r>
          </w:p>
        </w:tc>
        <w:tc>
          <w:tcPr>
            <w:tcW w:w="0" w:type="auto"/>
            <w:hideMark/>
          </w:tcPr>
          <w:p w14:paraId="0B419DED" w14:textId="77777777" w:rsidR="00D75F2D" w:rsidRDefault="00D75F2D">
            <w:pPr>
              <w:pStyle w:val="Compact"/>
            </w:pPr>
            <w:r>
              <w:t>6.0</w:t>
            </w:r>
          </w:p>
        </w:tc>
      </w:tr>
      <w:tr w:rsidR="00D75F2D" w14:paraId="7976A3AC" w14:textId="77777777">
        <w:tc>
          <w:tcPr>
            <w:tcW w:w="0" w:type="auto"/>
            <w:hideMark/>
          </w:tcPr>
          <w:p w14:paraId="119C7248" w14:textId="77777777" w:rsidR="00D75F2D" w:rsidRDefault="00D75F2D">
            <w:pPr>
              <w:pStyle w:val="Compact"/>
            </w:pPr>
            <w:r>
              <w:rPr>
                <w:b/>
                <w:bCs/>
              </w:rPr>
              <w:t>5</w:t>
            </w:r>
          </w:p>
        </w:tc>
        <w:tc>
          <w:tcPr>
            <w:tcW w:w="0" w:type="auto"/>
            <w:hideMark/>
          </w:tcPr>
          <w:p w14:paraId="39D8DEA4" w14:textId="77777777" w:rsidR="00D75F2D" w:rsidRDefault="00D75F2D">
            <w:pPr>
              <w:pStyle w:val="Compact"/>
            </w:pPr>
            <w:r>
              <w:t>16.0</w:t>
            </w:r>
          </w:p>
        </w:tc>
        <w:tc>
          <w:tcPr>
            <w:tcW w:w="0" w:type="auto"/>
            <w:hideMark/>
          </w:tcPr>
          <w:p w14:paraId="4FE2130B" w14:textId="77777777" w:rsidR="00D75F2D" w:rsidRDefault="00D75F2D">
            <w:pPr>
              <w:pStyle w:val="Compact"/>
            </w:pPr>
            <w:r>
              <w:t>8.5</w:t>
            </w:r>
          </w:p>
        </w:tc>
        <w:tc>
          <w:tcPr>
            <w:tcW w:w="0" w:type="auto"/>
            <w:hideMark/>
          </w:tcPr>
          <w:p w14:paraId="2F016231" w14:textId="77777777" w:rsidR="00D75F2D" w:rsidRDefault="00D75F2D">
            <w:pPr>
              <w:pStyle w:val="Compact"/>
            </w:pPr>
            <w:r>
              <w:t>1.5</w:t>
            </w:r>
          </w:p>
        </w:tc>
        <w:tc>
          <w:tcPr>
            <w:tcW w:w="0" w:type="auto"/>
            <w:hideMark/>
          </w:tcPr>
          <w:p w14:paraId="6320B96E" w14:textId="77777777" w:rsidR="00D75F2D" w:rsidRDefault="00D75F2D">
            <w:pPr>
              <w:pStyle w:val="Compact"/>
            </w:pPr>
            <w:r>
              <w:t>8.0 (includes sale of plant)</w:t>
            </w:r>
          </w:p>
        </w:tc>
      </w:tr>
    </w:tbl>
    <w:p w14:paraId="77E7DB3F" w14:textId="77777777" w:rsidR="00D75F2D" w:rsidRDefault="00D75F2D" w:rsidP="0060020F">
      <w:pPr>
        <w:pStyle w:val="rahul"/>
      </w:pPr>
    </w:p>
    <w:p w14:paraId="44659539" w14:textId="06C7DFED" w:rsidR="00CA440E" w:rsidRDefault="00CA440E" w:rsidP="0060020F">
      <w:pPr>
        <w:pStyle w:val="rahul"/>
      </w:pPr>
      <w:r w:rsidRPr="00CA440E">
        <w:t>These cash flows assume rising revenue due to capacity ramp‑up and stable operating costs. Depreciation is straight‑line over five years. Working‑capital needs are assumed to be negligible because of BYD’s negative CCC.</w:t>
      </w:r>
    </w:p>
    <w:p w14:paraId="60CF39A4" w14:textId="77777777" w:rsidR="00F77E26" w:rsidRDefault="00F77E26" w:rsidP="0060020F">
      <w:pPr>
        <w:pStyle w:val="rahul"/>
      </w:pPr>
    </w:p>
    <w:p w14:paraId="10862830" w14:textId="7DE03C7C" w:rsidR="00F77E26" w:rsidRDefault="00F77E26" w:rsidP="00F77E26">
      <w:pPr>
        <w:pStyle w:val="Heading2"/>
      </w:pPr>
      <w:bookmarkStart w:id="22" w:name="_Toc227800360"/>
      <w:r>
        <w:t>5.1 payback period</w:t>
      </w:r>
      <w:bookmarkEnd w:id="22"/>
    </w:p>
    <w:p w14:paraId="06B017B1" w14:textId="77777777" w:rsidR="0005232C" w:rsidRDefault="003A4382" w:rsidP="00F77E26">
      <w:pPr>
        <w:pStyle w:val="rahul"/>
        <w:sectPr w:rsidR="0005232C">
          <w:pgSz w:w="11906" w:h="16838"/>
          <w:pgMar w:top="1440" w:right="1440" w:bottom="1440" w:left="1440" w:header="708" w:footer="708" w:gutter="0"/>
          <w:cols w:space="708"/>
          <w:docGrid w:linePitch="360"/>
        </w:sectPr>
      </w:pPr>
      <w:r w:rsidRPr="003A4382">
        <w:t>The payback period measures how long it takes to recover the initial investment. Cumulative cash flows become positive in year 4 (RMB 3.5 + 5.0 + 5.5 + 6.0 = 20.0 billion &gt; 9.0 billion). The payback period is approximately 3.8 years, falling within the five‑year life. This satisfies a typical corporate threshold of four years.</w:t>
      </w:r>
    </w:p>
    <w:p w14:paraId="7A1388CE" w14:textId="4DE51698" w:rsidR="00F77E26" w:rsidRDefault="00C76EA0" w:rsidP="00C76EA0">
      <w:pPr>
        <w:pStyle w:val="Heading2"/>
      </w:pPr>
      <w:bookmarkStart w:id="23" w:name="_Toc227800361"/>
      <w:r>
        <w:lastRenderedPageBreak/>
        <w:t xml:space="preserve">5.2 </w:t>
      </w:r>
      <w:r w:rsidRPr="00C76EA0">
        <w:t>Accounting rate of return (ARR)</w:t>
      </w:r>
      <w:bookmarkEnd w:id="23"/>
    </w:p>
    <w:p w14:paraId="1769804F" w14:textId="421AF86C" w:rsidR="00C76EA0" w:rsidRDefault="007E519E" w:rsidP="007E519E">
      <w:pPr>
        <w:pStyle w:val="rahul"/>
      </w:pPr>
      <w:r w:rsidRPr="007E519E">
        <w:rPr>
          <w:rStyle w:val="rahulChar"/>
        </w:rPr>
        <w:t>ARR is calculated by dividing the average annual profit with the initial investment. To start, calculating total net cash inflows over the five years will yield RMB 28.0 billion. Less depreciation (RMB 7.5 billion) gives total accounting profit of RMB 20.5 billion. The average yearly profit is equal to RMB 4.1 billion, therefore, ARR = 4.1 ÷ 9.0 = 45.6 %. Yes, it is</w:t>
      </w:r>
      <w:r w:rsidRPr="007E519E">
        <w:t>.</w:t>
      </w:r>
      <w:r w:rsidR="00211E7F">
        <w:t xml:space="preserve"> </w:t>
      </w:r>
    </w:p>
    <w:p w14:paraId="6B021C90" w14:textId="77777777" w:rsidR="00211E7F" w:rsidRDefault="00211E7F" w:rsidP="007E519E">
      <w:pPr>
        <w:pStyle w:val="rahul"/>
      </w:pPr>
    </w:p>
    <w:p w14:paraId="04D0BEC2" w14:textId="5F2FD6D6" w:rsidR="00211E7F" w:rsidRDefault="00211E7F" w:rsidP="00211E7F">
      <w:pPr>
        <w:pStyle w:val="Heading2"/>
      </w:pPr>
      <w:bookmarkStart w:id="24" w:name="_Toc227800362"/>
      <w:r>
        <w:t xml:space="preserve">5.3 </w:t>
      </w:r>
      <w:r>
        <w:t>Net present value (NPV)</w:t>
      </w:r>
      <w:bookmarkEnd w:id="24"/>
    </w:p>
    <w:p w14:paraId="5732CEA6" w14:textId="77777777" w:rsidR="00211E7F" w:rsidRPr="00211E7F" w:rsidRDefault="00211E7F" w:rsidP="00211E7F">
      <w:pPr>
        <w:pStyle w:val="rahul"/>
      </w:pPr>
      <w:r w:rsidRPr="00211E7F">
        <w:t>Discounting cash flows at 10 % yields the NPV:</w:t>
      </w:r>
    </w:p>
    <w:p w14:paraId="532E9CA8" w14:textId="77777777" w:rsidR="00211E7F" w:rsidRPr="00211E7F" w:rsidRDefault="00211E7F" w:rsidP="00211E7F">
      <w:pPr>
        <w:pStyle w:val="rahul"/>
      </w:pPr>
      <w:r w:rsidRPr="00211E7F">
        <w:t>•</w:t>
      </w:r>
      <w:r w:rsidRPr="00211E7F">
        <w:tab/>
        <w:t>Year 1: 3.5 ÷ (1+0.</w:t>
      </w:r>
      <w:proofErr w:type="gramStart"/>
      <w:r w:rsidRPr="00211E7F">
        <w:t>10)^</w:t>
      </w:r>
      <w:proofErr w:type="gramEnd"/>
      <w:r w:rsidRPr="00211E7F">
        <w:t>1 = 3.18</w:t>
      </w:r>
    </w:p>
    <w:p w14:paraId="3E3CB784" w14:textId="77777777" w:rsidR="00211E7F" w:rsidRPr="00211E7F" w:rsidRDefault="00211E7F" w:rsidP="00211E7F">
      <w:pPr>
        <w:pStyle w:val="rahul"/>
      </w:pPr>
      <w:r w:rsidRPr="00211E7F">
        <w:t>•</w:t>
      </w:r>
      <w:r w:rsidRPr="00211E7F">
        <w:tab/>
        <w:t>Year 2: 5.0 ÷ (1+0.</w:t>
      </w:r>
      <w:proofErr w:type="gramStart"/>
      <w:r w:rsidRPr="00211E7F">
        <w:t>10)^</w:t>
      </w:r>
      <w:proofErr w:type="gramEnd"/>
      <w:r w:rsidRPr="00211E7F">
        <w:t>2 = 4.13</w:t>
      </w:r>
    </w:p>
    <w:p w14:paraId="3A591EAB" w14:textId="77777777" w:rsidR="00211E7F" w:rsidRPr="00211E7F" w:rsidRDefault="00211E7F" w:rsidP="00211E7F">
      <w:pPr>
        <w:pStyle w:val="rahul"/>
      </w:pPr>
      <w:r w:rsidRPr="00211E7F">
        <w:t>•</w:t>
      </w:r>
      <w:r w:rsidRPr="00211E7F">
        <w:tab/>
        <w:t>Year 3: 5.5 ÷ (1+0.</w:t>
      </w:r>
      <w:proofErr w:type="gramStart"/>
      <w:r w:rsidRPr="00211E7F">
        <w:t>10)^</w:t>
      </w:r>
      <w:proofErr w:type="gramEnd"/>
      <w:r w:rsidRPr="00211E7F">
        <w:t>3 = 4.14</w:t>
      </w:r>
    </w:p>
    <w:p w14:paraId="07FA4630" w14:textId="77777777" w:rsidR="00211E7F" w:rsidRPr="00211E7F" w:rsidRDefault="00211E7F" w:rsidP="00211E7F">
      <w:pPr>
        <w:pStyle w:val="rahul"/>
      </w:pPr>
      <w:r w:rsidRPr="00211E7F">
        <w:t>•</w:t>
      </w:r>
      <w:r w:rsidRPr="00211E7F">
        <w:tab/>
        <w:t>Year 4: 6.0 ÷ (1+0.</w:t>
      </w:r>
      <w:proofErr w:type="gramStart"/>
      <w:r w:rsidRPr="00211E7F">
        <w:t>10)^</w:t>
      </w:r>
      <w:proofErr w:type="gramEnd"/>
      <w:r w:rsidRPr="00211E7F">
        <w:t>4 = 4.10</w:t>
      </w:r>
    </w:p>
    <w:p w14:paraId="27635E87" w14:textId="77777777" w:rsidR="00211E7F" w:rsidRPr="00211E7F" w:rsidRDefault="00211E7F" w:rsidP="00211E7F">
      <w:pPr>
        <w:pStyle w:val="rahul"/>
      </w:pPr>
      <w:r w:rsidRPr="00211E7F">
        <w:t>•</w:t>
      </w:r>
      <w:r w:rsidRPr="00211E7F">
        <w:tab/>
        <w:t>Year 5: 8.0 ÷ (1+0.</w:t>
      </w:r>
      <w:proofErr w:type="gramStart"/>
      <w:r w:rsidRPr="00211E7F">
        <w:t>10)^</w:t>
      </w:r>
      <w:proofErr w:type="gramEnd"/>
      <w:r w:rsidRPr="00211E7F">
        <w:t>5 = 4.97</w:t>
      </w:r>
    </w:p>
    <w:p w14:paraId="323EE130" w14:textId="2A2E38A3" w:rsidR="00211E7F" w:rsidRDefault="00211E7F" w:rsidP="00211E7F">
      <w:pPr>
        <w:pStyle w:val="rahul"/>
      </w:pPr>
      <w:r w:rsidRPr="00211E7F">
        <w:t>Total present value of inflows = 20.52 billion. Subtracting the initial outlay of 9.0 billion yields an NPV of RMB 11.52 billion. A positive NPV indicates that the project adds shareholder value.</w:t>
      </w:r>
    </w:p>
    <w:p w14:paraId="02D9A1B6" w14:textId="77777777" w:rsidR="00C42908" w:rsidRDefault="00C42908" w:rsidP="00211E7F">
      <w:pPr>
        <w:pStyle w:val="rahul"/>
      </w:pPr>
    </w:p>
    <w:p w14:paraId="1A6B2F37" w14:textId="3966B060" w:rsidR="00D04294" w:rsidRDefault="00D04294" w:rsidP="00C42908">
      <w:pPr>
        <w:pStyle w:val="Heading2"/>
      </w:pPr>
      <w:bookmarkStart w:id="25" w:name="_Toc227800363"/>
      <w:r>
        <w:t>5.4 Internal rate of return (</w:t>
      </w:r>
      <w:r w:rsidR="00C42908">
        <w:t>IRR)</w:t>
      </w:r>
      <w:bookmarkEnd w:id="25"/>
    </w:p>
    <w:p w14:paraId="3C3E2FBC" w14:textId="77777777" w:rsidR="00DA471A" w:rsidRDefault="00DA471A" w:rsidP="00DA471A">
      <w:pPr>
        <w:pStyle w:val="rahul"/>
      </w:pPr>
      <w:r>
        <w:t>The IRR of the project is an important concept in corporate finance, without a doubt. When the Net Present Value is equal to zero, we refer to the Internal Rate of Return as the discount rate. Thus,</w:t>
      </w:r>
    </w:p>
    <w:p w14:paraId="3C92770C" w14:textId="38BA2619" w:rsidR="00DA471A" w:rsidRDefault="00DA471A" w:rsidP="00DA471A">
      <w:pPr>
        <w:pStyle w:val="rahul"/>
      </w:pPr>
      <w:r>
        <w:t>Using interpolation, the project’s Internal Rate of Return (IRR) is 29 %. That particular figure is well above the 10% hurdle rate.</w:t>
      </w:r>
    </w:p>
    <w:p w14:paraId="57892F9E" w14:textId="77777777" w:rsidR="00E624BE" w:rsidRDefault="00E624BE" w:rsidP="00DA471A">
      <w:pPr>
        <w:pStyle w:val="rahul"/>
      </w:pPr>
    </w:p>
    <w:p w14:paraId="2F7284F3" w14:textId="5B07D7AA" w:rsidR="003240AD" w:rsidRDefault="00E624BE" w:rsidP="00E624BE">
      <w:pPr>
        <w:pStyle w:val="Heading2"/>
      </w:pPr>
      <w:bookmarkStart w:id="26" w:name="_Toc227800364"/>
      <w:r>
        <w:t xml:space="preserve">5.5 </w:t>
      </w:r>
      <w:r w:rsidRPr="00E624BE">
        <w:t>Profitability index (PI)</w:t>
      </w:r>
      <w:bookmarkEnd w:id="26"/>
    </w:p>
    <w:p w14:paraId="291A0E84" w14:textId="77777777" w:rsidR="00D455A1" w:rsidRDefault="00B211E5" w:rsidP="00B211E5">
      <w:pPr>
        <w:pStyle w:val="rahul"/>
      </w:pPr>
      <w:r w:rsidRPr="00B211E5">
        <w:t>PI is defined as the present value of inflows ÷ initial investment. Here, PI = 20.52 ÷ 9.0 = 2.28. A PI greater than 1.0 confirms that the project is acceptable. These metrics collectively support proceeding with the Turkish plant.</w:t>
      </w:r>
    </w:p>
    <w:p w14:paraId="403E295C" w14:textId="77777777" w:rsidR="00D455A1" w:rsidRDefault="00D455A1" w:rsidP="00B211E5">
      <w:pPr>
        <w:pStyle w:val="rahul"/>
      </w:pPr>
    </w:p>
    <w:p w14:paraId="315D8F50" w14:textId="77777777" w:rsidR="00D455A1" w:rsidRDefault="008C7CAD" w:rsidP="008C7CAD">
      <w:pPr>
        <w:pStyle w:val="Heading2"/>
      </w:pPr>
      <w:bookmarkStart w:id="27" w:name="_Toc227800365"/>
      <w:r>
        <w:t xml:space="preserve">5.6 </w:t>
      </w:r>
      <w:r w:rsidRPr="008C7CAD">
        <w:t>Investment appraisal summary</w:t>
      </w:r>
      <w:bookmarkEnd w:id="27"/>
    </w:p>
    <w:p w14:paraId="25A03B85" w14:textId="77777777" w:rsidR="008C7CAD" w:rsidRDefault="008C7CAD" w:rsidP="008C7CAD"/>
    <w:p w14:paraId="4958E8AB" w14:textId="77777777" w:rsidR="00F656CC" w:rsidRDefault="00F656CC" w:rsidP="00F656CC">
      <w:pPr>
        <w:pStyle w:val="rahul"/>
      </w:pPr>
      <w:r>
        <w:t>Indicator</w:t>
      </w:r>
      <w:r>
        <w:tab/>
        <w:t>Result</w:t>
      </w:r>
      <w:r>
        <w:tab/>
        <w:t>Decision implication</w:t>
      </w:r>
    </w:p>
    <w:p w14:paraId="72E2BAB0" w14:textId="32C6BFAA" w:rsidR="00F656CC" w:rsidRDefault="00F656CC" w:rsidP="00F656CC">
      <w:pPr>
        <w:pStyle w:val="rahul"/>
      </w:pPr>
      <w:r>
        <w:t>Payback period</w:t>
      </w:r>
      <w:r>
        <w:tab/>
        <w:t>3.8 years</w:t>
      </w:r>
      <w:r>
        <w:tab/>
      </w:r>
      <w:r w:rsidR="00DE2495">
        <w:t xml:space="preserve">. </w:t>
      </w:r>
      <w:r w:rsidR="00CA423E" w:rsidRPr="00CA423E">
        <w:drawing>
          <wp:inline distT="0" distB="0" distL="0" distR="0" wp14:anchorId="64D31A5E" wp14:editId="7214B0F0">
            <wp:extent cx="5731510" cy="1600835"/>
            <wp:effectExtent l="0" t="0" r="0" b="0"/>
            <wp:docPr id="157914939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1600835"/>
                    </a:xfrm>
                    <a:prstGeom prst="rect">
                      <a:avLst/>
                    </a:prstGeom>
                    <a:noFill/>
                    <a:ln>
                      <a:noFill/>
                    </a:ln>
                  </pic:spPr>
                </pic:pic>
              </a:graphicData>
            </a:graphic>
          </wp:inline>
        </w:drawing>
      </w:r>
      <w:r>
        <w:t>Meets 4‑year target, quick recovery</w:t>
      </w:r>
    </w:p>
    <w:p w14:paraId="7F20F895" w14:textId="77777777" w:rsidR="00F656CC" w:rsidRDefault="00F656CC" w:rsidP="00F656CC">
      <w:pPr>
        <w:pStyle w:val="rahul"/>
      </w:pPr>
      <w:r>
        <w:t>ARR</w:t>
      </w:r>
      <w:r>
        <w:tab/>
        <w:t>45.6 %</w:t>
      </w:r>
      <w:r>
        <w:tab/>
        <w:t>Well above WACC (10 %)</w:t>
      </w:r>
    </w:p>
    <w:p w14:paraId="2EED55B4" w14:textId="77777777" w:rsidR="00F656CC" w:rsidRDefault="00F656CC" w:rsidP="00F656CC">
      <w:pPr>
        <w:pStyle w:val="rahul"/>
      </w:pPr>
      <w:r>
        <w:t>NPV</w:t>
      </w:r>
      <w:r>
        <w:tab/>
        <w:t>RMB 11.52 billion</w:t>
      </w:r>
      <w:r>
        <w:tab/>
        <w:t>Positive – project adds value</w:t>
      </w:r>
    </w:p>
    <w:p w14:paraId="61FDB1AE" w14:textId="77777777" w:rsidR="00F656CC" w:rsidRDefault="00F656CC" w:rsidP="00F656CC">
      <w:pPr>
        <w:pStyle w:val="rahul"/>
      </w:pPr>
      <w:r>
        <w:t>IRR</w:t>
      </w:r>
      <w:r>
        <w:tab/>
        <w:t>29 %</w:t>
      </w:r>
      <w:r>
        <w:tab/>
        <w:t>Significantly above hurdle rate</w:t>
      </w:r>
    </w:p>
    <w:p w14:paraId="63C3A462" w14:textId="77777777" w:rsidR="00F656CC" w:rsidRPr="008C7CAD" w:rsidRDefault="00F656CC" w:rsidP="00F656CC">
      <w:pPr>
        <w:pStyle w:val="rahul"/>
      </w:pPr>
      <w:r>
        <w:t>PI</w:t>
      </w:r>
      <w:r>
        <w:tab/>
        <w:t>2.28</w:t>
      </w:r>
      <w:r>
        <w:tab/>
        <w:t>Acceptable (&gt; 1.0)</w:t>
      </w:r>
    </w:p>
    <w:tbl>
      <w:tblPr>
        <w:tblStyle w:val="Table"/>
        <w:tblW w:w="0" w:type="auto"/>
        <w:tblInd w:w="0" w:type="dxa"/>
        <w:tblLook w:val="0020" w:firstRow="1" w:lastRow="0" w:firstColumn="0" w:lastColumn="0" w:noHBand="0" w:noVBand="0"/>
      </w:tblPr>
      <w:tblGrid>
        <w:gridCol w:w="1810"/>
        <w:gridCol w:w="2014"/>
        <w:gridCol w:w="3833"/>
      </w:tblGrid>
      <w:tr w:rsidR="00F656CC" w14:paraId="2E75FE96" w14:textId="77777777">
        <w:trPr>
          <w:cnfStyle w:val="100000000000" w:firstRow="1" w:lastRow="0" w:firstColumn="0" w:lastColumn="0" w:oddVBand="0" w:evenVBand="0" w:oddHBand="0" w:evenHBand="0" w:firstRowFirstColumn="0" w:firstRowLastColumn="0" w:lastRowFirstColumn="0" w:lastRowLastColumn="0"/>
          <w:tblHeader/>
        </w:trPr>
        <w:tc>
          <w:tcPr>
            <w:tcW w:w="0" w:type="auto"/>
            <w:tcBorders>
              <w:top w:val="nil"/>
              <w:left w:val="nil"/>
              <w:right w:val="nil"/>
            </w:tcBorders>
            <w:hideMark/>
          </w:tcPr>
          <w:p w14:paraId="638637F7" w14:textId="77777777" w:rsidR="00F656CC" w:rsidRDefault="00F656CC">
            <w:pPr>
              <w:pStyle w:val="Compact"/>
            </w:pPr>
            <w:r>
              <w:t>Indicator</w:t>
            </w:r>
          </w:p>
        </w:tc>
        <w:tc>
          <w:tcPr>
            <w:tcW w:w="0" w:type="auto"/>
            <w:tcBorders>
              <w:top w:val="nil"/>
              <w:left w:val="nil"/>
              <w:right w:val="nil"/>
            </w:tcBorders>
            <w:hideMark/>
          </w:tcPr>
          <w:p w14:paraId="2F1DDBF1" w14:textId="77777777" w:rsidR="00F656CC" w:rsidRDefault="00F656CC">
            <w:pPr>
              <w:pStyle w:val="Compact"/>
            </w:pPr>
            <w:r>
              <w:t>Result</w:t>
            </w:r>
          </w:p>
        </w:tc>
        <w:tc>
          <w:tcPr>
            <w:tcW w:w="0" w:type="auto"/>
            <w:tcBorders>
              <w:top w:val="nil"/>
              <w:left w:val="nil"/>
              <w:right w:val="nil"/>
            </w:tcBorders>
            <w:hideMark/>
          </w:tcPr>
          <w:p w14:paraId="278B84E5" w14:textId="77777777" w:rsidR="00F656CC" w:rsidRDefault="00F656CC">
            <w:pPr>
              <w:pStyle w:val="Compact"/>
            </w:pPr>
            <w:r>
              <w:t>Decision implication</w:t>
            </w:r>
          </w:p>
        </w:tc>
      </w:tr>
      <w:tr w:rsidR="00F656CC" w14:paraId="04339575" w14:textId="77777777">
        <w:tc>
          <w:tcPr>
            <w:tcW w:w="0" w:type="auto"/>
            <w:hideMark/>
          </w:tcPr>
          <w:p w14:paraId="7FB49F93" w14:textId="77777777" w:rsidR="00F656CC" w:rsidRDefault="00F656CC">
            <w:pPr>
              <w:pStyle w:val="Compact"/>
            </w:pPr>
            <w:r>
              <w:t>Payback period</w:t>
            </w:r>
          </w:p>
        </w:tc>
        <w:tc>
          <w:tcPr>
            <w:tcW w:w="0" w:type="auto"/>
            <w:hideMark/>
          </w:tcPr>
          <w:p w14:paraId="4F5AB77F" w14:textId="77777777" w:rsidR="00F656CC" w:rsidRDefault="00F656CC">
            <w:pPr>
              <w:pStyle w:val="Compact"/>
            </w:pPr>
            <w:r>
              <w:t>3.8 years</w:t>
            </w:r>
          </w:p>
        </w:tc>
        <w:tc>
          <w:tcPr>
            <w:tcW w:w="0" w:type="auto"/>
            <w:hideMark/>
          </w:tcPr>
          <w:p w14:paraId="663E6EF5" w14:textId="77777777" w:rsidR="00F656CC" w:rsidRDefault="00F656CC">
            <w:pPr>
              <w:pStyle w:val="Compact"/>
            </w:pPr>
            <w:r>
              <w:t>Meets 4</w:t>
            </w:r>
            <w:r>
              <w:noBreakHyphen/>
              <w:t>year target, quick recovery</w:t>
            </w:r>
          </w:p>
        </w:tc>
      </w:tr>
      <w:tr w:rsidR="00F656CC" w14:paraId="5D2A5A12" w14:textId="77777777">
        <w:tc>
          <w:tcPr>
            <w:tcW w:w="0" w:type="auto"/>
            <w:hideMark/>
          </w:tcPr>
          <w:p w14:paraId="49F964EC" w14:textId="77777777" w:rsidR="00F656CC" w:rsidRDefault="00F656CC">
            <w:pPr>
              <w:pStyle w:val="Compact"/>
            </w:pPr>
            <w:r>
              <w:t>ARR</w:t>
            </w:r>
          </w:p>
        </w:tc>
        <w:tc>
          <w:tcPr>
            <w:tcW w:w="0" w:type="auto"/>
            <w:hideMark/>
          </w:tcPr>
          <w:p w14:paraId="7FA18D25" w14:textId="77777777" w:rsidR="00F656CC" w:rsidRDefault="00F656CC">
            <w:pPr>
              <w:pStyle w:val="Compact"/>
            </w:pPr>
            <w:r>
              <w:t>45.6 %</w:t>
            </w:r>
          </w:p>
        </w:tc>
        <w:tc>
          <w:tcPr>
            <w:tcW w:w="0" w:type="auto"/>
            <w:hideMark/>
          </w:tcPr>
          <w:p w14:paraId="73B0B55B" w14:textId="77777777" w:rsidR="00F656CC" w:rsidRDefault="00F656CC">
            <w:pPr>
              <w:pStyle w:val="Compact"/>
            </w:pPr>
            <w:r>
              <w:t>Well above WACC (10 %)</w:t>
            </w:r>
          </w:p>
        </w:tc>
      </w:tr>
      <w:tr w:rsidR="00F656CC" w14:paraId="2E01046B" w14:textId="77777777">
        <w:tc>
          <w:tcPr>
            <w:tcW w:w="0" w:type="auto"/>
            <w:hideMark/>
          </w:tcPr>
          <w:p w14:paraId="3CCE41AD" w14:textId="77777777" w:rsidR="00F656CC" w:rsidRDefault="00F656CC">
            <w:pPr>
              <w:pStyle w:val="Compact"/>
            </w:pPr>
            <w:r>
              <w:t>NPV</w:t>
            </w:r>
          </w:p>
        </w:tc>
        <w:tc>
          <w:tcPr>
            <w:tcW w:w="0" w:type="auto"/>
            <w:hideMark/>
          </w:tcPr>
          <w:p w14:paraId="4FBA5B38" w14:textId="77777777" w:rsidR="00F656CC" w:rsidRDefault="00F656CC">
            <w:pPr>
              <w:pStyle w:val="Compact"/>
            </w:pPr>
            <w:r>
              <w:t>RMB 11.52 billion</w:t>
            </w:r>
          </w:p>
        </w:tc>
        <w:tc>
          <w:tcPr>
            <w:tcW w:w="0" w:type="auto"/>
            <w:hideMark/>
          </w:tcPr>
          <w:p w14:paraId="3B4A5739" w14:textId="77777777" w:rsidR="00F656CC" w:rsidRDefault="00F656CC">
            <w:pPr>
              <w:pStyle w:val="Compact"/>
            </w:pPr>
            <w:r>
              <w:t>Positive – project adds value</w:t>
            </w:r>
          </w:p>
        </w:tc>
      </w:tr>
      <w:tr w:rsidR="00F656CC" w14:paraId="1C52B2B9" w14:textId="77777777">
        <w:tc>
          <w:tcPr>
            <w:tcW w:w="0" w:type="auto"/>
            <w:hideMark/>
          </w:tcPr>
          <w:p w14:paraId="7813471F" w14:textId="77777777" w:rsidR="00F656CC" w:rsidRDefault="00F656CC">
            <w:pPr>
              <w:pStyle w:val="Compact"/>
            </w:pPr>
            <w:r>
              <w:t>IRR</w:t>
            </w:r>
          </w:p>
        </w:tc>
        <w:tc>
          <w:tcPr>
            <w:tcW w:w="0" w:type="auto"/>
            <w:hideMark/>
          </w:tcPr>
          <w:p w14:paraId="169C70B1" w14:textId="77777777" w:rsidR="00F656CC" w:rsidRDefault="00F656CC">
            <w:pPr>
              <w:pStyle w:val="Compact"/>
            </w:pPr>
            <w:r>
              <w:t>29 %</w:t>
            </w:r>
          </w:p>
        </w:tc>
        <w:tc>
          <w:tcPr>
            <w:tcW w:w="0" w:type="auto"/>
            <w:hideMark/>
          </w:tcPr>
          <w:p w14:paraId="0A9BF6AB" w14:textId="1AE0C69D" w:rsidR="00F656CC" w:rsidRDefault="00F656CC">
            <w:pPr>
              <w:pStyle w:val="Compact"/>
            </w:pPr>
            <w:r>
              <w:t xml:space="preserve">Significantly above </w:t>
            </w:r>
            <w:r w:rsidR="00617463">
              <w:t xml:space="preserve">the </w:t>
            </w:r>
            <w:r>
              <w:t>hurdle rate</w:t>
            </w:r>
          </w:p>
        </w:tc>
      </w:tr>
      <w:tr w:rsidR="00F656CC" w14:paraId="40587A25" w14:textId="77777777">
        <w:tc>
          <w:tcPr>
            <w:tcW w:w="0" w:type="auto"/>
            <w:hideMark/>
          </w:tcPr>
          <w:p w14:paraId="2B9F2A51" w14:textId="77777777" w:rsidR="00F656CC" w:rsidRDefault="00F656CC">
            <w:pPr>
              <w:pStyle w:val="Compact"/>
            </w:pPr>
            <w:r>
              <w:t>PI</w:t>
            </w:r>
          </w:p>
        </w:tc>
        <w:tc>
          <w:tcPr>
            <w:tcW w:w="0" w:type="auto"/>
            <w:hideMark/>
          </w:tcPr>
          <w:p w14:paraId="1427275E" w14:textId="77777777" w:rsidR="00F656CC" w:rsidRDefault="00F656CC">
            <w:pPr>
              <w:pStyle w:val="Compact"/>
            </w:pPr>
            <w:r>
              <w:t>2.28</w:t>
            </w:r>
          </w:p>
        </w:tc>
        <w:tc>
          <w:tcPr>
            <w:tcW w:w="0" w:type="auto"/>
            <w:hideMark/>
          </w:tcPr>
          <w:p w14:paraId="3D1DEEA1" w14:textId="77777777" w:rsidR="00F656CC" w:rsidRDefault="00F656CC">
            <w:pPr>
              <w:pStyle w:val="Compact"/>
            </w:pPr>
            <w:r>
              <w:t>Acceptable (&gt; 1.0)</w:t>
            </w:r>
          </w:p>
        </w:tc>
      </w:tr>
    </w:tbl>
    <w:p w14:paraId="34364C92" w14:textId="77777777" w:rsidR="008C7CAD" w:rsidRDefault="008C7CAD" w:rsidP="00F656CC">
      <w:pPr>
        <w:pStyle w:val="rahul"/>
      </w:pPr>
    </w:p>
    <w:p w14:paraId="3EB410A1" w14:textId="77266087" w:rsidR="00091942" w:rsidRDefault="00DD6AF4" w:rsidP="00B211E5">
      <w:pPr>
        <w:pStyle w:val="rahul"/>
        <w:sectPr w:rsidR="00091942">
          <w:pgSz w:w="11906" w:h="16838"/>
          <w:pgMar w:top="1440" w:right="1440" w:bottom="1440" w:left="1440" w:header="708" w:footer="708" w:gutter="0"/>
          <w:cols w:space="708"/>
          <w:docGrid w:linePitch="360"/>
        </w:sectPr>
      </w:pPr>
      <w:r w:rsidRPr="00DD6AF4">
        <w:t xml:space="preserve">The recommendation is that the projected Turkish plant looks quite profitable and consistent with the general strategies of BYD. It is recommended that BYD </w:t>
      </w:r>
      <w:r w:rsidR="00617463">
        <w:t>move ahead towards the investment,</w:t>
      </w:r>
      <w:r w:rsidRPr="00DD6AF4">
        <w:t xml:space="preserve"> but detailed feasibility studies must be conducted to gain further insight.  It is also essential to carry out risk analysis and a geopolitical condition assessment. The financing mix may comprise internal funds and local incentives.</w:t>
      </w:r>
    </w:p>
    <w:p w14:paraId="7AFE1797" w14:textId="2DC4F663" w:rsidR="00E624BE" w:rsidRDefault="00352803" w:rsidP="00352803">
      <w:pPr>
        <w:pStyle w:val="Heading2"/>
      </w:pPr>
      <w:bookmarkStart w:id="28" w:name="_Toc227800366"/>
      <w:r>
        <w:lastRenderedPageBreak/>
        <w:t xml:space="preserve">6.0 </w:t>
      </w:r>
      <w:r w:rsidR="00EC3C2C" w:rsidRPr="00EC3C2C">
        <w:t>Risk analysis and mitigation</w:t>
      </w:r>
      <w:bookmarkEnd w:id="28"/>
    </w:p>
    <w:p w14:paraId="0B807BC9" w14:textId="366E82A7" w:rsidR="00AB1C02" w:rsidRDefault="00282082" w:rsidP="00282082">
      <w:pPr>
        <w:pStyle w:val="rahul"/>
      </w:pPr>
      <w:r w:rsidRPr="00282082">
        <w:t xml:space="preserve">China’s EV market growth </w:t>
      </w:r>
      <w:r w:rsidR="00617463">
        <w:t xml:space="preserve">is </w:t>
      </w:r>
      <w:r w:rsidRPr="00282082">
        <w:t>maturing as double-digit growth rates slow, report finds.  A price war that has continued has led to margin erosion and the first profit decline in BYD for four years.[32] Growing and more competitive domestic rivals such as Geely and Chery are growing quickly</w:t>
      </w:r>
      <w:r w:rsidR="00617463">
        <w:t>,</w:t>
      </w:r>
      <w:r w:rsidRPr="00282082">
        <w:t xml:space="preserve"> with Geely taking BYD for global sales in early 2026.[34] Foreign players are also entering by launching low-cost EVs. The following are Mitigants: (1) product differentiation through technology, branding, etc.</w:t>
      </w:r>
      <w:r w:rsidR="00617463">
        <w:t>, (2) expanding overseas faster to diversified markets,</w:t>
      </w:r>
      <w:r w:rsidRPr="00282082">
        <w:t xml:space="preserve"> (3) Use of R&amp;D for cost reduction and performance enhancement.</w:t>
      </w:r>
    </w:p>
    <w:p w14:paraId="450B629E" w14:textId="77777777" w:rsidR="00E46F88" w:rsidRDefault="00E46F88" w:rsidP="00282082">
      <w:pPr>
        <w:pStyle w:val="rahul"/>
      </w:pPr>
    </w:p>
    <w:p w14:paraId="1EB79272" w14:textId="5B663571" w:rsidR="00E46F88" w:rsidRDefault="001C020A" w:rsidP="00137C0D">
      <w:pPr>
        <w:pStyle w:val="Heading2"/>
      </w:pPr>
      <w:bookmarkStart w:id="29" w:name="_Toc227800367"/>
      <w:r>
        <w:t xml:space="preserve">6.1 </w:t>
      </w:r>
      <w:r w:rsidR="00137C0D" w:rsidRPr="00137C0D">
        <w:t>Operational and supply</w:t>
      </w:r>
      <w:r w:rsidR="00137C0D" w:rsidRPr="00137C0D">
        <w:rPr>
          <w:rFonts w:ascii="Cambria Math" w:hAnsi="Cambria Math" w:cs="Cambria Math"/>
        </w:rPr>
        <w:t>‑</w:t>
      </w:r>
      <w:r w:rsidR="00137C0D" w:rsidRPr="00137C0D">
        <w:t>chain risks</w:t>
      </w:r>
      <w:bookmarkEnd w:id="29"/>
    </w:p>
    <w:p w14:paraId="24D8E3AE" w14:textId="00CEB22F" w:rsidR="00137C0D" w:rsidRDefault="008F3741" w:rsidP="008F3741">
      <w:pPr>
        <w:pStyle w:val="rahul"/>
      </w:pPr>
      <w:r w:rsidRPr="008F3741">
        <w:t xml:space="preserve">BYD’s business model is vertically integrated, so the risk of supply disruption is </w:t>
      </w:r>
      <w:r w:rsidR="00617463">
        <w:t>lower than its peers; however, it is not immune to</w:t>
      </w:r>
      <w:r w:rsidRPr="008F3741">
        <w:t xml:space="preserve"> it. For instance, lithium and nickel are crucial minerals </w:t>
      </w:r>
      <w:r w:rsidR="00617463">
        <w:t>for battery production but are not easily found in</w:t>
      </w:r>
      <w:r w:rsidRPr="008F3741">
        <w:t xml:space="preserve"> China. Moreover, fluctuating raw material prices may harm profits. BYD’s soaring costs squeezed margins in 2025. To </w:t>
      </w:r>
      <w:r w:rsidR="00617463">
        <w:t xml:space="preserve">reduce risks, BYD needs to enter into </w:t>
      </w:r>
      <w:r w:rsidRPr="008F3741">
        <w:t>supply agreements with customers and divert resources accordingly.</w:t>
      </w:r>
    </w:p>
    <w:p w14:paraId="5FF1B0AD" w14:textId="77777777" w:rsidR="00155688" w:rsidRDefault="00155688" w:rsidP="008F3741">
      <w:pPr>
        <w:pStyle w:val="rahul"/>
      </w:pPr>
    </w:p>
    <w:p w14:paraId="40C5AE9A" w14:textId="4C213D28" w:rsidR="002C1FE4" w:rsidRDefault="002C1FE4" w:rsidP="002C1FE4">
      <w:pPr>
        <w:pStyle w:val="Heading2"/>
      </w:pPr>
      <w:bookmarkStart w:id="30" w:name="_Toc227800368"/>
      <w:r>
        <w:t xml:space="preserve">6.2 </w:t>
      </w:r>
      <w:r w:rsidRPr="002C1FE4">
        <w:t>Financial and liquidity risks</w:t>
      </w:r>
      <w:bookmarkEnd w:id="30"/>
    </w:p>
    <w:p w14:paraId="3538AC2E" w14:textId="4A4543E8" w:rsidR="002C1FE4" w:rsidRDefault="007A6FFA" w:rsidP="007A6FFA">
      <w:pPr>
        <w:pStyle w:val="rahul"/>
      </w:pPr>
      <w:r w:rsidRPr="007A6FFA">
        <w:t xml:space="preserve">At the moment, BYD has plenty of cash. However, the present ratio remains below 1.0. If there is a sudden drop in sales or capital expenditure, then the liquidity position shall </w:t>
      </w:r>
      <w:r w:rsidR="00617463">
        <w:t>be</w:t>
      </w:r>
      <w:r w:rsidRPr="007A6FFA">
        <w:t xml:space="preserve"> impacted.  Currently</w:t>
      </w:r>
      <w:r w:rsidR="00617463">
        <w:t>,</w:t>
      </w:r>
      <w:r w:rsidRPr="007A6FFA">
        <w:t xml:space="preserve"> BYD is managing with a negative CCC that is providing working-capital financing. To do this, the confidence of the suppliers / other stakeholders is important.  Consequently, BYD needs to have </w:t>
      </w:r>
      <w:r w:rsidR="00617463">
        <w:t xml:space="preserve">a </w:t>
      </w:r>
      <w:r w:rsidRPr="007A6FFA">
        <w:t>liquidity cushion. They should also seek out other sources (green bonds, hybrid).</w:t>
      </w:r>
    </w:p>
    <w:p w14:paraId="496E3E75" w14:textId="77777777" w:rsidR="00D56850" w:rsidRDefault="00D56850" w:rsidP="007A6FFA">
      <w:pPr>
        <w:pStyle w:val="rahul"/>
      </w:pPr>
    </w:p>
    <w:p w14:paraId="4612947D" w14:textId="5C556AE2" w:rsidR="00D56850" w:rsidRDefault="00D56850" w:rsidP="00A71E3C">
      <w:pPr>
        <w:pStyle w:val="Heading2"/>
      </w:pPr>
      <w:bookmarkStart w:id="31" w:name="_Toc227800369"/>
      <w:r>
        <w:t xml:space="preserve">6.3 </w:t>
      </w:r>
      <w:r w:rsidR="00A71E3C" w:rsidRPr="00A71E3C">
        <w:t>Regulatory and geopolitical risks</w:t>
      </w:r>
      <w:bookmarkEnd w:id="31"/>
    </w:p>
    <w:p w14:paraId="1D2CFF02" w14:textId="56293B02" w:rsidR="00A71E3C" w:rsidRDefault="00AE399F" w:rsidP="00693C40">
      <w:pPr>
        <w:pStyle w:val="rahul"/>
      </w:pPr>
      <w:r w:rsidRPr="00AE399F">
        <w:t xml:space="preserve">Trade obstacles such as the US imposing a 100 </w:t>
      </w:r>
      <w:r w:rsidR="00617463">
        <w:t>per cent</w:t>
      </w:r>
      <w:r w:rsidRPr="00AE399F">
        <w:t xml:space="preserve"> tariff on Chinese electric vehicles and Europe launching anti-subsidy investigations might limit export expansion. The Iran </w:t>
      </w:r>
      <w:r w:rsidR="00617463">
        <w:t xml:space="preserve">conflict's impact on oil prices has shifted global demand, and BYD has raised its </w:t>
      </w:r>
      <w:r w:rsidRPr="00AE399F">
        <w:t xml:space="preserve">overseas sales </w:t>
      </w:r>
      <w:proofErr w:type="gramStart"/>
      <w:r w:rsidRPr="00AE399F">
        <w:t>target[</w:t>
      </w:r>
      <w:proofErr w:type="gramEnd"/>
      <w:r w:rsidRPr="00AE399F">
        <w:t xml:space="preserve">8]. </w:t>
      </w:r>
      <w:r w:rsidRPr="00617463">
        <w:t>Local manufacturing in growth markets limits tariff risk. BYD must coordinate with regulatory</w:t>
      </w:r>
      <w:r w:rsidRPr="00AE399F">
        <w:t xml:space="preserve"> authorities </w:t>
      </w:r>
      <w:r w:rsidR="00617463">
        <w:t>to advocate for jobs and climate goals'</w:t>
      </w:r>
      <w:r w:rsidRPr="00AE399F">
        <w:t xml:space="preserve"> impacts. Keep track of geopolitics updates </w:t>
      </w:r>
      <w:r w:rsidRPr="00AE399F">
        <w:lastRenderedPageBreak/>
        <w:t xml:space="preserve">closely. </w:t>
      </w:r>
      <w:r w:rsidR="00693C40" w:rsidRPr="00693C40">
        <w:t xml:space="preserve">Europe launching anti-subsidy investigations might limit export expansion. The Iran </w:t>
      </w:r>
      <w:r w:rsidR="00617463">
        <w:t xml:space="preserve">conflict's impact on oil prices has shifted global demand, and BYD has raised its </w:t>
      </w:r>
      <w:r w:rsidR="00693C40" w:rsidRPr="00693C40">
        <w:t xml:space="preserve">overseas sales </w:t>
      </w:r>
      <w:proofErr w:type="gramStart"/>
      <w:r w:rsidR="00693C40" w:rsidRPr="00693C40">
        <w:t>target[</w:t>
      </w:r>
      <w:proofErr w:type="gramEnd"/>
      <w:r w:rsidR="00693C40" w:rsidRPr="00693C40">
        <w:t xml:space="preserve">8]. Local manufacturing in growth markets limits tariff risk. BYD must coordinate with regulatory authorities </w:t>
      </w:r>
      <w:r w:rsidR="00617463">
        <w:t>to advocate for jobs and the impacts of climate goals</w:t>
      </w:r>
      <w:r w:rsidR="00693C40" w:rsidRPr="00693C40">
        <w:t xml:space="preserve">. Keep track of geopolitics updates closely. </w:t>
      </w:r>
    </w:p>
    <w:p w14:paraId="0D09451A" w14:textId="77777777" w:rsidR="00083550" w:rsidRDefault="00083550" w:rsidP="00083550">
      <w:pPr>
        <w:pStyle w:val="Heading2"/>
      </w:pPr>
    </w:p>
    <w:p w14:paraId="5C40E1C8" w14:textId="3B27D7E0" w:rsidR="00083550" w:rsidRDefault="00083550" w:rsidP="00083550">
      <w:pPr>
        <w:pStyle w:val="Heading2"/>
      </w:pPr>
      <w:bookmarkStart w:id="32" w:name="_Toc227800370"/>
      <w:r>
        <w:t xml:space="preserve">6.4 </w:t>
      </w:r>
      <w:r w:rsidRPr="00083550">
        <w:t>Environmental and social risks</w:t>
      </w:r>
      <w:bookmarkEnd w:id="32"/>
    </w:p>
    <w:p w14:paraId="62C1B679" w14:textId="5AA443BD" w:rsidR="00083550" w:rsidRDefault="00D12B56" w:rsidP="00D12B56">
      <w:pPr>
        <w:pStyle w:val="rahul"/>
      </w:pPr>
      <w:r w:rsidRPr="00D12B56">
        <w:t>Battery recycling and the carbon footprint of vehicles</w:t>
      </w:r>
      <w:r w:rsidR="00617463">
        <w:t>, plants,</w:t>
      </w:r>
      <w:r w:rsidRPr="00D12B56">
        <w:t xml:space="preserve"> and labour standards through the supply chain are all important issues for BYD.  BYD faces a broad spectrum of reputational risks as an important manufacturer of EVs and batteries.  BYD can develop and </w:t>
      </w:r>
      <w:r w:rsidR="00617463">
        <w:t>scale up</w:t>
      </w:r>
      <w:r w:rsidRPr="00D12B56">
        <w:t xml:space="preserve"> its battery recycling activities to avoid and mitigate these. It should also develop transparent reporting, potentially based on GRI.</w:t>
      </w:r>
      <w:r>
        <w:t xml:space="preserve"> </w:t>
      </w:r>
      <w:r w:rsidRPr="00D12B56">
        <w:t xml:space="preserve">Battery recycling and the carbon footprint of vehicles and plants and labour standards through the supply chain are all important issues for BYD.  BYD faces a broad spectrum of reputational risks as an important manufacturer of EVs and batteries.  BYD can develop and </w:t>
      </w:r>
      <w:r>
        <w:t>scale up</w:t>
      </w:r>
      <w:r w:rsidRPr="00D12B56">
        <w:t xml:space="preserve"> its battery recycling activities to avoid and mitigate these. It should also develop transparent reporting, potentially based on GRI.</w:t>
      </w:r>
    </w:p>
    <w:p w14:paraId="08A93337" w14:textId="77777777" w:rsidR="00161AE9" w:rsidRDefault="00161AE9" w:rsidP="00D12B56">
      <w:pPr>
        <w:pStyle w:val="rahul"/>
      </w:pPr>
    </w:p>
    <w:p w14:paraId="54C5F23B" w14:textId="67656D4D" w:rsidR="00161AE9" w:rsidRDefault="00161AE9" w:rsidP="00EB1519">
      <w:pPr>
        <w:pStyle w:val="Heading2"/>
        <w:tabs>
          <w:tab w:val="left" w:pos="2640"/>
        </w:tabs>
      </w:pPr>
      <w:bookmarkStart w:id="33" w:name="_Toc227800371"/>
      <w:r>
        <w:t xml:space="preserve">7.0 </w:t>
      </w:r>
      <w:r w:rsidR="00EB1519" w:rsidRPr="00EB1519">
        <w:t>Conclusion</w:t>
      </w:r>
      <w:bookmarkEnd w:id="33"/>
      <w:r w:rsidR="00EB1519">
        <w:tab/>
      </w:r>
    </w:p>
    <w:p w14:paraId="635B001A" w14:textId="50DEDF16" w:rsidR="00EA65C0" w:rsidRDefault="00EA65C0" w:rsidP="00EA65C0">
      <w:pPr>
        <w:pStyle w:val="rahul"/>
      </w:pPr>
      <w:r>
        <w:t xml:space="preserve">The company has successfully transitioned from being a manufacturer of batteries to a global EV powerhouse. From 2021 to 2024, </w:t>
      </w:r>
      <w:r w:rsidR="00617463">
        <w:t>its revenues, gross profit, and net profit expanded to nearly 4 times, 6 times and 13 times,</w:t>
      </w:r>
      <w:r>
        <w:t xml:space="preserve"> </w:t>
      </w:r>
      <w:proofErr w:type="gramStart"/>
      <w:r>
        <w:t>respectively[</w:t>
      </w:r>
      <w:proofErr w:type="gramEnd"/>
      <w:r>
        <w:t xml:space="preserve">1]. More money was received faster with the shortening of debt and inventory days. Because of intensified competition, this intensifying reinvestment dealt with working capital released from the operating cycle. The current assets still largely exceed </w:t>
      </w:r>
      <w:r w:rsidR="00617463">
        <w:t>current liabilities, resulting in</w:t>
      </w:r>
      <w:r>
        <w:t xml:space="preserve"> a negative net-debt position. Moreover, BYD has an impressive cash balance. Can BYD persist </w:t>
      </w:r>
      <w:r w:rsidR="00617463">
        <w:t>in funding its ambitious global expansion, or will the question arise</w:t>
      </w:r>
      <w:r>
        <w:t>? The 2025 results were a turning point: profits dropped 19% amid a price war at home and slower growth.</w:t>
      </w:r>
    </w:p>
    <w:p w14:paraId="351FD04B" w14:textId="77777777" w:rsidR="00EA65C0" w:rsidRDefault="00EA65C0" w:rsidP="00EA65C0">
      <w:pPr>
        <w:pStyle w:val="rahul"/>
      </w:pPr>
    </w:p>
    <w:p w14:paraId="2086A7D6" w14:textId="77777777" w:rsidR="00EA65C0" w:rsidRDefault="00EA65C0" w:rsidP="00EA65C0">
      <w:pPr>
        <w:pStyle w:val="rahul"/>
      </w:pPr>
      <w:r>
        <w:t>Evaluating the financial ratios shows its strengths and weaknesses. The company has a good ROA and ROE, improving gross and operating margins till 2024. But it also has a low current ratio, declining net marginal in 2025, etc.</w:t>
      </w:r>
    </w:p>
    <w:p w14:paraId="68E1875E" w14:textId="77777777" w:rsidR="00EA65C0" w:rsidRDefault="00EA65C0" w:rsidP="00EA65C0">
      <w:pPr>
        <w:pStyle w:val="rahul"/>
      </w:pPr>
    </w:p>
    <w:p w14:paraId="2F131E0E" w14:textId="77777777" w:rsidR="00EA65C0" w:rsidRDefault="00EA65C0" w:rsidP="00EA65C0">
      <w:pPr>
        <w:pStyle w:val="rahul"/>
      </w:pPr>
    </w:p>
    <w:p w14:paraId="793C5689" w14:textId="0B74D110" w:rsidR="00EB1519" w:rsidRDefault="00EA65C0" w:rsidP="00EA65C0">
      <w:pPr>
        <w:pStyle w:val="rahul"/>
      </w:pPr>
      <w:r>
        <w:t xml:space="preserve">Here are the strategic recommendations – Margin management through product differentiation, localisation as well as further vertical integration; working-capital management; diversification into energy storage and overseas markets; stronger ESG practices. The Turkish plant in the hypothesis demonstrates that profitable foreign can project under conservative assumptions. A disciplined capital allocation approach, complemented by sound measures and strategic controls along with proactive risk management, can help BYD to navigate current market challenges. </w:t>
      </w:r>
    </w:p>
    <w:p w14:paraId="3839419F" w14:textId="77777777" w:rsidR="00134209" w:rsidRDefault="00134209" w:rsidP="00EA65C0">
      <w:pPr>
        <w:pStyle w:val="rahul"/>
      </w:pPr>
    </w:p>
    <w:p w14:paraId="22C2278B" w14:textId="079FAB57" w:rsidR="008701EA" w:rsidRDefault="00134209" w:rsidP="00134209">
      <w:pPr>
        <w:pStyle w:val="Heading2"/>
      </w:pPr>
      <w:bookmarkStart w:id="34" w:name="_Toc227800372"/>
      <w:r>
        <w:t xml:space="preserve">8.0 </w:t>
      </w:r>
      <w:r w:rsidR="008701EA">
        <w:t>References</w:t>
      </w:r>
      <w:bookmarkEnd w:id="34"/>
    </w:p>
    <w:p w14:paraId="0D73CFBF" w14:textId="77777777" w:rsidR="008701EA" w:rsidRDefault="008701EA" w:rsidP="008701EA">
      <w:pPr>
        <w:pStyle w:val="rahul"/>
      </w:pPr>
      <w:r>
        <w:t>•</w:t>
      </w:r>
      <w:r>
        <w:tab/>
        <w:t>Automotive World. 2026. “BYD expects Iran war fallout to drive sales growth in 2026.” Automotive World, 9 April 2026.</w:t>
      </w:r>
    </w:p>
    <w:p w14:paraId="2EF59A78" w14:textId="77777777" w:rsidR="008701EA" w:rsidRDefault="008701EA" w:rsidP="008701EA">
      <w:pPr>
        <w:pStyle w:val="rahul"/>
      </w:pPr>
      <w:r>
        <w:t>•</w:t>
      </w:r>
      <w:r>
        <w:tab/>
      </w:r>
      <w:proofErr w:type="spellStart"/>
      <w:r>
        <w:t>BigGo</w:t>
      </w:r>
      <w:proofErr w:type="spellEnd"/>
      <w:r>
        <w:t xml:space="preserve"> Finance. 2026. “BYD Reports Sharp Drop in Q1 2026 EV Sales and Production.” </w:t>
      </w:r>
      <w:proofErr w:type="spellStart"/>
      <w:r>
        <w:t>BigGo</w:t>
      </w:r>
      <w:proofErr w:type="spellEnd"/>
      <w:r>
        <w:t xml:space="preserve"> Finance, 31 March 2026[13].</w:t>
      </w:r>
    </w:p>
    <w:p w14:paraId="1F33BD65" w14:textId="77777777" w:rsidR="008701EA" w:rsidRDefault="008701EA" w:rsidP="008701EA">
      <w:pPr>
        <w:pStyle w:val="rahul"/>
      </w:pPr>
      <w:r>
        <w:t>•</w:t>
      </w:r>
      <w:r>
        <w:tab/>
      </w:r>
      <w:proofErr w:type="spellStart"/>
      <w:r>
        <w:t>CleanTechnica</w:t>
      </w:r>
      <w:proofErr w:type="spellEnd"/>
      <w:r>
        <w:t xml:space="preserve">. 2026. “BYD 2025 Annual Report in Context.” </w:t>
      </w:r>
      <w:proofErr w:type="spellStart"/>
      <w:r>
        <w:t>CleanTechnica</w:t>
      </w:r>
      <w:proofErr w:type="spellEnd"/>
      <w:r>
        <w:t>, 30 March 2026[6][20].</w:t>
      </w:r>
    </w:p>
    <w:p w14:paraId="1EF59054" w14:textId="77777777" w:rsidR="008701EA" w:rsidRDefault="008701EA" w:rsidP="008701EA">
      <w:pPr>
        <w:pStyle w:val="rahul"/>
      </w:pPr>
      <w:r>
        <w:t>•</w:t>
      </w:r>
      <w:r>
        <w:tab/>
      </w:r>
      <w:proofErr w:type="spellStart"/>
      <w:r>
        <w:t>CnEVPost</w:t>
      </w:r>
      <w:proofErr w:type="spellEnd"/>
      <w:r>
        <w:t xml:space="preserve">. 2026. “BYD’s Annual Report 2025: Sales Growth Slows as Profit Declines.” </w:t>
      </w:r>
      <w:proofErr w:type="spellStart"/>
      <w:r>
        <w:t>CnEVPost</w:t>
      </w:r>
      <w:proofErr w:type="spellEnd"/>
      <w:r>
        <w:t>, 28 March 2026[7][35].</w:t>
      </w:r>
    </w:p>
    <w:p w14:paraId="4DAEA8AD" w14:textId="77777777" w:rsidR="008701EA" w:rsidRDefault="008701EA" w:rsidP="008701EA">
      <w:pPr>
        <w:pStyle w:val="rahul"/>
      </w:pPr>
      <w:r>
        <w:t>•</w:t>
      </w:r>
      <w:r>
        <w:tab/>
      </w:r>
      <w:proofErr w:type="spellStart"/>
      <w:r>
        <w:t>Gasgoo</w:t>
      </w:r>
      <w:proofErr w:type="spellEnd"/>
      <w:r>
        <w:t xml:space="preserve">. 2025. “BYD Achieves Record 2024 Results with Revenue Up 29 %.” </w:t>
      </w:r>
      <w:proofErr w:type="spellStart"/>
      <w:r>
        <w:t>Gasgoo</w:t>
      </w:r>
      <w:proofErr w:type="spellEnd"/>
      <w:r>
        <w:t>, 25 March 2025[5].</w:t>
      </w:r>
    </w:p>
    <w:p w14:paraId="4089DD99" w14:textId="77777777" w:rsidR="008701EA" w:rsidRDefault="008701EA" w:rsidP="008701EA">
      <w:pPr>
        <w:pStyle w:val="rahul"/>
      </w:pPr>
      <w:r>
        <w:t>•</w:t>
      </w:r>
      <w:r>
        <w:tab/>
      </w:r>
      <w:proofErr w:type="spellStart"/>
      <w:r>
        <w:t>InsideEVs</w:t>
      </w:r>
      <w:proofErr w:type="spellEnd"/>
      <w:r>
        <w:t xml:space="preserve">. 2026. “BYD Has Hit a Rough Patch. It Still Plans to Sell 1.5 </w:t>
      </w:r>
      <w:proofErr w:type="gramStart"/>
      <w:r>
        <w:t>Million</w:t>
      </w:r>
      <w:proofErr w:type="gramEnd"/>
      <w:r>
        <w:t xml:space="preserve"> Cars Outside of China This Year.” </w:t>
      </w:r>
      <w:proofErr w:type="spellStart"/>
      <w:r>
        <w:t>InsideEVs</w:t>
      </w:r>
      <w:proofErr w:type="spellEnd"/>
      <w:r>
        <w:t>, 30 March 2026[14].</w:t>
      </w:r>
    </w:p>
    <w:p w14:paraId="04070DE1" w14:textId="77777777" w:rsidR="008701EA" w:rsidRDefault="008701EA" w:rsidP="008701EA">
      <w:pPr>
        <w:pStyle w:val="rahul"/>
      </w:pPr>
      <w:r>
        <w:t>•</w:t>
      </w:r>
      <w:r>
        <w:tab/>
        <w:t>Shanghai Metals Market. 2026. “BYD Claims Top Spot Globally in New Energy Vehicle Sales and Energy Storage System Shipments for 2025.” SMM, 1 April 2026[3].</w:t>
      </w:r>
    </w:p>
    <w:p w14:paraId="1DAC154E" w14:textId="77777777" w:rsidR="008701EA" w:rsidRDefault="008701EA" w:rsidP="008701EA">
      <w:pPr>
        <w:pStyle w:val="rahul"/>
      </w:pPr>
      <w:r>
        <w:t>•</w:t>
      </w:r>
      <w:r>
        <w:tab/>
        <w:t xml:space="preserve">Xinhua News Agency. 2024. “BYD Reports 2023 Annual Results: Revenue Surges to 602 </w:t>
      </w:r>
      <w:proofErr w:type="gramStart"/>
      <w:r>
        <w:t>Billion</w:t>
      </w:r>
      <w:proofErr w:type="gramEnd"/>
      <w:r>
        <w:t xml:space="preserve"> Yuan.” Xinhua, 27 March 2024[4].</w:t>
      </w:r>
    </w:p>
    <w:p w14:paraId="6DBA1D63" w14:textId="77777777" w:rsidR="008701EA" w:rsidRDefault="008701EA" w:rsidP="008701EA">
      <w:pPr>
        <w:pStyle w:val="rahul"/>
      </w:pPr>
      <w:r>
        <w:t>•</w:t>
      </w:r>
      <w:r>
        <w:tab/>
        <w:t xml:space="preserve">BYD Company Limited. 2025. Annual Report 2024. Hong Kong: BYD Company </w:t>
      </w:r>
      <w:proofErr w:type="gramStart"/>
      <w:r>
        <w:t>Limited[</w:t>
      </w:r>
      <w:proofErr w:type="gramEnd"/>
      <w:r>
        <w:t>1][36][2].</w:t>
      </w:r>
    </w:p>
    <w:p w14:paraId="180646D1" w14:textId="77777777" w:rsidR="008701EA" w:rsidRDefault="008701EA" w:rsidP="008701EA">
      <w:pPr>
        <w:pStyle w:val="rahul"/>
      </w:pPr>
      <w:r>
        <w:lastRenderedPageBreak/>
        <w:t>•</w:t>
      </w:r>
      <w:r>
        <w:tab/>
        <w:t>Reuters. 2026. “BYD’s Annual Profit Drops for First Time in Four Years as Price War Hurts Margins.” Reuters, 27 March 2026[37].</w:t>
      </w:r>
    </w:p>
    <w:p w14:paraId="43D79079" w14:textId="77777777" w:rsidR="008701EA" w:rsidRDefault="008701EA" w:rsidP="008701EA">
      <w:pPr>
        <w:pStyle w:val="rahul"/>
      </w:pPr>
      <w:r>
        <w:t>•</w:t>
      </w:r>
      <w:r>
        <w:tab/>
        <w:t>Automotive World. 2026. “BYD expects Iran war fallout to drive sales growth in 2026.” Automotive World, 9 April 2026[8].</w:t>
      </w:r>
    </w:p>
    <w:p w14:paraId="3FCE55E9" w14:textId="77777777" w:rsidR="008701EA" w:rsidRDefault="008701EA" w:rsidP="008701EA">
      <w:pPr>
        <w:pStyle w:val="rahul"/>
      </w:pPr>
      <w:r>
        <w:t>•</w:t>
      </w:r>
      <w:r>
        <w:tab/>
      </w:r>
      <w:proofErr w:type="spellStart"/>
      <w:r>
        <w:t>Gasgoo</w:t>
      </w:r>
      <w:proofErr w:type="spellEnd"/>
      <w:r>
        <w:t xml:space="preserve">. 2022. “BYD Posts Record 2022 Results; Net Profit Up 445 %.” </w:t>
      </w:r>
      <w:proofErr w:type="spellStart"/>
      <w:r>
        <w:t>Gasgoo</w:t>
      </w:r>
      <w:proofErr w:type="spellEnd"/>
      <w:r>
        <w:t>, 28 March 2023[38].</w:t>
      </w:r>
    </w:p>
    <w:p w14:paraId="69C2B152" w14:textId="77777777" w:rsidR="008701EA" w:rsidRDefault="008701EA" w:rsidP="008701EA">
      <w:pPr>
        <w:pStyle w:val="rahul"/>
      </w:pPr>
      <w:r>
        <w:t>•</w:t>
      </w:r>
      <w:r>
        <w:tab/>
      </w:r>
      <w:proofErr w:type="spellStart"/>
      <w:r>
        <w:t>Gasgoo</w:t>
      </w:r>
      <w:proofErr w:type="spellEnd"/>
      <w:r>
        <w:t xml:space="preserve">. 2023. “BYD Achieves Strong Growth in 2023 Financial Results.” </w:t>
      </w:r>
      <w:proofErr w:type="spellStart"/>
      <w:r>
        <w:t>Gasgoo</w:t>
      </w:r>
      <w:proofErr w:type="spellEnd"/>
      <w:r>
        <w:t>, 27 March 2024[12].</w:t>
      </w:r>
    </w:p>
    <w:p w14:paraId="6D198348" w14:textId="77777777" w:rsidR="008701EA" w:rsidRDefault="008701EA" w:rsidP="008701EA">
      <w:pPr>
        <w:pStyle w:val="rahul"/>
      </w:pPr>
      <w:r>
        <w:t>•</w:t>
      </w:r>
      <w:r>
        <w:tab/>
      </w:r>
      <w:proofErr w:type="spellStart"/>
      <w:r>
        <w:t>Gasgoo</w:t>
      </w:r>
      <w:proofErr w:type="spellEnd"/>
      <w:r>
        <w:t xml:space="preserve">. 2021. “BYD 2021 Results: Revenue Surges but Profit Falls.” </w:t>
      </w:r>
      <w:proofErr w:type="spellStart"/>
      <w:r>
        <w:t>Gasgoo</w:t>
      </w:r>
      <w:proofErr w:type="spellEnd"/>
      <w:r>
        <w:t>, 29 March 2022[39].</w:t>
      </w:r>
    </w:p>
    <w:p w14:paraId="768FEAED" w14:textId="06CE61F6" w:rsidR="008701EA" w:rsidRDefault="008701EA" w:rsidP="008701EA">
      <w:pPr>
        <w:pStyle w:val="rahul"/>
      </w:pPr>
      <w:r>
        <w:t>•</w:t>
      </w:r>
      <w:r>
        <w:tab/>
        <w:t xml:space="preserve">BYD Company Limited. 2024. Press Release: BYD Celebrates 3 </w:t>
      </w:r>
      <w:proofErr w:type="gramStart"/>
      <w:r>
        <w:t>Millionth</w:t>
      </w:r>
      <w:proofErr w:type="gramEnd"/>
      <w:r>
        <w:t xml:space="preserve"> NEV Off the Assembly Line. Shenzhen: BYD Company </w:t>
      </w:r>
      <w:proofErr w:type="gramStart"/>
      <w:r>
        <w:t>Limited[</w:t>
      </w:r>
      <w:proofErr w:type="gramEnd"/>
      <w:r>
        <w:t>11].</w:t>
      </w:r>
    </w:p>
    <w:p w14:paraId="59B465AD" w14:textId="77777777" w:rsidR="00454E38" w:rsidRDefault="00454E38" w:rsidP="008701EA">
      <w:pPr>
        <w:pStyle w:val="rahul"/>
      </w:pPr>
    </w:p>
    <w:p w14:paraId="364A9945" w14:textId="77777777" w:rsidR="00454E38" w:rsidRDefault="00454E38" w:rsidP="008701EA">
      <w:pPr>
        <w:pStyle w:val="rahul"/>
      </w:pPr>
    </w:p>
    <w:p w14:paraId="3A7D5268" w14:textId="77777777" w:rsidR="00454E38" w:rsidRDefault="00454E38" w:rsidP="008701EA">
      <w:pPr>
        <w:pStyle w:val="rahul"/>
      </w:pPr>
    </w:p>
    <w:p w14:paraId="4D5B1500" w14:textId="77777777" w:rsidR="00454E38" w:rsidRDefault="00454E38" w:rsidP="008701EA">
      <w:pPr>
        <w:pStyle w:val="rahul"/>
      </w:pPr>
    </w:p>
    <w:p w14:paraId="7FCFBC38" w14:textId="77777777" w:rsidR="00454E38" w:rsidRDefault="00454E38" w:rsidP="008701EA">
      <w:pPr>
        <w:pStyle w:val="rahul"/>
      </w:pPr>
    </w:p>
    <w:p w14:paraId="195E0B5A" w14:textId="77777777" w:rsidR="00454E38" w:rsidRDefault="00454E38" w:rsidP="008701EA">
      <w:pPr>
        <w:pStyle w:val="rahul"/>
      </w:pPr>
    </w:p>
    <w:p w14:paraId="6710C11C" w14:textId="77777777" w:rsidR="00454E38" w:rsidRDefault="00454E38" w:rsidP="008701EA">
      <w:pPr>
        <w:pStyle w:val="rahul"/>
      </w:pPr>
    </w:p>
    <w:p w14:paraId="424942A6" w14:textId="77777777" w:rsidR="00454E38" w:rsidRDefault="00454E38" w:rsidP="008701EA">
      <w:pPr>
        <w:pStyle w:val="rahul"/>
      </w:pPr>
    </w:p>
    <w:p w14:paraId="71179BCF" w14:textId="77777777" w:rsidR="00454E38" w:rsidRDefault="00454E38" w:rsidP="008701EA">
      <w:pPr>
        <w:pStyle w:val="rahul"/>
      </w:pPr>
    </w:p>
    <w:p w14:paraId="3C80C007" w14:textId="77777777" w:rsidR="00454E38" w:rsidRDefault="00454E38" w:rsidP="008701EA">
      <w:pPr>
        <w:pStyle w:val="rahul"/>
      </w:pPr>
    </w:p>
    <w:p w14:paraId="007A47A8" w14:textId="77777777" w:rsidR="00454E38" w:rsidRDefault="00454E38" w:rsidP="008701EA">
      <w:pPr>
        <w:pStyle w:val="rahul"/>
      </w:pPr>
    </w:p>
    <w:p w14:paraId="47D2F969" w14:textId="77777777" w:rsidR="00454E38" w:rsidRDefault="00454E38" w:rsidP="008701EA">
      <w:pPr>
        <w:pStyle w:val="rahul"/>
      </w:pPr>
    </w:p>
    <w:p w14:paraId="3B386B14" w14:textId="77777777" w:rsidR="00454E38" w:rsidRDefault="00454E38" w:rsidP="00454E38">
      <w:pPr>
        <w:pStyle w:val="Heading2"/>
      </w:pPr>
      <w:bookmarkStart w:id="35" w:name="_Toc227800373"/>
      <w:r>
        <w:t>14 Appendices</w:t>
      </w:r>
      <w:bookmarkEnd w:id="35"/>
    </w:p>
    <w:p w14:paraId="1F3EA1F5" w14:textId="7E70BC72" w:rsidR="00454E38" w:rsidRDefault="00454E38" w:rsidP="00454E38">
      <w:pPr>
        <w:pStyle w:val="Heading2"/>
      </w:pPr>
      <w:bookmarkStart w:id="36" w:name="_Toc227800374"/>
      <w:r>
        <w:t>Appendix A – Illustrative charts and images</w:t>
      </w:r>
      <w:bookmarkEnd w:id="36"/>
    </w:p>
    <w:p w14:paraId="5C5FA586" w14:textId="77777777" w:rsidR="00C65B16" w:rsidRDefault="00C65B16" w:rsidP="00411F3D">
      <w:pPr>
        <w:sectPr w:rsidR="00C65B16">
          <w:pgSz w:w="11906" w:h="16838"/>
          <w:pgMar w:top="1440" w:right="1440" w:bottom="1440" w:left="1440" w:header="708" w:footer="708" w:gutter="0"/>
          <w:cols w:space="708"/>
          <w:docGrid w:linePitch="360"/>
        </w:sectPr>
      </w:pPr>
    </w:p>
    <w:p w14:paraId="4C908080" w14:textId="77777777" w:rsidR="00980800" w:rsidRDefault="00980800" w:rsidP="00411F3D"/>
    <w:p w14:paraId="64A887EA" w14:textId="6D1B6A3C" w:rsidR="00411F3D" w:rsidRDefault="00411F3D" w:rsidP="00411F3D">
      <w:r>
        <w:rPr>
          <w:noProof/>
        </w:rPr>
        <w:drawing>
          <wp:anchor distT="0" distB="0" distL="114300" distR="114300" simplePos="0" relativeHeight="251658752" behindDoc="0" locked="0" layoutInCell="1" allowOverlap="1" wp14:anchorId="53DAFFE1" wp14:editId="5761C216">
            <wp:simplePos x="0" y="0"/>
            <wp:positionH relativeFrom="column">
              <wp:posOffset>0</wp:posOffset>
            </wp:positionH>
            <wp:positionV relativeFrom="paragraph">
              <wp:posOffset>0</wp:posOffset>
            </wp:positionV>
            <wp:extent cx="5334635" cy="7301230"/>
            <wp:effectExtent l="0" t="0" r="0" b="0"/>
            <wp:wrapTopAndBottom/>
            <wp:docPr id="185420253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334635" cy="7301230"/>
                    </a:xfrm>
                    <a:prstGeom prst="rect">
                      <a:avLst/>
                    </a:prstGeom>
                    <a:noFill/>
                  </pic:spPr>
                </pic:pic>
              </a:graphicData>
            </a:graphic>
          </wp:anchor>
        </w:drawing>
      </w:r>
      <w:r w:rsidR="00980800">
        <w:t xml:space="preserve"> </w:t>
      </w:r>
    </w:p>
    <w:p w14:paraId="13E02DEF" w14:textId="77777777" w:rsidR="00980800" w:rsidRDefault="00980800" w:rsidP="00411F3D">
      <w:pPr>
        <w:sectPr w:rsidR="00980800">
          <w:pgSz w:w="11906" w:h="16838"/>
          <w:pgMar w:top="1440" w:right="1440" w:bottom="1440" w:left="1440" w:header="708" w:footer="708" w:gutter="0"/>
          <w:cols w:space="708"/>
          <w:docGrid w:linePitch="360"/>
        </w:sectPr>
      </w:pPr>
    </w:p>
    <w:p w14:paraId="185DA4E4" w14:textId="77777777" w:rsidR="00980800" w:rsidRDefault="00980800" w:rsidP="00411F3D">
      <w:r>
        <w:rPr>
          <w:noProof/>
        </w:rPr>
        <w:lastRenderedPageBreak/>
        <w:drawing>
          <wp:anchor distT="0" distB="0" distL="114300" distR="114300" simplePos="0" relativeHeight="251659776" behindDoc="0" locked="0" layoutInCell="1" allowOverlap="1" wp14:anchorId="5D3973E7" wp14:editId="135ECB79">
            <wp:simplePos x="0" y="0"/>
            <wp:positionH relativeFrom="column">
              <wp:posOffset>0</wp:posOffset>
            </wp:positionH>
            <wp:positionV relativeFrom="paragraph">
              <wp:posOffset>0</wp:posOffset>
            </wp:positionV>
            <wp:extent cx="5334635" cy="8004810"/>
            <wp:effectExtent l="0" t="0" r="0" b="0"/>
            <wp:wrapTopAndBottom/>
            <wp:docPr id="17179374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334635" cy="8004810"/>
                    </a:xfrm>
                    <a:prstGeom prst="rect">
                      <a:avLst/>
                    </a:prstGeom>
                    <a:noFill/>
                  </pic:spPr>
                </pic:pic>
              </a:graphicData>
            </a:graphic>
          </wp:anchor>
        </w:drawing>
      </w:r>
    </w:p>
    <w:p w14:paraId="7DDA449C" w14:textId="05AD760A" w:rsidR="00015208" w:rsidRDefault="00015208" w:rsidP="00411F3D">
      <w:pPr>
        <w:sectPr w:rsidR="00015208">
          <w:pgSz w:w="11906" w:h="16838"/>
          <w:pgMar w:top="1440" w:right="1440" w:bottom="1440" w:left="1440" w:header="708" w:footer="708" w:gutter="0"/>
          <w:cols w:space="708"/>
          <w:docGrid w:linePitch="360"/>
        </w:sectPr>
      </w:pPr>
    </w:p>
    <w:p w14:paraId="6800B2DA" w14:textId="35BD63DB" w:rsidR="00980800" w:rsidRDefault="007C2A7A" w:rsidP="00411F3D">
      <w:r w:rsidRPr="007C2A7A">
        <w:lastRenderedPageBreak/>
        <w:drawing>
          <wp:inline distT="0" distB="0" distL="0" distR="0" wp14:anchorId="61F06361" wp14:editId="2F8BAA26">
            <wp:extent cx="5731510" cy="480695"/>
            <wp:effectExtent l="0" t="0" r="0" b="0"/>
            <wp:docPr id="190079965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480695"/>
                    </a:xfrm>
                    <a:prstGeom prst="rect">
                      <a:avLst/>
                    </a:prstGeom>
                    <a:noFill/>
                    <a:ln>
                      <a:noFill/>
                    </a:ln>
                  </pic:spPr>
                </pic:pic>
              </a:graphicData>
            </a:graphic>
          </wp:inline>
        </w:drawing>
      </w:r>
    </w:p>
    <w:p w14:paraId="04277D7B" w14:textId="77777777" w:rsidR="00F96766" w:rsidRDefault="00015208" w:rsidP="00015208">
      <w:pPr>
        <w:sectPr w:rsidR="00F96766">
          <w:pgSz w:w="11906" w:h="16838"/>
          <w:pgMar w:top="1440" w:right="1440" w:bottom="1440" w:left="1440" w:header="708" w:footer="708" w:gutter="0"/>
          <w:cols w:space="708"/>
          <w:docGrid w:linePitch="360"/>
        </w:sectPr>
      </w:pPr>
      <w:r>
        <w:rPr>
          <w:noProof/>
        </w:rPr>
        <w:drawing>
          <wp:anchor distT="0" distB="0" distL="114300" distR="114300" simplePos="0" relativeHeight="251660800" behindDoc="0" locked="0" layoutInCell="1" allowOverlap="1" wp14:anchorId="0C063316" wp14:editId="69C13D3F">
            <wp:simplePos x="0" y="0"/>
            <wp:positionH relativeFrom="column">
              <wp:posOffset>0</wp:posOffset>
            </wp:positionH>
            <wp:positionV relativeFrom="paragraph">
              <wp:posOffset>-3290</wp:posOffset>
            </wp:positionV>
            <wp:extent cx="5334635" cy="3999230"/>
            <wp:effectExtent l="0" t="0" r="0" b="1270"/>
            <wp:wrapTopAndBottom/>
            <wp:docPr id="87007438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334635" cy="3999230"/>
                    </a:xfrm>
                    <a:prstGeom prst="rect">
                      <a:avLst/>
                    </a:prstGeom>
                    <a:noFill/>
                  </pic:spPr>
                </pic:pic>
              </a:graphicData>
            </a:graphic>
          </wp:anchor>
        </w:drawing>
      </w:r>
    </w:p>
    <w:p w14:paraId="1358E1B9" w14:textId="5BFB5731" w:rsidR="00015208" w:rsidRDefault="00F96766" w:rsidP="00015208">
      <w:r w:rsidRPr="00F96766">
        <w:lastRenderedPageBreak/>
        <w:drawing>
          <wp:inline distT="0" distB="0" distL="0" distR="0" wp14:anchorId="086712E9" wp14:editId="2F25985F">
            <wp:extent cx="5731510" cy="480695"/>
            <wp:effectExtent l="0" t="0" r="0" b="0"/>
            <wp:docPr id="174474515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480695"/>
                    </a:xfrm>
                    <a:prstGeom prst="rect">
                      <a:avLst/>
                    </a:prstGeom>
                    <a:noFill/>
                    <a:ln>
                      <a:noFill/>
                    </a:ln>
                  </pic:spPr>
                </pic:pic>
              </a:graphicData>
            </a:graphic>
          </wp:inline>
        </w:drawing>
      </w:r>
    </w:p>
    <w:p w14:paraId="49BD3F99" w14:textId="77777777" w:rsidR="000318DA" w:rsidRDefault="000318DA" w:rsidP="00015208"/>
    <w:p w14:paraId="705A6B07" w14:textId="77777777" w:rsidR="00617463" w:rsidRDefault="000318DA" w:rsidP="00617463">
      <w:pPr>
        <w:pStyle w:val="Heading3"/>
        <w:rPr>
          <w:rFonts w:asciiTheme="minorHAnsi" w:hAnsiTheme="minorHAnsi"/>
        </w:rPr>
      </w:pPr>
      <w:bookmarkStart w:id="37" w:name="_Toc227800375"/>
      <w:r>
        <w:rPr>
          <w:noProof/>
        </w:rPr>
        <w:drawing>
          <wp:anchor distT="0" distB="0" distL="114300" distR="114300" simplePos="0" relativeHeight="251663872" behindDoc="0" locked="0" layoutInCell="1" allowOverlap="1" wp14:anchorId="769E265F" wp14:editId="136C5551">
            <wp:simplePos x="0" y="0"/>
            <wp:positionH relativeFrom="column">
              <wp:posOffset>0</wp:posOffset>
            </wp:positionH>
            <wp:positionV relativeFrom="paragraph">
              <wp:posOffset>-3290</wp:posOffset>
            </wp:positionV>
            <wp:extent cx="5334635" cy="3999230"/>
            <wp:effectExtent l="0" t="0" r="0" b="1270"/>
            <wp:wrapTopAndBottom/>
            <wp:docPr id="8806281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334635" cy="3999230"/>
                    </a:xfrm>
                    <a:prstGeom prst="rect">
                      <a:avLst/>
                    </a:prstGeom>
                    <a:noFill/>
                  </pic:spPr>
                </pic:pic>
              </a:graphicData>
            </a:graphic>
          </wp:anchor>
        </w:drawing>
      </w:r>
      <w:r w:rsidR="00617463">
        <w:t>Appendix B – Ratio calculations worksheet</w:t>
      </w:r>
      <w:bookmarkEnd w:id="37"/>
    </w:p>
    <w:p w14:paraId="57C8D93D" w14:textId="77777777" w:rsidR="00617463" w:rsidRDefault="00617463" w:rsidP="00617463">
      <w:pPr>
        <w:pStyle w:val="FirstParagraph"/>
      </w:pPr>
      <w:r>
        <w:t xml:space="preserve">The spreadsheet </w:t>
      </w:r>
      <w:r>
        <w:rPr>
          <w:rStyle w:val="VerbatimChar"/>
        </w:rPr>
        <w:t>byd_financial_ratios.csv</w:t>
      </w:r>
      <w:r>
        <w:t xml:space="preserve"> containing the detailed calculations for ROA, ROE and estimated cash conversion cycles accompanies this report. It </w:t>
      </w:r>
      <w:proofErr w:type="spellStart"/>
      <w:r>
        <w:t>summarises</w:t>
      </w:r>
      <w:proofErr w:type="spellEnd"/>
      <w:r>
        <w:t xml:space="preserve"> the data underlying the tables and charts.</w:t>
      </w:r>
    </w:p>
    <w:p w14:paraId="4F42D000" w14:textId="77777777" w:rsidR="00617463" w:rsidRDefault="00617463" w:rsidP="00617463">
      <w:pPr>
        <w:spacing w:after="0"/>
        <w:jc w:val="center"/>
      </w:pPr>
      <w:bookmarkStart w:id="38" w:name="appendix-b-ratio-calculations-worksheet"/>
      <w:bookmarkEnd w:id="38"/>
      <w:r>
        <w:pict w14:anchorId="24086012">
          <v:rect id="_x0000_i1032" style="width:468pt;height:1.2pt" o:hralign="center" o:hrstd="t" o:hr="t" fillcolor="#a0a0a0" stroked="f"/>
        </w:pict>
      </w:r>
    </w:p>
    <w:bookmarkStart w:id="39" w:name="citations"/>
    <w:p w14:paraId="51327DD8" w14:textId="77777777" w:rsidR="00617463" w:rsidRDefault="00617463" w:rsidP="00617463">
      <w:pPr>
        <w:pStyle w:val="FirstParagraph"/>
      </w:pPr>
      <w:r>
        <w:fldChar w:fldCharType="begin"/>
      </w:r>
      <w:r>
        <w:instrText>HYPERLINK "https://www1.hkexnews.hk/listedco/listconews/sehk/2025/0324/2025032401238.pdf" \l ":~:text=Revenue%20%E7%87%9F%E6%A5%AD%E9%A1%8D%20777%2C102%2C455%20602%2C315%2C354%20424%2C060%2C635,7"</w:instrText>
      </w:r>
      <w:r>
        <w:fldChar w:fldCharType="separate"/>
      </w:r>
      <w:r>
        <w:rPr>
          <w:rStyle w:val="Hyperlink"/>
          <w:u w:val="single"/>
        </w:rPr>
        <w:t>[1]</w:t>
      </w:r>
      <w:r>
        <w:fldChar w:fldCharType="end"/>
      </w:r>
      <w:r>
        <w:t xml:space="preserve"> </w:t>
      </w:r>
      <w:hyperlink r:id="rId36" w:history="1">
        <w:r>
          <w:rPr>
            <w:rStyle w:val="Hyperlink"/>
            <w:u w:val="single"/>
          </w:rPr>
          <w:t>[2]</w:t>
        </w:r>
      </w:hyperlink>
      <w:r>
        <w:t xml:space="preserve"> </w:t>
      </w:r>
      <w:hyperlink r:id="rId37" w:anchor=":~:text=REVENUE%20BREAKDOWN%20BY%20PRODUCT%20CATEGORIES,products%2C%20and%20other%20products%20%E6%B1%BD%E8%BB%8A%E3%80%81%E6%B1%BD%E8%BB%8A%E7%9B%B8%E9%97%9C%E7%94%A2%E5%93%81%E5%8F%8A%E5%85%B6%E4%BB%96%E7%94%A2%E5%93%81" w:history="1">
        <w:r>
          <w:rPr>
            <w:rStyle w:val="Hyperlink"/>
            <w:u w:val="single"/>
          </w:rPr>
          <w:t>[9]</w:t>
        </w:r>
      </w:hyperlink>
      <w:r>
        <w:t xml:space="preserve"> </w:t>
      </w:r>
      <w:hyperlink r:id="rId38" w:anchor=":~:text=REVENUE%20BREAKDOWN%20BY%20LOCATIONS%20OF,Hong%20Kong%2C%20Macau%20and%20Taiwan" w:history="1">
        <w:r>
          <w:rPr>
            <w:rStyle w:val="Hyperlink"/>
            <w:u w:val="single"/>
          </w:rPr>
          <w:t>[10]</w:t>
        </w:r>
      </w:hyperlink>
      <w:r>
        <w:t xml:space="preserve"> </w:t>
      </w:r>
      <w:hyperlink r:id="rId39" w:anchor=":~:text=Gross%20profit%20%E6%AF%9B%E5%88%A9%20151%2C055%2C839%20111%2C916%2C409,%E6%AF%9B%E5%88%A9%E7%8E%87" w:history="1">
        <w:r>
          <w:rPr>
            <w:rStyle w:val="Hyperlink"/>
            <w:u w:val="single"/>
          </w:rPr>
          <w:t>[15]</w:t>
        </w:r>
      </w:hyperlink>
      <w:r>
        <w:t xml:space="preserve"> </w:t>
      </w:r>
      <w:hyperlink r:id="rId40" w:anchor=":~:text=Profit%20attributable%20to%20owners%20of,5.2%205.0%203.9%201.4" w:history="1">
        <w:r>
          <w:rPr>
            <w:rStyle w:val="Hyperlink"/>
            <w:u w:val="single"/>
          </w:rPr>
          <w:t>[16]</w:t>
        </w:r>
      </w:hyperlink>
      <w:r>
        <w:t xml:space="preserve"> </w:t>
      </w:r>
      <w:hyperlink r:id="rId41" w:anchor=":~:text=Group,year%20increase" w:history="1">
        <w:r>
          <w:rPr>
            <w:rStyle w:val="Hyperlink"/>
            <w:u w:val="single"/>
          </w:rPr>
          <w:t>[17]</w:t>
        </w:r>
      </w:hyperlink>
      <w:r>
        <w:t xml:space="preserve"> </w:t>
      </w:r>
      <w:hyperlink r:id="rId42" w:anchor=":~:text=RMB617%2C382%20million%2C%20representing%20a%20year,and" w:history="1">
        <w:r>
          <w:rPr>
            <w:rStyle w:val="Hyperlink"/>
            <w:u w:val="single"/>
          </w:rPr>
          <w:t>[18]</w:t>
        </w:r>
      </w:hyperlink>
      <w:r>
        <w:t xml:space="preserve"> </w:t>
      </w:r>
      <w:hyperlink r:id="rId43" w:anchor=":~:text=Gross%20profit%20%E6%AF%9B%E5%88%A9%20151%2C055%2C839%20111%2C916%2C409,19%2019%2016%2012" w:history="1">
        <w:r>
          <w:rPr>
            <w:rStyle w:val="Hyperlink"/>
            <w:u w:val="single"/>
          </w:rPr>
          <w:t>[21]</w:t>
        </w:r>
      </w:hyperlink>
      <w:r>
        <w:t xml:space="preserve"> </w:t>
      </w:r>
      <w:hyperlink r:id="rId44" w:anchor=":~:text=%E6%B7%A8%E5%88%A9%E6%BD%A4%E7%8E%87%28" w:history="1">
        <w:r>
          <w:rPr>
            <w:rStyle w:val="Hyperlink"/>
            <w:u w:val="single"/>
          </w:rPr>
          <w:t>[22]</w:t>
        </w:r>
      </w:hyperlink>
      <w:r>
        <w:t xml:space="preserve"> </w:t>
      </w:r>
      <w:hyperlink r:id="rId45" w:anchor=":~:text=attributable%20to%20the%20owners%20of,the%20payment%20of%20a%20final" w:history="1">
        <w:r>
          <w:rPr>
            <w:rStyle w:val="Hyperlink"/>
            <w:u w:val="single"/>
          </w:rPr>
          <w:t>[23]</w:t>
        </w:r>
      </w:hyperlink>
      <w:r>
        <w:t xml:space="preserve"> </w:t>
      </w:r>
      <w:hyperlink r:id="rId46" w:anchor=":~:text=Current%20ratio%20%EF%BC%88times%29%20%E6%B5%81%E5%8B%95%E6%AF%94%E7%8E%87%EF%BC%88%E5%80%8D%EF%BC%89%200,05" w:history="1">
        <w:r>
          <w:rPr>
            <w:rStyle w:val="Hyperlink"/>
            <w:u w:val="single"/>
          </w:rPr>
          <w:t>[25]</w:t>
        </w:r>
      </w:hyperlink>
      <w:r>
        <w:t xml:space="preserve"> </w:t>
      </w:r>
      <w:hyperlink r:id="rId47" w:anchor=":~:text=dividend%20of%20RMB3,amounted%20to%20approximately%20RMB154%2C937%20million" w:history="1">
        <w:r>
          <w:rPr>
            <w:rStyle w:val="Hyperlink"/>
            <w:u w:val="single"/>
          </w:rPr>
          <w:t>[26]</w:t>
        </w:r>
      </w:hyperlink>
      <w:r>
        <w:t xml:space="preserve"> </w:t>
      </w:r>
      <w:hyperlink r:id="rId48" w:anchor=":~:text=Receivables%20turnover%20,%EF%BC%88%E6%97%A5%EF%BC%89%20%EF%BC%88%E9%99%84%E8%A8%BB2%EF%BC%89%2035%2043%2053" w:history="1">
        <w:r>
          <w:rPr>
            <w:rStyle w:val="Hyperlink"/>
            <w:u w:val="single"/>
          </w:rPr>
          <w:t>[27]</w:t>
        </w:r>
      </w:hyperlink>
      <w:r>
        <w:t xml:space="preserve"> </w:t>
      </w:r>
      <w:hyperlink r:id="rId49" w:anchor=":~:text=Gearing%20ratio%20%EF%BC%88,15" w:history="1">
        <w:r>
          <w:rPr>
            <w:rStyle w:val="Hyperlink"/>
            <w:u w:val="single"/>
          </w:rPr>
          <w:t>[28]</w:t>
        </w:r>
      </w:hyperlink>
      <w:r>
        <w:t xml:space="preserve"> </w:t>
      </w:r>
      <w:hyperlink r:id="rId50" w:anchor=":~:text=%E5%AD%98%E8%B2%A8%E9%80%B1%E8%BD%89%E5%A4%A9%E6%95%B8%EF%BC%88%E6%97%A5%EF%BC%89%2061%2063%2063%2073,82" w:history="1">
        <w:r>
          <w:rPr>
            <w:rStyle w:val="Hyperlink"/>
            <w:u w:val="single"/>
          </w:rPr>
          <w:t>[29]</w:t>
        </w:r>
      </w:hyperlink>
      <w:r>
        <w:t xml:space="preserve"> </w:t>
      </w:r>
      <w:hyperlink r:id="rId51" w:anchor=":~:text=Net%20assets%20%28less%20non,%E8%B3%87%E7%94%A2%E7%B8%BD%E5%80%BC%20783%2C355%2C855%20679%2C547%2C670%20493%2C860%2C646%20295%2C780%2C147" w:history="1">
        <w:r>
          <w:rPr>
            <w:rStyle w:val="Hyperlink"/>
            <w:u w:val="single"/>
          </w:rPr>
          <w:t>[30]</w:t>
        </w:r>
      </w:hyperlink>
      <w:r>
        <w:t xml:space="preserve"> </w:t>
      </w:r>
      <w:hyperlink r:id="rId52" w:anchor=":~:text=Net%20assets%20%28less%20non,05" w:history="1">
        <w:r>
          <w:rPr>
            <w:rStyle w:val="Hyperlink"/>
            <w:u w:val="single"/>
          </w:rPr>
          <w:t>[36]</w:t>
        </w:r>
      </w:hyperlink>
      <w:r>
        <w:t xml:space="preserve"> 2025032401238.pdf</w:t>
      </w:r>
    </w:p>
    <w:p w14:paraId="1912AC40" w14:textId="77777777" w:rsidR="00617463" w:rsidRDefault="00617463" w:rsidP="00617463">
      <w:pPr>
        <w:pStyle w:val="BodyText"/>
      </w:pPr>
      <w:hyperlink r:id="rId53" w:history="1">
        <w:r>
          <w:rPr>
            <w:rStyle w:val="Hyperlink"/>
            <w:u w:val="single"/>
          </w:rPr>
          <w:t>https://www1.hkexnews.hk/listedco/listconews/sehk/2025/0324/2025032401238.pdf</w:t>
        </w:r>
      </w:hyperlink>
    </w:p>
    <w:p w14:paraId="7C66D27C" w14:textId="77777777" w:rsidR="00617463" w:rsidRDefault="00617463" w:rsidP="00617463">
      <w:pPr>
        <w:pStyle w:val="BodyText"/>
      </w:pPr>
      <w:hyperlink r:id="rId54" w:anchor=":~:text=On%20March%2028%2C%20BYD%20released,global%20energy%20storage%20system%20manufacturers" w:history="1">
        <w:r>
          <w:rPr>
            <w:rStyle w:val="Hyperlink"/>
            <w:u w:val="single"/>
          </w:rPr>
          <w:t>[3]</w:t>
        </w:r>
      </w:hyperlink>
      <w:r>
        <w:t xml:space="preserve"> </w:t>
      </w:r>
      <w:hyperlink r:id="rId55" w:anchor=":~:text=the%20end%20of%20the%20year%2C,global%20energy%20storage%20system%20manufacturers" w:history="1">
        <w:r>
          <w:rPr>
            <w:rStyle w:val="Hyperlink"/>
            <w:u w:val="single"/>
          </w:rPr>
          <w:t>[33]</w:t>
        </w:r>
      </w:hyperlink>
      <w:r>
        <w:t xml:space="preserve"> On March 28, BYD released its 2025 annual report. According to the rep - Shanghai Metals Market (SMM)</w:t>
      </w:r>
    </w:p>
    <w:p w14:paraId="0FA5EAF1" w14:textId="77777777" w:rsidR="00617463" w:rsidRDefault="00617463" w:rsidP="00617463">
      <w:pPr>
        <w:pStyle w:val="BodyText"/>
      </w:pPr>
      <w:hyperlink r:id="rId56" w:history="1">
        <w:r>
          <w:rPr>
            <w:rStyle w:val="Hyperlink"/>
            <w:u w:val="single"/>
          </w:rPr>
          <w:t>https://news.metal.com/newscontent/103837291-BYD-Claims-Top-Spot-Globally-In-Both-New-Energy-Vehicle-Sales-And-Energy-Storage-System-Shipments-For-2025</w:t>
        </w:r>
      </w:hyperlink>
    </w:p>
    <w:p w14:paraId="6B32D7D2" w14:textId="77777777" w:rsidR="00617463" w:rsidRDefault="00617463" w:rsidP="00617463">
      <w:pPr>
        <w:pStyle w:val="BodyText"/>
      </w:pPr>
      <w:hyperlink r:id="rId57" w:anchor=":~:text=manufacturer%20BYD%20Company%20Limited%20recorded,on%20year%2C%20the%20company%20said" w:history="1">
        <w:r>
          <w:rPr>
            <w:rStyle w:val="Hyperlink"/>
            <w:u w:val="single"/>
          </w:rPr>
          <w:t>[4]</w:t>
        </w:r>
      </w:hyperlink>
      <w:r>
        <w:t xml:space="preserve">  BYD net profit soars by over 80 pct in 2023-Xinhua </w:t>
      </w:r>
    </w:p>
    <w:p w14:paraId="188E7CF1" w14:textId="77777777" w:rsidR="00617463" w:rsidRDefault="00617463" w:rsidP="00617463">
      <w:pPr>
        <w:pStyle w:val="BodyText"/>
      </w:pPr>
      <w:hyperlink r:id="rId58" w:history="1">
        <w:r>
          <w:rPr>
            <w:rStyle w:val="Hyperlink"/>
            <w:u w:val="single"/>
          </w:rPr>
          <w:t>https://english.news.cn/20240327/3811acb3022249afa03da5502c4646c8/c.html</w:t>
        </w:r>
      </w:hyperlink>
    </w:p>
    <w:p w14:paraId="2D5BE186" w14:textId="77777777" w:rsidR="00617463" w:rsidRDefault="00617463" w:rsidP="00617463">
      <w:pPr>
        <w:pStyle w:val="BodyText"/>
      </w:pPr>
      <w:hyperlink r:id="rId59" w:anchor=":~:text=Shanghai%20%28Gasgoo%29,performance%20in%20multiple%20key%20indices" w:history="1">
        <w:r>
          <w:rPr>
            <w:rStyle w:val="Hyperlink"/>
            <w:u w:val="single"/>
          </w:rPr>
          <w:t>[5]</w:t>
        </w:r>
      </w:hyperlink>
      <w:r>
        <w:t xml:space="preserve"> </w:t>
      </w:r>
      <w:hyperlink r:id="rId60" w:anchor=":~:text=year,end%20market" w:history="1">
        <w:r>
          <w:rPr>
            <w:rStyle w:val="Hyperlink"/>
            <w:u w:val="single"/>
          </w:rPr>
          <w:t>[19]</w:t>
        </w:r>
      </w:hyperlink>
      <w:r>
        <w:t xml:space="preserve"> BYD scores YoY jump in 2024 annual revenue, net profit | </w:t>
      </w:r>
      <w:proofErr w:type="spellStart"/>
      <w:r>
        <w:t>Gasgoo</w:t>
      </w:r>
      <w:proofErr w:type="spellEnd"/>
    </w:p>
    <w:p w14:paraId="38E79F75" w14:textId="77777777" w:rsidR="00617463" w:rsidRDefault="00617463" w:rsidP="00617463">
      <w:pPr>
        <w:pStyle w:val="BodyText"/>
      </w:pPr>
      <w:hyperlink r:id="rId61" w:history="1">
        <w:r>
          <w:rPr>
            <w:rStyle w:val="Hyperlink"/>
            <w:u w:val="single"/>
          </w:rPr>
          <w:t>https://autonews.gasgoo.com/articles/news/byd-scores-yoy-jump-in-2024-annual-revenue-net-profit-70036461</w:t>
        </w:r>
      </w:hyperlink>
    </w:p>
    <w:p w14:paraId="28DD13D0" w14:textId="77777777" w:rsidR="00617463" w:rsidRDefault="00617463" w:rsidP="00617463">
      <w:pPr>
        <w:pStyle w:val="BodyText"/>
      </w:pPr>
      <w:hyperlink r:id="rId62" w:anchor=":~:text=earnings%20declined%2018.97,it%20made%20in%20net%20profit" w:history="1">
        <w:r>
          <w:rPr>
            <w:rStyle w:val="Hyperlink"/>
            <w:u w:val="single"/>
          </w:rPr>
          <w:t>[6]</w:t>
        </w:r>
      </w:hyperlink>
      <w:r>
        <w:t xml:space="preserve"> </w:t>
      </w:r>
      <w:hyperlink r:id="rId63" w:anchor=":~:text=However%2C%20BYD%20also%20increased%20its,part%20of%20BYD%E2%80%99s%20business%20model" w:history="1">
        <w:r>
          <w:rPr>
            <w:rStyle w:val="Hyperlink"/>
            <w:u w:val="single"/>
          </w:rPr>
          <w:t>[20]</w:t>
        </w:r>
      </w:hyperlink>
      <w:r>
        <w:t xml:space="preserve"> BYD 2025 Annual Report In Context - </w:t>
      </w:r>
      <w:proofErr w:type="spellStart"/>
      <w:r>
        <w:t>CleanTechnica</w:t>
      </w:r>
      <w:proofErr w:type="spellEnd"/>
    </w:p>
    <w:p w14:paraId="444DD0E7" w14:textId="77777777" w:rsidR="00617463" w:rsidRDefault="00617463" w:rsidP="00617463">
      <w:pPr>
        <w:pStyle w:val="BodyText"/>
      </w:pPr>
      <w:hyperlink r:id="rId64" w:history="1">
        <w:r>
          <w:rPr>
            <w:rStyle w:val="Hyperlink"/>
            <w:u w:val="single"/>
          </w:rPr>
          <w:t>https://cleantechnica.com/2026/03/30/byd-2025-annual-report-in-context/</w:t>
        </w:r>
      </w:hyperlink>
    </w:p>
    <w:p w14:paraId="78540C8D" w14:textId="77777777" w:rsidR="00617463" w:rsidRDefault="00617463" w:rsidP="00617463">
      <w:pPr>
        <w:pStyle w:val="BodyText"/>
      </w:pPr>
      <w:hyperlink r:id="rId65" w:anchor=":~:text=BYD%20reported%20a%20decline%20in,remains%20plagued%20by%20price%20wars" w:history="1">
        <w:r>
          <w:rPr>
            <w:rStyle w:val="Hyperlink"/>
            <w:u w:val="single"/>
          </w:rPr>
          <w:t>[7]</w:t>
        </w:r>
      </w:hyperlink>
      <w:r>
        <w:t xml:space="preserve"> </w:t>
      </w:r>
      <w:hyperlink r:id="rId66" w:anchor=":~:text=Despite%20domestic%20headwinds%2C%20BYD%20made,mark%20for%20the%20first%20time" w:history="1">
        <w:r>
          <w:rPr>
            <w:rStyle w:val="Hyperlink"/>
            <w:u w:val="single"/>
          </w:rPr>
          <w:t>[35]</w:t>
        </w:r>
      </w:hyperlink>
      <w:r>
        <w:t xml:space="preserve"> BYD's 2025 net profit drops 19% as domestic price war bites - </w:t>
      </w:r>
      <w:proofErr w:type="spellStart"/>
      <w:r>
        <w:t>CnEVPost</w:t>
      </w:r>
      <w:proofErr w:type="spellEnd"/>
    </w:p>
    <w:p w14:paraId="4B7266DF" w14:textId="77777777" w:rsidR="00617463" w:rsidRDefault="00617463" w:rsidP="00617463">
      <w:pPr>
        <w:pStyle w:val="BodyText"/>
      </w:pPr>
      <w:hyperlink r:id="rId67" w:history="1">
        <w:r>
          <w:rPr>
            <w:rStyle w:val="Hyperlink"/>
            <w:u w:val="single"/>
          </w:rPr>
          <w:t>https://cnevpost.com/2026/03/27/byd-2025-full-year-results/</w:t>
        </w:r>
      </w:hyperlink>
    </w:p>
    <w:p w14:paraId="7EE15758" w14:textId="77777777" w:rsidR="00617463" w:rsidRDefault="00617463" w:rsidP="00617463">
      <w:pPr>
        <w:pStyle w:val="BodyText"/>
      </w:pPr>
      <w:hyperlink r:id="rId68" w:anchor=":~:text=The%20Chinese%20electric%20vehicle%20giant,of%20its%20volumes%20last%20year" w:history="1">
        <w:r>
          <w:rPr>
            <w:rStyle w:val="Hyperlink"/>
            <w:u w:val="single"/>
          </w:rPr>
          <w:t>[8]</w:t>
        </w:r>
      </w:hyperlink>
      <w:r>
        <w:t xml:space="preserve"> </w:t>
      </w:r>
      <w:hyperlink r:id="rId69" w:anchor=":~:text=BYD%20is%20very%20much%20a,%E2%80%9Cprice%20competition%E2%80%9D%20and%20%E2%80%9Cexcessive%20marketing%E2%80%9D" w:history="1">
        <w:r>
          <w:rPr>
            <w:rStyle w:val="Hyperlink"/>
            <w:u w:val="single"/>
          </w:rPr>
          <w:t>[32]</w:t>
        </w:r>
      </w:hyperlink>
      <w:r>
        <w:t xml:space="preserve"> BYD expects Iran war fallout to drive sales growth in 2026 | Automotive World</w:t>
      </w:r>
    </w:p>
    <w:p w14:paraId="25E0BF1C" w14:textId="77777777" w:rsidR="00617463" w:rsidRDefault="00617463" w:rsidP="00617463">
      <w:pPr>
        <w:pStyle w:val="BodyText"/>
      </w:pPr>
      <w:hyperlink r:id="rId70" w:history="1">
        <w:r>
          <w:rPr>
            <w:rStyle w:val="Hyperlink"/>
            <w:u w:val="single"/>
          </w:rPr>
          <w:t>https://www.automotiveworld.com/news/byd-expects-iran-war-fallout-to-drive-sales-growth-in-2026/</w:t>
        </w:r>
      </w:hyperlink>
    </w:p>
    <w:p w14:paraId="3A105DA1" w14:textId="77777777" w:rsidR="00617463" w:rsidRDefault="00617463" w:rsidP="00617463">
      <w:pPr>
        <w:pStyle w:val="BodyText"/>
      </w:pPr>
      <w:hyperlink r:id="rId71" w:anchor=":~:text=all%20the%20franchised%20dealerships%20to,join%20BYD%20for%20its%20promotion" w:history="1">
        <w:r>
          <w:rPr>
            <w:rStyle w:val="Hyperlink"/>
            <w:u w:val="single"/>
          </w:rPr>
          <w:t>[11]</w:t>
        </w:r>
      </w:hyperlink>
      <w:r>
        <w:t xml:space="preserve"> BYD Rolls off its 3 millionth New Energy Vehicle and Debuts </w:t>
      </w:r>
      <w:proofErr w:type="gramStart"/>
      <w:r>
        <w:t>A</w:t>
      </w:r>
      <w:proofErr w:type="gramEnd"/>
      <w:r>
        <w:t xml:space="preserve"> New Passenger Car Brand Matrix - Technological Innovations for a Better Life | BYD USA</w:t>
      </w:r>
    </w:p>
    <w:p w14:paraId="20E4B5C4" w14:textId="77777777" w:rsidR="00617463" w:rsidRDefault="00617463" w:rsidP="00617463">
      <w:pPr>
        <w:pStyle w:val="BodyText"/>
      </w:pPr>
      <w:hyperlink r:id="rId72" w:history="1">
        <w:r>
          <w:rPr>
            <w:rStyle w:val="Hyperlink"/>
            <w:u w:val="single"/>
          </w:rPr>
          <w:t>https://en.byd.com/news/byd-rolls-off-its-3-millionth-new-energy-vehicle-and-debuts-a-new-passenger-car-brand-matrix/</w:t>
        </w:r>
      </w:hyperlink>
    </w:p>
    <w:p w14:paraId="011DF69A" w14:textId="77777777" w:rsidR="00617463" w:rsidRDefault="00617463" w:rsidP="00617463">
      <w:pPr>
        <w:pStyle w:val="BodyText"/>
      </w:pPr>
      <w:hyperlink r:id="rId73" w:anchor=":~:text=Shanghai%20%28Gasgoo%29,in%20both%20revenue%20and%20profit" w:history="1">
        <w:r>
          <w:rPr>
            <w:rStyle w:val="Hyperlink"/>
            <w:u w:val="single"/>
          </w:rPr>
          <w:t>[12]</w:t>
        </w:r>
      </w:hyperlink>
      <w:r>
        <w:t xml:space="preserve"> BYD scores year-on-year leap in 2023 revenue, profit | </w:t>
      </w:r>
      <w:proofErr w:type="spellStart"/>
      <w:r>
        <w:t>Gasgoo</w:t>
      </w:r>
      <w:proofErr w:type="spellEnd"/>
    </w:p>
    <w:p w14:paraId="758A0F9D" w14:textId="77777777" w:rsidR="00617463" w:rsidRDefault="00617463" w:rsidP="00617463">
      <w:pPr>
        <w:pStyle w:val="BodyText"/>
      </w:pPr>
      <w:hyperlink r:id="rId74" w:history="1">
        <w:r>
          <w:rPr>
            <w:rStyle w:val="Hyperlink"/>
            <w:u w:val="single"/>
          </w:rPr>
          <w:t>https://autonews.gasgoo.com/articles/ev/70032135</w:t>
        </w:r>
      </w:hyperlink>
    </w:p>
    <w:p w14:paraId="4C85F78A" w14:textId="77777777" w:rsidR="00617463" w:rsidRDefault="00617463" w:rsidP="00617463">
      <w:pPr>
        <w:pStyle w:val="BodyText"/>
      </w:pPr>
      <w:hyperlink r:id="rId75" w:anchor=":~:text=business%20for%20the%20first%20quarter,market%20saturation%20and%20competitive%20dynamics" w:history="1">
        <w:r>
          <w:rPr>
            <w:rStyle w:val="Hyperlink"/>
            <w:u w:val="single"/>
          </w:rPr>
          <w:t>[13]</w:t>
        </w:r>
      </w:hyperlink>
      <w:r>
        <w:t xml:space="preserve"> BYD Reports Sharp Drop in Q1 2026 EV Sales and Production — </w:t>
      </w:r>
      <w:proofErr w:type="spellStart"/>
      <w:r>
        <w:t>BigGo</w:t>
      </w:r>
      <w:proofErr w:type="spellEnd"/>
      <w:r>
        <w:t xml:space="preserve"> Finance</w:t>
      </w:r>
    </w:p>
    <w:p w14:paraId="4A76581A" w14:textId="77777777" w:rsidR="00617463" w:rsidRDefault="00617463" w:rsidP="00617463">
      <w:pPr>
        <w:pStyle w:val="BodyText"/>
      </w:pPr>
      <w:hyperlink r:id="rId76" w:history="1">
        <w:r>
          <w:rPr>
            <w:rStyle w:val="Hyperlink"/>
            <w:u w:val="single"/>
          </w:rPr>
          <w:t>https://finance.biggo.com/news/jR-5SJ0ByH9TLH69QSVF</w:t>
        </w:r>
      </w:hyperlink>
    </w:p>
    <w:p w14:paraId="391EB7A9" w14:textId="77777777" w:rsidR="00617463" w:rsidRDefault="00617463" w:rsidP="00617463">
      <w:pPr>
        <w:pStyle w:val="BodyText"/>
      </w:pPr>
      <w:hyperlink r:id="rId77" w:anchor=":~:text=,share%20in%20its%20home%20market" w:history="1">
        <w:r>
          <w:rPr>
            <w:rStyle w:val="Hyperlink"/>
            <w:u w:val="single"/>
          </w:rPr>
          <w:t>[14]</w:t>
        </w:r>
      </w:hyperlink>
      <w:r>
        <w:t xml:space="preserve"> </w:t>
      </w:r>
      <w:hyperlink r:id="rId78" w:anchor=":~:text=in%20profits%20in%20four%20years,first%20two%20months%20of%202026" w:history="1">
        <w:r>
          <w:rPr>
            <w:rStyle w:val="Hyperlink"/>
            <w:u w:val="single"/>
          </w:rPr>
          <w:t>[34]</w:t>
        </w:r>
      </w:hyperlink>
      <w:r>
        <w:t xml:space="preserve"> BYD Has Hit A Rough Patch. It Still Plans </w:t>
      </w:r>
      <w:proofErr w:type="gramStart"/>
      <w:r>
        <w:t>To</w:t>
      </w:r>
      <w:proofErr w:type="gramEnd"/>
      <w:r>
        <w:t xml:space="preserve"> Sell 1.5 </w:t>
      </w:r>
      <w:proofErr w:type="gramStart"/>
      <w:r>
        <w:t>Million</w:t>
      </w:r>
      <w:proofErr w:type="gramEnd"/>
      <w:r>
        <w:t xml:space="preserve"> Cars Outside </w:t>
      </w:r>
      <w:proofErr w:type="gramStart"/>
      <w:r>
        <w:t>Of</w:t>
      </w:r>
      <w:proofErr w:type="gramEnd"/>
      <w:r>
        <w:t xml:space="preserve"> China This Year</w:t>
      </w:r>
    </w:p>
    <w:p w14:paraId="6A789C8B" w14:textId="77777777" w:rsidR="00617463" w:rsidRDefault="00617463" w:rsidP="00617463">
      <w:pPr>
        <w:pStyle w:val="BodyText"/>
      </w:pPr>
      <w:hyperlink r:id="rId79" w:history="1">
        <w:r>
          <w:rPr>
            <w:rStyle w:val="Hyperlink"/>
            <w:u w:val="single"/>
          </w:rPr>
          <w:t>https://insideevs.com/news/791573/byd-15-million-sales-2026/</w:t>
        </w:r>
      </w:hyperlink>
    </w:p>
    <w:p w14:paraId="301A6BA5" w14:textId="77777777" w:rsidR="00617463" w:rsidRDefault="00617463" w:rsidP="00617463">
      <w:pPr>
        <w:pStyle w:val="BodyText"/>
      </w:pPr>
      <w:hyperlink r:id="rId80" w:anchor=":~:text=The%201211%20stock%20price%20trades,day" w:history="1">
        <w:r>
          <w:rPr>
            <w:rStyle w:val="Hyperlink"/>
            <w:u w:val="single"/>
          </w:rPr>
          <w:t>[24]</w:t>
        </w:r>
      </w:hyperlink>
      <w:r>
        <w:t xml:space="preserve"> BYD Company Stock Forecast | Record Revenue, Profit Decline | Capital.com</w:t>
      </w:r>
    </w:p>
    <w:p w14:paraId="00A0690B" w14:textId="77777777" w:rsidR="00617463" w:rsidRDefault="00617463" w:rsidP="00617463">
      <w:pPr>
        <w:pStyle w:val="BodyText"/>
      </w:pPr>
      <w:hyperlink r:id="rId81" w:history="1">
        <w:r>
          <w:rPr>
            <w:rStyle w:val="Hyperlink"/>
            <w:u w:val="single"/>
          </w:rPr>
          <w:t>https://capital.com/en-int/market-updates/byd-stock-forecast-10-04-2026</w:t>
        </w:r>
      </w:hyperlink>
    </w:p>
    <w:p w14:paraId="24EA8524" w14:textId="77777777" w:rsidR="00617463" w:rsidRDefault="00617463" w:rsidP="00617463">
      <w:pPr>
        <w:pStyle w:val="BodyText"/>
      </w:pPr>
      <w:hyperlink r:id="rId82" w:anchor=":~:text=Sales%20of%20autos%20and%20related,points%20from%20a%20year%20earlier" w:history="1">
        <w:r>
          <w:rPr>
            <w:rStyle w:val="Hyperlink"/>
            <w:u w:val="single"/>
          </w:rPr>
          <w:t>[31]</w:t>
        </w:r>
      </w:hyperlink>
      <w:r>
        <w:t xml:space="preserve"> Chinese EV giant BYD's fourth-quarter profit leaps 73% | Reuters</w:t>
      </w:r>
    </w:p>
    <w:p w14:paraId="54028E1F" w14:textId="77777777" w:rsidR="00617463" w:rsidRDefault="00617463" w:rsidP="00617463">
      <w:pPr>
        <w:pStyle w:val="BodyText"/>
      </w:pPr>
      <w:hyperlink r:id="rId83" w:history="1">
        <w:r>
          <w:rPr>
            <w:rStyle w:val="Hyperlink"/>
            <w:u w:val="single"/>
          </w:rPr>
          <w:t>https://www.reuters.com/business/autos-transportation/chinese-ev-giant-byds-fourth-quarter-profit-leaps-73-2025-03-24/</w:t>
        </w:r>
      </w:hyperlink>
    </w:p>
    <w:p w14:paraId="01130AA7" w14:textId="77777777" w:rsidR="00617463" w:rsidRDefault="00617463" w:rsidP="00617463">
      <w:pPr>
        <w:pStyle w:val="BodyText"/>
      </w:pPr>
      <w:hyperlink r:id="rId84" w:anchor=":~:text=BEIJING%2C%20March%2027%20%28Reuters%29%20,sales%20in%20its%20home%20market" w:history="1">
        <w:r>
          <w:rPr>
            <w:rStyle w:val="Hyperlink"/>
            <w:u w:val="single"/>
          </w:rPr>
          <w:t>[37]</w:t>
        </w:r>
      </w:hyperlink>
      <w:r>
        <w:t xml:space="preserve"> BYD's annual profit drops for first time in four years as price war hurts margins | Reuters</w:t>
      </w:r>
    </w:p>
    <w:p w14:paraId="528C5A1F" w14:textId="77777777" w:rsidR="00617463" w:rsidRDefault="00617463" w:rsidP="00617463">
      <w:pPr>
        <w:pStyle w:val="BodyText"/>
      </w:pPr>
      <w:hyperlink r:id="rId85" w:history="1">
        <w:r>
          <w:rPr>
            <w:rStyle w:val="Hyperlink"/>
            <w:u w:val="single"/>
          </w:rPr>
          <w:t>https://www.reuters.com/world/asia-pacific/chinese-ev-maker-byd-posts-first-annual-profit-decline-four-years-2026-03-27/</w:t>
        </w:r>
      </w:hyperlink>
    </w:p>
    <w:p w14:paraId="6D6A2C9B" w14:textId="77777777" w:rsidR="00617463" w:rsidRDefault="00617463" w:rsidP="00617463">
      <w:pPr>
        <w:pStyle w:val="BodyText"/>
      </w:pPr>
      <w:hyperlink r:id="rId86" w:anchor=":~:text=Shanghai%20%28Gasgoo%29,from%20the%20previous%20year" w:history="1">
        <w:r>
          <w:rPr>
            <w:rStyle w:val="Hyperlink"/>
            <w:u w:val="single"/>
          </w:rPr>
          <w:t>[38]</w:t>
        </w:r>
      </w:hyperlink>
      <w:r>
        <w:t xml:space="preserve"> BYD scores 96.2% YoY spike in 2022 annual revenue | </w:t>
      </w:r>
      <w:proofErr w:type="spellStart"/>
      <w:r>
        <w:t>Gasgoo</w:t>
      </w:r>
      <w:proofErr w:type="spellEnd"/>
    </w:p>
    <w:p w14:paraId="1D3E1758" w14:textId="77777777" w:rsidR="00617463" w:rsidRDefault="00617463" w:rsidP="00617463">
      <w:pPr>
        <w:pStyle w:val="BodyText"/>
      </w:pPr>
      <w:hyperlink r:id="rId87" w:history="1">
        <w:r>
          <w:rPr>
            <w:rStyle w:val="Hyperlink"/>
            <w:u w:val="single"/>
          </w:rPr>
          <w:t>https://autonews.gasgoo.com/articles/ev/byd-scores-962-yoy-spike-in-2022-annual-revenue-70022559</w:t>
        </w:r>
      </w:hyperlink>
    </w:p>
    <w:p w14:paraId="72124722" w14:textId="77777777" w:rsidR="00617463" w:rsidRDefault="00617463" w:rsidP="00617463">
      <w:pPr>
        <w:pStyle w:val="BodyText"/>
      </w:pPr>
      <w:hyperlink r:id="rId88" w:anchor=":~:text=Shanghai%20%28Gasgoo%29,according%20to%20the%20company%27s%20announcement" w:history="1">
        <w:r>
          <w:rPr>
            <w:rStyle w:val="Hyperlink"/>
            <w:u w:val="single"/>
          </w:rPr>
          <w:t>[39]</w:t>
        </w:r>
      </w:hyperlink>
      <w:r>
        <w:t xml:space="preserve"> BYD’s annual revenue in 2021 leaps 38.02% YoY, but net profit falls 28.08% | </w:t>
      </w:r>
      <w:proofErr w:type="spellStart"/>
      <w:r>
        <w:t>Gasgoo</w:t>
      </w:r>
      <w:proofErr w:type="spellEnd"/>
    </w:p>
    <w:p w14:paraId="423FDE16" w14:textId="77777777" w:rsidR="00617463" w:rsidRDefault="00617463" w:rsidP="00617463">
      <w:pPr>
        <w:pStyle w:val="BodyText"/>
      </w:pPr>
      <w:hyperlink r:id="rId89" w:history="1">
        <w:r>
          <w:rPr>
            <w:rStyle w:val="Hyperlink"/>
            <w:u w:val="single"/>
          </w:rPr>
          <w:t>https://autonews.gasgoo.com/articles/news/byds-annual-revenue-in-2021-leaps-3802-yoy-but-net-profit-falls-2808-70020005</w:t>
        </w:r>
      </w:hyperlink>
      <w:bookmarkEnd w:id="39"/>
    </w:p>
    <w:p w14:paraId="75846FC8" w14:textId="2737B9DA" w:rsidR="000318DA" w:rsidRPr="00015208" w:rsidRDefault="000318DA" w:rsidP="00617463">
      <w:pPr>
        <w:pStyle w:val="rahul"/>
      </w:pPr>
    </w:p>
    <w:sectPr w:rsidR="000318DA" w:rsidRPr="000152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F8F783" w14:textId="77777777" w:rsidR="00A5134F" w:rsidRDefault="00A5134F" w:rsidP="00012C5C">
      <w:pPr>
        <w:spacing w:after="0" w:line="240" w:lineRule="auto"/>
      </w:pPr>
      <w:r>
        <w:separator/>
      </w:r>
    </w:p>
  </w:endnote>
  <w:endnote w:type="continuationSeparator" w:id="0">
    <w:p w14:paraId="4F440DB8" w14:textId="77777777" w:rsidR="00A5134F" w:rsidRDefault="00A5134F" w:rsidP="00012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65213F" w14:textId="77777777" w:rsidR="00A5134F" w:rsidRDefault="00A5134F" w:rsidP="00012C5C">
      <w:pPr>
        <w:spacing w:after="0" w:line="240" w:lineRule="auto"/>
      </w:pPr>
      <w:r>
        <w:separator/>
      </w:r>
    </w:p>
  </w:footnote>
  <w:footnote w:type="continuationSeparator" w:id="0">
    <w:p w14:paraId="27A1F29F" w14:textId="77777777" w:rsidR="00A5134F" w:rsidRDefault="00A5134F" w:rsidP="00012C5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1D70"/>
    <w:rsid w:val="00012C5C"/>
    <w:rsid w:val="00015208"/>
    <w:rsid w:val="000318DA"/>
    <w:rsid w:val="0003419B"/>
    <w:rsid w:val="0005232C"/>
    <w:rsid w:val="00083550"/>
    <w:rsid w:val="00091942"/>
    <w:rsid w:val="00095D7D"/>
    <w:rsid w:val="000E71DF"/>
    <w:rsid w:val="00103CD1"/>
    <w:rsid w:val="00134209"/>
    <w:rsid w:val="00137C0D"/>
    <w:rsid w:val="00154650"/>
    <w:rsid w:val="00155688"/>
    <w:rsid w:val="00161AE9"/>
    <w:rsid w:val="001C020A"/>
    <w:rsid w:val="00211E7F"/>
    <w:rsid w:val="00275046"/>
    <w:rsid w:val="00282082"/>
    <w:rsid w:val="002C1FE4"/>
    <w:rsid w:val="002E4179"/>
    <w:rsid w:val="003240AD"/>
    <w:rsid w:val="0034106E"/>
    <w:rsid w:val="00350A34"/>
    <w:rsid w:val="00352803"/>
    <w:rsid w:val="00367FF9"/>
    <w:rsid w:val="003A4382"/>
    <w:rsid w:val="004109B9"/>
    <w:rsid w:val="00411F3D"/>
    <w:rsid w:val="00431721"/>
    <w:rsid w:val="00454E38"/>
    <w:rsid w:val="005101CC"/>
    <w:rsid w:val="00513720"/>
    <w:rsid w:val="0054070A"/>
    <w:rsid w:val="005419CF"/>
    <w:rsid w:val="00564282"/>
    <w:rsid w:val="00570151"/>
    <w:rsid w:val="0058053C"/>
    <w:rsid w:val="0058189E"/>
    <w:rsid w:val="005A1FEB"/>
    <w:rsid w:val="005E16BB"/>
    <w:rsid w:val="0060020F"/>
    <w:rsid w:val="00617463"/>
    <w:rsid w:val="0068491C"/>
    <w:rsid w:val="00693C40"/>
    <w:rsid w:val="00696538"/>
    <w:rsid w:val="006B6DB8"/>
    <w:rsid w:val="006B7348"/>
    <w:rsid w:val="006E36BE"/>
    <w:rsid w:val="00742739"/>
    <w:rsid w:val="00764F50"/>
    <w:rsid w:val="00777DA5"/>
    <w:rsid w:val="007A6FFA"/>
    <w:rsid w:val="007C2A7A"/>
    <w:rsid w:val="007D4E01"/>
    <w:rsid w:val="007E519E"/>
    <w:rsid w:val="00816567"/>
    <w:rsid w:val="008234C7"/>
    <w:rsid w:val="00827173"/>
    <w:rsid w:val="0085619C"/>
    <w:rsid w:val="0086234B"/>
    <w:rsid w:val="008701EA"/>
    <w:rsid w:val="008B44AC"/>
    <w:rsid w:val="008C7CAD"/>
    <w:rsid w:val="008E7138"/>
    <w:rsid w:val="008E73AE"/>
    <w:rsid w:val="008F3741"/>
    <w:rsid w:val="00901EAC"/>
    <w:rsid w:val="009252CF"/>
    <w:rsid w:val="0094249B"/>
    <w:rsid w:val="00975B1A"/>
    <w:rsid w:val="00980800"/>
    <w:rsid w:val="00993EE6"/>
    <w:rsid w:val="009A3A4D"/>
    <w:rsid w:val="009C75A7"/>
    <w:rsid w:val="009E0CE1"/>
    <w:rsid w:val="00A2071A"/>
    <w:rsid w:val="00A5134F"/>
    <w:rsid w:val="00A635BB"/>
    <w:rsid w:val="00A71E3C"/>
    <w:rsid w:val="00A8425F"/>
    <w:rsid w:val="00A95EEE"/>
    <w:rsid w:val="00AA4A94"/>
    <w:rsid w:val="00AB1C02"/>
    <w:rsid w:val="00AB53DA"/>
    <w:rsid w:val="00AE399F"/>
    <w:rsid w:val="00AF0487"/>
    <w:rsid w:val="00B211E5"/>
    <w:rsid w:val="00B24516"/>
    <w:rsid w:val="00B2678B"/>
    <w:rsid w:val="00B47845"/>
    <w:rsid w:val="00BB4759"/>
    <w:rsid w:val="00C223F7"/>
    <w:rsid w:val="00C34730"/>
    <w:rsid w:val="00C36907"/>
    <w:rsid w:val="00C42908"/>
    <w:rsid w:val="00C53EE6"/>
    <w:rsid w:val="00C65B16"/>
    <w:rsid w:val="00C76EA0"/>
    <w:rsid w:val="00C8282A"/>
    <w:rsid w:val="00CA423E"/>
    <w:rsid w:val="00CA440E"/>
    <w:rsid w:val="00CC727A"/>
    <w:rsid w:val="00CF1BA5"/>
    <w:rsid w:val="00CF3CDF"/>
    <w:rsid w:val="00D04294"/>
    <w:rsid w:val="00D12B56"/>
    <w:rsid w:val="00D12E88"/>
    <w:rsid w:val="00D17211"/>
    <w:rsid w:val="00D455A1"/>
    <w:rsid w:val="00D56850"/>
    <w:rsid w:val="00D61D70"/>
    <w:rsid w:val="00D61D89"/>
    <w:rsid w:val="00D66256"/>
    <w:rsid w:val="00D75F2D"/>
    <w:rsid w:val="00DA471A"/>
    <w:rsid w:val="00DD4769"/>
    <w:rsid w:val="00DD6AF4"/>
    <w:rsid w:val="00DE2495"/>
    <w:rsid w:val="00E46F88"/>
    <w:rsid w:val="00E624BE"/>
    <w:rsid w:val="00EA65C0"/>
    <w:rsid w:val="00EB1519"/>
    <w:rsid w:val="00EC3C2C"/>
    <w:rsid w:val="00EC7F39"/>
    <w:rsid w:val="00EE5BA4"/>
    <w:rsid w:val="00EE7EAA"/>
    <w:rsid w:val="00F039ED"/>
    <w:rsid w:val="00F07A88"/>
    <w:rsid w:val="00F46F1B"/>
    <w:rsid w:val="00F56E8F"/>
    <w:rsid w:val="00F6437F"/>
    <w:rsid w:val="00F656CC"/>
    <w:rsid w:val="00F77E26"/>
    <w:rsid w:val="00F95C8A"/>
    <w:rsid w:val="00F96766"/>
    <w:rsid w:val="00FA65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CD4EB2"/>
  <w15:chartTrackingRefBased/>
  <w15:docId w15:val="{4929E5DA-E5D7-4BF6-AD7C-6DA89DC96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D70"/>
    <w:rPr>
      <w:rFonts w:ascii="Century Gothic" w:hAnsi="Century Gothic"/>
      <w:color w:val="000000" w:themeColor="text1"/>
      <w:sz w:val="36"/>
    </w:rPr>
  </w:style>
  <w:style w:type="paragraph" w:styleId="Heading1">
    <w:name w:val="heading 1"/>
    <w:basedOn w:val="Normal"/>
    <w:next w:val="Normal"/>
    <w:link w:val="Heading1Char"/>
    <w:uiPriority w:val="9"/>
    <w:qFormat/>
    <w:rsid w:val="00D61D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1D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61D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1D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1D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1D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1D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1D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1D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1D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1D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61D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1D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1D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1D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1D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1D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1D70"/>
    <w:rPr>
      <w:rFonts w:eastAsiaTheme="majorEastAsia" w:cstheme="majorBidi"/>
      <w:color w:val="272727" w:themeColor="text1" w:themeTint="D8"/>
    </w:rPr>
  </w:style>
  <w:style w:type="paragraph" w:styleId="Title">
    <w:name w:val="Title"/>
    <w:basedOn w:val="Normal"/>
    <w:next w:val="Normal"/>
    <w:link w:val="TitleChar"/>
    <w:uiPriority w:val="10"/>
    <w:qFormat/>
    <w:rsid w:val="00D61D70"/>
    <w:pPr>
      <w:spacing w:after="80" w:line="240" w:lineRule="auto"/>
      <w:contextualSpacing/>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D61D70"/>
    <w:rPr>
      <w:rFonts w:ascii="Century Gothic" w:eastAsiaTheme="majorEastAsia" w:hAnsi="Century Gothic" w:cstheme="majorBidi"/>
      <w:color w:val="000000" w:themeColor="text1"/>
      <w:spacing w:val="-10"/>
      <w:kern w:val="28"/>
      <w:sz w:val="40"/>
      <w:szCs w:val="56"/>
    </w:rPr>
  </w:style>
  <w:style w:type="paragraph" w:styleId="Subtitle">
    <w:name w:val="Subtitle"/>
    <w:basedOn w:val="Normal"/>
    <w:next w:val="Normal"/>
    <w:link w:val="SubtitleChar"/>
    <w:uiPriority w:val="11"/>
    <w:qFormat/>
    <w:rsid w:val="00D61D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1D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1D70"/>
    <w:pPr>
      <w:spacing w:before="160"/>
      <w:jc w:val="center"/>
    </w:pPr>
    <w:rPr>
      <w:i/>
      <w:iCs/>
      <w:color w:val="404040" w:themeColor="text1" w:themeTint="BF"/>
    </w:rPr>
  </w:style>
  <w:style w:type="character" w:customStyle="1" w:styleId="QuoteChar">
    <w:name w:val="Quote Char"/>
    <w:basedOn w:val="DefaultParagraphFont"/>
    <w:link w:val="Quote"/>
    <w:uiPriority w:val="29"/>
    <w:rsid w:val="00D61D70"/>
    <w:rPr>
      <w:i/>
      <w:iCs/>
      <w:color w:val="404040" w:themeColor="text1" w:themeTint="BF"/>
    </w:rPr>
  </w:style>
  <w:style w:type="paragraph" w:styleId="ListParagraph">
    <w:name w:val="List Paragraph"/>
    <w:basedOn w:val="Normal"/>
    <w:uiPriority w:val="34"/>
    <w:qFormat/>
    <w:rsid w:val="00D61D70"/>
    <w:pPr>
      <w:ind w:left="720"/>
      <w:contextualSpacing/>
    </w:pPr>
  </w:style>
  <w:style w:type="character" w:styleId="IntenseEmphasis">
    <w:name w:val="Intense Emphasis"/>
    <w:basedOn w:val="DefaultParagraphFont"/>
    <w:uiPriority w:val="21"/>
    <w:qFormat/>
    <w:rsid w:val="00D61D70"/>
    <w:rPr>
      <w:i/>
      <w:iCs/>
      <w:color w:val="0F4761" w:themeColor="accent1" w:themeShade="BF"/>
    </w:rPr>
  </w:style>
  <w:style w:type="paragraph" w:styleId="IntenseQuote">
    <w:name w:val="Intense Quote"/>
    <w:basedOn w:val="Normal"/>
    <w:next w:val="Normal"/>
    <w:link w:val="IntenseQuoteChar"/>
    <w:uiPriority w:val="30"/>
    <w:qFormat/>
    <w:rsid w:val="00D61D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1D70"/>
    <w:rPr>
      <w:i/>
      <w:iCs/>
      <w:color w:val="0F4761" w:themeColor="accent1" w:themeShade="BF"/>
    </w:rPr>
  </w:style>
  <w:style w:type="character" w:styleId="IntenseReference">
    <w:name w:val="Intense Reference"/>
    <w:basedOn w:val="DefaultParagraphFont"/>
    <w:uiPriority w:val="32"/>
    <w:qFormat/>
    <w:rsid w:val="00D61D70"/>
    <w:rPr>
      <w:b/>
      <w:bCs/>
      <w:smallCaps/>
      <w:color w:val="0F4761" w:themeColor="accent1" w:themeShade="BF"/>
      <w:spacing w:val="5"/>
    </w:rPr>
  </w:style>
  <w:style w:type="paragraph" w:customStyle="1" w:styleId="rahul">
    <w:name w:val="rahul"/>
    <w:basedOn w:val="Normal"/>
    <w:link w:val="rahulChar"/>
    <w:qFormat/>
    <w:rsid w:val="00D61D70"/>
    <w:pPr>
      <w:spacing w:after="120" w:line="360" w:lineRule="auto"/>
      <w:jc w:val="both"/>
    </w:pPr>
    <w:rPr>
      <w:rFonts w:ascii="Times New Roman" w:hAnsi="Times New Roman"/>
      <w:sz w:val="24"/>
    </w:rPr>
  </w:style>
  <w:style w:type="character" w:customStyle="1" w:styleId="rahulChar">
    <w:name w:val="rahul Char"/>
    <w:basedOn w:val="DefaultParagraphFont"/>
    <w:link w:val="rahul"/>
    <w:rsid w:val="00D61D70"/>
    <w:rPr>
      <w:rFonts w:ascii="Times New Roman" w:hAnsi="Times New Roman"/>
      <w:color w:val="000000" w:themeColor="text1"/>
    </w:rPr>
  </w:style>
  <w:style w:type="character" w:styleId="Hyperlink">
    <w:name w:val="Hyperlink"/>
    <w:basedOn w:val="DefaultParagraphFont"/>
    <w:uiPriority w:val="99"/>
    <w:unhideWhenUsed/>
    <w:rsid w:val="0086234B"/>
    <w:rPr>
      <w:color w:val="156082" w:themeColor="accent1"/>
    </w:rPr>
  </w:style>
  <w:style w:type="paragraph" w:styleId="BodyText">
    <w:name w:val="Body Text"/>
    <w:basedOn w:val="Normal"/>
    <w:link w:val="BodyTextChar"/>
    <w:semiHidden/>
    <w:unhideWhenUsed/>
    <w:qFormat/>
    <w:rsid w:val="0086234B"/>
    <w:pPr>
      <w:spacing w:before="180" w:after="180" w:line="240" w:lineRule="auto"/>
    </w:pPr>
    <w:rPr>
      <w:rFonts w:asciiTheme="minorHAnsi" w:hAnsiTheme="minorHAnsi"/>
      <w:color w:val="auto"/>
      <w:kern w:val="0"/>
      <w:sz w:val="24"/>
      <w:lang w:val="en"/>
      <w14:ligatures w14:val="none"/>
    </w:rPr>
  </w:style>
  <w:style w:type="character" w:customStyle="1" w:styleId="BodyTextChar">
    <w:name w:val="Body Text Char"/>
    <w:basedOn w:val="DefaultParagraphFont"/>
    <w:link w:val="BodyText"/>
    <w:semiHidden/>
    <w:rsid w:val="0086234B"/>
    <w:rPr>
      <w:kern w:val="0"/>
      <w:lang w:val="en"/>
      <w14:ligatures w14:val="none"/>
    </w:rPr>
  </w:style>
  <w:style w:type="paragraph" w:customStyle="1" w:styleId="FirstParagraph">
    <w:name w:val="First Paragraph"/>
    <w:basedOn w:val="BodyText"/>
    <w:next w:val="BodyText"/>
    <w:qFormat/>
    <w:rsid w:val="0086234B"/>
  </w:style>
  <w:style w:type="character" w:styleId="FollowedHyperlink">
    <w:name w:val="FollowedHyperlink"/>
    <w:basedOn w:val="DefaultParagraphFont"/>
    <w:uiPriority w:val="99"/>
    <w:semiHidden/>
    <w:unhideWhenUsed/>
    <w:rsid w:val="0086234B"/>
    <w:rPr>
      <w:color w:val="96607D" w:themeColor="followedHyperlink"/>
      <w:u w:val="single"/>
    </w:rPr>
  </w:style>
  <w:style w:type="paragraph" w:styleId="Header">
    <w:name w:val="header"/>
    <w:basedOn w:val="Normal"/>
    <w:link w:val="HeaderChar"/>
    <w:uiPriority w:val="99"/>
    <w:unhideWhenUsed/>
    <w:rsid w:val="00012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C5C"/>
    <w:rPr>
      <w:rFonts w:ascii="Century Gothic" w:hAnsi="Century Gothic"/>
      <w:color w:val="000000" w:themeColor="text1"/>
      <w:sz w:val="36"/>
    </w:rPr>
  </w:style>
  <w:style w:type="paragraph" w:styleId="Footer">
    <w:name w:val="footer"/>
    <w:basedOn w:val="Normal"/>
    <w:link w:val="FooterChar"/>
    <w:uiPriority w:val="99"/>
    <w:unhideWhenUsed/>
    <w:rsid w:val="00012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C5C"/>
    <w:rPr>
      <w:rFonts w:ascii="Century Gothic" w:hAnsi="Century Gothic"/>
      <w:color w:val="000000" w:themeColor="text1"/>
      <w:sz w:val="36"/>
    </w:rPr>
  </w:style>
  <w:style w:type="paragraph" w:customStyle="1" w:styleId="Compact">
    <w:name w:val="Compact"/>
    <w:basedOn w:val="BodyText"/>
    <w:qFormat/>
    <w:rsid w:val="00993EE6"/>
    <w:pPr>
      <w:spacing w:before="36" w:after="36"/>
    </w:pPr>
  </w:style>
  <w:style w:type="table" w:customStyle="1" w:styleId="Table">
    <w:name w:val="Table"/>
    <w:semiHidden/>
    <w:qFormat/>
    <w:rsid w:val="00993EE6"/>
    <w:pPr>
      <w:spacing w:after="200" w:line="240" w:lineRule="auto"/>
    </w:pPr>
    <w:rPr>
      <w:kern w:val="0"/>
      <w:lang w:val="en"/>
      <w14:ligatures w14:val="none"/>
    </w:rPr>
    <w:tblPr>
      <w:tblCellMar>
        <w:top w:w="0" w:type="dxa"/>
        <w:left w:w="108" w:type="dxa"/>
        <w:bottom w:w="0" w:type="dxa"/>
        <w:right w:w="108" w:type="dxa"/>
      </w:tblCellMar>
    </w:tblPr>
    <w:tblStylePr w:type="firstRow">
      <w:tblPr/>
      <w:tcPr>
        <w:tcBorders>
          <w:bottom w:val="single" w:sz="2" w:space="0" w:color="auto"/>
        </w:tcBorders>
        <w:vAlign w:val="bottom"/>
      </w:tcPr>
    </w:tblStylePr>
  </w:style>
  <w:style w:type="paragraph" w:styleId="NoSpacing">
    <w:name w:val="No Spacing"/>
    <w:uiPriority w:val="1"/>
    <w:qFormat/>
    <w:rsid w:val="00211E7F"/>
    <w:pPr>
      <w:spacing w:after="0" w:line="240" w:lineRule="auto"/>
    </w:pPr>
    <w:rPr>
      <w:rFonts w:ascii="Century Gothic" w:hAnsi="Century Gothic"/>
      <w:color w:val="000000" w:themeColor="text1"/>
      <w:sz w:val="36"/>
    </w:rPr>
  </w:style>
  <w:style w:type="character" w:customStyle="1" w:styleId="VerbatimChar">
    <w:name w:val="Verbatim Char"/>
    <w:basedOn w:val="DefaultParagraphFont"/>
    <w:link w:val="SourceCode"/>
    <w:locked/>
    <w:rsid w:val="00617463"/>
    <w:rPr>
      <w:rFonts w:ascii="Consolas" w:hAnsi="Consolas"/>
      <w:sz w:val="22"/>
    </w:rPr>
  </w:style>
  <w:style w:type="paragraph" w:customStyle="1" w:styleId="SourceCode">
    <w:name w:val="Source Code"/>
    <w:basedOn w:val="Normal"/>
    <w:link w:val="VerbatimChar"/>
    <w:rsid w:val="00617463"/>
    <w:pPr>
      <w:wordWrap w:val="0"/>
      <w:spacing w:after="200" w:line="240" w:lineRule="auto"/>
    </w:pPr>
    <w:rPr>
      <w:rFonts w:ascii="Consolas" w:hAnsi="Consolas"/>
      <w:color w:val="auto"/>
      <w:sz w:val="22"/>
    </w:rPr>
  </w:style>
  <w:style w:type="paragraph" w:styleId="TOCHeading">
    <w:name w:val="TOC Heading"/>
    <w:basedOn w:val="Heading1"/>
    <w:next w:val="Normal"/>
    <w:uiPriority w:val="39"/>
    <w:unhideWhenUsed/>
    <w:qFormat/>
    <w:rsid w:val="00DD4769"/>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DD4769"/>
    <w:pPr>
      <w:spacing w:after="100"/>
      <w:ind w:left="360"/>
    </w:pPr>
  </w:style>
  <w:style w:type="paragraph" w:styleId="TOC3">
    <w:name w:val="toc 3"/>
    <w:basedOn w:val="Normal"/>
    <w:next w:val="Normal"/>
    <w:autoRedefine/>
    <w:uiPriority w:val="39"/>
    <w:unhideWhenUsed/>
    <w:rsid w:val="00DD4769"/>
    <w:pPr>
      <w:spacing w:after="100"/>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1.hkexnews.hk/listedco/listconews/sehk/2025/0324/2025032401238.pdf" TargetMode="External"/><Relationship Id="rId21" Type="http://schemas.openxmlformats.org/officeDocument/2006/relationships/image" Target="media/image4.png"/><Relationship Id="rId42" Type="http://schemas.openxmlformats.org/officeDocument/2006/relationships/hyperlink" Target="https://www1.hkexnews.hk/listedco/listconews/sehk/2025/0324/2025032401238.pdf" TargetMode="External"/><Relationship Id="rId47" Type="http://schemas.openxmlformats.org/officeDocument/2006/relationships/hyperlink" Target="https://www1.hkexnews.hk/listedco/listconews/sehk/2025/0324/2025032401238.pdf" TargetMode="External"/><Relationship Id="rId63" Type="http://schemas.openxmlformats.org/officeDocument/2006/relationships/hyperlink" Target="https://cleantechnica.com/2026/03/30/byd-2025-annual-report-in-context/" TargetMode="External"/><Relationship Id="rId68" Type="http://schemas.openxmlformats.org/officeDocument/2006/relationships/hyperlink" Target="https://www.automotiveworld.com/news/byd-expects-iran-war-fallout-to-drive-sales-growth-in-2026/" TargetMode="External"/><Relationship Id="rId84" Type="http://schemas.openxmlformats.org/officeDocument/2006/relationships/hyperlink" Target="https://www.reuters.com/world/asia-pacific/chinese-ev-maker-byd-posts-first-annual-profit-decline-four-years-2026-03-27/" TargetMode="External"/><Relationship Id="rId89" Type="http://schemas.openxmlformats.org/officeDocument/2006/relationships/hyperlink" Target="https://autonews.gasgoo.com/articles/news/byds-annual-revenue-in-2021-leaps-3802-yoy-but-net-profit-falls-2808-70020005" TargetMode="External"/><Relationship Id="rId16" Type="http://schemas.openxmlformats.org/officeDocument/2006/relationships/hyperlink" Target="https://www1.hkexnews.hk/listedco/listconews/sehk/2026/0327/2026032702644.pdf?utm_source=chatgpt.com" TargetMode="External"/><Relationship Id="rId11" Type="http://schemas.openxmlformats.org/officeDocument/2006/relationships/hyperlink" Target="https://www1.hkexnews.hk/listedco/listconews/sehk/2026/0327/2026032702644.pdf?utm_source=chatgpt.com" TargetMode="External"/><Relationship Id="rId32" Type="http://schemas.openxmlformats.org/officeDocument/2006/relationships/image" Target="media/image14.emf"/><Relationship Id="rId37" Type="http://schemas.openxmlformats.org/officeDocument/2006/relationships/hyperlink" Target="https://www1.hkexnews.hk/listedco/listconews/sehk/2025/0324/2025032401238.pdf" TargetMode="External"/><Relationship Id="rId53" Type="http://schemas.openxmlformats.org/officeDocument/2006/relationships/hyperlink" Target="https://www1.hkexnews.hk/listedco/listconews/sehk/2025/0324/2025032401238.pdf" TargetMode="External"/><Relationship Id="rId58" Type="http://schemas.openxmlformats.org/officeDocument/2006/relationships/hyperlink" Target="https://english.news.cn/20240327/3811acb3022249afa03da5502c4646c8/c.html" TargetMode="External"/><Relationship Id="rId74" Type="http://schemas.openxmlformats.org/officeDocument/2006/relationships/hyperlink" Target="https://autonews.gasgoo.com/articles/ev/70032135" TargetMode="External"/><Relationship Id="rId79" Type="http://schemas.openxmlformats.org/officeDocument/2006/relationships/hyperlink" Target="https://insideevs.com/news/791573/byd-15-million-sales-2026/" TargetMode="External"/><Relationship Id="rId5" Type="http://schemas.openxmlformats.org/officeDocument/2006/relationships/footnotes" Target="footnotes.xml"/><Relationship Id="rId90" Type="http://schemas.openxmlformats.org/officeDocument/2006/relationships/fontTable" Target="fontTable.xml"/><Relationship Id="rId14" Type="http://schemas.openxmlformats.org/officeDocument/2006/relationships/hyperlink" Target="https://theicct.org/chinese-automakers-gain-ground-in-global-ev-race-as-other-world-leaders-risk-falling-behind/" TargetMode="External"/><Relationship Id="rId22" Type="http://schemas.openxmlformats.org/officeDocument/2006/relationships/image" Target="media/image5.jpe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hyperlink" Target="https://www1.hkexnews.hk/listedco/listconews/sehk/2025/0324/2025032401238.pdf" TargetMode="External"/><Relationship Id="rId48" Type="http://schemas.openxmlformats.org/officeDocument/2006/relationships/hyperlink" Target="https://www1.hkexnews.hk/listedco/listconews/sehk/2025/0324/2025032401238.pdf" TargetMode="External"/><Relationship Id="rId56" Type="http://schemas.openxmlformats.org/officeDocument/2006/relationships/hyperlink" Target="https://news.metal.com/newscontent/103837291-BYD-Claims-Top-Spot-Globally-In-Both-New-Energy-Vehicle-Sales-And-Energy-Storage-System-Shipments-For-2025" TargetMode="External"/><Relationship Id="rId64" Type="http://schemas.openxmlformats.org/officeDocument/2006/relationships/hyperlink" Target="https://cleantechnica.com/2026/03/30/byd-2025-annual-report-in-context/" TargetMode="External"/><Relationship Id="rId69" Type="http://schemas.openxmlformats.org/officeDocument/2006/relationships/hyperlink" Target="https://www.automotiveworld.com/news/byd-expects-iran-war-fallout-to-drive-sales-growth-in-2026/" TargetMode="External"/><Relationship Id="rId77" Type="http://schemas.openxmlformats.org/officeDocument/2006/relationships/hyperlink" Target="https://insideevs.com/news/791573/byd-15-million-sales-2026/" TargetMode="External"/><Relationship Id="rId8" Type="http://schemas.openxmlformats.org/officeDocument/2006/relationships/hyperlink" Target="https://www1.hkexnews.hk/listedco/listconews/sehk/2026/0327/2026032702644.pdf?utm_source=chatgpt.com" TargetMode="External"/><Relationship Id="rId51" Type="http://schemas.openxmlformats.org/officeDocument/2006/relationships/hyperlink" Target="https://www1.hkexnews.hk/listedco/listconews/sehk/2025/0324/2025032401238.pdf" TargetMode="External"/><Relationship Id="rId72" Type="http://schemas.openxmlformats.org/officeDocument/2006/relationships/hyperlink" Target="https://en.byd.com/news/byd-rolls-off-its-3-millionth-new-energy-vehicle-and-debuts-a-new-passenger-car-brand-matrix/" TargetMode="External"/><Relationship Id="rId80" Type="http://schemas.openxmlformats.org/officeDocument/2006/relationships/hyperlink" Target="https://capital.com/en-int/market-updates/byd-stock-forecast-10-04-2026" TargetMode="External"/><Relationship Id="rId85" Type="http://schemas.openxmlformats.org/officeDocument/2006/relationships/hyperlink" Target="https://www.reuters.com/world/asia-pacific/chinese-ev-maker-byd-posts-first-annual-profit-decline-four-years-2026-03-27/" TargetMode="External"/><Relationship Id="rId3" Type="http://schemas.openxmlformats.org/officeDocument/2006/relationships/settings" Target="settings.xml"/><Relationship Id="rId12" Type="http://schemas.openxmlformats.org/officeDocument/2006/relationships/hyperlink" Target="https://www1.hkexnews.hk/listedco/listconews/sehk/2025/0324/2025032401238.pdf" TargetMode="External"/><Relationship Id="rId17" Type="http://schemas.openxmlformats.org/officeDocument/2006/relationships/hyperlink" Target="https://www.bydglobal.com/cn/en/BYD_ENAboutByd/CompanyIntro_mob.html?utm_source=chatgpt.com" TargetMode="External"/><Relationship Id="rId25" Type="http://schemas.openxmlformats.org/officeDocument/2006/relationships/image" Target="media/image8.png"/><Relationship Id="rId33" Type="http://schemas.openxmlformats.org/officeDocument/2006/relationships/image" Target="media/image15.png"/><Relationship Id="rId38" Type="http://schemas.openxmlformats.org/officeDocument/2006/relationships/hyperlink" Target="https://www1.hkexnews.hk/listedco/listconews/sehk/2025/0324/2025032401238.pdf" TargetMode="External"/><Relationship Id="rId46" Type="http://schemas.openxmlformats.org/officeDocument/2006/relationships/hyperlink" Target="https://www1.hkexnews.hk/listedco/listconews/sehk/2025/0324/2025032401238.pdf" TargetMode="External"/><Relationship Id="rId59" Type="http://schemas.openxmlformats.org/officeDocument/2006/relationships/hyperlink" Target="https://autonews.gasgoo.com/articles/news/byd-scores-yoy-jump-in-2024-annual-revenue-net-profit-70036461" TargetMode="External"/><Relationship Id="rId67" Type="http://schemas.openxmlformats.org/officeDocument/2006/relationships/hyperlink" Target="https://cnevpost.com/2026/03/27/byd-2025-full-year-results/" TargetMode="External"/><Relationship Id="rId20" Type="http://schemas.openxmlformats.org/officeDocument/2006/relationships/image" Target="media/image3.jpeg"/><Relationship Id="rId41" Type="http://schemas.openxmlformats.org/officeDocument/2006/relationships/hyperlink" Target="https://www1.hkexnews.hk/listedco/listconews/sehk/2025/0324/2025032401238.pdf" TargetMode="External"/><Relationship Id="rId54" Type="http://schemas.openxmlformats.org/officeDocument/2006/relationships/hyperlink" Target="https://news.metal.com/newscontent/103837291-BYD-Claims-Top-Spot-Globally-In-Both-New-Energy-Vehicle-Sales-And-Energy-Storage-System-Shipments-For-2025" TargetMode="External"/><Relationship Id="rId62" Type="http://schemas.openxmlformats.org/officeDocument/2006/relationships/hyperlink" Target="https://cleantechnica.com/2026/03/30/byd-2025-annual-report-in-context/" TargetMode="External"/><Relationship Id="rId70" Type="http://schemas.openxmlformats.org/officeDocument/2006/relationships/hyperlink" Target="https://www.automotiveworld.com/news/byd-expects-iran-war-fallout-to-drive-sales-growth-in-2026/" TargetMode="External"/><Relationship Id="rId75" Type="http://schemas.openxmlformats.org/officeDocument/2006/relationships/hyperlink" Target="https://finance.biggo.com/news/jR-5SJ0ByH9TLH69QSVF" TargetMode="External"/><Relationship Id="rId83" Type="http://schemas.openxmlformats.org/officeDocument/2006/relationships/hyperlink" Target="https://www.reuters.com/business/autos-transportation/chinese-ev-giant-byds-fourth-quarter-profit-leaps-73-2025-03-24/" TargetMode="External"/><Relationship Id="rId88" Type="http://schemas.openxmlformats.org/officeDocument/2006/relationships/hyperlink" Target="https://autonews.gasgoo.com/articles/news/byds-annual-revenue-in-2021-leaps-3802-yoy-but-net-profit-falls-2808-70020005"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1.hkexnews.hk/listedco/listconews/sehk/2026/0327/2026032702644.pdf?utm_source=chatgpt.com" TargetMode="External"/><Relationship Id="rId23" Type="http://schemas.openxmlformats.org/officeDocument/2006/relationships/image" Target="media/image6.jpeg"/><Relationship Id="rId28" Type="http://schemas.openxmlformats.org/officeDocument/2006/relationships/image" Target="media/image10.png"/><Relationship Id="rId36" Type="http://schemas.openxmlformats.org/officeDocument/2006/relationships/hyperlink" Target="https://www1.hkexnews.hk/listedco/listconews/sehk/2025/0324/2025032401238.pdf" TargetMode="External"/><Relationship Id="rId49" Type="http://schemas.openxmlformats.org/officeDocument/2006/relationships/hyperlink" Target="https://www1.hkexnews.hk/listedco/listconews/sehk/2025/0324/2025032401238.pdf" TargetMode="External"/><Relationship Id="rId57" Type="http://schemas.openxmlformats.org/officeDocument/2006/relationships/hyperlink" Target="https://english.news.cn/20240327/3811acb3022249afa03da5502c4646c8/c.html" TargetMode="External"/><Relationship Id="rId10" Type="http://schemas.openxmlformats.org/officeDocument/2006/relationships/hyperlink" Target="https://www.nature.com/articles/s43247-025-02447-2" TargetMode="External"/><Relationship Id="rId31" Type="http://schemas.openxmlformats.org/officeDocument/2006/relationships/image" Target="media/image13.png"/><Relationship Id="rId44" Type="http://schemas.openxmlformats.org/officeDocument/2006/relationships/hyperlink" Target="https://www1.hkexnews.hk/listedco/listconews/sehk/2025/0324/2025032401238.pdf" TargetMode="External"/><Relationship Id="rId52" Type="http://schemas.openxmlformats.org/officeDocument/2006/relationships/hyperlink" Target="https://www1.hkexnews.hk/listedco/listconews/sehk/2025/0324/2025032401238.pdf" TargetMode="External"/><Relationship Id="rId60" Type="http://schemas.openxmlformats.org/officeDocument/2006/relationships/hyperlink" Target="https://autonews.gasgoo.com/articles/news/byd-scores-yoy-jump-in-2024-annual-revenue-net-profit-70036461" TargetMode="External"/><Relationship Id="rId65" Type="http://schemas.openxmlformats.org/officeDocument/2006/relationships/hyperlink" Target="https://cnevpost.com/2026/03/27/byd-2025-full-year-results/" TargetMode="External"/><Relationship Id="rId73" Type="http://schemas.openxmlformats.org/officeDocument/2006/relationships/hyperlink" Target="https://autonews.gasgoo.com/articles/ev/70032135" TargetMode="External"/><Relationship Id="rId78" Type="http://schemas.openxmlformats.org/officeDocument/2006/relationships/hyperlink" Target="https://insideevs.com/news/791573/byd-15-million-sales-2026/" TargetMode="External"/><Relationship Id="rId81" Type="http://schemas.openxmlformats.org/officeDocument/2006/relationships/hyperlink" Target="https://capital.com/en-int/market-updates/byd-stock-forecast-10-04-2026" TargetMode="External"/><Relationship Id="rId86" Type="http://schemas.openxmlformats.org/officeDocument/2006/relationships/hyperlink" Target="https://autonews.gasgoo.com/articles/ev/byd-scores-962-yoy-spike-in-2022-annual-revenue-70022559" TargetMode="External"/><Relationship Id="rId4" Type="http://schemas.openxmlformats.org/officeDocument/2006/relationships/webSettings" Target="webSettings.xml"/><Relationship Id="rId9" Type="http://schemas.openxmlformats.org/officeDocument/2006/relationships/hyperlink" Target="https://www.bydglobal.com/cn/en/BYD_ENAboutByd/CompanyIntro_mob.html?utm_source=chatgpt.com" TargetMode="External"/><Relationship Id="rId13" Type="http://schemas.openxmlformats.org/officeDocument/2006/relationships/hyperlink" Target="https://iea.blob.core.windows.net/assets/87e3f17b-3e36-4f56-9fb0-cabfb7009248/Webinar-Slides.pdf?utm_source=chatgpt.com" TargetMode="External"/><Relationship Id="rId18" Type="http://schemas.openxmlformats.org/officeDocument/2006/relationships/hyperlink" Target="https://bydukmedia.com/en/news-articles/byd-uk-records-record-breaking-sales-in-the-first-quarter-of-2026.html" TargetMode="External"/><Relationship Id="rId39" Type="http://schemas.openxmlformats.org/officeDocument/2006/relationships/hyperlink" Target="https://www1.hkexnews.hk/listedco/listconews/sehk/2025/0324/2025032401238.pdf" TargetMode="External"/><Relationship Id="rId34" Type="http://schemas.openxmlformats.org/officeDocument/2006/relationships/image" Target="media/image16.emf"/><Relationship Id="rId50" Type="http://schemas.openxmlformats.org/officeDocument/2006/relationships/hyperlink" Target="https://www1.hkexnews.hk/listedco/listconews/sehk/2025/0324/2025032401238.pdf" TargetMode="External"/><Relationship Id="rId55" Type="http://schemas.openxmlformats.org/officeDocument/2006/relationships/hyperlink" Target="https://news.metal.com/newscontent/103837291-BYD-Claims-Top-Spot-Globally-In-Both-New-Energy-Vehicle-Sales-And-Energy-Storage-System-Shipments-For-2025" TargetMode="External"/><Relationship Id="rId76" Type="http://schemas.openxmlformats.org/officeDocument/2006/relationships/hyperlink" Target="https://finance.biggo.com/news/jR-5SJ0ByH9TLH69QSVF" TargetMode="External"/><Relationship Id="rId7" Type="http://schemas.openxmlformats.org/officeDocument/2006/relationships/image" Target="media/image1.png"/><Relationship Id="rId71" Type="http://schemas.openxmlformats.org/officeDocument/2006/relationships/hyperlink" Target="https://en.byd.com/news/byd-rolls-off-its-3-millionth-new-energy-vehicle-and-debuts-a-new-passenger-car-brand-matrix/" TargetMode="External"/><Relationship Id="rId2" Type="http://schemas.openxmlformats.org/officeDocument/2006/relationships/styles" Target="styles.xml"/><Relationship Id="rId29" Type="http://schemas.openxmlformats.org/officeDocument/2006/relationships/image" Target="media/image11.emf"/><Relationship Id="rId24" Type="http://schemas.openxmlformats.org/officeDocument/2006/relationships/image" Target="media/image7.jpeg"/><Relationship Id="rId40" Type="http://schemas.openxmlformats.org/officeDocument/2006/relationships/hyperlink" Target="https://www1.hkexnews.hk/listedco/listconews/sehk/2025/0324/2025032401238.pdf" TargetMode="External"/><Relationship Id="rId45" Type="http://schemas.openxmlformats.org/officeDocument/2006/relationships/hyperlink" Target="https://www1.hkexnews.hk/listedco/listconews/sehk/2025/0324/2025032401238.pdf" TargetMode="External"/><Relationship Id="rId66" Type="http://schemas.openxmlformats.org/officeDocument/2006/relationships/hyperlink" Target="https://cnevpost.com/2026/03/27/byd-2025-full-year-results/" TargetMode="External"/><Relationship Id="rId87" Type="http://schemas.openxmlformats.org/officeDocument/2006/relationships/hyperlink" Target="https://autonews.gasgoo.com/articles/ev/byd-scores-962-yoy-spike-in-2022-annual-revenue-70022559" TargetMode="External"/><Relationship Id="rId61" Type="http://schemas.openxmlformats.org/officeDocument/2006/relationships/hyperlink" Target="https://autonews.gasgoo.com/articles/news/byd-scores-yoy-jump-in-2024-annual-revenue-net-profit-70036461" TargetMode="External"/><Relationship Id="rId82" Type="http://schemas.openxmlformats.org/officeDocument/2006/relationships/hyperlink" Target="https://www.reuters.com/business/autos-transportation/chinese-ev-giant-byds-fourth-quarter-profit-leaps-73-2025-03-24/" TargetMode="External"/><Relationship Id="rId1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63AAAC-2611-4747-A92F-373890770E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7782</Words>
  <Characters>44359</Characters>
  <Application>Microsoft Office Word</Application>
  <DocSecurity>0</DocSecurity>
  <Lines>369</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 shrimali</dc:creator>
  <cp:keywords/>
  <dc:description/>
  <cp:lastModifiedBy>rahul shrimali</cp:lastModifiedBy>
  <cp:revision>2</cp:revision>
  <dcterms:created xsi:type="dcterms:W3CDTF">2026-04-22T20:05:00Z</dcterms:created>
  <dcterms:modified xsi:type="dcterms:W3CDTF">2026-04-22T20:05:00Z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64a455c4-3b73-43d3-8476-9de86af19462</vt:lpwstr>
  </property>
</Properties>
</file>