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63257" w14:textId="77777777" w:rsidR="0078204D" w:rsidRPr="00EA08E6" w:rsidRDefault="0078204D" w:rsidP="00102E94">
      <w:pPr>
        <w:jc w:val="center"/>
        <w:rPr>
          <w:b/>
          <w:bCs/>
          <w:sz w:val="40"/>
          <w:szCs w:val="40"/>
        </w:rPr>
      </w:pPr>
      <w:r w:rsidRPr="00EA08E6">
        <w:rPr>
          <w:b/>
          <w:bCs/>
          <w:sz w:val="40"/>
          <w:szCs w:val="40"/>
        </w:rPr>
        <w:t>Bibliography</w:t>
      </w:r>
    </w:p>
    <w:p w14:paraId="14862C18" w14:textId="77777777" w:rsidR="00DE78AE" w:rsidRDefault="00DE78AE" w:rsidP="00E32414">
      <w:pPr>
        <w:rPr>
          <w:sz w:val="36"/>
          <w:szCs w:val="36"/>
        </w:rPr>
      </w:pPr>
    </w:p>
    <w:p w14:paraId="7A564B30" w14:textId="77777777" w:rsidR="00EA08E6" w:rsidRDefault="00EA08E6" w:rsidP="00EA08E6">
      <w:pPr>
        <w:rPr>
          <w:rFonts w:asciiTheme="minorHAnsi" w:hAnsiTheme="minorHAnsi"/>
          <w:sz w:val="28"/>
          <w:szCs w:val="28"/>
        </w:rPr>
      </w:pPr>
    </w:p>
    <w:p w14:paraId="5B8F72A9" w14:textId="2A371106" w:rsidR="00EA08E6" w:rsidRPr="00743250" w:rsidRDefault="00743250" w:rsidP="00EA08E6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743250">
        <w:rPr>
          <w:rFonts w:asciiTheme="minorHAnsi" w:hAnsiTheme="minorHAnsi"/>
          <w:b/>
          <w:bCs/>
          <w:sz w:val="28"/>
          <w:szCs w:val="28"/>
          <w:u w:val="single"/>
        </w:rPr>
        <w:t xml:space="preserve">Methodology </w:t>
      </w:r>
    </w:p>
    <w:p w14:paraId="5FEA9AAE" w14:textId="77777777" w:rsidR="00743250" w:rsidRDefault="00743250" w:rsidP="00EA08E6">
      <w:pPr>
        <w:rPr>
          <w:rFonts w:asciiTheme="minorHAnsi" w:hAnsiTheme="minorHAnsi"/>
          <w:sz w:val="28"/>
          <w:szCs w:val="28"/>
        </w:rPr>
      </w:pPr>
    </w:p>
    <w:p w14:paraId="6A4DE086" w14:textId="62F8CE9E" w:rsidR="0009692D" w:rsidRDefault="0009692D" w:rsidP="0009692D">
      <w:pPr>
        <w:spacing w:line="276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Austin, Michael, </w:t>
      </w:r>
      <w:r w:rsidRPr="0009692D">
        <w:rPr>
          <w:rFonts w:asciiTheme="minorHAnsi" w:hAnsiTheme="minorHAnsi"/>
          <w:i/>
          <w:iCs/>
          <w:sz w:val="28"/>
          <w:szCs w:val="28"/>
        </w:rPr>
        <w:t>Explorations in Art, Theology and Imagination</w:t>
      </w:r>
      <w:r>
        <w:rPr>
          <w:rFonts w:asciiTheme="minorHAnsi" w:hAnsiTheme="minorHAnsi"/>
          <w:sz w:val="28"/>
          <w:szCs w:val="28"/>
        </w:rPr>
        <w:t xml:space="preserve"> (London: Equinox, 2005).</w:t>
      </w:r>
    </w:p>
    <w:p w14:paraId="70FE1E52" w14:textId="77777777" w:rsidR="0009692D" w:rsidRDefault="0009692D" w:rsidP="00950BFA">
      <w:pPr>
        <w:spacing w:line="276" w:lineRule="auto"/>
        <w:rPr>
          <w:rFonts w:asciiTheme="minorHAnsi" w:hAnsiTheme="minorHAnsi"/>
          <w:sz w:val="28"/>
          <w:szCs w:val="28"/>
        </w:rPr>
      </w:pPr>
    </w:p>
    <w:p w14:paraId="292EB1E9" w14:textId="48AB5C3B" w:rsidR="00DE78AE" w:rsidRPr="00EA08E6" w:rsidRDefault="00DE78AE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  <w:r w:rsidRPr="00EA08E6">
        <w:rPr>
          <w:rFonts w:asciiTheme="minorHAnsi" w:hAnsiTheme="minorHAnsi"/>
          <w:sz w:val="28"/>
          <w:szCs w:val="28"/>
        </w:rPr>
        <w:t>Bal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 </w:t>
      </w:r>
      <w:proofErr w:type="spellStart"/>
      <w:r w:rsidRPr="00EA08E6">
        <w:rPr>
          <w:rFonts w:asciiTheme="minorHAnsi" w:eastAsia="Times New Roman" w:hAnsiTheme="minorHAnsi"/>
          <w:sz w:val="28"/>
          <w:szCs w:val="28"/>
        </w:rPr>
        <w:t>Mieke</w:t>
      </w:r>
      <w:proofErr w:type="spellEnd"/>
      <w:r w:rsidRPr="00EA08E6">
        <w:rPr>
          <w:rFonts w:asciiTheme="minorHAnsi" w:eastAsia="Times New Roman" w:hAnsiTheme="minorHAnsi"/>
          <w:sz w:val="28"/>
          <w:szCs w:val="28"/>
        </w:rPr>
        <w:t xml:space="preserve">, </w:t>
      </w:r>
      <w:r w:rsidRPr="00EA08E6">
        <w:rPr>
          <w:rFonts w:asciiTheme="minorHAnsi" w:eastAsia="Times New Roman" w:hAnsiTheme="minorHAnsi"/>
          <w:i/>
          <w:iCs/>
          <w:sz w:val="28"/>
          <w:szCs w:val="28"/>
        </w:rPr>
        <w:t>Reading "Rembrandt": Beyond the Word-Image Opposition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 (Cambridge: Cambridge University Press, 1991</w:t>
      </w:r>
      <w:r w:rsidR="00EA08E6">
        <w:rPr>
          <w:rFonts w:asciiTheme="minorHAnsi" w:eastAsia="Times New Roman" w:hAnsiTheme="minorHAnsi"/>
          <w:sz w:val="28"/>
          <w:szCs w:val="28"/>
        </w:rPr>
        <w:t>).</w:t>
      </w:r>
    </w:p>
    <w:p w14:paraId="7F6BFC6D" w14:textId="77777777" w:rsidR="00DE78AE" w:rsidRPr="00EA08E6" w:rsidRDefault="00DE78AE" w:rsidP="00950BFA">
      <w:pPr>
        <w:spacing w:line="276" w:lineRule="auto"/>
        <w:rPr>
          <w:rFonts w:asciiTheme="minorHAnsi" w:hAnsiTheme="minorHAnsi"/>
          <w:sz w:val="28"/>
          <w:szCs w:val="28"/>
        </w:rPr>
      </w:pPr>
    </w:p>
    <w:p w14:paraId="04C47099" w14:textId="248DDA68" w:rsidR="009C63F9" w:rsidRDefault="009C63F9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  <w:r>
        <w:rPr>
          <w:rFonts w:asciiTheme="minorHAnsi" w:eastAsia="Times New Roman" w:hAnsiTheme="minorHAnsi"/>
          <w:sz w:val="28"/>
          <w:szCs w:val="28"/>
        </w:rPr>
        <w:t xml:space="preserve">Berger, John, </w:t>
      </w:r>
      <w:r w:rsidRPr="009C63F9">
        <w:rPr>
          <w:rFonts w:asciiTheme="minorHAnsi" w:eastAsia="Times New Roman" w:hAnsiTheme="minorHAnsi"/>
          <w:i/>
          <w:iCs/>
          <w:sz w:val="28"/>
          <w:szCs w:val="28"/>
        </w:rPr>
        <w:t>Ways of Seeing</w:t>
      </w:r>
      <w:r>
        <w:rPr>
          <w:rFonts w:asciiTheme="minorHAnsi" w:eastAsia="Times New Roman" w:hAnsiTheme="minorHAnsi"/>
          <w:sz w:val="28"/>
          <w:szCs w:val="28"/>
        </w:rPr>
        <w:t xml:space="preserve"> (London: BBC, 1972).</w:t>
      </w:r>
    </w:p>
    <w:p w14:paraId="13431B9C" w14:textId="77777777" w:rsidR="009C63F9" w:rsidRDefault="009C63F9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</w:p>
    <w:p w14:paraId="6CBFD80F" w14:textId="7F203FF8" w:rsidR="00DE78AE" w:rsidRPr="00EA08E6" w:rsidRDefault="00DE78AE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  <w:proofErr w:type="spellStart"/>
      <w:r w:rsidRPr="00EA08E6">
        <w:rPr>
          <w:rFonts w:asciiTheme="minorHAnsi" w:eastAsia="Times New Roman" w:hAnsiTheme="minorHAnsi"/>
          <w:sz w:val="28"/>
          <w:szCs w:val="28"/>
        </w:rPr>
        <w:t>Berdini</w:t>
      </w:r>
      <w:proofErr w:type="spellEnd"/>
      <w:r w:rsidRPr="00EA08E6">
        <w:rPr>
          <w:rFonts w:asciiTheme="minorHAnsi" w:eastAsia="Times New Roman" w:hAnsiTheme="minorHAnsi"/>
          <w:sz w:val="28"/>
          <w:szCs w:val="28"/>
        </w:rPr>
        <w:t xml:space="preserve">, </w:t>
      </w:r>
      <w:r w:rsidR="00EA08E6">
        <w:rPr>
          <w:rFonts w:asciiTheme="minorHAnsi" w:eastAsia="Times New Roman" w:hAnsiTheme="minorHAnsi"/>
          <w:sz w:val="28"/>
          <w:szCs w:val="28"/>
        </w:rPr>
        <w:t xml:space="preserve">Paolo, </w:t>
      </w:r>
      <w:r w:rsidRPr="00EA08E6">
        <w:rPr>
          <w:rFonts w:asciiTheme="minorHAnsi" w:eastAsia="Times New Roman" w:hAnsiTheme="minorHAnsi"/>
          <w:i/>
          <w:iCs/>
          <w:sz w:val="28"/>
          <w:szCs w:val="28"/>
        </w:rPr>
        <w:t>The Religious Art of</w:t>
      </w:r>
      <w:r w:rsidR="00EA08E6" w:rsidRPr="00EA08E6">
        <w:rPr>
          <w:rFonts w:asciiTheme="minorHAnsi" w:eastAsia="Times New Roman" w:hAnsiTheme="minorHAnsi"/>
          <w:i/>
          <w:iCs/>
          <w:sz w:val="28"/>
          <w:szCs w:val="28"/>
        </w:rPr>
        <w:t xml:space="preserve"> </w:t>
      </w:r>
      <w:r w:rsidRPr="00EA08E6">
        <w:rPr>
          <w:rFonts w:asciiTheme="minorHAnsi" w:eastAsia="Times New Roman" w:hAnsiTheme="minorHAnsi"/>
          <w:i/>
          <w:iCs/>
          <w:sz w:val="28"/>
          <w:szCs w:val="28"/>
        </w:rPr>
        <w:t>Jacopo Bassano: Painting as Visual Exegesis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 (Cambridge: Cambridge University Press, 1997)</w:t>
      </w:r>
      <w:r w:rsidR="00EA08E6">
        <w:rPr>
          <w:rFonts w:asciiTheme="minorHAnsi" w:eastAsia="Times New Roman" w:hAnsiTheme="minorHAnsi"/>
          <w:sz w:val="28"/>
          <w:szCs w:val="28"/>
        </w:rPr>
        <w:t>.</w:t>
      </w:r>
    </w:p>
    <w:p w14:paraId="16D09809" w14:textId="77777777" w:rsidR="00DE78AE" w:rsidRPr="00EA08E6" w:rsidRDefault="00DE78AE" w:rsidP="00950BFA">
      <w:pPr>
        <w:spacing w:line="276" w:lineRule="auto"/>
        <w:rPr>
          <w:rFonts w:asciiTheme="minorHAnsi" w:hAnsiTheme="minorHAnsi"/>
          <w:sz w:val="28"/>
          <w:szCs w:val="28"/>
        </w:rPr>
      </w:pPr>
    </w:p>
    <w:p w14:paraId="5B6549FD" w14:textId="735E3755" w:rsidR="00EA08E6" w:rsidRPr="00EA08E6" w:rsidRDefault="00EA08E6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  <w:r w:rsidRPr="00EA08E6">
        <w:rPr>
          <w:rFonts w:asciiTheme="minorHAnsi" w:eastAsia="Times New Roman" w:hAnsiTheme="minorHAnsi"/>
          <w:sz w:val="28"/>
          <w:szCs w:val="28"/>
        </w:rPr>
        <w:t xml:space="preserve">Davey, </w:t>
      </w:r>
      <w:r w:rsidR="003524EB">
        <w:rPr>
          <w:rFonts w:asciiTheme="minorHAnsi" w:eastAsia="Times New Roman" w:hAnsiTheme="minorHAnsi"/>
          <w:sz w:val="28"/>
          <w:szCs w:val="28"/>
        </w:rPr>
        <w:t xml:space="preserve">Nicholas, 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'The Hermeneutics of Seeing', in Ian Heywood and Barry </w:t>
      </w:r>
      <w:proofErr w:type="spellStart"/>
      <w:r w:rsidRPr="00EA08E6">
        <w:rPr>
          <w:rFonts w:asciiTheme="minorHAnsi" w:eastAsia="Times New Roman" w:hAnsiTheme="minorHAnsi"/>
          <w:sz w:val="28"/>
          <w:szCs w:val="28"/>
        </w:rPr>
        <w:t>Sandwell</w:t>
      </w:r>
      <w:proofErr w:type="spellEnd"/>
      <w:r w:rsidRPr="00EA08E6">
        <w:rPr>
          <w:rFonts w:asciiTheme="minorHAnsi" w:eastAsia="Times New Roman" w:hAnsiTheme="minorHAnsi"/>
          <w:sz w:val="28"/>
          <w:szCs w:val="28"/>
        </w:rPr>
        <w:t xml:space="preserve"> [eds.], </w:t>
      </w:r>
      <w:r w:rsidRPr="00EA08E6">
        <w:rPr>
          <w:rFonts w:asciiTheme="minorHAnsi" w:eastAsia="Times New Roman" w:hAnsiTheme="minorHAnsi"/>
          <w:i/>
          <w:iCs/>
          <w:sz w:val="28"/>
          <w:szCs w:val="28"/>
        </w:rPr>
        <w:t>Interpreting Visual Culture: Explorations in the Hermeneutics of the Visual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 [London: Routledge, 1999], p</w:t>
      </w:r>
      <w:r>
        <w:rPr>
          <w:rFonts w:asciiTheme="minorHAnsi" w:eastAsia="Times New Roman" w:hAnsiTheme="minorHAnsi"/>
          <w:sz w:val="28"/>
          <w:szCs w:val="28"/>
        </w:rPr>
        <w:t xml:space="preserve">. </w:t>
      </w:r>
      <w:r w:rsidRPr="00EA08E6">
        <w:rPr>
          <w:rFonts w:asciiTheme="minorHAnsi" w:eastAsia="Times New Roman" w:hAnsiTheme="minorHAnsi"/>
          <w:sz w:val="28"/>
          <w:szCs w:val="28"/>
        </w:rPr>
        <w:t>3-29.</w:t>
      </w:r>
    </w:p>
    <w:p w14:paraId="57D45C01" w14:textId="77777777" w:rsidR="00102E94" w:rsidRPr="00EA08E6" w:rsidRDefault="00102E94" w:rsidP="00950BFA">
      <w:pPr>
        <w:spacing w:line="276" w:lineRule="auto"/>
        <w:rPr>
          <w:rFonts w:asciiTheme="minorHAnsi" w:hAnsiTheme="minorHAnsi"/>
          <w:sz w:val="28"/>
          <w:szCs w:val="28"/>
        </w:rPr>
      </w:pPr>
    </w:p>
    <w:p w14:paraId="7E1B5E95" w14:textId="39E1F7A1" w:rsidR="0009692D" w:rsidRDefault="0009692D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  <w:proofErr w:type="spellStart"/>
      <w:r>
        <w:rPr>
          <w:rFonts w:asciiTheme="minorHAnsi" w:eastAsia="Times New Roman" w:hAnsiTheme="minorHAnsi"/>
          <w:sz w:val="28"/>
          <w:szCs w:val="28"/>
        </w:rPr>
        <w:t>Freedberg</w:t>
      </w:r>
      <w:proofErr w:type="spellEnd"/>
      <w:r>
        <w:rPr>
          <w:rFonts w:asciiTheme="minorHAnsi" w:eastAsia="Times New Roman" w:hAnsiTheme="minorHAnsi"/>
          <w:sz w:val="28"/>
          <w:szCs w:val="28"/>
        </w:rPr>
        <w:t xml:space="preserve">, David, </w:t>
      </w:r>
      <w:r w:rsidRPr="0009692D">
        <w:rPr>
          <w:rFonts w:asciiTheme="minorHAnsi" w:eastAsia="Times New Roman" w:hAnsiTheme="minorHAnsi"/>
          <w:i/>
          <w:iCs/>
          <w:sz w:val="28"/>
          <w:szCs w:val="28"/>
        </w:rPr>
        <w:t>The Power of Images: Studies in the History and Theory of Response</w:t>
      </w:r>
      <w:r>
        <w:rPr>
          <w:rFonts w:asciiTheme="minorHAnsi" w:eastAsia="Times New Roman" w:hAnsiTheme="minorHAnsi"/>
          <w:sz w:val="28"/>
          <w:szCs w:val="28"/>
        </w:rPr>
        <w:t xml:space="preserve"> (The University of Chicago Press, 1989).</w:t>
      </w:r>
    </w:p>
    <w:p w14:paraId="0F9D3CCE" w14:textId="77777777" w:rsidR="0009692D" w:rsidRDefault="0009692D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</w:p>
    <w:p w14:paraId="08DA7E30" w14:textId="7B087C80" w:rsidR="00E32414" w:rsidRPr="00EA08E6" w:rsidRDefault="00E32414" w:rsidP="00950BFA">
      <w:pPr>
        <w:spacing w:line="276" w:lineRule="auto"/>
        <w:rPr>
          <w:rFonts w:asciiTheme="minorHAnsi" w:eastAsia="Times New Roman" w:hAnsiTheme="minorHAnsi"/>
          <w:sz w:val="28"/>
          <w:szCs w:val="28"/>
        </w:rPr>
      </w:pPr>
      <w:proofErr w:type="spellStart"/>
      <w:r w:rsidRPr="00EA08E6">
        <w:rPr>
          <w:rFonts w:asciiTheme="minorHAnsi" w:eastAsia="Times New Roman" w:hAnsiTheme="minorHAnsi"/>
          <w:sz w:val="28"/>
          <w:szCs w:val="28"/>
        </w:rPr>
        <w:t>Gadamer</w:t>
      </w:r>
      <w:proofErr w:type="spellEnd"/>
      <w:r w:rsidR="00EA08E6">
        <w:rPr>
          <w:rFonts w:asciiTheme="minorHAnsi" w:eastAsia="Times New Roman" w:hAnsiTheme="minorHAnsi"/>
          <w:sz w:val="28"/>
          <w:szCs w:val="28"/>
        </w:rPr>
        <w:t>,</w:t>
      </w:r>
      <w:r w:rsidR="00EA08E6" w:rsidRPr="00EA08E6">
        <w:rPr>
          <w:rFonts w:asciiTheme="minorHAnsi" w:eastAsia="Times New Roman" w:hAnsiTheme="minorHAnsi"/>
          <w:sz w:val="28"/>
          <w:szCs w:val="28"/>
        </w:rPr>
        <w:t xml:space="preserve"> Hans-Georg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, </w:t>
      </w:r>
      <w:r w:rsidRPr="00EA08E6">
        <w:rPr>
          <w:rFonts w:asciiTheme="minorHAnsi" w:eastAsia="Times New Roman" w:hAnsiTheme="minorHAnsi"/>
          <w:i/>
          <w:iCs/>
          <w:sz w:val="28"/>
          <w:szCs w:val="28"/>
        </w:rPr>
        <w:t>Truth and Method</w:t>
      </w:r>
      <w:r w:rsidRPr="00EA08E6">
        <w:rPr>
          <w:rFonts w:asciiTheme="minorHAnsi" w:eastAsia="Times New Roman" w:hAnsiTheme="minorHAnsi"/>
          <w:sz w:val="28"/>
          <w:szCs w:val="28"/>
        </w:rPr>
        <w:t xml:space="preserve"> (London: </w:t>
      </w:r>
      <w:proofErr w:type="spellStart"/>
      <w:r w:rsidRPr="00EA08E6">
        <w:rPr>
          <w:rFonts w:asciiTheme="minorHAnsi" w:eastAsia="Times New Roman" w:hAnsiTheme="minorHAnsi"/>
          <w:sz w:val="28"/>
          <w:szCs w:val="28"/>
        </w:rPr>
        <w:t>Sheed</w:t>
      </w:r>
      <w:proofErr w:type="spellEnd"/>
      <w:r w:rsidRPr="00EA08E6">
        <w:rPr>
          <w:rFonts w:asciiTheme="minorHAnsi" w:eastAsia="Times New Roman" w:hAnsiTheme="minorHAnsi"/>
          <w:sz w:val="28"/>
          <w:szCs w:val="28"/>
        </w:rPr>
        <w:t xml:space="preserve"> and Ward, 1975)</w:t>
      </w:r>
      <w:r w:rsidR="00EA08E6">
        <w:rPr>
          <w:rFonts w:asciiTheme="minorHAnsi" w:eastAsia="Times New Roman" w:hAnsiTheme="minorHAnsi"/>
          <w:sz w:val="28"/>
          <w:szCs w:val="28"/>
        </w:rPr>
        <w:t>.</w:t>
      </w:r>
    </w:p>
    <w:p w14:paraId="4127B986" w14:textId="77777777" w:rsidR="00EA08E6" w:rsidRPr="00EA08E6" w:rsidRDefault="00EA08E6" w:rsidP="00950BFA">
      <w:pPr>
        <w:spacing w:line="276" w:lineRule="auto"/>
        <w:textAlignment w:val="baseline"/>
        <w:outlineLvl w:val="2"/>
        <w:rPr>
          <w:rFonts w:asciiTheme="minorHAnsi" w:eastAsia="Times New Roman" w:hAnsiTheme="minorHAnsi"/>
          <w:color w:val="535353"/>
          <w:sz w:val="28"/>
          <w:szCs w:val="28"/>
        </w:rPr>
      </w:pPr>
      <w:bookmarkStart w:id="0" w:name="Result_3"/>
    </w:p>
    <w:bookmarkEnd w:id="0"/>
    <w:p w14:paraId="59B476E6" w14:textId="7C6E75B3" w:rsidR="0009692D" w:rsidRDefault="0009692D" w:rsidP="00950BFA">
      <w:pPr>
        <w:spacing w:line="276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Morgan, David, </w:t>
      </w:r>
      <w:r w:rsidRPr="0009692D">
        <w:rPr>
          <w:rFonts w:asciiTheme="minorHAnsi" w:hAnsiTheme="minorHAnsi"/>
          <w:i/>
          <w:iCs/>
          <w:sz w:val="28"/>
          <w:szCs w:val="28"/>
        </w:rPr>
        <w:t>The Sacred Gaze: Religious Visual Culture in Theory and Practice</w:t>
      </w:r>
      <w:r>
        <w:rPr>
          <w:rFonts w:asciiTheme="minorHAnsi" w:hAnsiTheme="minorHAnsi"/>
          <w:i/>
          <w:iCs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(University of California press, 2005).</w:t>
      </w:r>
    </w:p>
    <w:p w14:paraId="1BA74E2B" w14:textId="77777777" w:rsidR="0009692D" w:rsidRPr="0009692D" w:rsidRDefault="0009692D" w:rsidP="00950BFA">
      <w:pPr>
        <w:spacing w:line="276" w:lineRule="auto"/>
        <w:rPr>
          <w:rFonts w:asciiTheme="minorHAnsi" w:hAnsiTheme="minorHAnsi"/>
          <w:sz w:val="28"/>
          <w:szCs w:val="28"/>
        </w:rPr>
      </w:pPr>
    </w:p>
    <w:p w14:paraId="2C052B76" w14:textId="7B424173" w:rsidR="00EA08E6" w:rsidRPr="00EA08E6" w:rsidRDefault="00EA08E6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  <w:bookmarkStart w:id="1" w:name="_GoBack"/>
      <w:r w:rsidRPr="00EA08E6">
        <w:rPr>
          <w:rFonts w:asciiTheme="minorHAnsi" w:hAnsiTheme="minorHAnsi"/>
          <w:sz w:val="28"/>
          <w:szCs w:val="28"/>
        </w:rPr>
        <w:t xml:space="preserve">O’Kane, Martin, </w:t>
      </w:r>
      <w:r w:rsidRPr="00EA08E6">
        <w:rPr>
          <w:rFonts w:asciiTheme="minorHAnsi" w:eastAsia="Times New Roman" w:hAnsiTheme="minorHAnsi"/>
          <w:color w:val="000000" w:themeColor="text1"/>
          <w:sz w:val="28"/>
          <w:szCs w:val="28"/>
        </w:rPr>
        <w:t xml:space="preserve">‘Picturing the Man of Sorrows: </w:t>
      </w:r>
      <w:proofErr w:type="gramStart"/>
      <w:r w:rsidRPr="00EA08E6">
        <w:rPr>
          <w:rFonts w:asciiTheme="minorHAnsi" w:eastAsia="Times New Roman" w:hAnsiTheme="minorHAnsi"/>
          <w:color w:val="000000" w:themeColor="text1"/>
          <w:sz w:val="28"/>
          <w:szCs w:val="28"/>
        </w:rPr>
        <w:t>the</w:t>
      </w:r>
      <w:proofErr w:type="gramEnd"/>
      <w:r w:rsidRPr="00EA08E6">
        <w:rPr>
          <w:rFonts w:asciiTheme="minorHAnsi" w:eastAsia="Times New Roman" w:hAnsiTheme="minorHAnsi"/>
          <w:color w:val="000000" w:themeColor="text1"/>
          <w:sz w:val="28"/>
          <w:szCs w:val="28"/>
        </w:rPr>
        <w:t xml:space="preserve"> Passion-filled Afterlives of a Biblical Icon’, </w:t>
      </w:r>
      <w:r w:rsidRPr="00E32414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Religion and the Arts</w:t>
      </w:r>
      <w:r w:rsidRPr="00EA08E6">
        <w:rPr>
          <w:rFonts w:asciiTheme="minorHAnsi" w:eastAsia="Times New Roman" w:hAnsiTheme="minorHAnsi"/>
          <w:color w:val="535353"/>
          <w:sz w:val="28"/>
          <w:szCs w:val="28"/>
        </w:rPr>
        <w:t xml:space="preserve"> 9.1 (2005) p. </w:t>
      </w:r>
      <w:r w:rsidRPr="00E32414">
        <w:rPr>
          <w:rFonts w:asciiTheme="minorHAnsi" w:eastAsia="Times New Roman" w:hAnsiTheme="minorHAnsi"/>
          <w:color w:val="535353"/>
          <w:sz w:val="28"/>
          <w:szCs w:val="28"/>
        </w:rPr>
        <w:t>62-100</w:t>
      </w:r>
      <w:r w:rsidRPr="00EA08E6">
        <w:rPr>
          <w:rFonts w:asciiTheme="minorHAnsi" w:eastAsia="Times New Roman" w:hAnsiTheme="minorHAnsi"/>
          <w:color w:val="535353"/>
          <w:sz w:val="28"/>
          <w:szCs w:val="28"/>
        </w:rPr>
        <w:t>.</w:t>
      </w:r>
      <w:r w:rsidR="00966C74">
        <w:rPr>
          <w:rFonts w:asciiTheme="minorHAnsi" w:eastAsia="Times New Roman" w:hAnsiTheme="minorHAnsi"/>
          <w:color w:val="535353"/>
          <w:sz w:val="28"/>
          <w:szCs w:val="28"/>
        </w:rPr>
        <w:t xml:space="preserve"> </w:t>
      </w:r>
      <w:r w:rsidR="00966C74" w:rsidRPr="00966C74">
        <w:rPr>
          <w:rFonts w:asciiTheme="minorHAnsi" w:eastAsia="Times New Roman" w:hAnsiTheme="minorHAnsi"/>
          <w:color w:val="FF0000"/>
          <w:sz w:val="28"/>
          <w:szCs w:val="28"/>
        </w:rPr>
        <w:t>[on-line]</w:t>
      </w:r>
    </w:p>
    <w:p w14:paraId="5D612947" w14:textId="77777777" w:rsidR="00EA08E6" w:rsidRPr="00EA08E6" w:rsidRDefault="00EA08E6" w:rsidP="00950BFA">
      <w:pPr>
        <w:spacing w:line="276" w:lineRule="auto"/>
        <w:rPr>
          <w:rFonts w:asciiTheme="minorHAnsi" w:hAnsiTheme="minorHAnsi"/>
          <w:sz w:val="28"/>
          <w:szCs w:val="28"/>
        </w:rPr>
      </w:pPr>
    </w:p>
    <w:p w14:paraId="737979B5" w14:textId="4B0298C0" w:rsidR="00EA08E6" w:rsidRDefault="00EA08E6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  <w:r w:rsidRPr="00EA08E6">
        <w:rPr>
          <w:rFonts w:asciiTheme="minorHAnsi" w:hAnsiTheme="minorHAnsi"/>
          <w:sz w:val="28"/>
          <w:szCs w:val="28"/>
        </w:rPr>
        <w:t xml:space="preserve">O’Kane, Martin, </w:t>
      </w:r>
      <w:r w:rsidRPr="00EA08E6">
        <w:rPr>
          <w:rFonts w:asciiTheme="minorHAnsi" w:eastAsia="Times New Roman" w:hAnsiTheme="minorHAnsi"/>
          <w:color w:val="535353"/>
          <w:sz w:val="28"/>
          <w:szCs w:val="28"/>
        </w:rPr>
        <w:t>‘The Artist as Reader of the Bible: Visual Exegesis and the Adoration of the Magi’,</w:t>
      </w:r>
      <w:r w:rsidRPr="00EA08E6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 xml:space="preserve"> </w:t>
      </w:r>
      <w:proofErr w:type="spellStart"/>
      <w:proofErr w:type="gramStart"/>
      <w:r w:rsidRPr="00EA08E6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BibInt</w:t>
      </w:r>
      <w:proofErr w:type="spellEnd"/>
      <w:r w:rsidRPr="00EA08E6">
        <w:rPr>
          <w:rFonts w:asciiTheme="minorHAnsi" w:eastAsia="Times New Roman" w:hAnsiTheme="minorHAnsi"/>
          <w:color w:val="535353"/>
          <w:sz w:val="28"/>
          <w:szCs w:val="28"/>
        </w:rPr>
        <w:t xml:space="preserve">  13.4</w:t>
      </w:r>
      <w:proofErr w:type="gramEnd"/>
      <w:r w:rsidRPr="00EA08E6">
        <w:rPr>
          <w:rFonts w:asciiTheme="minorHAnsi" w:eastAsia="Times New Roman" w:hAnsiTheme="minorHAnsi"/>
          <w:color w:val="535353"/>
          <w:sz w:val="28"/>
          <w:szCs w:val="28"/>
        </w:rPr>
        <w:t xml:space="preserve"> (</w:t>
      </w:r>
      <w:r w:rsidRPr="00E32414">
        <w:rPr>
          <w:rFonts w:asciiTheme="minorHAnsi" w:eastAsia="Times New Roman" w:hAnsiTheme="minorHAnsi"/>
          <w:color w:val="535353"/>
          <w:sz w:val="28"/>
          <w:szCs w:val="28"/>
        </w:rPr>
        <w:t>2005</w:t>
      </w:r>
      <w:r w:rsidRPr="00EA08E6">
        <w:rPr>
          <w:rFonts w:asciiTheme="minorHAnsi" w:eastAsia="Times New Roman" w:hAnsiTheme="minorHAnsi"/>
          <w:color w:val="535353"/>
          <w:sz w:val="28"/>
          <w:szCs w:val="28"/>
        </w:rPr>
        <w:t>)</w:t>
      </w:r>
      <w:r w:rsidRPr="00E32414">
        <w:rPr>
          <w:rFonts w:asciiTheme="minorHAnsi" w:eastAsia="Times New Roman" w:hAnsiTheme="minorHAnsi"/>
          <w:color w:val="535353"/>
          <w:sz w:val="28"/>
          <w:szCs w:val="28"/>
        </w:rPr>
        <w:t xml:space="preserve">, p 337-373. </w:t>
      </w:r>
      <w:r w:rsidR="00966C74" w:rsidRPr="00966C74">
        <w:rPr>
          <w:rFonts w:asciiTheme="minorHAnsi" w:eastAsia="Times New Roman" w:hAnsiTheme="minorHAnsi"/>
          <w:color w:val="FF0000"/>
          <w:sz w:val="28"/>
          <w:szCs w:val="28"/>
        </w:rPr>
        <w:t>[on-line]</w:t>
      </w:r>
    </w:p>
    <w:p w14:paraId="163F0AB2" w14:textId="77777777" w:rsidR="00EA08E6" w:rsidRPr="00E32414" w:rsidRDefault="00EA08E6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</w:p>
    <w:p w14:paraId="0B89FE8C" w14:textId="5BD01055" w:rsidR="00EA08E6" w:rsidRDefault="00EA08E6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  <w:r w:rsidRPr="00EA08E6">
        <w:rPr>
          <w:rFonts w:asciiTheme="minorHAnsi" w:hAnsiTheme="minorHAnsi"/>
          <w:sz w:val="28"/>
          <w:szCs w:val="28"/>
        </w:rPr>
        <w:lastRenderedPageBreak/>
        <w:t>O’Kane, Martin, ‘</w:t>
      </w:r>
      <w:proofErr w:type="spellStart"/>
      <w:r w:rsidRPr="00EA08E6">
        <w:rPr>
          <w:rFonts w:asciiTheme="minorHAnsi" w:hAnsiTheme="minorHAnsi"/>
          <w:sz w:val="28"/>
          <w:szCs w:val="28"/>
        </w:rPr>
        <w:t>Wirkungsgeschichte</w:t>
      </w:r>
      <w:proofErr w:type="spellEnd"/>
      <w:r w:rsidRPr="00EA08E6">
        <w:rPr>
          <w:rFonts w:asciiTheme="minorHAnsi" w:hAnsiTheme="minorHAnsi"/>
          <w:sz w:val="28"/>
          <w:szCs w:val="28"/>
        </w:rPr>
        <w:t xml:space="preserve"> and Visual Exegesis: the Contribution of Hans-Georg </w:t>
      </w:r>
      <w:proofErr w:type="spellStart"/>
      <w:r w:rsidRPr="00EA08E6">
        <w:rPr>
          <w:rFonts w:asciiTheme="minorHAnsi" w:hAnsiTheme="minorHAnsi"/>
          <w:sz w:val="28"/>
          <w:szCs w:val="28"/>
        </w:rPr>
        <w:t>Gadamer</w:t>
      </w:r>
      <w:proofErr w:type="spellEnd"/>
      <w:proofErr w:type="gramStart"/>
      <w:r w:rsidRPr="00EA08E6">
        <w:rPr>
          <w:rFonts w:asciiTheme="minorHAnsi" w:hAnsiTheme="minorHAnsi"/>
          <w:sz w:val="28"/>
          <w:szCs w:val="28"/>
        </w:rPr>
        <w:t xml:space="preserve">’,  </w:t>
      </w:r>
      <w:proofErr w:type="spellStart"/>
      <w:r w:rsidRPr="00EB2A75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J</w:t>
      </w:r>
      <w:r w:rsidRPr="00EA08E6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SNT</w:t>
      </w:r>
      <w:proofErr w:type="spellEnd"/>
      <w:proofErr w:type="gramEnd"/>
      <w:r w:rsidRPr="00EA08E6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 xml:space="preserve"> </w:t>
      </w:r>
      <w:r w:rsidRPr="00EA08E6">
        <w:rPr>
          <w:rFonts w:asciiTheme="minorHAnsi" w:eastAsia="Times New Roman" w:hAnsiTheme="minorHAnsi"/>
          <w:color w:val="535353"/>
          <w:sz w:val="28"/>
          <w:szCs w:val="28"/>
        </w:rPr>
        <w:t xml:space="preserve"> 33.2. (2010), p. 147-159.</w:t>
      </w:r>
      <w:r w:rsidR="00966C74">
        <w:rPr>
          <w:rFonts w:asciiTheme="minorHAnsi" w:eastAsia="Times New Roman" w:hAnsiTheme="minorHAnsi"/>
          <w:color w:val="535353"/>
          <w:sz w:val="28"/>
          <w:szCs w:val="28"/>
        </w:rPr>
        <w:t xml:space="preserve"> </w:t>
      </w:r>
      <w:r w:rsidR="00966C74" w:rsidRPr="00966C74">
        <w:rPr>
          <w:rFonts w:asciiTheme="minorHAnsi" w:eastAsia="Times New Roman" w:hAnsiTheme="minorHAnsi"/>
          <w:color w:val="FF0000"/>
          <w:sz w:val="28"/>
          <w:szCs w:val="28"/>
        </w:rPr>
        <w:t>[on-line]</w:t>
      </w:r>
    </w:p>
    <w:bookmarkEnd w:id="1"/>
    <w:p w14:paraId="67C63B3C" w14:textId="77777777" w:rsidR="00966C74" w:rsidRDefault="00966C74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</w:p>
    <w:p w14:paraId="3ADB5852" w14:textId="3DAAD87D" w:rsidR="00966C74" w:rsidRDefault="00966C74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  <w:r>
        <w:rPr>
          <w:rFonts w:asciiTheme="minorHAnsi" w:eastAsia="Times New Roman" w:hAnsiTheme="minorHAnsi"/>
          <w:color w:val="535353"/>
          <w:sz w:val="28"/>
          <w:szCs w:val="28"/>
        </w:rPr>
        <w:t xml:space="preserve">O’Kane, Martin, </w:t>
      </w:r>
      <w:r w:rsidRPr="00966C74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Painting the Text</w:t>
      </w:r>
      <w:r>
        <w:rPr>
          <w:rFonts w:asciiTheme="minorHAnsi" w:eastAsia="Times New Roman" w:hAnsiTheme="minorHAnsi"/>
          <w:color w:val="535353"/>
          <w:sz w:val="28"/>
          <w:szCs w:val="28"/>
        </w:rPr>
        <w:t xml:space="preserve"> (Sheffield: Sheffield Phoenix Press, 2010).</w:t>
      </w:r>
    </w:p>
    <w:p w14:paraId="580F7541" w14:textId="77777777" w:rsidR="00966C74" w:rsidRDefault="00966C74" w:rsidP="00950BFA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</w:p>
    <w:p w14:paraId="1B5279F8" w14:textId="77777777" w:rsidR="00950BFA" w:rsidRDefault="00950BFA" w:rsidP="00950BFA">
      <w:pPr>
        <w:widowControl w:val="0"/>
        <w:autoSpaceDE w:val="0"/>
        <w:autoSpaceDN w:val="0"/>
        <w:adjustRightInd w:val="0"/>
        <w:spacing w:line="660" w:lineRule="atLeast"/>
        <w:rPr>
          <w:rFonts w:ascii="Calibri" w:hAnsi="Calibri" w:cs="Calibri"/>
          <w:b/>
          <w:bCs/>
          <w:sz w:val="54"/>
          <w:szCs w:val="54"/>
          <w:u w:val="single"/>
        </w:rPr>
      </w:pPr>
    </w:p>
    <w:p w14:paraId="332ABFB5" w14:textId="1B0E361E" w:rsidR="00777266" w:rsidRDefault="00777266" w:rsidP="00842383">
      <w:pPr>
        <w:widowControl w:val="0"/>
        <w:autoSpaceDE w:val="0"/>
        <w:autoSpaceDN w:val="0"/>
        <w:adjustRightInd w:val="0"/>
        <w:spacing w:line="660" w:lineRule="atLeast"/>
        <w:jc w:val="center"/>
        <w:rPr>
          <w:rFonts w:asciiTheme="minorBidi" w:hAnsiTheme="minorBidi" w:cstheme="minorBidi"/>
          <w:sz w:val="40"/>
          <w:szCs w:val="40"/>
        </w:rPr>
      </w:pPr>
      <w:r w:rsidRPr="00950BFA">
        <w:rPr>
          <w:rFonts w:asciiTheme="minorBidi" w:hAnsiTheme="minorBidi" w:cstheme="minorBidi"/>
          <w:b/>
          <w:bCs/>
          <w:sz w:val="40"/>
          <w:szCs w:val="40"/>
        </w:rPr>
        <w:t>Orientalism: The Visual Perspective</w:t>
      </w:r>
    </w:p>
    <w:p w14:paraId="0B3ED493" w14:textId="77777777" w:rsidR="00842383" w:rsidRPr="00842383" w:rsidRDefault="00842383" w:rsidP="00842383">
      <w:pPr>
        <w:widowControl w:val="0"/>
        <w:autoSpaceDE w:val="0"/>
        <w:autoSpaceDN w:val="0"/>
        <w:adjustRightInd w:val="0"/>
        <w:spacing w:line="660" w:lineRule="atLeast"/>
        <w:jc w:val="center"/>
        <w:rPr>
          <w:rFonts w:asciiTheme="minorBidi" w:hAnsiTheme="minorBidi" w:cstheme="minorBidi"/>
          <w:sz w:val="40"/>
          <w:szCs w:val="40"/>
        </w:rPr>
      </w:pPr>
    </w:p>
    <w:p w14:paraId="0A09478B" w14:textId="661226E2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proofErr w:type="spellStart"/>
      <w:r w:rsidRPr="00950BFA">
        <w:rPr>
          <w:rFonts w:ascii="Calibri" w:hAnsi="Calibri" w:cs="Calibri"/>
          <w:sz w:val="28"/>
          <w:szCs w:val="28"/>
        </w:rPr>
        <w:t>Bendiner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, Kenneth, </w:t>
      </w:r>
      <w:r w:rsidRPr="00950BFA">
        <w:rPr>
          <w:rFonts w:ascii="Calibri" w:hAnsi="Calibri" w:cs="Calibri"/>
          <w:i/>
          <w:iCs/>
          <w:sz w:val="28"/>
          <w:szCs w:val="28"/>
        </w:rPr>
        <w:t>The Portrayal of the Middle East in British Painting, 1835-</w:t>
      </w:r>
      <w:proofErr w:type="spellStart"/>
      <w:r w:rsidRPr="00950BFA">
        <w:rPr>
          <w:rFonts w:ascii="Calibri" w:hAnsi="Calibri" w:cs="Calibri"/>
          <w:i/>
          <w:iCs/>
          <w:sz w:val="28"/>
          <w:szCs w:val="28"/>
        </w:rPr>
        <w:t>l860</w:t>
      </w:r>
      <w:proofErr w:type="spellEnd"/>
      <w:r w:rsidRPr="00950BFA">
        <w:rPr>
          <w:rFonts w:ascii="Calibri" w:hAnsi="Calibri" w:cs="Calibri"/>
          <w:i/>
          <w:iCs/>
          <w:sz w:val="28"/>
          <w:szCs w:val="28"/>
        </w:rPr>
        <w:t xml:space="preserve"> </w:t>
      </w:r>
      <w:r w:rsidRPr="00950BFA">
        <w:rPr>
          <w:rFonts w:ascii="Calibri" w:hAnsi="Calibri" w:cs="Calibri"/>
          <w:sz w:val="28"/>
          <w:szCs w:val="28"/>
        </w:rPr>
        <w:t>(unpublished PhD Thesis, Columbia University, 1979);</w:t>
      </w:r>
    </w:p>
    <w:p w14:paraId="210A493C" w14:textId="616A929A" w:rsidR="00777266" w:rsidRPr="00950BFA" w:rsidRDefault="00777266" w:rsidP="00777266">
      <w:pPr>
        <w:widowControl w:val="0"/>
        <w:autoSpaceDE w:val="0"/>
        <w:autoSpaceDN w:val="0"/>
        <w:adjustRightInd w:val="0"/>
        <w:spacing w:line="440" w:lineRule="atLeast"/>
        <w:ind w:left="360"/>
        <w:rPr>
          <w:rFonts w:ascii="Calibri" w:hAnsi="Calibri" w:cs="Times"/>
          <w:sz w:val="28"/>
          <w:szCs w:val="28"/>
        </w:rPr>
      </w:pPr>
    </w:p>
    <w:p w14:paraId="22A83CF1" w14:textId="461DE0CE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proofErr w:type="spellStart"/>
      <w:r w:rsidRPr="00950BFA">
        <w:rPr>
          <w:rFonts w:ascii="Calibri" w:hAnsi="Calibri" w:cs="Calibri"/>
          <w:sz w:val="28"/>
          <w:szCs w:val="28"/>
        </w:rPr>
        <w:t>Bohrer</w:t>
      </w:r>
      <w:proofErr w:type="spellEnd"/>
      <w:r w:rsidRPr="00950BFA">
        <w:rPr>
          <w:rFonts w:ascii="Calibri" w:hAnsi="Calibri" w:cs="Calibri"/>
          <w:sz w:val="28"/>
          <w:szCs w:val="28"/>
        </w:rPr>
        <w:t>, Frederick</w:t>
      </w:r>
      <w:r w:rsidR="00950BFA">
        <w:rPr>
          <w:rFonts w:ascii="Calibri" w:hAnsi="Calibri" w:cs="Calibri"/>
          <w:sz w:val="28"/>
          <w:szCs w:val="28"/>
        </w:rPr>
        <w:t>,</w:t>
      </w:r>
      <w:r w:rsidRPr="00950BFA">
        <w:rPr>
          <w:rFonts w:ascii="Calibri" w:hAnsi="Calibri" w:cs="Calibri"/>
          <w:sz w:val="28"/>
          <w:szCs w:val="28"/>
        </w:rPr>
        <w:t xml:space="preserve">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Orientalism and Visual Culture: Imagining Mesopotamia in Nineteenth-Century Europe </w:t>
      </w:r>
      <w:r w:rsidRPr="00950BFA">
        <w:rPr>
          <w:rFonts w:ascii="Calibri" w:hAnsi="Calibri" w:cs="Calibri"/>
          <w:sz w:val="28"/>
          <w:szCs w:val="28"/>
        </w:rPr>
        <w:t>(Cambridge University Press, 2003);</w:t>
      </w:r>
    </w:p>
    <w:p w14:paraId="2B36C198" w14:textId="67A58B9E" w:rsidR="00777266" w:rsidRPr="00950BFA" w:rsidRDefault="00777266" w:rsidP="00777266">
      <w:pPr>
        <w:widowControl w:val="0"/>
        <w:autoSpaceDE w:val="0"/>
        <w:autoSpaceDN w:val="0"/>
        <w:adjustRightInd w:val="0"/>
        <w:spacing w:line="440" w:lineRule="atLeast"/>
        <w:ind w:left="360"/>
        <w:rPr>
          <w:rFonts w:ascii="Calibri" w:hAnsi="Calibri" w:cs="Times"/>
          <w:sz w:val="28"/>
          <w:szCs w:val="28"/>
        </w:rPr>
      </w:pPr>
    </w:p>
    <w:p w14:paraId="1716DD04" w14:textId="32FDCCD0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r w:rsidRPr="00950BFA">
        <w:rPr>
          <w:rFonts w:ascii="Calibri" w:hAnsi="Calibri" w:cs="Calibri"/>
          <w:sz w:val="28"/>
          <w:szCs w:val="28"/>
        </w:rPr>
        <w:t xml:space="preserve">Hasan, </w:t>
      </w:r>
      <w:proofErr w:type="spellStart"/>
      <w:r w:rsidRPr="00950BFA">
        <w:rPr>
          <w:rFonts w:ascii="Calibri" w:hAnsi="Calibri" w:cs="Calibri"/>
          <w:sz w:val="28"/>
          <w:szCs w:val="28"/>
        </w:rPr>
        <w:t>Shafiq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,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An Examination of the Multiple and Varied Uses of Arabic-Inspired Pseudo Calligraphy within Italian Religious and Secular Artwork from the 14th to 15th centuries </w:t>
      </w:r>
      <w:r w:rsidRPr="00950BFA">
        <w:rPr>
          <w:rFonts w:ascii="Calibri" w:hAnsi="Calibri" w:cs="Calibri"/>
          <w:sz w:val="28"/>
          <w:szCs w:val="28"/>
        </w:rPr>
        <w:t xml:space="preserve">(Unpublished MA thesis); </w:t>
      </w:r>
    </w:p>
    <w:p w14:paraId="6329A7C3" w14:textId="4DA71C4E" w:rsidR="00777266" w:rsidRPr="00950BFA" w:rsidRDefault="00777266" w:rsidP="00777266">
      <w:pPr>
        <w:widowControl w:val="0"/>
        <w:autoSpaceDE w:val="0"/>
        <w:autoSpaceDN w:val="0"/>
        <w:adjustRightInd w:val="0"/>
        <w:spacing w:line="440" w:lineRule="atLeast"/>
        <w:ind w:left="360"/>
        <w:rPr>
          <w:rFonts w:ascii="Calibri" w:hAnsi="Calibri" w:cs="Times"/>
          <w:sz w:val="28"/>
          <w:szCs w:val="28"/>
        </w:rPr>
      </w:pPr>
    </w:p>
    <w:p w14:paraId="5015BE5A" w14:textId="1EF5C6E3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proofErr w:type="spellStart"/>
      <w:r w:rsidRPr="00950BFA">
        <w:rPr>
          <w:rFonts w:ascii="Calibri" w:hAnsi="Calibri" w:cs="Calibri"/>
          <w:sz w:val="28"/>
          <w:szCs w:val="28"/>
        </w:rPr>
        <w:t>Kabbani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, Rana, ‘Regarding Orientalist Painting Today’ in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The Lure of the East: British Orientalist Painting </w:t>
      </w:r>
      <w:r w:rsidRPr="00950BFA">
        <w:rPr>
          <w:rFonts w:ascii="Calibri" w:hAnsi="Calibri" w:cs="Calibri"/>
          <w:sz w:val="28"/>
          <w:szCs w:val="28"/>
        </w:rPr>
        <w:t>(London: Tate, 2008);</w:t>
      </w:r>
    </w:p>
    <w:p w14:paraId="6D346CB7" w14:textId="55DBB12E" w:rsidR="00777266" w:rsidRPr="00950BFA" w:rsidRDefault="00777266" w:rsidP="00777266">
      <w:pPr>
        <w:widowControl w:val="0"/>
        <w:autoSpaceDE w:val="0"/>
        <w:autoSpaceDN w:val="0"/>
        <w:adjustRightInd w:val="0"/>
        <w:spacing w:line="440" w:lineRule="atLeast"/>
        <w:ind w:left="360"/>
        <w:rPr>
          <w:rFonts w:ascii="Calibri" w:hAnsi="Calibri" w:cs="Times"/>
          <w:sz w:val="28"/>
          <w:szCs w:val="28"/>
        </w:rPr>
      </w:pPr>
    </w:p>
    <w:p w14:paraId="7EE2B1F8" w14:textId="046DBD4F" w:rsidR="00777266" w:rsidRPr="00950BFA" w:rsidRDefault="00777266" w:rsidP="00842383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r w:rsidRPr="00950BFA">
        <w:rPr>
          <w:rFonts w:ascii="Calibri" w:hAnsi="Calibri" w:cs="Calibri"/>
          <w:sz w:val="28"/>
          <w:szCs w:val="28"/>
        </w:rPr>
        <w:t xml:space="preserve">Kalmar, Ivan (ed.),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Orientalism and the Jews </w:t>
      </w:r>
      <w:r w:rsidRPr="00950BFA">
        <w:rPr>
          <w:rFonts w:ascii="Calibri" w:hAnsi="Calibri" w:cs="Calibri"/>
          <w:sz w:val="28"/>
          <w:szCs w:val="28"/>
        </w:rPr>
        <w:t>(</w:t>
      </w:r>
      <w:proofErr w:type="spellStart"/>
      <w:r w:rsidRPr="00950BFA">
        <w:rPr>
          <w:rFonts w:ascii="Calibri" w:hAnsi="Calibri" w:cs="Calibri"/>
          <w:sz w:val="28"/>
          <w:szCs w:val="28"/>
        </w:rPr>
        <w:t>Braneis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 University Press, 2005);</w:t>
      </w:r>
    </w:p>
    <w:p w14:paraId="01043221" w14:textId="77777777" w:rsidR="00842383" w:rsidRDefault="00842383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Calibri"/>
          <w:sz w:val="28"/>
          <w:szCs w:val="28"/>
        </w:rPr>
      </w:pPr>
    </w:p>
    <w:p w14:paraId="7B31852D" w14:textId="0E4AC516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r w:rsidRPr="00950BFA">
        <w:rPr>
          <w:rFonts w:ascii="Calibri" w:hAnsi="Calibri" w:cs="Calibri"/>
          <w:sz w:val="28"/>
          <w:szCs w:val="28"/>
        </w:rPr>
        <w:t xml:space="preserve">Kalmar, Ivan, “Arabizing the Bible: Racial </w:t>
      </w:r>
      <w:proofErr w:type="spellStart"/>
      <w:r w:rsidRPr="00950BFA">
        <w:rPr>
          <w:rFonts w:ascii="Calibri" w:hAnsi="Calibri" w:cs="Calibri"/>
          <w:sz w:val="28"/>
          <w:szCs w:val="28"/>
        </w:rPr>
        <w:t>Supersessionism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 in Nineteenth-century Christian Art and Biblical Scholarship”, pp. 176-187</w:t>
      </w:r>
      <w:r w:rsidR="00292BFD" w:rsidRPr="00950BFA">
        <w:rPr>
          <w:rFonts w:ascii="Calibri" w:hAnsi="Calibri" w:cs="Times"/>
          <w:sz w:val="28"/>
          <w:szCs w:val="28"/>
        </w:rPr>
        <w:t xml:space="preserve"> </w:t>
      </w:r>
      <w:r w:rsidRPr="00950BFA">
        <w:rPr>
          <w:rFonts w:ascii="Calibri" w:hAnsi="Calibri" w:cs="Calibri"/>
          <w:sz w:val="28"/>
          <w:szCs w:val="28"/>
        </w:rPr>
        <w:t xml:space="preserve">in Ian </w:t>
      </w:r>
      <w:proofErr w:type="spellStart"/>
      <w:r w:rsidRPr="00950BFA">
        <w:rPr>
          <w:rFonts w:ascii="Calibri" w:hAnsi="Calibri" w:cs="Calibri"/>
          <w:sz w:val="28"/>
          <w:szCs w:val="28"/>
        </w:rPr>
        <w:t>Netton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 (</w:t>
      </w:r>
      <w:proofErr w:type="spellStart"/>
      <w:r w:rsidRPr="00950BFA">
        <w:rPr>
          <w:rFonts w:ascii="Calibri" w:hAnsi="Calibri" w:cs="Calibri"/>
          <w:sz w:val="28"/>
          <w:szCs w:val="28"/>
        </w:rPr>
        <w:t>ed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),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Orientalism Revisited: Art, Land, Voyage </w:t>
      </w:r>
      <w:r w:rsidRPr="00950BFA">
        <w:rPr>
          <w:rFonts w:ascii="Calibri" w:hAnsi="Calibri" w:cs="Calibri"/>
          <w:sz w:val="28"/>
          <w:szCs w:val="28"/>
        </w:rPr>
        <w:t>(Routledge, 2013);</w:t>
      </w:r>
    </w:p>
    <w:p w14:paraId="35CF0FC7" w14:textId="6577A3F3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</w:p>
    <w:p w14:paraId="639D05A8" w14:textId="39D97BA4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proofErr w:type="spellStart"/>
      <w:r w:rsidRPr="00950BFA">
        <w:rPr>
          <w:rFonts w:ascii="Calibri" w:hAnsi="Calibri" w:cs="Calibri"/>
          <w:sz w:val="28"/>
          <w:szCs w:val="28"/>
        </w:rPr>
        <w:t>McGeough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, Kevin,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The Ancient Near East in the Nineteenth Century: Appreciations and Appropriations </w:t>
      </w:r>
      <w:r w:rsidRPr="00950BFA">
        <w:rPr>
          <w:rFonts w:ascii="Calibri" w:hAnsi="Calibri" w:cs="Calibri"/>
          <w:sz w:val="28"/>
          <w:szCs w:val="28"/>
        </w:rPr>
        <w:t>(3 Volumes, Sheffield Phoenix Press, 2015);</w:t>
      </w:r>
    </w:p>
    <w:p w14:paraId="19EED8FF" w14:textId="67691EAA" w:rsidR="00777266" w:rsidRPr="00950BFA" w:rsidRDefault="00777266" w:rsidP="00777266">
      <w:pPr>
        <w:widowControl w:val="0"/>
        <w:autoSpaceDE w:val="0"/>
        <w:autoSpaceDN w:val="0"/>
        <w:adjustRightInd w:val="0"/>
        <w:spacing w:line="440" w:lineRule="atLeast"/>
        <w:ind w:left="360"/>
        <w:rPr>
          <w:rFonts w:ascii="Calibri" w:hAnsi="Calibri" w:cs="Times"/>
          <w:sz w:val="28"/>
          <w:szCs w:val="28"/>
        </w:rPr>
      </w:pPr>
    </w:p>
    <w:p w14:paraId="7B0775BE" w14:textId="46CA42AA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proofErr w:type="spellStart"/>
      <w:r w:rsidRPr="00950BFA">
        <w:rPr>
          <w:rFonts w:ascii="Calibri" w:hAnsi="Calibri" w:cs="Calibri"/>
          <w:sz w:val="28"/>
          <w:szCs w:val="28"/>
        </w:rPr>
        <w:t>Nochlin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, Linda, ‘The Imaginary Orient’, in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The Politics of Vision </w:t>
      </w:r>
      <w:r w:rsidRPr="00950BFA">
        <w:rPr>
          <w:rFonts w:ascii="Calibri" w:hAnsi="Calibri" w:cs="Calibri"/>
          <w:sz w:val="28"/>
          <w:szCs w:val="28"/>
        </w:rPr>
        <w:t>(Thames and Hudson, 1991);</w:t>
      </w:r>
    </w:p>
    <w:p w14:paraId="683CE252" w14:textId="586C449B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</w:p>
    <w:p w14:paraId="1BF9E34B" w14:textId="423FAF42" w:rsidR="00777266" w:rsidRPr="00950BFA" w:rsidRDefault="00777266" w:rsidP="00292BFD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r w:rsidRPr="00950BFA">
        <w:rPr>
          <w:rFonts w:ascii="Calibri" w:hAnsi="Calibri" w:cs="Calibri"/>
          <w:sz w:val="28"/>
          <w:szCs w:val="28"/>
        </w:rPr>
        <w:t xml:space="preserve">O’Kane, Martin, “The Bible in </w:t>
      </w:r>
      <w:proofErr w:type="gramStart"/>
      <w:r w:rsidRPr="00950BFA">
        <w:rPr>
          <w:rFonts w:ascii="Calibri" w:hAnsi="Calibri" w:cs="Calibri"/>
          <w:sz w:val="28"/>
          <w:szCs w:val="28"/>
        </w:rPr>
        <w:t>Orientalist  Art</w:t>
      </w:r>
      <w:proofErr w:type="gramEnd"/>
      <w:r w:rsidRPr="00950BFA">
        <w:rPr>
          <w:rFonts w:ascii="Calibri" w:hAnsi="Calibri" w:cs="Calibri"/>
          <w:sz w:val="28"/>
          <w:szCs w:val="28"/>
        </w:rPr>
        <w:t xml:space="preserve">”,  pp. 288-309 in David Clines an Ellen van </w:t>
      </w:r>
      <w:proofErr w:type="spellStart"/>
      <w:r w:rsidRPr="00950BFA">
        <w:rPr>
          <w:rFonts w:ascii="Calibri" w:hAnsi="Calibri" w:cs="Calibri"/>
          <w:sz w:val="28"/>
          <w:szCs w:val="28"/>
        </w:rPr>
        <w:t>Wolde</w:t>
      </w:r>
      <w:proofErr w:type="spellEnd"/>
      <w:r w:rsidRPr="00950BFA">
        <w:rPr>
          <w:rFonts w:ascii="Calibri" w:hAnsi="Calibri" w:cs="Calibri"/>
          <w:sz w:val="28"/>
          <w:szCs w:val="28"/>
        </w:rPr>
        <w:t xml:space="preserve"> (</w:t>
      </w:r>
      <w:proofErr w:type="spellStart"/>
      <w:r w:rsidRPr="00950BFA">
        <w:rPr>
          <w:rFonts w:ascii="Calibri" w:hAnsi="Calibri" w:cs="Calibri"/>
          <w:sz w:val="28"/>
          <w:szCs w:val="28"/>
        </w:rPr>
        <w:t>eds</w:t>
      </w:r>
      <w:proofErr w:type="spellEnd"/>
      <w:r w:rsidRPr="00950BFA">
        <w:rPr>
          <w:rFonts w:ascii="Calibri" w:hAnsi="Calibri" w:cs="Calibri"/>
          <w:sz w:val="28"/>
          <w:szCs w:val="28"/>
        </w:rPr>
        <w:t>),</w:t>
      </w:r>
      <w:r w:rsidR="00292BFD" w:rsidRPr="00950BFA">
        <w:rPr>
          <w:rFonts w:ascii="Calibri" w:hAnsi="Calibri" w:cs="Times"/>
          <w:sz w:val="28"/>
          <w:szCs w:val="28"/>
        </w:rPr>
        <w:t xml:space="preserve"> </w:t>
      </w:r>
      <w:r w:rsidRPr="00950BFA">
        <w:rPr>
          <w:rFonts w:ascii="Calibri" w:hAnsi="Calibri" w:cs="Calibri"/>
          <w:i/>
          <w:iCs/>
          <w:sz w:val="28"/>
          <w:szCs w:val="28"/>
        </w:rPr>
        <w:t xml:space="preserve">A Critical Engagement: Essays on the Hebrew Bible in </w:t>
      </w:r>
      <w:proofErr w:type="spellStart"/>
      <w:r w:rsidRPr="00950BFA">
        <w:rPr>
          <w:rFonts w:ascii="Calibri" w:hAnsi="Calibri" w:cs="Calibri"/>
          <w:i/>
          <w:iCs/>
          <w:sz w:val="28"/>
          <w:szCs w:val="28"/>
        </w:rPr>
        <w:t>Honour</w:t>
      </w:r>
      <w:proofErr w:type="spellEnd"/>
      <w:r w:rsidRPr="00950BFA">
        <w:rPr>
          <w:rFonts w:ascii="Calibri" w:hAnsi="Calibri" w:cs="Calibri"/>
          <w:i/>
          <w:iCs/>
          <w:sz w:val="28"/>
          <w:szCs w:val="28"/>
        </w:rPr>
        <w:t xml:space="preserve">  of J. Cheryl </w:t>
      </w:r>
      <w:proofErr w:type="spellStart"/>
      <w:r w:rsidRPr="00950BFA">
        <w:rPr>
          <w:rFonts w:ascii="Calibri" w:hAnsi="Calibri" w:cs="Calibri"/>
          <w:i/>
          <w:iCs/>
          <w:sz w:val="28"/>
          <w:szCs w:val="28"/>
        </w:rPr>
        <w:t>Exum</w:t>
      </w:r>
      <w:proofErr w:type="spellEnd"/>
      <w:r w:rsidRPr="00950BFA">
        <w:rPr>
          <w:rFonts w:ascii="Calibri" w:hAnsi="Calibri" w:cs="Calibri"/>
          <w:i/>
          <w:iCs/>
          <w:sz w:val="28"/>
          <w:szCs w:val="28"/>
        </w:rPr>
        <w:t xml:space="preserve"> </w:t>
      </w:r>
      <w:r w:rsidRPr="00950BFA">
        <w:rPr>
          <w:rFonts w:ascii="Calibri" w:hAnsi="Calibri" w:cs="Calibri"/>
          <w:sz w:val="28"/>
          <w:szCs w:val="28"/>
        </w:rPr>
        <w:t>(Sheffield Phoenix Press, 2011).</w:t>
      </w:r>
    </w:p>
    <w:p w14:paraId="74C3E3E9" w14:textId="77777777" w:rsidR="008C6EC8" w:rsidRDefault="008C6EC8" w:rsidP="008C6EC8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</w:p>
    <w:p w14:paraId="1A0B55DC" w14:textId="77777777" w:rsidR="008C6EC8" w:rsidRDefault="008C6EC8" w:rsidP="008C6EC8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  <w:r>
        <w:rPr>
          <w:rFonts w:asciiTheme="minorHAnsi" w:eastAsia="Times New Roman" w:hAnsiTheme="minorHAnsi"/>
          <w:color w:val="535353"/>
          <w:sz w:val="28"/>
          <w:szCs w:val="28"/>
        </w:rPr>
        <w:t>O’Kane, Martin, ‘Painting King Solomon in Islamic and Orientalist Tradition’</w:t>
      </w:r>
    </w:p>
    <w:p w14:paraId="3FE9A845" w14:textId="77777777" w:rsidR="008C6EC8" w:rsidRDefault="008C6EC8" w:rsidP="008C6EC8">
      <w:pPr>
        <w:spacing w:line="276" w:lineRule="auto"/>
        <w:rPr>
          <w:rFonts w:asciiTheme="minorHAnsi" w:eastAsia="Times New Roman" w:hAnsiTheme="minorHAnsi"/>
          <w:color w:val="535353"/>
          <w:sz w:val="28"/>
          <w:szCs w:val="28"/>
        </w:rPr>
      </w:pPr>
      <w:r w:rsidRPr="00966C74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 xml:space="preserve">Die Bible in der </w:t>
      </w:r>
      <w:proofErr w:type="spellStart"/>
      <w:r w:rsidRPr="00966C74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Kunst</w:t>
      </w:r>
      <w:proofErr w:type="spellEnd"/>
      <w:r>
        <w:rPr>
          <w:rFonts w:asciiTheme="minorHAnsi" w:eastAsia="Times New Roman" w:hAnsiTheme="minorHAnsi"/>
          <w:color w:val="535353"/>
          <w:sz w:val="28"/>
          <w:szCs w:val="28"/>
        </w:rPr>
        <w:t xml:space="preserve"> (</w:t>
      </w:r>
      <w:proofErr w:type="spellStart"/>
      <w:r w:rsidRPr="00966C74">
        <w:rPr>
          <w:rFonts w:asciiTheme="minorHAnsi" w:eastAsia="Times New Roman" w:hAnsiTheme="minorHAnsi"/>
          <w:i/>
          <w:iCs/>
          <w:color w:val="535353"/>
          <w:sz w:val="28"/>
          <w:szCs w:val="28"/>
        </w:rPr>
        <w:t>BiKu</w:t>
      </w:r>
      <w:proofErr w:type="spellEnd"/>
      <w:r>
        <w:rPr>
          <w:rFonts w:asciiTheme="minorHAnsi" w:eastAsia="Times New Roman" w:hAnsiTheme="minorHAnsi"/>
          <w:color w:val="535353"/>
          <w:sz w:val="28"/>
          <w:szCs w:val="28"/>
        </w:rPr>
        <w:t>), 2016.</w:t>
      </w:r>
    </w:p>
    <w:p w14:paraId="01E9469F" w14:textId="77777777" w:rsidR="008C6EC8" w:rsidRDefault="008C6EC8" w:rsidP="008C6EC8">
      <w:pPr>
        <w:spacing w:line="276" w:lineRule="auto"/>
        <w:rPr>
          <w:rFonts w:asciiTheme="minorHAnsi" w:eastAsia="Times New Roman" w:hAnsiTheme="minorHAnsi"/>
          <w:i/>
          <w:iCs/>
          <w:color w:val="535353"/>
          <w:sz w:val="28"/>
          <w:szCs w:val="28"/>
        </w:rPr>
      </w:pPr>
      <w:hyperlink r:id="rId5" w:history="1"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https://</w:t>
        </w:r>
        <w:proofErr w:type="spellStart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www.academic-bible.com</w:t>
        </w:r>
        <w:proofErr w:type="spellEnd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/</w:t>
        </w:r>
        <w:proofErr w:type="spellStart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en</w:t>
        </w:r>
        <w:proofErr w:type="spellEnd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/die-</w:t>
        </w:r>
        <w:proofErr w:type="spellStart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bibel</w:t>
        </w:r>
        <w:proofErr w:type="spellEnd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-in-der-</w:t>
        </w:r>
        <w:proofErr w:type="spellStart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kunst</w:t>
        </w:r>
        <w:proofErr w:type="spellEnd"/>
        <w:r w:rsidRPr="00C27CF3">
          <w:rPr>
            <w:rStyle w:val="Hyperlink"/>
            <w:rFonts w:asciiTheme="minorHAnsi" w:eastAsia="Times New Roman" w:hAnsiTheme="minorHAnsi"/>
            <w:i/>
            <w:iCs/>
            <w:sz w:val="28"/>
            <w:szCs w:val="28"/>
          </w:rPr>
          <w:t>/</w:t>
        </w:r>
      </w:hyperlink>
    </w:p>
    <w:p w14:paraId="62370B93" w14:textId="77777777" w:rsidR="008C6EC8" w:rsidRDefault="008C6EC8" w:rsidP="00950BFA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</w:p>
    <w:p w14:paraId="074AAC97" w14:textId="5A3DEEFA" w:rsidR="00292BFD" w:rsidRDefault="00292BFD" w:rsidP="00950BFA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  <w:r w:rsidRPr="00950BFA">
        <w:rPr>
          <w:rFonts w:ascii="Calibri" w:hAnsi="Calibri" w:cs="Times"/>
          <w:sz w:val="28"/>
          <w:szCs w:val="28"/>
        </w:rPr>
        <w:t>Said, Edward,</w:t>
      </w:r>
      <w:r w:rsidRPr="00950BFA">
        <w:rPr>
          <w:rFonts w:ascii="Calibri" w:hAnsi="Calibri" w:cs="Times"/>
          <w:i/>
          <w:iCs/>
          <w:sz w:val="28"/>
          <w:szCs w:val="28"/>
        </w:rPr>
        <w:t xml:space="preserve"> </w:t>
      </w:r>
      <w:r w:rsidR="00950BFA" w:rsidRPr="00950BFA">
        <w:rPr>
          <w:rFonts w:ascii="Calibri" w:hAnsi="Calibri" w:cs="Times"/>
          <w:i/>
          <w:iCs/>
          <w:sz w:val="28"/>
          <w:szCs w:val="28"/>
        </w:rPr>
        <w:t>Orientalism</w:t>
      </w:r>
      <w:r w:rsidRPr="00950BFA">
        <w:rPr>
          <w:rFonts w:ascii="Calibri" w:hAnsi="Calibri" w:cs="Times"/>
          <w:sz w:val="28"/>
          <w:szCs w:val="28"/>
        </w:rPr>
        <w:t xml:space="preserve"> (</w:t>
      </w:r>
      <w:r w:rsidR="00950BFA">
        <w:rPr>
          <w:rFonts w:ascii="Calibri" w:hAnsi="Calibri" w:cs="Times"/>
          <w:sz w:val="28"/>
          <w:szCs w:val="28"/>
        </w:rPr>
        <w:t xml:space="preserve">Penguin, </w:t>
      </w:r>
      <w:r w:rsidRPr="00950BFA">
        <w:rPr>
          <w:rFonts w:ascii="Calibri" w:hAnsi="Calibri" w:cs="Times"/>
          <w:sz w:val="28"/>
          <w:szCs w:val="28"/>
        </w:rPr>
        <w:t>1991).</w:t>
      </w:r>
    </w:p>
    <w:p w14:paraId="1903D8D5" w14:textId="77777777" w:rsidR="00842383" w:rsidRDefault="00842383" w:rsidP="00950BFA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</w:p>
    <w:p w14:paraId="43A229BD" w14:textId="77777777" w:rsidR="00842383" w:rsidRPr="00950BFA" w:rsidRDefault="00842383" w:rsidP="00950BFA">
      <w:pPr>
        <w:widowControl w:val="0"/>
        <w:autoSpaceDE w:val="0"/>
        <w:autoSpaceDN w:val="0"/>
        <w:adjustRightInd w:val="0"/>
        <w:spacing w:line="440" w:lineRule="atLeast"/>
        <w:rPr>
          <w:rFonts w:ascii="Calibri" w:hAnsi="Calibri" w:cs="Times"/>
          <w:sz w:val="28"/>
          <w:szCs w:val="28"/>
        </w:rPr>
      </w:pPr>
    </w:p>
    <w:p w14:paraId="6412196D" w14:textId="0E7ED5C9" w:rsidR="00966C74" w:rsidRPr="00950BFA" w:rsidRDefault="00966C74" w:rsidP="00777266">
      <w:pPr>
        <w:ind w:left="60"/>
        <w:rPr>
          <w:rFonts w:ascii="Calibri" w:hAnsi="Calibri" w:cstheme="minorBidi"/>
          <w:sz w:val="28"/>
          <w:szCs w:val="28"/>
        </w:rPr>
      </w:pPr>
    </w:p>
    <w:p w14:paraId="47F6F6F5" w14:textId="77777777" w:rsidR="00384B4C" w:rsidRPr="00950BFA" w:rsidRDefault="00384B4C" w:rsidP="00777266">
      <w:pPr>
        <w:rPr>
          <w:rFonts w:ascii="Calibri" w:eastAsia="Times New Roman" w:hAnsi="Calibri"/>
          <w:sz w:val="28"/>
          <w:szCs w:val="28"/>
        </w:rPr>
      </w:pPr>
    </w:p>
    <w:sectPr w:rsidR="00384B4C" w:rsidRPr="00950BFA" w:rsidSect="004F69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A54D8"/>
    <w:multiLevelType w:val="hybridMultilevel"/>
    <w:tmpl w:val="41084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40ACE"/>
    <w:multiLevelType w:val="hybridMultilevel"/>
    <w:tmpl w:val="8760D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64684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  <w:sz w:val="3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B4C"/>
    <w:rsid w:val="0009692D"/>
    <w:rsid w:val="00102E94"/>
    <w:rsid w:val="00282CDA"/>
    <w:rsid w:val="00292BFD"/>
    <w:rsid w:val="003524EB"/>
    <w:rsid w:val="00384B4C"/>
    <w:rsid w:val="004E301D"/>
    <w:rsid w:val="004F6958"/>
    <w:rsid w:val="00743250"/>
    <w:rsid w:val="00777266"/>
    <w:rsid w:val="0078204D"/>
    <w:rsid w:val="00842383"/>
    <w:rsid w:val="00846D21"/>
    <w:rsid w:val="008C6EC8"/>
    <w:rsid w:val="00950BFA"/>
    <w:rsid w:val="00966C74"/>
    <w:rsid w:val="009C63F9"/>
    <w:rsid w:val="00A51CBA"/>
    <w:rsid w:val="00C66F2A"/>
    <w:rsid w:val="00DE78AE"/>
    <w:rsid w:val="00E32414"/>
    <w:rsid w:val="00EA08E6"/>
    <w:rsid w:val="00EB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ACFF8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77266"/>
    <w:rPr>
      <w:rFonts w:ascii="Times New Roman" w:hAnsi="Times New Roman" w:cs="Times New Roman"/>
    </w:rPr>
  </w:style>
  <w:style w:type="paragraph" w:styleId="Heading3">
    <w:name w:val="heading 3"/>
    <w:basedOn w:val="Normal"/>
    <w:link w:val="Heading3Char"/>
    <w:uiPriority w:val="9"/>
    <w:qFormat/>
    <w:rsid w:val="00EB2A7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B2A75"/>
    <w:rPr>
      <w:rFonts w:ascii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EB2A75"/>
    <w:rPr>
      <w:color w:val="0000FF"/>
      <w:u w:val="single"/>
    </w:rPr>
  </w:style>
  <w:style w:type="character" w:customStyle="1" w:styleId="hidden">
    <w:name w:val="hidden"/>
    <w:basedOn w:val="DefaultParagraphFont"/>
    <w:rsid w:val="00EB2A75"/>
  </w:style>
  <w:style w:type="paragraph" w:styleId="Caption">
    <w:name w:val="caption"/>
    <w:aliases w:val="caption"/>
    <w:basedOn w:val="Normal"/>
    <w:uiPriority w:val="35"/>
    <w:qFormat/>
    <w:rsid w:val="00EB2A7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B2A75"/>
    <w:rPr>
      <w:b/>
      <w:bCs/>
    </w:rPr>
  </w:style>
  <w:style w:type="character" w:customStyle="1" w:styleId="medium-font">
    <w:name w:val="medium-font"/>
    <w:basedOn w:val="DefaultParagraphFont"/>
    <w:rsid w:val="00EB2A75"/>
  </w:style>
  <w:style w:type="paragraph" w:styleId="ListParagraph">
    <w:name w:val="List Paragraph"/>
    <w:basedOn w:val="Normal"/>
    <w:uiPriority w:val="34"/>
    <w:qFormat/>
    <w:rsid w:val="00777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7803">
          <w:marLeft w:val="-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1703">
          <w:marLeft w:val="-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2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6700">
          <w:marLeft w:val="-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academic-bible.com/en/die-bibel-in-der-kunst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469</Words>
  <Characters>2674</Characters>
  <Application>Microsoft Macintosh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2018-05-14T07:54:00Z</dcterms:created>
  <dcterms:modified xsi:type="dcterms:W3CDTF">2018-05-17T08:53:00Z</dcterms:modified>
</cp:coreProperties>
</file>