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FADB06" w14:textId="41A929C8" w:rsidR="00227DF5" w:rsidRPr="005B39E2" w:rsidRDefault="008D1061" w:rsidP="00227DF5">
      <w:pPr>
        <w:tabs>
          <w:tab w:val="left" w:pos="720"/>
        </w:tabs>
        <w:spacing w:line="480" w:lineRule="auto"/>
        <w:jc w:val="center"/>
        <w:rPr>
          <w:b/>
          <w:bCs/>
          <w:color w:val="000000" w:themeColor="text1"/>
          <w:sz w:val="24"/>
          <w:szCs w:val="24"/>
        </w:rPr>
      </w:pPr>
      <w:r>
        <w:rPr>
          <w:b/>
          <w:bCs/>
          <w:color w:val="000000" w:themeColor="text1"/>
          <w:sz w:val="24"/>
          <w:szCs w:val="24"/>
        </w:rPr>
        <w:t>Promoting Social Cohesion and Understanding: The Impact of the Peace Mala Initiative on Young People in the South Wales Police Youth Volunteer Scheme</w:t>
      </w:r>
    </w:p>
    <w:p w14:paraId="52B12D4D" w14:textId="77777777" w:rsidR="00227DF5" w:rsidRPr="005B39E2" w:rsidRDefault="00227DF5" w:rsidP="00227DF5">
      <w:pPr>
        <w:tabs>
          <w:tab w:val="left" w:pos="720"/>
        </w:tabs>
        <w:spacing w:line="480" w:lineRule="auto"/>
        <w:jc w:val="both"/>
        <w:rPr>
          <w:i/>
          <w:iCs/>
          <w:color w:val="000000" w:themeColor="text1"/>
          <w:sz w:val="24"/>
          <w:szCs w:val="24"/>
        </w:rPr>
      </w:pPr>
    </w:p>
    <w:p w14:paraId="7223BEAF" w14:textId="77777777" w:rsidR="00227DF5" w:rsidRPr="005B39E2" w:rsidRDefault="00227DF5" w:rsidP="00227DF5">
      <w:pPr>
        <w:tabs>
          <w:tab w:val="left" w:pos="720"/>
        </w:tabs>
        <w:spacing w:line="480" w:lineRule="auto"/>
        <w:jc w:val="both"/>
        <w:rPr>
          <w:i/>
          <w:iCs/>
          <w:color w:val="000000" w:themeColor="text1"/>
          <w:sz w:val="24"/>
          <w:szCs w:val="24"/>
        </w:rPr>
      </w:pPr>
      <w:r w:rsidRPr="005B39E2">
        <w:rPr>
          <w:i/>
          <w:iCs/>
          <w:color w:val="000000" w:themeColor="text1"/>
          <w:sz w:val="24"/>
          <w:szCs w:val="24"/>
        </w:rPr>
        <w:t>Proposed question</w:t>
      </w:r>
    </w:p>
    <w:p w14:paraId="60572600" w14:textId="21B2229D" w:rsidR="00227DF5" w:rsidRPr="005B39E2" w:rsidRDefault="008D1061" w:rsidP="00227DF5">
      <w:pPr>
        <w:tabs>
          <w:tab w:val="left" w:pos="720"/>
        </w:tabs>
        <w:spacing w:line="480" w:lineRule="auto"/>
        <w:jc w:val="both"/>
        <w:rPr>
          <w:color w:val="000000" w:themeColor="text1"/>
          <w:sz w:val="24"/>
          <w:szCs w:val="24"/>
        </w:rPr>
      </w:pPr>
      <w:r>
        <w:rPr>
          <w:color w:val="000000" w:themeColor="text1"/>
          <w:sz w:val="24"/>
          <w:szCs w:val="24"/>
        </w:rPr>
        <w:t xml:space="preserve">How does the implementation of the Peace Mala initiative within the South Wales Police Youth Volunteer (PYV) scheme impact young people’s attitudes towards diversity, social cohesion, and their understanding of human rights and social injustices? </w:t>
      </w:r>
    </w:p>
    <w:p w14:paraId="0A59B388" w14:textId="77777777" w:rsidR="00227DF5" w:rsidRPr="005B39E2" w:rsidRDefault="00227DF5" w:rsidP="00227DF5">
      <w:pPr>
        <w:tabs>
          <w:tab w:val="left" w:pos="720"/>
        </w:tabs>
        <w:spacing w:line="480" w:lineRule="auto"/>
        <w:jc w:val="both"/>
        <w:rPr>
          <w:i/>
          <w:iCs/>
          <w:color w:val="000000" w:themeColor="text1"/>
          <w:sz w:val="24"/>
          <w:szCs w:val="24"/>
        </w:rPr>
      </w:pPr>
    </w:p>
    <w:p w14:paraId="2E49209B" w14:textId="77777777" w:rsidR="00227DF5" w:rsidRPr="005B39E2" w:rsidRDefault="00227DF5" w:rsidP="00227DF5">
      <w:pPr>
        <w:tabs>
          <w:tab w:val="left" w:pos="720"/>
        </w:tabs>
        <w:spacing w:line="480" w:lineRule="auto"/>
        <w:jc w:val="both"/>
        <w:rPr>
          <w:i/>
          <w:iCs/>
          <w:color w:val="000000" w:themeColor="text1"/>
          <w:sz w:val="24"/>
          <w:szCs w:val="24"/>
        </w:rPr>
      </w:pPr>
      <w:r w:rsidRPr="005B39E2">
        <w:rPr>
          <w:i/>
          <w:iCs/>
          <w:color w:val="000000" w:themeColor="text1"/>
          <w:sz w:val="24"/>
          <w:szCs w:val="24"/>
        </w:rPr>
        <w:t>Background</w:t>
      </w:r>
    </w:p>
    <w:p w14:paraId="467496A0" w14:textId="3ED67E99" w:rsidR="00227DF5" w:rsidRPr="005B39E2"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t>Employed at the Boys’ and Girls’ Clubs of Wales (BGC Wales), the youth worker and their team are planning and delivering a tailored programme for the PYV Scheme (BGC Wales, no date). The scheme, for ages fourteen to eighteen, is currently being piloted across two PYV hubs, expanding to ten in September. Its aims are to promote young people’s sense of adventure and good citizenship, inspire positive</w:t>
      </w:r>
      <w:r w:rsidR="00B44CA9">
        <w:rPr>
          <w:color w:val="000000" w:themeColor="text1"/>
          <w:sz w:val="24"/>
          <w:szCs w:val="24"/>
        </w:rPr>
        <w:t xml:space="preserve"> </w:t>
      </w:r>
      <w:r w:rsidRPr="005B39E2">
        <w:rPr>
          <w:color w:val="000000" w:themeColor="text1"/>
          <w:sz w:val="24"/>
          <w:szCs w:val="24"/>
        </w:rPr>
        <w:t xml:space="preserve">community participation, and support local policing priorities (BGC Wales, no date). Providing educational opportunities which reflect youth work’s Five Pillars; educative, inclusive, expressive, participative, and empowering </w:t>
      </w:r>
      <w:r w:rsidR="00A458EF" w:rsidRPr="005C7E2E">
        <w:rPr>
          <w:color w:val="222222"/>
          <w:sz w:val="24"/>
          <w:szCs w:val="24"/>
        </w:rPr>
        <w:t>(Youth Work in Review Group (YWIWRG), 2022)</w:t>
      </w:r>
      <w:r w:rsidR="00A458EF">
        <w:rPr>
          <w:color w:val="222222"/>
          <w:sz w:val="24"/>
          <w:szCs w:val="24"/>
        </w:rPr>
        <w:t xml:space="preserve">, </w:t>
      </w:r>
      <w:r w:rsidRPr="005B39E2">
        <w:rPr>
          <w:color w:val="000000" w:themeColor="text1"/>
          <w:sz w:val="24"/>
          <w:szCs w:val="24"/>
        </w:rPr>
        <w:t xml:space="preserve">in addition to promoting young people’s wellbeing, personal development, and community engagement, are the main emphasis for BGC Wales (no date) involvement. </w:t>
      </w:r>
    </w:p>
    <w:p w14:paraId="01C35A6F" w14:textId="77777777" w:rsidR="00227DF5" w:rsidRPr="005B39E2" w:rsidRDefault="00227DF5" w:rsidP="00227DF5">
      <w:pPr>
        <w:tabs>
          <w:tab w:val="left" w:pos="720"/>
        </w:tabs>
        <w:spacing w:line="480" w:lineRule="auto"/>
        <w:jc w:val="both"/>
        <w:rPr>
          <w:color w:val="000000" w:themeColor="text1"/>
          <w:sz w:val="24"/>
          <w:szCs w:val="24"/>
        </w:rPr>
      </w:pPr>
    </w:p>
    <w:p w14:paraId="312364C3" w14:textId="5AF1AB66" w:rsidR="00966F43"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t xml:space="preserve">A key component of the PYV programme is the delivery of Peace Mala, a framework, and an accredited award for young people, aimed at promoting peace, understanding and respect among different cultures, </w:t>
      </w:r>
      <w:r w:rsidR="00DE3F5E" w:rsidRPr="005B39E2">
        <w:rPr>
          <w:color w:val="000000" w:themeColor="text1"/>
          <w:sz w:val="24"/>
          <w:szCs w:val="24"/>
        </w:rPr>
        <w:t>religions,</w:t>
      </w:r>
      <w:r w:rsidRPr="005B39E2">
        <w:rPr>
          <w:color w:val="000000" w:themeColor="text1"/>
          <w:sz w:val="24"/>
          <w:szCs w:val="24"/>
        </w:rPr>
        <w:t xml:space="preserve"> and backgrounds (Peace Mala, no date). To achieve this Award requires engagement in cross-curricular activities focussed around </w:t>
      </w:r>
      <w:r w:rsidR="000C5CA0">
        <w:rPr>
          <w:color w:val="000000" w:themeColor="text1"/>
          <w:sz w:val="24"/>
          <w:szCs w:val="24"/>
        </w:rPr>
        <w:t xml:space="preserve">the </w:t>
      </w:r>
      <w:r w:rsidRPr="005B39E2">
        <w:rPr>
          <w:color w:val="000000" w:themeColor="text1"/>
          <w:sz w:val="24"/>
          <w:szCs w:val="24"/>
        </w:rPr>
        <w:t xml:space="preserve">seven key areas of community cohesion, global citizenship, needs and human rights, interdependence, active </w:t>
      </w:r>
      <w:r w:rsidRPr="005B39E2">
        <w:rPr>
          <w:color w:val="000000" w:themeColor="text1"/>
          <w:sz w:val="24"/>
          <w:szCs w:val="24"/>
        </w:rPr>
        <w:lastRenderedPageBreak/>
        <w:t xml:space="preserve">compassion, the celebration of diversity, environmental responsibilities, and peaceful conflict resolution (Peace Mala, no date). </w:t>
      </w:r>
    </w:p>
    <w:p w14:paraId="067198A6" w14:textId="77777777" w:rsidR="00966F43" w:rsidRDefault="00966F43" w:rsidP="00227DF5">
      <w:pPr>
        <w:tabs>
          <w:tab w:val="left" w:pos="720"/>
        </w:tabs>
        <w:spacing w:line="480" w:lineRule="auto"/>
        <w:jc w:val="both"/>
        <w:rPr>
          <w:color w:val="000000" w:themeColor="text1"/>
          <w:sz w:val="24"/>
          <w:szCs w:val="24"/>
        </w:rPr>
      </w:pPr>
    </w:p>
    <w:p w14:paraId="13110075" w14:textId="6C9639A7" w:rsidR="00227DF5"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t xml:space="preserve">Aligning with the values of equity, diversity, and inclusion, outlined in </w:t>
      </w:r>
      <w:r w:rsidR="00A458EF" w:rsidRPr="005C7E2E">
        <w:rPr>
          <w:color w:val="222222"/>
          <w:sz w:val="24"/>
          <w:szCs w:val="24"/>
        </w:rPr>
        <w:t xml:space="preserve">National Occupational Standards for Youth Work (NOS) (Community Learning and Development, Standards Council Scotland (CLD SSC), 2019), </w:t>
      </w:r>
      <w:r w:rsidRPr="005B39E2">
        <w:rPr>
          <w:color w:val="000000" w:themeColor="text1"/>
          <w:sz w:val="24"/>
          <w:szCs w:val="24"/>
        </w:rPr>
        <w:t>in addition to the inclusive culture advocated by South Wales Police (no date), Peace Mala (no date) also suggests an innovative answer to the Government’s Education for Sustainable Development and Global Citizenship (ESDGC) directive.</w:t>
      </w:r>
    </w:p>
    <w:p w14:paraId="6216B1CA" w14:textId="77777777" w:rsidR="00966F43" w:rsidRDefault="00966F43" w:rsidP="00227DF5">
      <w:pPr>
        <w:tabs>
          <w:tab w:val="left" w:pos="720"/>
        </w:tabs>
        <w:spacing w:line="480" w:lineRule="auto"/>
        <w:jc w:val="both"/>
        <w:rPr>
          <w:color w:val="000000" w:themeColor="text1"/>
          <w:sz w:val="24"/>
          <w:szCs w:val="24"/>
        </w:rPr>
      </w:pPr>
    </w:p>
    <w:p w14:paraId="5CD7485A" w14:textId="14945315" w:rsidR="00966F43" w:rsidRDefault="00F63DF9" w:rsidP="00227DF5">
      <w:pPr>
        <w:tabs>
          <w:tab w:val="left" w:pos="720"/>
        </w:tabs>
        <w:spacing w:line="480" w:lineRule="auto"/>
        <w:jc w:val="both"/>
        <w:rPr>
          <w:color w:val="000000" w:themeColor="text1"/>
          <w:sz w:val="24"/>
          <w:szCs w:val="24"/>
        </w:rPr>
      </w:pPr>
      <w:r>
        <w:rPr>
          <w:color w:val="000000" w:themeColor="text1"/>
          <w:sz w:val="24"/>
          <w:szCs w:val="24"/>
        </w:rPr>
        <w:t xml:space="preserve">For the purpose of this study, the impact of Peace Mala will be assessed </w:t>
      </w:r>
      <w:r w:rsidR="00966F43">
        <w:rPr>
          <w:color w:val="000000" w:themeColor="text1"/>
          <w:sz w:val="24"/>
          <w:szCs w:val="24"/>
        </w:rPr>
        <w:t>across two</w:t>
      </w:r>
      <w:r>
        <w:rPr>
          <w:color w:val="000000" w:themeColor="text1"/>
          <w:sz w:val="24"/>
          <w:szCs w:val="24"/>
        </w:rPr>
        <w:t xml:space="preserve"> PYV hubs</w:t>
      </w:r>
      <w:r w:rsidR="009B7B79">
        <w:rPr>
          <w:color w:val="000000" w:themeColor="text1"/>
          <w:sz w:val="24"/>
          <w:szCs w:val="24"/>
        </w:rPr>
        <w:t xml:space="preserve">, one </w:t>
      </w:r>
      <w:r>
        <w:rPr>
          <w:color w:val="000000" w:themeColor="text1"/>
          <w:sz w:val="24"/>
          <w:szCs w:val="24"/>
        </w:rPr>
        <w:t>in a</w:t>
      </w:r>
      <w:r w:rsidR="00966F43">
        <w:rPr>
          <w:color w:val="000000" w:themeColor="text1"/>
          <w:sz w:val="24"/>
          <w:szCs w:val="24"/>
        </w:rPr>
        <w:t xml:space="preserve"> city and </w:t>
      </w:r>
      <w:r w:rsidR="00415247">
        <w:rPr>
          <w:color w:val="000000" w:themeColor="text1"/>
          <w:sz w:val="24"/>
          <w:szCs w:val="24"/>
        </w:rPr>
        <w:t>an</w:t>
      </w:r>
      <w:r w:rsidR="00966F43">
        <w:rPr>
          <w:color w:val="000000" w:themeColor="text1"/>
          <w:sz w:val="24"/>
          <w:szCs w:val="24"/>
        </w:rPr>
        <w:t xml:space="preserve">other in a </w:t>
      </w:r>
      <w:r w:rsidR="00415247">
        <w:rPr>
          <w:color w:val="000000" w:themeColor="text1"/>
          <w:sz w:val="24"/>
          <w:szCs w:val="24"/>
        </w:rPr>
        <w:t>rural location</w:t>
      </w:r>
      <w:r w:rsidR="009B7B79">
        <w:rPr>
          <w:color w:val="000000" w:themeColor="text1"/>
          <w:sz w:val="24"/>
          <w:szCs w:val="24"/>
        </w:rPr>
        <w:t>. This will capture</w:t>
      </w:r>
      <w:r w:rsidR="00966F43">
        <w:rPr>
          <w:color w:val="000000" w:themeColor="text1"/>
          <w:sz w:val="24"/>
          <w:szCs w:val="24"/>
        </w:rPr>
        <w:t xml:space="preserve"> a range of perspectives and experiences, </w:t>
      </w:r>
      <w:r w:rsidR="009B7B79">
        <w:rPr>
          <w:color w:val="000000" w:themeColor="text1"/>
          <w:sz w:val="24"/>
          <w:szCs w:val="24"/>
        </w:rPr>
        <w:t xml:space="preserve">where valuable lessons can be learned, and best practices can be identified across different communities of young people. </w:t>
      </w:r>
    </w:p>
    <w:p w14:paraId="6D91DC37" w14:textId="77777777" w:rsidR="00415247" w:rsidRPr="00966F43" w:rsidRDefault="00415247" w:rsidP="00227DF5">
      <w:pPr>
        <w:tabs>
          <w:tab w:val="left" w:pos="720"/>
        </w:tabs>
        <w:spacing w:line="480" w:lineRule="auto"/>
        <w:jc w:val="both"/>
        <w:rPr>
          <w:color w:val="000000" w:themeColor="text1"/>
          <w:sz w:val="24"/>
          <w:szCs w:val="24"/>
        </w:rPr>
      </w:pPr>
    </w:p>
    <w:p w14:paraId="0E4B4B58" w14:textId="77777777" w:rsidR="00227DF5" w:rsidRPr="005B39E2" w:rsidRDefault="00227DF5" w:rsidP="00227DF5">
      <w:pPr>
        <w:tabs>
          <w:tab w:val="left" w:pos="720"/>
        </w:tabs>
        <w:spacing w:line="480" w:lineRule="auto"/>
        <w:jc w:val="both"/>
        <w:rPr>
          <w:i/>
          <w:iCs/>
          <w:color w:val="000000" w:themeColor="text1"/>
          <w:sz w:val="24"/>
          <w:szCs w:val="24"/>
        </w:rPr>
      </w:pPr>
      <w:r w:rsidRPr="005B39E2">
        <w:rPr>
          <w:i/>
          <w:iCs/>
          <w:color w:val="000000" w:themeColor="text1"/>
          <w:sz w:val="24"/>
          <w:szCs w:val="24"/>
        </w:rPr>
        <w:t xml:space="preserve">Introduction </w:t>
      </w:r>
    </w:p>
    <w:p w14:paraId="79962357" w14:textId="3E2DAE08" w:rsidR="00227DF5" w:rsidRPr="005B39E2" w:rsidRDefault="00227DF5" w:rsidP="00227DF5">
      <w:pPr>
        <w:tabs>
          <w:tab w:val="left" w:pos="720"/>
        </w:tabs>
        <w:spacing w:line="480" w:lineRule="auto"/>
        <w:jc w:val="both"/>
        <w:rPr>
          <w:color w:val="000000" w:themeColor="text1"/>
          <w:sz w:val="24"/>
          <w:szCs w:val="24"/>
        </w:rPr>
      </w:pPr>
      <w:r w:rsidRPr="000668AE">
        <w:rPr>
          <w:color w:val="000000" w:themeColor="text1"/>
          <w:sz w:val="24"/>
          <w:szCs w:val="24"/>
        </w:rPr>
        <w:t>According to Welsh Government (2021) statistics, Wales</w:t>
      </w:r>
      <w:r w:rsidRPr="005B39E2">
        <w:rPr>
          <w:color w:val="000000" w:themeColor="text1"/>
          <w:sz w:val="24"/>
          <w:szCs w:val="24"/>
        </w:rPr>
        <w:t xml:space="preserve"> is becoming increasingly diverse and multicultural. </w:t>
      </w:r>
      <w:r w:rsidR="00771901">
        <w:rPr>
          <w:color w:val="000000" w:themeColor="text1"/>
          <w:sz w:val="24"/>
          <w:szCs w:val="24"/>
        </w:rPr>
        <w:t>S</w:t>
      </w:r>
      <w:r w:rsidRPr="005B39E2">
        <w:rPr>
          <w:color w:val="000000" w:themeColor="text1"/>
          <w:sz w:val="24"/>
          <w:szCs w:val="24"/>
        </w:rPr>
        <w:t xml:space="preserve">tatistics reveal that, since 2011, there has been a decrease in the population of people identifying as White Christian, and a growing population </w:t>
      </w:r>
      <w:r w:rsidRPr="005B5715">
        <w:rPr>
          <w:color w:val="000000" w:themeColor="text1"/>
          <w:sz w:val="24"/>
          <w:szCs w:val="24"/>
        </w:rPr>
        <w:t>of people from Black, Asian, Minority Ethnic</w:t>
      </w:r>
      <w:r w:rsidR="00B44CA9" w:rsidRPr="005B5715">
        <w:rPr>
          <w:color w:val="000000" w:themeColor="text1"/>
          <w:sz w:val="24"/>
          <w:szCs w:val="24"/>
        </w:rPr>
        <w:t xml:space="preserve">, </w:t>
      </w:r>
      <w:r w:rsidRPr="005B5715">
        <w:rPr>
          <w:color w:val="000000" w:themeColor="text1"/>
          <w:sz w:val="24"/>
          <w:szCs w:val="24"/>
        </w:rPr>
        <w:t>Muslim, Hindu, Sikh, and Buddhist backgrounds. The Equality and Human Rights Commission (2018) survey</w:t>
      </w:r>
      <w:r w:rsidRPr="005B39E2">
        <w:rPr>
          <w:color w:val="000000" w:themeColor="text1"/>
          <w:sz w:val="24"/>
          <w:szCs w:val="24"/>
        </w:rPr>
        <w:t xml:space="preserve"> found that experiences of prejudice in Britain are significantly higher amongst Muslim and B</w:t>
      </w:r>
      <w:r w:rsidR="00B44CA9">
        <w:rPr>
          <w:color w:val="000000" w:themeColor="text1"/>
          <w:sz w:val="24"/>
          <w:szCs w:val="24"/>
        </w:rPr>
        <w:t xml:space="preserve">lack and Ethnic Minority </w:t>
      </w:r>
      <w:r w:rsidR="00B44CA9" w:rsidRPr="005B39E2">
        <w:rPr>
          <w:color w:val="000000" w:themeColor="text1"/>
          <w:sz w:val="24"/>
          <w:szCs w:val="24"/>
        </w:rPr>
        <w:t>communities</w:t>
      </w:r>
      <w:r w:rsidRPr="005B39E2">
        <w:rPr>
          <w:color w:val="000000" w:themeColor="text1"/>
          <w:sz w:val="24"/>
          <w:szCs w:val="24"/>
        </w:rPr>
        <w:t xml:space="preserve">. According </w:t>
      </w:r>
      <w:r w:rsidRPr="005B5715">
        <w:rPr>
          <w:color w:val="000000" w:themeColor="text1"/>
          <w:sz w:val="24"/>
          <w:szCs w:val="24"/>
        </w:rPr>
        <w:t>to The Council of Europe (2018), learning</w:t>
      </w:r>
      <w:r w:rsidRPr="005B39E2">
        <w:rPr>
          <w:color w:val="000000" w:themeColor="text1"/>
          <w:sz w:val="24"/>
          <w:szCs w:val="24"/>
        </w:rPr>
        <w:t xml:space="preserve"> about different cultures can transform young people’s social development, </w:t>
      </w:r>
      <w:r w:rsidR="00771901">
        <w:rPr>
          <w:color w:val="000000" w:themeColor="text1"/>
          <w:sz w:val="24"/>
          <w:szCs w:val="24"/>
        </w:rPr>
        <w:t xml:space="preserve">and </w:t>
      </w:r>
      <w:r w:rsidRPr="005B39E2">
        <w:rPr>
          <w:color w:val="000000" w:themeColor="text1"/>
          <w:sz w:val="24"/>
          <w:szCs w:val="24"/>
        </w:rPr>
        <w:t xml:space="preserve">help tackle prejudices, discrimination, racism, social injustices, and human rights abuses present within our society. </w:t>
      </w:r>
    </w:p>
    <w:p w14:paraId="0FD6BF8A" w14:textId="77777777" w:rsidR="00227DF5" w:rsidRPr="005B39E2" w:rsidRDefault="00227DF5" w:rsidP="00227DF5">
      <w:pPr>
        <w:tabs>
          <w:tab w:val="left" w:pos="720"/>
        </w:tabs>
        <w:spacing w:line="480" w:lineRule="auto"/>
        <w:jc w:val="both"/>
        <w:rPr>
          <w:color w:val="000000" w:themeColor="text1"/>
          <w:sz w:val="24"/>
          <w:szCs w:val="24"/>
        </w:rPr>
      </w:pPr>
    </w:p>
    <w:p w14:paraId="2C233B12" w14:textId="3200C43D" w:rsidR="00415247" w:rsidRDefault="00227DF5" w:rsidP="00227DF5">
      <w:pPr>
        <w:spacing w:line="480" w:lineRule="auto"/>
        <w:jc w:val="both"/>
        <w:rPr>
          <w:color w:val="000000" w:themeColor="text1"/>
          <w:sz w:val="24"/>
          <w:szCs w:val="24"/>
          <w:lang w:val="en-US"/>
        </w:rPr>
      </w:pPr>
      <w:r w:rsidRPr="005B5715">
        <w:rPr>
          <w:color w:val="000000" w:themeColor="text1"/>
          <w:sz w:val="24"/>
          <w:szCs w:val="24"/>
          <w:lang w:val="en-US"/>
        </w:rPr>
        <w:lastRenderedPageBreak/>
        <w:t>According to Collins and Foley (2008), young</w:t>
      </w:r>
      <w:r w:rsidRPr="005B39E2">
        <w:rPr>
          <w:color w:val="000000" w:themeColor="text1"/>
          <w:sz w:val="24"/>
          <w:szCs w:val="24"/>
          <w:lang w:val="en-US"/>
        </w:rPr>
        <w:t xml:space="preserve"> people are capable agents in shaping positive conditions for their lives</w:t>
      </w:r>
      <w:r w:rsidR="00771901">
        <w:rPr>
          <w:color w:val="000000" w:themeColor="text1"/>
          <w:sz w:val="24"/>
          <w:szCs w:val="24"/>
          <w:lang w:val="en-US"/>
        </w:rPr>
        <w:t>. T</w:t>
      </w:r>
      <w:r w:rsidRPr="005B39E2">
        <w:rPr>
          <w:color w:val="000000" w:themeColor="text1"/>
          <w:sz w:val="24"/>
          <w:szCs w:val="24"/>
          <w:lang w:val="en-US"/>
        </w:rPr>
        <w:t xml:space="preserve">herefore, </w:t>
      </w:r>
      <w:r w:rsidR="000C5CA0">
        <w:rPr>
          <w:color w:val="000000" w:themeColor="text1"/>
          <w:sz w:val="24"/>
          <w:szCs w:val="24"/>
          <w:lang w:val="en-US"/>
        </w:rPr>
        <w:t xml:space="preserve">they </w:t>
      </w:r>
      <w:r w:rsidRPr="005B39E2">
        <w:rPr>
          <w:color w:val="000000" w:themeColor="text1"/>
          <w:sz w:val="24"/>
          <w:szCs w:val="24"/>
          <w:lang w:val="en-US"/>
        </w:rPr>
        <w:t xml:space="preserve">should ‘become partners in, and share responsibility for, the opportunities and decision-making structures which affect their own and other people's </w:t>
      </w:r>
      <w:r w:rsidRPr="005B5715">
        <w:rPr>
          <w:color w:val="000000" w:themeColor="text1"/>
          <w:sz w:val="24"/>
          <w:szCs w:val="24"/>
          <w:lang w:val="en-US"/>
        </w:rPr>
        <w:t xml:space="preserve">lives’ </w:t>
      </w:r>
      <w:r w:rsidR="005B5715" w:rsidRPr="005B5715">
        <w:rPr>
          <w:color w:val="000000" w:themeColor="text1"/>
          <w:sz w:val="24"/>
          <w:szCs w:val="24"/>
          <w:lang w:val="en-US"/>
        </w:rPr>
        <w:t xml:space="preserve">(YWIWRG, 2022, </w:t>
      </w:r>
      <w:r w:rsidRPr="005B5715">
        <w:rPr>
          <w:color w:val="000000" w:themeColor="text1"/>
          <w:sz w:val="24"/>
          <w:szCs w:val="24"/>
          <w:lang w:val="en-US"/>
        </w:rPr>
        <w:t xml:space="preserve">p. </w:t>
      </w:r>
      <w:r w:rsidR="005B5715" w:rsidRPr="005B5715">
        <w:rPr>
          <w:color w:val="000000" w:themeColor="text1"/>
          <w:sz w:val="24"/>
          <w:szCs w:val="24"/>
          <w:lang w:val="en-US"/>
        </w:rPr>
        <w:t>8</w:t>
      </w:r>
      <w:r w:rsidRPr="005B5715">
        <w:rPr>
          <w:color w:val="000000" w:themeColor="text1"/>
          <w:sz w:val="24"/>
          <w:szCs w:val="24"/>
          <w:lang w:val="en-US"/>
        </w:rPr>
        <w:t>)</w:t>
      </w:r>
      <w:r w:rsidR="005B5715" w:rsidRPr="005B5715">
        <w:rPr>
          <w:color w:val="000000" w:themeColor="text1"/>
          <w:sz w:val="24"/>
          <w:szCs w:val="24"/>
          <w:lang w:val="en-US"/>
        </w:rPr>
        <w:t>.</w:t>
      </w:r>
      <w:r w:rsidRPr="005B5715">
        <w:rPr>
          <w:color w:val="000000" w:themeColor="text1"/>
          <w:sz w:val="24"/>
          <w:szCs w:val="24"/>
          <w:lang w:val="en-US"/>
        </w:rPr>
        <w:t xml:space="preserve"> </w:t>
      </w:r>
      <w:r w:rsidR="00771901">
        <w:rPr>
          <w:color w:val="000000" w:themeColor="text1"/>
          <w:sz w:val="24"/>
          <w:szCs w:val="24"/>
          <w:lang w:val="en-US"/>
        </w:rPr>
        <w:t xml:space="preserve">As a result, </w:t>
      </w:r>
      <w:r w:rsidRPr="005B39E2">
        <w:rPr>
          <w:color w:val="000000" w:themeColor="text1"/>
          <w:sz w:val="24"/>
          <w:szCs w:val="24"/>
          <w:lang w:val="en-US"/>
        </w:rPr>
        <w:t xml:space="preserve">they </w:t>
      </w:r>
      <w:r w:rsidRPr="005B39E2">
        <w:rPr>
          <w:color w:val="000000" w:themeColor="text1"/>
          <w:sz w:val="24"/>
          <w:szCs w:val="24"/>
        </w:rPr>
        <w:t>will be invited to</w:t>
      </w:r>
      <w:r w:rsidRPr="005B39E2">
        <w:rPr>
          <w:color w:val="000000" w:themeColor="text1"/>
          <w:sz w:val="24"/>
          <w:szCs w:val="24"/>
          <w:lang w:val="en-US"/>
        </w:rPr>
        <w:t xml:space="preserve"> actively participate in the planning and development of </w:t>
      </w:r>
      <w:r w:rsidR="008D1061">
        <w:rPr>
          <w:color w:val="000000" w:themeColor="text1"/>
          <w:sz w:val="24"/>
          <w:szCs w:val="24"/>
          <w:lang w:val="en-US"/>
        </w:rPr>
        <w:t xml:space="preserve">the Peace Mala initiative, volunteering insights, </w:t>
      </w:r>
      <w:r w:rsidR="00B44CA9">
        <w:rPr>
          <w:color w:val="000000" w:themeColor="text1"/>
          <w:sz w:val="24"/>
          <w:szCs w:val="24"/>
          <w:lang w:val="en-US"/>
        </w:rPr>
        <w:t>ideas,</w:t>
      </w:r>
      <w:r w:rsidR="008D1061">
        <w:rPr>
          <w:color w:val="000000" w:themeColor="text1"/>
          <w:sz w:val="24"/>
          <w:szCs w:val="24"/>
          <w:lang w:val="en-US"/>
        </w:rPr>
        <w:t xml:space="preserve"> and activities </w:t>
      </w:r>
      <w:r w:rsidRPr="005B39E2">
        <w:rPr>
          <w:color w:val="000000" w:themeColor="text1"/>
          <w:sz w:val="24"/>
          <w:szCs w:val="24"/>
          <w:lang w:val="en-US"/>
        </w:rPr>
        <w:t xml:space="preserve">that they believe will be the most exciting, and effective for enhancing their own and others’ cultural understanding. </w:t>
      </w:r>
    </w:p>
    <w:p w14:paraId="69DC16C9" w14:textId="77777777" w:rsidR="00415247" w:rsidRDefault="00415247" w:rsidP="00227DF5">
      <w:pPr>
        <w:spacing w:line="480" w:lineRule="auto"/>
        <w:jc w:val="both"/>
        <w:rPr>
          <w:color w:val="000000" w:themeColor="text1"/>
          <w:sz w:val="24"/>
          <w:szCs w:val="24"/>
          <w:lang w:val="en-US"/>
        </w:rPr>
      </w:pPr>
    </w:p>
    <w:p w14:paraId="64947A00" w14:textId="31E18511" w:rsidR="00227DF5" w:rsidRPr="008D1061" w:rsidRDefault="00227DF5" w:rsidP="00227DF5">
      <w:pPr>
        <w:spacing w:line="480" w:lineRule="auto"/>
        <w:jc w:val="both"/>
        <w:rPr>
          <w:color w:val="000000" w:themeColor="text1"/>
          <w:sz w:val="24"/>
          <w:szCs w:val="24"/>
          <w:lang w:val="en-US"/>
        </w:rPr>
      </w:pPr>
      <w:r w:rsidRPr="005B39E2">
        <w:rPr>
          <w:color w:val="000000" w:themeColor="text1"/>
          <w:sz w:val="24"/>
          <w:szCs w:val="24"/>
          <w:lang w:val="en-US"/>
        </w:rPr>
        <w:t xml:space="preserve">Reflecting Hart’s ladder of </w:t>
      </w:r>
      <w:r w:rsidRPr="00400450">
        <w:rPr>
          <w:sz w:val="24"/>
          <w:szCs w:val="24"/>
          <w:lang w:val="en-US"/>
        </w:rPr>
        <w:t xml:space="preserve">participation (1992, </w:t>
      </w:r>
      <w:r w:rsidRPr="00400450">
        <w:rPr>
          <w:i/>
          <w:iCs/>
          <w:sz w:val="24"/>
          <w:szCs w:val="24"/>
          <w:lang w:val="en-US"/>
        </w:rPr>
        <w:t>cited in</w:t>
      </w:r>
      <w:r w:rsidRPr="00400450">
        <w:rPr>
          <w:sz w:val="24"/>
          <w:szCs w:val="24"/>
          <w:lang w:val="en-US"/>
        </w:rPr>
        <w:t xml:space="preserve"> Groundwater-Smith et al, 2015), this </w:t>
      </w:r>
      <w:r w:rsidRPr="005B39E2">
        <w:rPr>
          <w:color w:val="000000" w:themeColor="text1"/>
          <w:sz w:val="24"/>
          <w:szCs w:val="24"/>
          <w:lang w:val="en-US"/>
        </w:rPr>
        <w:t>exchange of information is ‘adult-initiated’ but moves towards ‘young-people-initiated and directed’. This part of the ladder embodies the young person-led approach that underpins youth work practice (</w:t>
      </w:r>
      <w:r w:rsidRPr="00400450">
        <w:rPr>
          <w:color w:val="000000" w:themeColor="text1"/>
          <w:sz w:val="24"/>
          <w:szCs w:val="24"/>
          <w:lang w:val="en-US"/>
        </w:rPr>
        <w:t>CLD S</w:t>
      </w:r>
      <w:r w:rsidR="00400450" w:rsidRPr="00400450">
        <w:rPr>
          <w:color w:val="000000" w:themeColor="text1"/>
          <w:sz w:val="24"/>
          <w:szCs w:val="24"/>
          <w:lang w:val="en-US"/>
        </w:rPr>
        <w:t>CC</w:t>
      </w:r>
      <w:r w:rsidRPr="00400450">
        <w:rPr>
          <w:color w:val="000000" w:themeColor="text1"/>
          <w:sz w:val="24"/>
          <w:szCs w:val="24"/>
          <w:lang w:val="en-US"/>
        </w:rPr>
        <w:t xml:space="preserve">, 2019). Furthermore, it fulfills Article 12 of the </w:t>
      </w:r>
      <w:r w:rsidR="00A458EF" w:rsidRPr="00400450">
        <w:rPr>
          <w:color w:val="222222"/>
          <w:sz w:val="24"/>
          <w:szCs w:val="24"/>
        </w:rPr>
        <w:t>United Nations Convention on the Rights of the Child (UNCRC), UNICEF, no date)</w:t>
      </w:r>
      <w:r w:rsidR="00BD532F" w:rsidRPr="00400450">
        <w:rPr>
          <w:color w:val="222222"/>
          <w:sz w:val="24"/>
          <w:szCs w:val="24"/>
        </w:rPr>
        <w:t>,</w:t>
      </w:r>
      <w:r w:rsidRPr="005B39E2">
        <w:rPr>
          <w:color w:val="000000" w:themeColor="text1"/>
          <w:sz w:val="24"/>
          <w:szCs w:val="24"/>
          <w:lang w:val="en-US"/>
        </w:rPr>
        <w:t xml:space="preserve"> ensuring young people are listened to and their voices are heard and valued in matters that affect them.</w:t>
      </w:r>
    </w:p>
    <w:p w14:paraId="2F1937FB" w14:textId="77777777" w:rsidR="00227DF5" w:rsidRPr="005B39E2" w:rsidRDefault="00227DF5" w:rsidP="00227DF5">
      <w:pPr>
        <w:spacing w:line="480" w:lineRule="auto"/>
        <w:jc w:val="both"/>
        <w:rPr>
          <w:i/>
          <w:iCs/>
          <w:color w:val="000000" w:themeColor="text1"/>
          <w:sz w:val="24"/>
          <w:szCs w:val="24"/>
        </w:rPr>
      </w:pPr>
    </w:p>
    <w:p w14:paraId="758553D3" w14:textId="77777777" w:rsidR="00227DF5" w:rsidRPr="005B39E2" w:rsidRDefault="00227DF5" w:rsidP="00227DF5">
      <w:pPr>
        <w:spacing w:line="480" w:lineRule="auto"/>
        <w:jc w:val="both"/>
        <w:rPr>
          <w:i/>
          <w:iCs/>
          <w:color w:val="000000" w:themeColor="text1"/>
          <w:sz w:val="24"/>
          <w:szCs w:val="24"/>
        </w:rPr>
      </w:pPr>
      <w:r w:rsidRPr="005B39E2">
        <w:rPr>
          <w:i/>
          <w:iCs/>
          <w:color w:val="000000" w:themeColor="text1"/>
          <w:sz w:val="24"/>
          <w:szCs w:val="24"/>
        </w:rPr>
        <w:t>Aims</w:t>
      </w:r>
    </w:p>
    <w:p w14:paraId="2D78C07A" w14:textId="6174B687" w:rsidR="00B44CA9" w:rsidRPr="00020950" w:rsidRDefault="00B44CA9" w:rsidP="00B44CA9">
      <w:pPr>
        <w:pStyle w:val="ListParagraph"/>
        <w:numPr>
          <w:ilvl w:val="0"/>
          <w:numId w:val="5"/>
        </w:numPr>
        <w:tabs>
          <w:tab w:val="left" w:pos="720"/>
        </w:tabs>
        <w:overflowPunct w:val="0"/>
        <w:autoSpaceDE w:val="0"/>
        <w:autoSpaceDN w:val="0"/>
        <w:adjustRightInd w:val="0"/>
        <w:spacing w:line="480" w:lineRule="auto"/>
        <w:jc w:val="both"/>
        <w:textAlignment w:val="baseline"/>
        <w:rPr>
          <w:color w:val="000000" w:themeColor="text1"/>
          <w:sz w:val="24"/>
          <w:szCs w:val="24"/>
        </w:rPr>
      </w:pPr>
      <w:r w:rsidRPr="00B44CA9">
        <w:rPr>
          <w:color w:val="000000" w:themeColor="text1"/>
          <w:sz w:val="24"/>
          <w:szCs w:val="24"/>
        </w:rPr>
        <w:t xml:space="preserve">To assess the effectiveness of </w:t>
      </w:r>
      <w:r w:rsidR="00771901">
        <w:rPr>
          <w:color w:val="000000" w:themeColor="text1"/>
          <w:sz w:val="24"/>
          <w:szCs w:val="24"/>
        </w:rPr>
        <w:t xml:space="preserve">implementing </w:t>
      </w:r>
      <w:r w:rsidRPr="00B44CA9">
        <w:rPr>
          <w:color w:val="000000" w:themeColor="text1"/>
          <w:sz w:val="24"/>
          <w:szCs w:val="24"/>
        </w:rPr>
        <w:t>the Peace Mala initiative within the PYV scheme</w:t>
      </w:r>
      <w:r w:rsidR="00771901">
        <w:rPr>
          <w:color w:val="000000" w:themeColor="text1"/>
          <w:sz w:val="24"/>
          <w:szCs w:val="24"/>
        </w:rPr>
        <w:t xml:space="preserve">. </w:t>
      </w:r>
    </w:p>
    <w:p w14:paraId="0C7CCEE8" w14:textId="77777777" w:rsidR="00B44CA9" w:rsidRPr="00B44CA9" w:rsidRDefault="00B44CA9" w:rsidP="00B44CA9">
      <w:pPr>
        <w:pStyle w:val="ListParagraph"/>
        <w:numPr>
          <w:ilvl w:val="0"/>
          <w:numId w:val="5"/>
        </w:numPr>
        <w:tabs>
          <w:tab w:val="left" w:pos="720"/>
        </w:tabs>
        <w:overflowPunct w:val="0"/>
        <w:autoSpaceDE w:val="0"/>
        <w:autoSpaceDN w:val="0"/>
        <w:adjustRightInd w:val="0"/>
        <w:spacing w:line="480" w:lineRule="auto"/>
        <w:jc w:val="both"/>
        <w:textAlignment w:val="baseline"/>
        <w:rPr>
          <w:color w:val="000000" w:themeColor="text1"/>
          <w:sz w:val="24"/>
          <w:szCs w:val="24"/>
        </w:rPr>
      </w:pPr>
      <w:r w:rsidRPr="00B44CA9">
        <w:rPr>
          <w:color w:val="000000" w:themeColor="text1"/>
          <w:sz w:val="24"/>
          <w:szCs w:val="24"/>
        </w:rPr>
        <w:t xml:space="preserve">To explore the role of Peace Mala in promoting positive community engagement and fostering social cohesion among young people. </w:t>
      </w:r>
    </w:p>
    <w:p w14:paraId="66B8B73B" w14:textId="77777777" w:rsidR="00771901" w:rsidRDefault="00771901" w:rsidP="00227DF5">
      <w:pPr>
        <w:tabs>
          <w:tab w:val="left" w:pos="720"/>
        </w:tabs>
        <w:spacing w:line="480" w:lineRule="auto"/>
        <w:jc w:val="both"/>
        <w:rPr>
          <w:i/>
          <w:iCs/>
          <w:color w:val="000000" w:themeColor="text1"/>
          <w:sz w:val="24"/>
          <w:szCs w:val="24"/>
        </w:rPr>
      </w:pPr>
    </w:p>
    <w:p w14:paraId="45063BEE" w14:textId="77777777" w:rsidR="000C5CA0" w:rsidRDefault="000C5CA0" w:rsidP="00227DF5">
      <w:pPr>
        <w:tabs>
          <w:tab w:val="left" w:pos="720"/>
        </w:tabs>
        <w:spacing w:line="480" w:lineRule="auto"/>
        <w:jc w:val="both"/>
        <w:rPr>
          <w:i/>
          <w:iCs/>
          <w:color w:val="000000" w:themeColor="text1"/>
          <w:sz w:val="24"/>
          <w:szCs w:val="24"/>
        </w:rPr>
      </w:pPr>
    </w:p>
    <w:p w14:paraId="00EE9533" w14:textId="77777777" w:rsidR="000C5CA0" w:rsidRDefault="000C5CA0" w:rsidP="00227DF5">
      <w:pPr>
        <w:tabs>
          <w:tab w:val="left" w:pos="720"/>
        </w:tabs>
        <w:spacing w:line="480" w:lineRule="auto"/>
        <w:jc w:val="both"/>
        <w:rPr>
          <w:i/>
          <w:iCs/>
          <w:color w:val="000000" w:themeColor="text1"/>
          <w:sz w:val="24"/>
          <w:szCs w:val="24"/>
        </w:rPr>
      </w:pPr>
    </w:p>
    <w:p w14:paraId="7FC6B930" w14:textId="77777777" w:rsidR="000C5CA0" w:rsidRDefault="000C5CA0" w:rsidP="00227DF5">
      <w:pPr>
        <w:tabs>
          <w:tab w:val="left" w:pos="720"/>
        </w:tabs>
        <w:spacing w:line="480" w:lineRule="auto"/>
        <w:jc w:val="both"/>
        <w:rPr>
          <w:i/>
          <w:iCs/>
          <w:color w:val="000000" w:themeColor="text1"/>
          <w:sz w:val="24"/>
          <w:szCs w:val="24"/>
        </w:rPr>
      </w:pPr>
    </w:p>
    <w:p w14:paraId="0393B9C7" w14:textId="77777777" w:rsidR="000C5CA0" w:rsidRDefault="000C5CA0" w:rsidP="00227DF5">
      <w:pPr>
        <w:tabs>
          <w:tab w:val="left" w:pos="720"/>
        </w:tabs>
        <w:spacing w:line="480" w:lineRule="auto"/>
        <w:jc w:val="both"/>
        <w:rPr>
          <w:i/>
          <w:iCs/>
          <w:color w:val="000000" w:themeColor="text1"/>
          <w:sz w:val="24"/>
          <w:szCs w:val="24"/>
        </w:rPr>
      </w:pPr>
    </w:p>
    <w:p w14:paraId="74AFC3DF" w14:textId="05BB7568" w:rsidR="00227DF5" w:rsidRPr="005B39E2" w:rsidRDefault="00227DF5" w:rsidP="00227DF5">
      <w:pPr>
        <w:tabs>
          <w:tab w:val="left" w:pos="720"/>
        </w:tabs>
        <w:spacing w:line="480" w:lineRule="auto"/>
        <w:jc w:val="both"/>
        <w:rPr>
          <w:i/>
          <w:iCs/>
          <w:color w:val="000000" w:themeColor="text1"/>
          <w:sz w:val="24"/>
          <w:szCs w:val="24"/>
        </w:rPr>
      </w:pPr>
      <w:r w:rsidRPr="005B39E2">
        <w:rPr>
          <w:i/>
          <w:iCs/>
          <w:color w:val="000000" w:themeColor="text1"/>
          <w:sz w:val="24"/>
          <w:szCs w:val="24"/>
        </w:rPr>
        <w:lastRenderedPageBreak/>
        <w:t xml:space="preserve">Objectives </w:t>
      </w:r>
    </w:p>
    <w:p w14:paraId="74230E9A" w14:textId="35F35B2E" w:rsidR="006C28FA" w:rsidRDefault="006C28FA" w:rsidP="008D1061">
      <w:pPr>
        <w:pStyle w:val="ListParagraph"/>
        <w:numPr>
          <w:ilvl w:val="0"/>
          <w:numId w:val="4"/>
        </w:numPr>
        <w:tabs>
          <w:tab w:val="left" w:pos="720"/>
        </w:tabs>
        <w:overflowPunct w:val="0"/>
        <w:autoSpaceDE w:val="0"/>
        <w:autoSpaceDN w:val="0"/>
        <w:adjustRightInd w:val="0"/>
        <w:spacing w:line="480" w:lineRule="auto"/>
        <w:jc w:val="both"/>
        <w:textAlignment w:val="baseline"/>
        <w:rPr>
          <w:color w:val="000000" w:themeColor="text1"/>
          <w:sz w:val="24"/>
          <w:szCs w:val="24"/>
        </w:rPr>
      </w:pPr>
      <w:r>
        <w:rPr>
          <w:color w:val="000000" w:themeColor="text1"/>
          <w:sz w:val="24"/>
          <w:szCs w:val="24"/>
        </w:rPr>
        <w:t xml:space="preserve">Educate young people about Peace </w:t>
      </w:r>
      <w:r w:rsidR="000C5CA0">
        <w:rPr>
          <w:color w:val="000000" w:themeColor="text1"/>
          <w:sz w:val="24"/>
          <w:szCs w:val="24"/>
        </w:rPr>
        <w:t>Mala’s seven</w:t>
      </w:r>
      <w:r>
        <w:rPr>
          <w:color w:val="000000" w:themeColor="text1"/>
          <w:sz w:val="24"/>
          <w:szCs w:val="24"/>
        </w:rPr>
        <w:t xml:space="preserve"> core area</w:t>
      </w:r>
      <w:r w:rsidR="00771901">
        <w:rPr>
          <w:color w:val="000000" w:themeColor="text1"/>
          <w:sz w:val="24"/>
          <w:szCs w:val="24"/>
        </w:rPr>
        <w:t xml:space="preserve">s. </w:t>
      </w:r>
      <w:r w:rsidR="00400450">
        <w:rPr>
          <w:color w:val="000000" w:themeColor="text1"/>
          <w:sz w:val="24"/>
          <w:szCs w:val="24"/>
        </w:rPr>
        <w:t xml:space="preserve"> </w:t>
      </w:r>
    </w:p>
    <w:p w14:paraId="695F5D69" w14:textId="6B626EC5" w:rsidR="006C28FA" w:rsidRDefault="006C28FA" w:rsidP="008D1061">
      <w:pPr>
        <w:pStyle w:val="ListParagraph"/>
        <w:numPr>
          <w:ilvl w:val="0"/>
          <w:numId w:val="4"/>
        </w:numPr>
        <w:tabs>
          <w:tab w:val="left" w:pos="720"/>
        </w:tabs>
        <w:overflowPunct w:val="0"/>
        <w:autoSpaceDE w:val="0"/>
        <w:autoSpaceDN w:val="0"/>
        <w:adjustRightInd w:val="0"/>
        <w:spacing w:line="480" w:lineRule="auto"/>
        <w:jc w:val="both"/>
        <w:textAlignment w:val="baseline"/>
        <w:rPr>
          <w:color w:val="000000" w:themeColor="text1"/>
          <w:sz w:val="24"/>
          <w:szCs w:val="24"/>
        </w:rPr>
      </w:pPr>
      <w:r>
        <w:rPr>
          <w:color w:val="000000" w:themeColor="text1"/>
          <w:sz w:val="24"/>
          <w:szCs w:val="24"/>
        </w:rPr>
        <w:t xml:space="preserve">Implement the </w:t>
      </w:r>
      <w:r w:rsidR="008D1061">
        <w:rPr>
          <w:color w:val="000000" w:themeColor="text1"/>
          <w:sz w:val="24"/>
          <w:szCs w:val="24"/>
        </w:rPr>
        <w:t>i</w:t>
      </w:r>
      <w:r>
        <w:rPr>
          <w:color w:val="000000" w:themeColor="text1"/>
          <w:sz w:val="24"/>
          <w:szCs w:val="24"/>
        </w:rPr>
        <w:t xml:space="preserve">nitiative </w:t>
      </w:r>
      <w:r w:rsidR="008D1061">
        <w:rPr>
          <w:color w:val="000000" w:themeColor="text1"/>
          <w:sz w:val="24"/>
          <w:szCs w:val="24"/>
        </w:rPr>
        <w:t xml:space="preserve">across two of the </w:t>
      </w:r>
      <w:r>
        <w:rPr>
          <w:color w:val="000000" w:themeColor="text1"/>
          <w:sz w:val="24"/>
          <w:szCs w:val="24"/>
        </w:rPr>
        <w:t xml:space="preserve">South Wales PYV </w:t>
      </w:r>
      <w:r w:rsidR="008D1061">
        <w:rPr>
          <w:color w:val="000000" w:themeColor="text1"/>
          <w:sz w:val="24"/>
          <w:szCs w:val="24"/>
        </w:rPr>
        <w:t xml:space="preserve">hubs, </w:t>
      </w:r>
      <w:r w:rsidR="000C5CA0">
        <w:rPr>
          <w:color w:val="000000" w:themeColor="text1"/>
          <w:sz w:val="24"/>
          <w:szCs w:val="24"/>
        </w:rPr>
        <w:t>(</w:t>
      </w:r>
      <w:r w:rsidR="008D1061">
        <w:rPr>
          <w:color w:val="000000" w:themeColor="text1"/>
          <w:sz w:val="24"/>
          <w:szCs w:val="24"/>
        </w:rPr>
        <w:t xml:space="preserve">engaging </w:t>
      </w:r>
      <w:r w:rsidRPr="006C28FA">
        <w:rPr>
          <w:color w:val="000000" w:themeColor="text1"/>
          <w:sz w:val="24"/>
          <w:szCs w:val="24"/>
        </w:rPr>
        <w:t xml:space="preserve">young people in cross-curricular and cultural activities such as </w:t>
      </w:r>
      <w:r w:rsidRPr="006C28FA">
        <w:rPr>
          <w:sz w:val="24"/>
          <w:szCs w:val="24"/>
        </w:rPr>
        <w:t xml:space="preserve">workshops, discussions, arts and crafts, community engagement and </w:t>
      </w:r>
      <w:r>
        <w:rPr>
          <w:sz w:val="24"/>
          <w:szCs w:val="24"/>
        </w:rPr>
        <w:t xml:space="preserve">partnership </w:t>
      </w:r>
      <w:r w:rsidRPr="006C28FA">
        <w:rPr>
          <w:sz w:val="24"/>
          <w:szCs w:val="24"/>
        </w:rPr>
        <w:t>projects</w:t>
      </w:r>
      <w:r w:rsidR="000C5CA0">
        <w:rPr>
          <w:sz w:val="24"/>
          <w:szCs w:val="24"/>
        </w:rPr>
        <w:t>).</w:t>
      </w:r>
    </w:p>
    <w:p w14:paraId="5C9743D3" w14:textId="7669A5CB" w:rsidR="00227DF5" w:rsidRPr="006C28FA" w:rsidRDefault="006C28FA" w:rsidP="008D1061">
      <w:pPr>
        <w:pStyle w:val="ListParagraph"/>
        <w:numPr>
          <w:ilvl w:val="0"/>
          <w:numId w:val="4"/>
        </w:numPr>
        <w:tabs>
          <w:tab w:val="left" w:pos="720"/>
        </w:tabs>
        <w:overflowPunct w:val="0"/>
        <w:autoSpaceDE w:val="0"/>
        <w:autoSpaceDN w:val="0"/>
        <w:adjustRightInd w:val="0"/>
        <w:spacing w:line="480" w:lineRule="auto"/>
        <w:jc w:val="both"/>
        <w:textAlignment w:val="baseline"/>
        <w:rPr>
          <w:color w:val="000000" w:themeColor="text1"/>
          <w:sz w:val="24"/>
          <w:szCs w:val="24"/>
        </w:rPr>
      </w:pPr>
      <w:r>
        <w:rPr>
          <w:color w:val="000000" w:themeColor="text1"/>
          <w:sz w:val="24"/>
          <w:szCs w:val="24"/>
        </w:rPr>
        <w:t xml:space="preserve">Encourage young people’s active participation </w:t>
      </w:r>
      <w:r w:rsidR="00227DF5" w:rsidRPr="006C28FA">
        <w:rPr>
          <w:color w:val="000000" w:themeColor="text1"/>
          <w:sz w:val="24"/>
          <w:szCs w:val="24"/>
        </w:rPr>
        <w:t xml:space="preserve">in designing, delivering, and evaluating </w:t>
      </w:r>
      <w:r w:rsidRPr="006C28FA">
        <w:rPr>
          <w:color w:val="000000" w:themeColor="text1"/>
          <w:sz w:val="24"/>
          <w:szCs w:val="24"/>
        </w:rPr>
        <w:t>the</w:t>
      </w:r>
      <w:r>
        <w:rPr>
          <w:color w:val="000000" w:themeColor="text1"/>
          <w:sz w:val="24"/>
          <w:szCs w:val="24"/>
        </w:rPr>
        <w:t xml:space="preserve"> </w:t>
      </w:r>
      <w:r w:rsidRPr="006C28FA">
        <w:rPr>
          <w:color w:val="000000" w:themeColor="text1"/>
          <w:sz w:val="24"/>
          <w:szCs w:val="24"/>
        </w:rPr>
        <w:t>effectiveness</w:t>
      </w:r>
      <w:r>
        <w:rPr>
          <w:color w:val="000000" w:themeColor="text1"/>
          <w:sz w:val="24"/>
          <w:szCs w:val="24"/>
        </w:rPr>
        <w:t xml:space="preserve"> of these activities.  </w:t>
      </w:r>
    </w:p>
    <w:p w14:paraId="181E554E" w14:textId="4E0A4353" w:rsidR="006C28FA" w:rsidRDefault="006C28FA" w:rsidP="008D1061">
      <w:pPr>
        <w:pStyle w:val="ListParagraph"/>
        <w:numPr>
          <w:ilvl w:val="0"/>
          <w:numId w:val="4"/>
        </w:numPr>
        <w:tabs>
          <w:tab w:val="left" w:pos="720"/>
        </w:tabs>
        <w:overflowPunct w:val="0"/>
        <w:autoSpaceDE w:val="0"/>
        <w:autoSpaceDN w:val="0"/>
        <w:adjustRightInd w:val="0"/>
        <w:spacing w:line="480" w:lineRule="auto"/>
        <w:jc w:val="both"/>
        <w:textAlignment w:val="baseline"/>
        <w:rPr>
          <w:color w:val="000000" w:themeColor="text1"/>
          <w:sz w:val="24"/>
          <w:szCs w:val="24"/>
        </w:rPr>
      </w:pPr>
      <w:r>
        <w:rPr>
          <w:color w:val="000000" w:themeColor="text1"/>
          <w:sz w:val="24"/>
          <w:szCs w:val="24"/>
        </w:rPr>
        <w:t xml:space="preserve">Assess the impact of the Peace Mala initiative on young people’s personal and social development, including their attitudes towards prejudices, discrimination, and understanding of social injustices, and human rights abuses. </w:t>
      </w:r>
    </w:p>
    <w:p w14:paraId="08D557EF" w14:textId="227B7250" w:rsidR="006C28FA" w:rsidRDefault="006C28FA" w:rsidP="008D1061">
      <w:pPr>
        <w:pStyle w:val="ListParagraph"/>
        <w:numPr>
          <w:ilvl w:val="0"/>
          <w:numId w:val="4"/>
        </w:numPr>
        <w:tabs>
          <w:tab w:val="left" w:pos="720"/>
        </w:tabs>
        <w:overflowPunct w:val="0"/>
        <w:autoSpaceDE w:val="0"/>
        <w:autoSpaceDN w:val="0"/>
        <w:adjustRightInd w:val="0"/>
        <w:spacing w:line="480" w:lineRule="auto"/>
        <w:jc w:val="both"/>
        <w:textAlignment w:val="baseline"/>
        <w:rPr>
          <w:color w:val="000000" w:themeColor="text1"/>
          <w:sz w:val="24"/>
          <w:szCs w:val="24"/>
        </w:rPr>
      </w:pPr>
      <w:r>
        <w:rPr>
          <w:color w:val="000000" w:themeColor="text1"/>
          <w:sz w:val="24"/>
          <w:szCs w:val="24"/>
        </w:rPr>
        <w:t xml:space="preserve">Explore the role of the Peace Mala initiative in fostering social cohesion, peace, and tolerance among young people and their communities. </w:t>
      </w:r>
    </w:p>
    <w:p w14:paraId="641E9179" w14:textId="428B1E62" w:rsidR="006C28FA" w:rsidRPr="005B39E2" w:rsidRDefault="008D1061" w:rsidP="008D1061">
      <w:pPr>
        <w:pStyle w:val="ListParagraph"/>
        <w:numPr>
          <w:ilvl w:val="0"/>
          <w:numId w:val="4"/>
        </w:numPr>
        <w:tabs>
          <w:tab w:val="left" w:pos="720"/>
        </w:tabs>
        <w:overflowPunct w:val="0"/>
        <w:autoSpaceDE w:val="0"/>
        <w:autoSpaceDN w:val="0"/>
        <w:adjustRightInd w:val="0"/>
        <w:spacing w:line="480" w:lineRule="auto"/>
        <w:jc w:val="both"/>
        <w:textAlignment w:val="baseline"/>
        <w:rPr>
          <w:color w:val="000000" w:themeColor="text1"/>
          <w:sz w:val="24"/>
          <w:szCs w:val="24"/>
        </w:rPr>
      </w:pPr>
      <w:r>
        <w:rPr>
          <w:color w:val="000000" w:themeColor="text1"/>
          <w:sz w:val="24"/>
          <w:szCs w:val="24"/>
        </w:rPr>
        <w:t xml:space="preserve">Investigate the potential long-term effects of participating in the Peace Mala initiative on young people’s perspectives and behaviours, including their future roles as potential police officers. </w:t>
      </w:r>
    </w:p>
    <w:p w14:paraId="423495A9" w14:textId="3633A2DC" w:rsidR="005D3267" w:rsidRPr="008D1061" w:rsidRDefault="00227DF5" w:rsidP="008D1061">
      <w:pPr>
        <w:pStyle w:val="ListParagraph"/>
        <w:numPr>
          <w:ilvl w:val="0"/>
          <w:numId w:val="4"/>
        </w:numPr>
        <w:tabs>
          <w:tab w:val="left" w:pos="720"/>
        </w:tabs>
        <w:overflowPunct w:val="0"/>
        <w:autoSpaceDE w:val="0"/>
        <w:autoSpaceDN w:val="0"/>
        <w:adjustRightInd w:val="0"/>
        <w:spacing w:line="480" w:lineRule="auto"/>
        <w:jc w:val="both"/>
        <w:textAlignment w:val="baseline"/>
        <w:rPr>
          <w:color w:val="000000" w:themeColor="text1"/>
          <w:sz w:val="24"/>
          <w:szCs w:val="24"/>
        </w:rPr>
      </w:pPr>
      <w:r w:rsidRPr="005B39E2">
        <w:rPr>
          <w:color w:val="000000" w:themeColor="text1"/>
          <w:sz w:val="24"/>
          <w:szCs w:val="24"/>
        </w:rPr>
        <w:t xml:space="preserve">Generate recommendations for scaling successful cultural activities to other </w:t>
      </w:r>
      <w:r w:rsidR="00415247">
        <w:rPr>
          <w:color w:val="000000" w:themeColor="text1"/>
          <w:sz w:val="24"/>
          <w:szCs w:val="24"/>
        </w:rPr>
        <w:t xml:space="preserve">PYV hubs, </w:t>
      </w:r>
      <w:r w:rsidRPr="005B39E2">
        <w:rPr>
          <w:color w:val="000000" w:themeColor="text1"/>
          <w:sz w:val="24"/>
          <w:szCs w:val="24"/>
        </w:rPr>
        <w:t>youth work organisations</w:t>
      </w:r>
      <w:r w:rsidR="00415247">
        <w:rPr>
          <w:color w:val="000000" w:themeColor="text1"/>
          <w:sz w:val="24"/>
          <w:szCs w:val="24"/>
        </w:rPr>
        <w:t xml:space="preserve">, </w:t>
      </w:r>
      <w:r w:rsidRPr="005B39E2">
        <w:rPr>
          <w:color w:val="000000" w:themeColor="text1"/>
          <w:sz w:val="24"/>
          <w:szCs w:val="24"/>
        </w:rPr>
        <w:t xml:space="preserve">and educational settings based on research findings. </w:t>
      </w:r>
    </w:p>
    <w:p w14:paraId="39FBDE92" w14:textId="77777777" w:rsidR="005B39E2" w:rsidRDefault="005B39E2" w:rsidP="00227DF5">
      <w:pPr>
        <w:tabs>
          <w:tab w:val="left" w:pos="720"/>
        </w:tabs>
        <w:overflowPunct w:val="0"/>
        <w:autoSpaceDE w:val="0"/>
        <w:autoSpaceDN w:val="0"/>
        <w:adjustRightInd w:val="0"/>
        <w:spacing w:line="480" w:lineRule="auto"/>
        <w:jc w:val="both"/>
        <w:textAlignment w:val="baseline"/>
        <w:rPr>
          <w:i/>
          <w:iCs/>
          <w:color w:val="000000" w:themeColor="text1"/>
          <w:sz w:val="24"/>
          <w:szCs w:val="24"/>
        </w:rPr>
      </w:pPr>
    </w:p>
    <w:p w14:paraId="667FF56E" w14:textId="4E55CB42" w:rsidR="00227DF5" w:rsidRPr="008D1061" w:rsidRDefault="00227DF5" w:rsidP="00B44CA9">
      <w:pPr>
        <w:tabs>
          <w:tab w:val="left" w:pos="720"/>
        </w:tabs>
        <w:overflowPunct w:val="0"/>
        <w:autoSpaceDE w:val="0"/>
        <w:autoSpaceDN w:val="0"/>
        <w:adjustRightInd w:val="0"/>
        <w:spacing w:line="480" w:lineRule="auto"/>
        <w:jc w:val="both"/>
        <w:textAlignment w:val="baseline"/>
        <w:rPr>
          <w:color w:val="000000" w:themeColor="text1"/>
          <w:sz w:val="24"/>
          <w:szCs w:val="24"/>
        </w:rPr>
      </w:pPr>
      <w:r w:rsidRPr="005B39E2">
        <w:rPr>
          <w:i/>
          <w:iCs/>
          <w:color w:val="000000" w:themeColor="text1"/>
          <w:sz w:val="24"/>
          <w:szCs w:val="24"/>
        </w:rPr>
        <w:t>Methods and Methodologies</w:t>
      </w:r>
    </w:p>
    <w:p w14:paraId="04E7B7CA" w14:textId="623361E8" w:rsidR="006755B9"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t xml:space="preserve">The philosophical worldview proposed in this study can be characterised as constructivist and </w:t>
      </w:r>
      <w:r w:rsidRPr="001A7A6E">
        <w:rPr>
          <w:color w:val="000000" w:themeColor="text1"/>
          <w:sz w:val="24"/>
          <w:szCs w:val="24"/>
        </w:rPr>
        <w:t>transformative (Creswell and Creswell, 20</w:t>
      </w:r>
      <w:r w:rsidR="001A7A6E" w:rsidRPr="001A7A6E">
        <w:rPr>
          <w:color w:val="000000" w:themeColor="text1"/>
          <w:sz w:val="24"/>
          <w:szCs w:val="24"/>
        </w:rPr>
        <w:t>1</w:t>
      </w:r>
      <w:r w:rsidRPr="001A7A6E">
        <w:rPr>
          <w:color w:val="000000" w:themeColor="text1"/>
          <w:sz w:val="24"/>
          <w:szCs w:val="24"/>
        </w:rPr>
        <w:t>8).</w:t>
      </w:r>
      <w:r w:rsidRPr="005B39E2">
        <w:rPr>
          <w:color w:val="000000" w:themeColor="text1"/>
          <w:sz w:val="24"/>
          <w:szCs w:val="24"/>
        </w:rPr>
        <w:t xml:space="preserve"> Not only is the researcher seeking to understand young people’s subjective experiences and meanings (constructivist), but also empower them to challenge existing norms, and make positive changes to their lives, and the lives of others (Creswell and Creswell, 20</w:t>
      </w:r>
      <w:r w:rsidR="001A7A6E">
        <w:rPr>
          <w:color w:val="000000" w:themeColor="text1"/>
          <w:sz w:val="24"/>
          <w:szCs w:val="24"/>
        </w:rPr>
        <w:t>18</w:t>
      </w:r>
      <w:r w:rsidRPr="005B39E2">
        <w:rPr>
          <w:color w:val="000000" w:themeColor="text1"/>
          <w:sz w:val="24"/>
          <w:szCs w:val="24"/>
        </w:rPr>
        <w:t xml:space="preserve">). </w:t>
      </w:r>
    </w:p>
    <w:p w14:paraId="48FBD989" w14:textId="1FBF8B9A" w:rsidR="00227DF5" w:rsidRPr="005B39E2"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lastRenderedPageBreak/>
        <w:t xml:space="preserve">To enable an in-depth understanding </w:t>
      </w:r>
      <w:r w:rsidR="00B44CA9">
        <w:rPr>
          <w:color w:val="000000" w:themeColor="text1"/>
          <w:sz w:val="24"/>
          <w:szCs w:val="24"/>
        </w:rPr>
        <w:t xml:space="preserve">into </w:t>
      </w:r>
      <w:r w:rsidR="004B0DE0">
        <w:rPr>
          <w:color w:val="000000" w:themeColor="text1"/>
          <w:sz w:val="24"/>
          <w:szCs w:val="24"/>
        </w:rPr>
        <w:t xml:space="preserve">the </w:t>
      </w:r>
      <w:r w:rsidR="004B0DE0" w:rsidRPr="005B39E2">
        <w:rPr>
          <w:color w:val="000000" w:themeColor="text1"/>
          <w:sz w:val="24"/>
          <w:szCs w:val="24"/>
        </w:rPr>
        <w:t>effectiveness</w:t>
      </w:r>
      <w:r w:rsidR="00B44CA9">
        <w:rPr>
          <w:color w:val="000000" w:themeColor="text1"/>
          <w:sz w:val="24"/>
          <w:szCs w:val="24"/>
        </w:rPr>
        <w:t xml:space="preserve"> of </w:t>
      </w:r>
      <w:r w:rsidR="004B0DE0">
        <w:rPr>
          <w:color w:val="000000" w:themeColor="text1"/>
          <w:sz w:val="24"/>
          <w:szCs w:val="24"/>
        </w:rPr>
        <w:t xml:space="preserve">cross-curricular, </w:t>
      </w:r>
      <w:r w:rsidR="004B0DE0" w:rsidRPr="005B39E2">
        <w:rPr>
          <w:color w:val="000000" w:themeColor="text1"/>
          <w:sz w:val="24"/>
          <w:szCs w:val="24"/>
        </w:rPr>
        <w:t>cultural</w:t>
      </w:r>
      <w:r w:rsidRPr="005B39E2">
        <w:rPr>
          <w:color w:val="000000" w:themeColor="text1"/>
          <w:sz w:val="24"/>
          <w:szCs w:val="24"/>
        </w:rPr>
        <w:t xml:space="preserve"> activities delivered through the Peace Mala initiative, the researcher will adopt an ethnography, qualitative design of inquiry (Creswell and Creswell, 20</w:t>
      </w:r>
      <w:r w:rsidR="00FF75E1">
        <w:rPr>
          <w:color w:val="000000" w:themeColor="text1"/>
          <w:sz w:val="24"/>
          <w:szCs w:val="24"/>
        </w:rPr>
        <w:t>1</w:t>
      </w:r>
      <w:r w:rsidRPr="005B39E2">
        <w:rPr>
          <w:color w:val="000000" w:themeColor="text1"/>
          <w:sz w:val="24"/>
          <w:szCs w:val="24"/>
        </w:rPr>
        <w:t>8). This design will enable the thematic assessment of collective patterns of understanding, behaviour, language, and actions of young people’s participation over a prolonged period (Creswell and Creswell, 20</w:t>
      </w:r>
      <w:r w:rsidR="00FF75E1">
        <w:rPr>
          <w:color w:val="000000" w:themeColor="text1"/>
          <w:sz w:val="24"/>
          <w:szCs w:val="24"/>
        </w:rPr>
        <w:t>18</w:t>
      </w:r>
      <w:r w:rsidRPr="005B39E2">
        <w:rPr>
          <w:color w:val="000000" w:themeColor="text1"/>
          <w:sz w:val="24"/>
          <w:szCs w:val="24"/>
        </w:rPr>
        <w:t xml:space="preserve">). The multiple qualitative methods used to capture this comprehensive understanding of young people’s experiences and perspectives in this study, include open observations, and case studies. </w:t>
      </w:r>
    </w:p>
    <w:p w14:paraId="00D525E7" w14:textId="77777777" w:rsidR="00227DF5" w:rsidRPr="005B39E2" w:rsidRDefault="00227DF5" w:rsidP="00227DF5">
      <w:pPr>
        <w:tabs>
          <w:tab w:val="left" w:pos="720"/>
        </w:tabs>
        <w:spacing w:line="480" w:lineRule="auto"/>
        <w:jc w:val="both"/>
        <w:rPr>
          <w:color w:val="000000" w:themeColor="text1"/>
          <w:sz w:val="24"/>
          <w:szCs w:val="24"/>
        </w:rPr>
      </w:pPr>
    </w:p>
    <w:p w14:paraId="0C1BCD30" w14:textId="77777777" w:rsidR="00227DF5" w:rsidRPr="005B39E2" w:rsidRDefault="00227DF5" w:rsidP="00227DF5">
      <w:pPr>
        <w:tabs>
          <w:tab w:val="left" w:pos="720"/>
        </w:tabs>
        <w:spacing w:line="480" w:lineRule="auto"/>
        <w:jc w:val="both"/>
        <w:rPr>
          <w:i/>
          <w:iCs/>
          <w:color w:val="000000" w:themeColor="text1"/>
          <w:sz w:val="24"/>
          <w:szCs w:val="24"/>
        </w:rPr>
      </w:pPr>
      <w:r w:rsidRPr="005B39E2">
        <w:rPr>
          <w:i/>
          <w:iCs/>
          <w:color w:val="000000" w:themeColor="text1"/>
          <w:sz w:val="24"/>
          <w:szCs w:val="24"/>
        </w:rPr>
        <w:t>Observations</w:t>
      </w:r>
    </w:p>
    <w:p w14:paraId="4E604B02" w14:textId="7ECA03C5" w:rsidR="00415247"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t>According to Cottrell (2014) observational methods are valuable for gaining an in-depth analysis into how young people behave in ‘real-life’ situations. This can offer immediate and unexpected insights (Cottrell, 2014). Conversely, Cottrell (2014), highlights the disadvantages of observations including their consumption of time, their ethical challenges, and difficulty in generalising findings. Groundwater-Smith (</w:t>
      </w:r>
      <w:r w:rsidRPr="00686E8E">
        <w:rPr>
          <w:i/>
          <w:iCs/>
          <w:color w:val="000000" w:themeColor="text1"/>
          <w:sz w:val="24"/>
          <w:szCs w:val="24"/>
        </w:rPr>
        <w:t>et al</w:t>
      </w:r>
      <w:r w:rsidRPr="005B39E2">
        <w:rPr>
          <w:color w:val="000000" w:themeColor="text1"/>
          <w:sz w:val="24"/>
          <w:szCs w:val="24"/>
        </w:rPr>
        <w:t xml:space="preserve">, 2015) agrees that observations can become time-consuming and could result in data being missed.  Utilising Cottrell’s (2014) organisational recommendations, the researcher will address these challenges by clearly defining the parameters for observations, including frequency, duration, and focus areas, </w:t>
      </w:r>
      <w:r w:rsidR="00415247">
        <w:rPr>
          <w:color w:val="000000" w:themeColor="text1"/>
          <w:sz w:val="24"/>
          <w:szCs w:val="24"/>
        </w:rPr>
        <w:t xml:space="preserve">and utilise </w:t>
      </w:r>
      <w:r w:rsidRPr="005B39E2">
        <w:rPr>
          <w:color w:val="000000" w:themeColor="text1"/>
          <w:sz w:val="24"/>
          <w:szCs w:val="24"/>
        </w:rPr>
        <w:t xml:space="preserve">recording structures, and testing through pilot runs. </w:t>
      </w:r>
    </w:p>
    <w:p w14:paraId="78817D9A" w14:textId="77777777" w:rsidR="00415247" w:rsidRDefault="00415247" w:rsidP="00227DF5">
      <w:pPr>
        <w:tabs>
          <w:tab w:val="left" w:pos="720"/>
        </w:tabs>
        <w:spacing w:line="480" w:lineRule="auto"/>
        <w:jc w:val="both"/>
        <w:rPr>
          <w:color w:val="000000" w:themeColor="text1"/>
          <w:sz w:val="24"/>
          <w:szCs w:val="24"/>
        </w:rPr>
      </w:pPr>
    </w:p>
    <w:p w14:paraId="219B5BBE" w14:textId="29F0E326" w:rsidR="00227DF5" w:rsidRPr="005B39E2"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t>To navigate ethical concerns, open observations will be prioritised, ensuring that young people are fully informed and willing (Cottrell, 2014). Despite potential concerns about altering young people’s behaviour suggested by Cottrell (2014), transparency fosters trust, which is crucial as a youth worker. According to Groundwater-Smith (</w:t>
      </w:r>
      <w:r w:rsidR="00686E8E" w:rsidRPr="00686E8E">
        <w:rPr>
          <w:i/>
          <w:iCs/>
          <w:color w:val="000000" w:themeColor="text1"/>
          <w:sz w:val="24"/>
          <w:szCs w:val="24"/>
        </w:rPr>
        <w:t>et al,</w:t>
      </w:r>
      <w:r w:rsidR="00686E8E">
        <w:rPr>
          <w:color w:val="000000" w:themeColor="text1"/>
          <w:sz w:val="24"/>
          <w:szCs w:val="24"/>
        </w:rPr>
        <w:t xml:space="preserve"> </w:t>
      </w:r>
      <w:r w:rsidRPr="005B39E2">
        <w:rPr>
          <w:color w:val="000000" w:themeColor="text1"/>
          <w:sz w:val="24"/>
          <w:szCs w:val="24"/>
        </w:rPr>
        <w:t>2015) observations can also be non-</w:t>
      </w:r>
      <w:r w:rsidRPr="005B39E2">
        <w:rPr>
          <w:color w:val="000000" w:themeColor="text1"/>
          <w:sz w:val="24"/>
          <w:szCs w:val="24"/>
        </w:rPr>
        <w:lastRenderedPageBreak/>
        <w:t xml:space="preserve">disruptive, flexible, and authentic, helping to build trust and rapport between the researcher and young people they are observing. </w:t>
      </w:r>
    </w:p>
    <w:p w14:paraId="4DC7FBC3" w14:textId="77777777" w:rsidR="00686E8E" w:rsidRDefault="00686E8E" w:rsidP="00227DF5">
      <w:pPr>
        <w:tabs>
          <w:tab w:val="left" w:pos="720"/>
        </w:tabs>
        <w:spacing w:line="480" w:lineRule="auto"/>
        <w:jc w:val="both"/>
        <w:rPr>
          <w:i/>
          <w:iCs/>
          <w:color w:val="000000" w:themeColor="text1"/>
          <w:sz w:val="24"/>
          <w:szCs w:val="24"/>
        </w:rPr>
      </w:pPr>
    </w:p>
    <w:p w14:paraId="147C48EC" w14:textId="2E3F4F0A" w:rsidR="00227DF5" w:rsidRPr="005B39E2" w:rsidRDefault="00227DF5" w:rsidP="00227DF5">
      <w:pPr>
        <w:tabs>
          <w:tab w:val="left" w:pos="720"/>
        </w:tabs>
        <w:spacing w:line="480" w:lineRule="auto"/>
        <w:jc w:val="both"/>
        <w:rPr>
          <w:i/>
          <w:iCs/>
          <w:color w:val="000000" w:themeColor="text1"/>
          <w:sz w:val="24"/>
          <w:szCs w:val="24"/>
        </w:rPr>
      </w:pPr>
      <w:r w:rsidRPr="005B39E2">
        <w:rPr>
          <w:i/>
          <w:iCs/>
          <w:color w:val="000000" w:themeColor="text1"/>
          <w:sz w:val="24"/>
          <w:szCs w:val="24"/>
        </w:rPr>
        <w:t>Case Studies</w:t>
      </w:r>
    </w:p>
    <w:p w14:paraId="7F064977" w14:textId="0C124C79" w:rsidR="00227DF5" w:rsidRPr="005B39E2" w:rsidRDefault="00227DF5" w:rsidP="00227DF5">
      <w:pPr>
        <w:tabs>
          <w:tab w:val="left" w:pos="720"/>
        </w:tabs>
        <w:spacing w:line="480" w:lineRule="auto"/>
        <w:jc w:val="both"/>
        <w:rPr>
          <w:i/>
          <w:iCs/>
          <w:color w:val="000000" w:themeColor="text1"/>
          <w:sz w:val="24"/>
          <w:szCs w:val="24"/>
        </w:rPr>
      </w:pPr>
      <w:r w:rsidRPr="005B39E2">
        <w:rPr>
          <w:color w:val="000000" w:themeColor="text1"/>
          <w:sz w:val="24"/>
          <w:szCs w:val="24"/>
        </w:rPr>
        <w:t>Cottrell (2014)</w:t>
      </w:r>
      <w:r w:rsidR="00415247">
        <w:rPr>
          <w:color w:val="000000" w:themeColor="text1"/>
          <w:sz w:val="24"/>
          <w:szCs w:val="24"/>
        </w:rPr>
        <w:t>,</w:t>
      </w:r>
      <w:r w:rsidRPr="005B39E2">
        <w:rPr>
          <w:color w:val="000000" w:themeColor="text1"/>
          <w:sz w:val="24"/>
          <w:szCs w:val="24"/>
        </w:rPr>
        <w:t xml:space="preserve"> states that case studies are worthwhile, and like observations, can be applied to ‘real life’ situations. For the purpose of this study, this refers to the lives, experiences, needs, and insights of young people. Cottrell (2014) continues to note that case studies can create rich data for qualitative and critical analysis</w:t>
      </w:r>
      <w:r w:rsidR="00415247">
        <w:rPr>
          <w:color w:val="000000" w:themeColor="text1"/>
          <w:sz w:val="24"/>
          <w:szCs w:val="24"/>
        </w:rPr>
        <w:t xml:space="preserve">. She continues to </w:t>
      </w:r>
      <w:r w:rsidRPr="005B39E2">
        <w:rPr>
          <w:color w:val="000000" w:themeColor="text1"/>
          <w:sz w:val="24"/>
          <w:szCs w:val="24"/>
        </w:rPr>
        <w:t xml:space="preserve">argue that case studies can also help advance theoretical framework, identify any issues such as good and poor practice, and in turn, develop recommendations for improvement. Importantly she notes that case studies can be adapted to the needs of participants within a study. </w:t>
      </w:r>
    </w:p>
    <w:p w14:paraId="2F3D623A" w14:textId="77777777" w:rsidR="00227DF5" w:rsidRPr="005B39E2" w:rsidRDefault="00227DF5" w:rsidP="00227DF5">
      <w:pPr>
        <w:tabs>
          <w:tab w:val="left" w:pos="720"/>
        </w:tabs>
        <w:spacing w:line="480" w:lineRule="auto"/>
        <w:jc w:val="both"/>
        <w:rPr>
          <w:color w:val="000000" w:themeColor="text1"/>
          <w:sz w:val="24"/>
          <w:szCs w:val="24"/>
        </w:rPr>
      </w:pPr>
    </w:p>
    <w:p w14:paraId="2F647F5A" w14:textId="391524BF" w:rsidR="00F63DF9"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t>Like all methods of research, it is also important to recognise the disadvantages and risks to be able to plan and implement strategies for mitigation. Cottrell (201</w:t>
      </w:r>
      <w:r w:rsidR="00686E8E">
        <w:rPr>
          <w:color w:val="000000" w:themeColor="text1"/>
          <w:sz w:val="24"/>
          <w:szCs w:val="24"/>
        </w:rPr>
        <w:t>4</w:t>
      </w:r>
      <w:r w:rsidRPr="005B39E2">
        <w:rPr>
          <w:color w:val="000000" w:themeColor="text1"/>
          <w:sz w:val="24"/>
          <w:szCs w:val="24"/>
        </w:rPr>
        <w:t xml:space="preserve">) suggests that because case studies are for individuals, they may not fully represent the general views of all young people engaged in the project. Furthermore, she adds that even one case study can be time- consuming and generate large amounts of data which can prove difficult to manage, thus limiting the amount of case studies that can be carried out. As a result, the study will work with two young people, one from two different PYV hubs. Despite there being less individuals, the research will allow for a more thorough investigation, and provide the researcher with a comparison between two different communities of people.  Any issues that may arise will be reflected on and adjusted in future studies. </w:t>
      </w:r>
    </w:p>
    <w:p w14:paraId="3C807738" w14:textId="77777777" w:rsidR="00FF75E1" w:rsidRDefault="00FF75E1" w:rsidP="00227DF5">
      <w:pPr>
        <w:tabs>
          <w:tab w:val="left" w:pos="720"/>
        </w:tabs>
        <w:spacing w:line="480" w:lineRule="auto"/>
        <w:jc w:val="both"/>
        <w:rPr>
          <w:color w:val="000000" w:themeColor="text1"/>
          <w:sz w:val="24"/>
          <w:szCs w:val="24"/>
        </w:rPr>
      </w:pPr>
    </w:p>
    <w:p w14:paraId="33CAB6BF" w14:textId="24459D66" w:rsidR="00227DF5" w:rsidRPr="005B39E2"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t xml:space="preserve">These research methods align </w:t>
      </w:r>
      <w:r w:rsidRPr="00686E8E">
        <w:rPr>
          <w:color w:val="000000" w:themeColor="text1"/>
          <w:sz w:val="24"/>
          <w:szCs w:val="24"/>
        </w:rPr>
        <w:t>with Sapin’s (2013) framework</w:t>
      </w:r>
      <w:r w:rsidRPr="005B39E2">
        <w:rPr>
          <w:color w:val="000000" w:themeColor="text1"/>
          <w:sz w:val="24"/>
          <w:szCs w:val="24"/>
        </w:rPr>
        <w:t xml:space="preserve"> for professional youth work practice, emphasising trust, transparency, and flexibility. The methods prioritise young </w:t>
      </w:r>
      <w:r w:rsidRPr="005B39E2">
        <w:rPr>
          <w:color w:val="000000" w:themeColor="text1"/>
          <w:sz w:val="24"/>
          <w:szCs w:val="24"/>
        </w:rPr>
        <w:lastRenderedPageBreak/>
        <w:t>people’s voices, needs and experiences, reflecting Article 12 of the UNCRC</w:t>
      </w:r>
      <w:r w:rsidR="00686E8E">
        <w:rPr>
          <w:color w:val="000000" w:themeColor="text1"/>
          <w:sz w:val="24"/>
          <w:szCs w:val="24"/>
        </w:rPr>
        <w:t xml:space="preserve"> (cited in UNICEF, no date)</w:t>
      </w:r>
      <w:r w:rsidRPr="005B39E2">
        <w:rPr>
          <w:color w:val="000000" w:themeColor="text1"/>
          <w:sz w:val="24"/>
          <w:szCs w:val="24"/>
        </w:rPr>
        <w:t xml:space="preserve">, </w:t>
      </w:r>
      <w:r w:rsidR="00686E8E">
        <w:rPr>
          <w:color w:val="000000" w:themeColor="text1"/>
          <w:sz w:val="24"/>
          <w:szCs w:val="24"/>
        </w:rPr>
        <w:t xml:space="preserve">whilst </w:t>
      </w:r>
      <w:r w:rsidRPr="005B39E2">
        <w:rPr>
          <w:color w:val="000000" w:themeColor="text1"/>
          <w:sz w:val="24"/>
          <w:szCs w:val="24"/>
        </w:rPr>
        <w:t>foster</w:t>
      </w:r>
      <w:r w:rsidR="00686E8E">
        <w:rPr>
          <w:color w:val="000000" w:themeColor="text1"/>
          <w:sz w:val="24"/>
          <w:szCs w:val="24"/>
        </w:rPr>
        <w:t>ing</w:t>
      </w:r>
      <w:r w:rsidRPr="005B39E2">
        <w:rPr>
          <w:color w:val="000000" w:themeColor="text1"/>
          <w:sz w:val="24"/>
          <w:szCs w:val="24"/>
        </w:rPr>
        <w:t xml:space="preserve"> inclusive and accountable approaches (Sapin, 2013). Through open observations and case studies for qualitative research, the researcher can build relationships, tackle inequalities, and enhance services whilst upholding ethical standards (Sapin, 2013). Moreover, the study supports the principles and purposes of youth work outlined in YWIWRG (2022), </w:t>
      </w:r>
      <w:r w:rsidR="00686E8E">
        <w:rPr>
          <w:color w:val="000000" w:themeColor="text1"/>
          <w:sz w:val="24"/>
          <w:szCs w:val="24"/>
        </w:rPr>
        <w:t>supporting opportunities that are educative, expressive, inclusive, participative, and empowering.</w:t>
      </w:r>
      <w:r w:rsidRPr="005B39E2">
        <w:rPr>
          <w:color w:val="000000" w:themeColor="text1"/>
          <w:sz w:val="24"/>
          <w:szCs w:val="24"/>
        </w:rPr>
        <w:t xml:space="preserve"> </w:t>
      </w:r>
    </w:p>
    <w:p w14:paraId="02D19AE7" w14:textId="77777777" w:rsidR="00227DF5" w:rsidRPr="005B39E2" w:rsidRDefault="00227DF5" w:rsidP="00227DF5">
      <w:pPr>
        <w:tabs>
          <w:tab w:val="left" w:pos="720"/>
        </w:tabs>
        <w:spacing w:line="480" w:lineRule="auto"/>
        <w:jc w:val="both"/>
        <w:rPr>
          <w:color w:val="000000" w:themeColor="text1"/>
          <w:sz w:val="24"/>
          <w:szCs w:val="24"/>
        </w:rPr>
      </w:pPr>
    </w:p>
    <w:p w14:paraId="3E303768" w14:textId="77777777" w:rsidR="00227DF5" w:rsidRPr="005B39E2" w:rsidRDefault="00227DF5" w:rsidP="00227DF5">
      <w:pPr>
        <w:tabs>
          <w:tab w:val="left" w:pos="720"/>
        </w:tabs>
        <w:spacing w:line="480" w:lineRule="auto"/>
        <w:jc w:val="both"/>
        <w:rPr>
          <w:i/>
          <w:iCs/>
          <w:color w:val="000000" w:themeColor="text1"/>
          <w:sz w:val="24"/>
          <w:szCs w:val="24"/>
        </w:rPr>
      </w:pPr>
      <w:r w:rsidRPr="005B39E2">
        <w:rPr>
          <w:i/>
          <w:iCs/>
          <w:color w:val="000000" w:themeColor="text1"/>
          <w:sz w:val="24"/>
          <w:szCs w:val="24"/>
        </w:rPr>
        <w:t>Ethical Considerations</w:t>
      </w:r>
    </w:p>
    <w:p w14:paraId="53331A21" w14:textId="59EBE91C" w:rsidR="00227DF5" w:rsidRPr="005B39E2"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t xml:space="preserve">Ethics in research involves adhering to moral principles, prioritising integrity, fairness, and honesty, whilst treating all stakeholders with dignity and respect for their rights, and safety (Cottrell, 2014). This means considering the moral and ethical implications of the research process, including its design, implementation, findings, and potential consequences on young people (Cottrell, 2014). </w:t>
      </w:r>
    </w:p>
    <w:p w14:paraId="08D47728" w14:textId="77777777" w:rsidR="00227DF5" w:rsidRPr="005B39E2" w:rsidRDefault="00227DF5" w:rsidP="00227DF5">
      <w:pPr>
        <w:tabs>
          <w:tab w:val="left" w:pos="720"/>
        </w:tabs>
        <w:spacing w:line="480" w:lineRule="auto"/>
        <w:jc w:val="both"/>
        <w:rPr>
          <w:color w:val="000000" w:themeColor="text1"/>
          <w:sz w:val="24"/>
          <w:szCs w:val="24"/>
        </w:rPr>
      </w:pPr>
    </w:p>
    <w:p w14:paraId="5CC1FBC6" w14:textId="6A41EF62" w:rsidR="00227DF5" w:rsidRPr="005B39E2"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t xml:space="preserve">Managing the research process ethically involves seeking advice, addressing ethical concerns comprehensively, and gaining approval from the ethics committee (Cottrell, 2014). Student research proposals must demonstrate a thorough consideration of ethical implications and conduct to gain its approval (Cottrell, 2014). </w:t>
      </w:r>
      <w:r w:rsidR="00F63DF9">
        <w:rPr>
          <w:color w:val="000000" w:themeColor="text1"/>
          <w:sz w:val="24"/>
          <w:szCs w:val="24"/>
        </w:rPr>
        <w:t>It is vital that s</w:t>
      </w:r>
      <w:r w:rsidRPr="005B39E2">
        <w:rPr>
          <w:color w:val="000000" w:themeColor="text1"/>
          <w:sz w:val="24"/>
          <w:szCs w:val="24"/>
        </w:rPr>
        <w:t xml:space="preserve">tudent conducting research on behalf </w:t>
      </w:r>
      <w:r w:rsidRPr="00686E8E">
        <w:rPr>
          <w:color w:val="000000" w:themeColor="text1"/>
          <w:sz w:val="24"/>
          <w:szCs w:val="24"/>
        </w:rPr>
        <w:t>of UWTSD (2022)</w:t>
      </w:r>
      <w:r w:rsidR="00F63DF9" w:rsidRPr="00686E8E">
        <w:rPr>
          <w:color w:val="000000" w:themeColor="text1"/>
          <w:sz w:val="24"/>
          <w:szCs w:val="24"/>
        </w:rPr>
        <w:t>, are</w:t>
      </w:r>
      <w:r w:rsidR="00F63DF9">
        <w:rPr>
          <w:color w:val="000000" w:themeColor="text1"/>
          <w:sz w:val="24"/>
          <w:szCs w:val="24"/>
        </w:rPr>
        <w:t xml:space="preserve"> also </w:t>
      </w:r>
      <w:r w:rsidRPr="005B39E2">
        <w:rPr>
          <w:color w:val="000000" w:themeColor="text1"/>
          <w:sz w:val="24"/>
          <w:szCs w:val="24"/>
        </w:rPr>
        <w:t>adher</w:t>
      </w:r>
      <w:r w:rsidR="00F63DF9">
        <w:rPr>
          <w:color w:val="000000" w:themeColor="text1"/>
          <w:sz w:val="24"/>
          <w:szCs w:val="24"/>
        </w:rPr>
        <w:t>ing</w:t>
      </w:r>
      <w:r w:rsidRPr="005B39E2">
        <w:rPr>
          <w:color w:val="000000" w:themeColor="text1"/>
          <w:sz w:val="24"/>
          <w:szCs w:val="24"/>
        </w:rPr>
        <w:t xml:space="preserve"> to the university’s research ethics and integrity guidelines. </w:t>
      </w:r>
    </w:p>
    <w:p w14:paraId="013BDB52" w14:textId="77777777" w:rsidR="00F63DF9" w:rsidRDefault="00F63DF9" w:rsidP="00227DF5">
      <w:pPr>
        <w:tabs>
          <w:tab w:val="left" w:pos="720"/>
        </w:tabs>
        <w:spacing w:line="480" w:lineRule="auto"/>
        <w:jc w:val="both"/>
        <w:rPr>
          <w:color w:val="000000" w:themeColor="text1"/>
          <w:sz w:val="24"/>
          <w:szCs w:val="24"/>
        </w:rPr>
      </w:pPr>
    </w:p>
    <w:p w14:paraId="7DC4CC6C" w14:textId="5EDB461D" w:rsidR="00227DF5" w:rsidRPr="005B39E2"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t xml:space="preserve">Additionally, </w:t>
      </w:r>
      <w:r w:rsidR="00BE6652" w:rsidRPr="005B39E2">
        <w:rPr>
          <w:color w:val="000000" w:themeColor="text1"/>
          <w:sz w:val="24"/>
          <w:szCs w:val="24"/>
        </w:rPr>
        <w:t>the researcher</w:t>
      </w:r>
      <w:r w:rsidRPr="005B39E2">
        <w:rPr>
          <w:color w:val="000000" w:themeColor="text1"/>
          <w:sz w:val="24"/>
          <w:szCs w:val="24"/>
        </w:rPr>
        <w:t xml:space="preserve"> in an educational setting with young people must align their practice with the vision, aims, and values set out by the British Educational Research Association</w:t>
      </w:r>
      <w:r w:rsidR="00686E8E">
        <w:rPr>
          <w:color w:val="000000" w:themeColor="text1"/>
          <w:sz w:val="24"/>
          <w:szCs w:val="24"/>
        </w:rPr>
        <w:t xml:space="preserve"> (</w:t>
      </w:r>
      <w:r w:rsidRPr="005B39E2">
        <w:rPr>
          <w:color w:val="000000" w:themeColor="text1"/>
          <w:sz w:val="24"/>
          <w:szCs w:val="24"/>
        </w:rPr>
        <w:t xml:space="preserve">BERA, 2018). This involves </w:t>
      </w:r>
      <w:r w:rsidRPr="003A5CEF">
        <w:rPr>
          <w:color w:val="000000" w:themeColor="text1"/>
          <w:sz w:val="24"/>
          <w:szCs w:val="24"/>
        </w:rPr>
        <w:t>utilising BERA’s (2018) guidelines</w:t>
      </w:r>
      <w:r w:rsidRPr="005B39E2">
        <w:rPr>
          <w:color w:val="000000" w:themeColor="text1"/>
          <w:sz w:val="24"/>
          <w:szCs w:val="24"/>
        </w:rPr>
        <w:t xml:space="preserve">, adhering to its </w:t>
      </w:r>
      <w:r w:rsidRPr="005B39E2">
        <w:rPr>
          <w:color w:val="000000" w:themeColor="text1"/>
          <w:sz w:val="24"/>
          <w:szCs w:val="24"/>
        </w:rPr>
        <w:lastRenderedPageBreak/>
        <w:t>ethical principles, and applying them with integrity, deliberately</w:t>
      </w:r>
      <w:r w:rsidR="00F63DF9">
        <w:rPr>
          <w:color w:val="000000" w:themeColor="text1"/>
          <w:sz w:val="24"/>
          <w:szCs w:val="24"/>
        </w:rPr>
        <w:t>,</w:t>
      </w:r>
      <w:r w:rsidRPr="005B39E2">
        <w:rPr>
          <w:color w:val="000000" w:themeColor="text1"/>
          <w:sz w:val="24"/>
          <w:szCs w:val="24"/>
        </w:rPr>
        <w:t xml:space="preserve"> and continuously to assess situations and make informed decisions. Ethical decisions are paramount in research involving young people, therefore, according to BERA (2018)</w:t>
      </w:r>
      <w:r w:rsidR="00F63DF9">
        <w:rPr>
          <w:color w:val="000000" w:themeColor="text1"/>
          <w:sz w:val="24"/>
          <w:szCs w:val="24"/>
        </w:rPr>
        <w:t>,</w:t>
      </w:r>
      <w:r w:rsidRPr="005B39E2">
        <w:rPr>
          <w:color w:val="000000" w:themeColor="text1"/>
          <w:sz w:val="24"/>
          <w:szCs w:val="24"/>
        </w:rPr>
        <w:t xml:space="preserve"> ethical dilemmas and challenges must be carefully considered, particularly in respect to consent, and confidentiality. </w:t>
      </w:r>
    </w:p>
    <w:p w14:paraId="01E3588E" w14:textId="77777777" w:rsidR="00227DF5" w:rsidRPr="005B39E2" w:rsidRDefault="00227DF5" w:rsidP="00227DF5">
      <w:pPr>
        <w:tabs>
          <w:tab w:val="left" w:pos="720"/>
        </w:tabs>
        <w:spacing w:line="360" w:lineRule="auto"/>
        <w:jc w:val="both"/>
        <w:rPr>
          <w:color w:val="000000" w:themeColor="text1"/>
          <w:sz w:val="24"/>
          <w:szCs w:val="24"/>
        </w:rPr>
      </w:pPr>
    </w:p>
    <w:p w14:paraId="09C8E2E1" w14:textId="77777777" w:rsidR="00227DF5" w:rsidRPr="005B39E2" w:rsidRDefault="00227DF5" w:rsidP="00227DF5">
      <w:pPr>
        <w:tabs>
          <w:tab w:val="left" w:pos="720"/>
        </w:tabs>
        <w:spacing w:line="480" w:lineRule="auto"/>
        <w:jc w:val="both"/>
        <w:rPr>
          <w:i/>
          <w:iCs/>
          <w:color w:val="000000" w:themeColor="text1"/>
          <w:sz w:val="24"/>
          <w:szCs w:val="24"/>
        </w:rPr>
      </w:pPr>
      <w:r w:rsidRPr="005B39E2">
        <w:rPr>
          <w:i/>
          <w:iCs/>
          <w:color w:val="000000" w:themeColor="text1"/>
          <w:sz w:val="24"/>
          <w:szCs w:val="24"/>
        </w:rPr>
        <w:t>Informed Consent</w:t>
      </w:r>
    </w:p>
    <w:p w14:paraId="2A3CFD2C" w14:textId="3134FF0C" w:rsidR="005D3267" w:rsidRPr="005B39E2"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t xml:space="preserve">According to BERA’s (2018) guidelines, participants should willingly provide informed consent to participate in the study from the outset. Additionally, researchers should remain receptive and respectful to the fact that participants may choose to withdraw their consent at any point for any reason (BERA, 2018). Voluntary participation requires individuals to actively choose to take part, however, this choice can be influenced by various factors such as feeling obligated to authority figures or fearing consequences if they withdraw (Groundwater-Smith </w:t>
      </w:r>
      <w:r w:rsidRPr="003A5CEF">
        <w:rPr>
          <w:i/>
          <w:iCs/>
          <w:color w:val="000000" w:themeColor="text1"/>
          <w:sz w:val="24"/>
          <w:szCs w:val="24"/>
        </w:rPr>
        <w:t>et al</w:t>
      </w:r>
      <w:r w:rsidR="003A5CEF" w:rsidRPr="003A5CEF">
        <w:rPr>
          <w:color w:val="000000" w:themeColor="text1"/>
          <w:sz w:val="24"/>
          <w:szCs w:val="24"/>
        </w:rPr>
        <w:t>, 2015</w:t>
      </w:r>
      <w:r w:rsidRPr="003A5CEF">
        <w:rPr>
          <w:color w:val="000000" w:themeColor="text1"/>
          <w:sz w:val="24"/>
          <w:szCs w:val="24"/>
        </w:rPr>
        <w:t>).</w:t>
      </w:r>
      <w:r w:rsidRPr="005B39E2">
        <w:rPr>
          <w:color w:val="000000" w:themeColor="text1"/>
          <w:sz w:val="24"/>
          <w:szCs w:val="24"/>
        </w:rPr>
        <w:t xml:space="preserve"> Therefore, it is crucial that the researcher respects each participants communicative abilities and decision-making capacities </w:t>
      </w:r>
      <w:r w:rsidR="003A5CEF" w:rsidRPr="005B39E2">
        <w:rPr>
          <w:color w:val="000000" w:themeColor="text1"/>
          <w:sz w:val="24"/>
          <w:szCs w:val="24"/>
        </w:rPr>
        <w:t xml:space="preserve">(Groundwater-Smith </w:t>
      </w:r>
      <w:r w:rsidR="003A5CEF" w:rsidRPr="003A5CEF">
        <w:rPr>
          <w:i/>
          <w:iCs/>
          <w:color w:val="000000" w:themeColor="text1"/>
          <w:sz w:val="24"/>
          <w:szCs w:val="24"/>
        </w:rPr>
        <w:t>et al</w:t>
      </w:r>
      <w:r w:rsidR="003A5CEF" w:rsidRPr="003A5CEF">
        <w:rPr>
          <w:color w:val="000000" w:themeColor="text1"/>
          <w:sz w:val="24"/>
          <w:szCs w:val="24"/>
        </w:rPr>
        <w:t>, 2015).</w:t>
      </w:r>
      <w:r w:rsidR="003A5CEF" w:rsidRPr="005B39E2">
        <w:rPr>
          <w:color w:val="000000" w:themeColor="text1"/>
          <w:sz w:val="24"/>
          <w:szCs w:val="24"/>
        </w:rPr>
        <w:t xml:space="preserve"> </w:t>
      </w:r>
      <w:r w:rsidRPr="005B39E2">
        <w:rPr>
          <w:color w:val="000000" w:themeColor="text1"/>
          <w:sz w:val="24"/>
          <w:szCs w:val="24"/>
        </w:rPr>
        <w:t xml:space="preserve">Aligning with BERA’s (2018) guidelines, the researcher will prioritise congruence throughout the process, ensuring that all participants, as well as their parents or guardians fully understand the study’s details. This includes explaining the purpose of participation, the tasks involved, how their information will be used and reported, and any data retention, and sharing policies (BERA, 2018). Signed consent will be obtained from both participants and their parents or guardians before starting the study or using their data for publication. Decisions about consent will be made within trusting relationships, ensuring young people receive clear, understandable information, and feel empowered to affirm or decline participation at any point throughout the research process </w:t>
      </w:r>
      <w:r w:rsidR="003A5CEF" w:rsidRPr="005B39E2">
        <w:rPr>
          <w:color w:val="000000" w:themeColor="text1"/>
          <w:sz w:val="24"/>
          <w:szCs w:val="24"/>
        </w:rPr>
        <w:t xml:space="preserve">(Groundwater-Smith </w:t>
      </w:r>
      <w:r w:rsidR="003A5CEF" w:rsidRPr="003A5CEF">
        <w:rPr>
          <w:i/>
          <w:iCs/>
          <w:color w:val="000000" w:themeColor="text1"/>
          <w:sz w:val="24"/>
          <w:szCs w:val="24"/>
        </w:rPr>
        <w:t>et al</w:t>
      </w:r>
      <w:r w:rsidR="003A5CEF" w:rsidRPr="003A5CEF">
        <w:rPr>
          <w:color w:val="000000" w:themeColor="text1"/>
          <w:sz w:val="24"/>
          <w:szCs w:val="24"/>
        </w:rPr>
        <w:t>, 2015).</w:t>
      </w:r>
    </w:p>
    <w:p w14:paraId="5AB8ECF1" w14:textId="77777777" w:rsidR="00F63DF9" w:rsidRDefault="00F63DF9" w:rsidP="00227DF5">
      <w:pPr>
        <w:tabs>
          <w:tab w:val="left" w:pos="720"/>
        </w:tabs>
        <w:spacing w:line="480" w:lineRule="auto"/>
        <w:jc w:val="both"/>
        <w:rPr>
          <w:color w:val="000000" w:themeColor="text1"/>
          <w:sz w:val="24"/>
          <w:szCs w:val="24"/>
        </w:rPr>
      </w:pPr>
    </w:p>
    <w:p w14:paraId="476CA469" w14:textId="59293D6F" w:rsidR="00FF75E1"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t>Informed consent of young people aligns closely with the principles and purposes of youth work, particularly in promoting empowerment</w:t>
      </w:r>
      <w:r w:rsidR="00F63DF9">
        <w:rPr>
          <w:color w:val="000000" w:themeColor="text1"/>
          <w:sz w:val="24"/>
          <w:szCs w:val="24"/>
        </w:rPr>
        <w:t xml:space="preserve"> and </w:t>
      </w:r>
      <w:r w:rsidRPr="005B39E2">
        <w:rPr>
          <w:color w:val="000000" w:themeColor="text1"/>
          <w:sz w:val="24"/>
          <w:szCs w:val="24"/>
        </w:rPr>
        <w:t>participation</w:t>
      </w:r>
      <w:r w:rsidR="00BE6652" w:rsidRPr="005B39E2">
        <w:rPr>
          <w:color w:val="000000" w:themeColor="text1"/>
          <w:sz w:val="24"/>
          <w:szCs w:val="24"/>
        </w:rPr>
        <w:t xml:space="preserve"> (CLD</w:t>
      </w:r>
      <w:r w:rsidR="003A5CEF">
        <w:rPr>
          <w:color w:val="000000" w:themeColor="text1"/>
          <w:sz w:val="24"/>
          <w:szCs w:val="24"/>
        </w:rPr>
        <w:t xml:space="preserve"> </w:t>
      </w:r>
      <w:r w:rsidR="00BE6652" w:rsidRPr="005B39E2">
        <w:rPr>
          <w:color w:val="000000" w:themeColor="text1"/>
          <w:sz w:val="24"/>
          <w:szCs w:val="24"/>
        </w:rPr>
        <w:t xml:space="preserve">SCC, 2019). </w:t>
      </w:r>
      <w:r w:rsidR="00BE6652" w:rsidRPr="005B39E2">
        <w:rPr>
          <w:color w:val="000000" w:themeColor="text1"/>
          <w:sz w:val="24"/>
          <w:szCs w:val="24"/>
        </w:rPr>
        <w:lastRenderedPageBreak/>
        <w:t xml:space="preserve">Furthermore, it upholds the UNCRC by </w:t>
      </w:r>
      <w:r w:rsidRPr="005B39E2">
        <w:rPr>
          <w:color w:val="000000" w:themeColor="text1"/>
          <w:sz w:val="24"/>
          <w:szCs w:val="24"/>
        </w:rPr>
        <w:t>respect</w:t>
      </w:r>
      <w:r w:rsidR="00BE6652" w:rsidRPr="005B39E2">
        <w:rPr>
          <w:color w:val="000000" w:themeColor="text1"/>
          <w:sz w:val="24"/>
          <w:szCs w:val="24"/>
        </w:rPr>
        <w:t>ing</w:t>
      </w:r>
      <w:r w:rsidRPr="005B39E2">
        <w:rPr>
          <w:color w:val="000000" w:themeColor="text1"/>
          <w:sz w:val="24"/>
          <w:szCs w:val="24"/>
        </w:rPr>
        <w:t xml:space="preserve"> individuals’ rights</w:t>
      </w:r>
      <w:r w:rsidR="00BE6652" w:rsidRPr="005B39E2">
        <w:rPr>
          <w:color w:val="000000" w:themeColor="text1"/>
          <w:sz w:val="24"/>
          <w:szCs w:val="24"/>
        </w:rPr>
        <w:t>, and promoting their</w:t>
      </w:r>
      <w:r w:rsidRPr="005B39E2">
        <w:rPr>
          <w:color w:val="000000" w:themeColor="text1"/>
          <w:sz w:val="24"/>
          <w:szCs w:val="24"/>
        </w:rPr>
        <w:t xml:space="preserve"> autonomy </w:t>
      </w:r>
      <w:r w:rsidR="00BE6652" w:rsidRPr="005B39E2">
        <w:rPr>
          <w:color w:val="000000" w:themeColor="text1"/>
          <w:sz w:val="24"/>
          <w:szCs w:val="24"/>
        </w:rPr>
        <w:t>(UNICEF, no date).</w:t>
      </w:r>
    </w:p>
    <w:p w14:paraId="38B1A546" w14:textId="77777777" w:rsidR="006B4B21" w:rsidRDefault="006B4B21" w:rsidP="00227DF5">
      <w:pPr>
        <w:tabs>
          <w:tab w:val="left" w:pos="720"/>
        </w:tabs>
        <w:spacing w:line="480" w:lineRule="auto"/>
        <w:jc w:val="both"/>
        <w:rPr>
          <w:color w:val="000000" w:themeColor="text1"/>
          <w:sz w:val="24"/>
          <w:szCs w:val="24"/>
        </w:rPr>
      </w:pPr>
    </w:p>
    <w:p w14:paraId="63D2D466" w14:textId="66B4F6CB" w:rsidR="00227DF5" w:rsidRPr="00FF75E1" w:rsidRDefault="00227DF5" w:rsidP="00227DF5">
      <w:pPr>
        <w:tabs>
          <w:tab w:val="left" w:pos="720"/>
        </w:tabs>
        <w:spacing w:line="480" w:lineRule="auto"/>
        <w:jc w:val="both"/>
        <w:rPr>
          <w:color w:val="000000" w:themeColor="text1"/>
          <w:sz w:val="24"/>
          <w:szCs w:val="24"/>
        </w:rPr>
      </w:pPr>
      <w:r w:rsidRPr="005B39E2">
        <w:rPr>
          <w:i/>
          <w:iCs/>
          <w:color w:val="000000" w:themeColor="text1"/>
          <w:sz w:val="24"/>
          <w:szCs w:val="24"/>
        </w:rPr>
        <w:t xml:space="preserve">Anonymity and Confidentiality </w:t>
      </w:r>
    </w:p>
    <w:p w14:paraId="2EF77A19" w14:textId="1E26AF81" w:rsidR="00227DF5" w:rsidRPr="005B39E2" w:rsidRDefault="00227DF5" w:rsidP="00227DF5">
      <w:pPr>
        <w:tabs>
          <w:tab w:val="left" w:pos="720"/>
        </w:tabs>
        <w:spacing w:line="480" w:lineRule="auto"/>
        <w:jc w:val="both"/>
        <w:rPr>
          <w:color w:val="000000" w:themeColor="text1"/>
          <w:sz w:val="24"/>
          <w:szCs w:val="24"/>
        </w:rPr>
      </w:pPr>
      <w:r w:rsidRPr="005B39E2">
        <w:rPr>
          <w:color w:val="000000" w:themeColor="text1"/>
          <w:sz w:val="24"/>
          <w:szCs w:val="24"/>
        </w:rPr>
        <w:t xml:space="preserve">Aligning with BERA (2018) guidelines, the researcher will </w:t>
      </w:r>
      <w:r w:rsidR="00F63DF9" w:rsidRPr="005B39E2">
        <w:rPr>
          <w:color w:val="000000" w:themeColor="text1"/>
          <w:sz w:val="24"/>
          <w:szCs w:val="24"/>
        </w:rPr>
        <w:t>priorit</w:t>
      </w:r>
      <w:r w:rsidR="00F63DF9">
        <w:rPr>
          <w:color w:val="000000" w:themeColor="text1"/>
          <w:sz w:val="24"/>
          <w:szCs w:val="24"/>
        </w:rPr>
        <w:t xml:space="preserve">ise </w:t>
      </w:r>
      <w:r w:rsidRPr="005B39E2">
        <w:rPr>
          <w:color w:val="000000" w:themeColor="text1"/>
          <w:sz w:val="24"/>
          <w:szCs w:val="24"/>
        </w:rPr>
        <w:t xml:space="preserve">confidentiality in all aspects of the study, including electronically stored data, and the use of identifying details (Cottrell, </w:t>
      </w:r>
      <w:r w:rsidR="006654E1" w:rsidRPr="005B39E2">
        <w:rPr>
          <w:color w:val="000000" w:themeColor="text1"/>
          <w:sz w:val="24"/>
          <w:szCs w:val="24"/>
        </w:rPr>
        <w:t>2014). They will pay careful consideration when using images, audio visual material, or information involving third parties, ensuring anonymity and respect for privacy (Cottrell, 2014). Methods such as changing names, or blurring faces will be employed to conceal participant’s identities effectively</w:t>
      </w:r>
      <w:r w:rsidR="00F63DF9">
        <w:rPr>
          <w:color w:val="000000" w:themeColor="text1"/>
          <w:sz w:val="24"/>
          <w:szCs w:val="24"/>
        </w:rPr>
        <w:t xml:space="preserve"> (</w:t>
      </w:r>
      <w:r w:rsidR="006654E1" w:rsidRPr="005B39E2">
        <w:rPr>
          <w:color w:val="000000" w:themeColor="text1"/>
          <w:sz w:val="24"/>
          <w:szCs w:val="24"/>
        </w:rPr>
        <w:t>BERA</w:t>
      </w:r>
      <w:r w:rsidR="00F63DF9">
        <w:rPr>
          <w:color w:val="000000" w:themeColor="text1"/>
          <w:sz w:val="24"/>
          <w:szCs w:val="24"/>
        </w:rPr>
        <w:t xml:space="preserve">, </w:t>
      </w:r>
      <w:r w:rsidR="006654E1" w:rsidRPr="005B39E2">
        <w:rPr>
          <w:color w:val="000000" w:themeColor="text1"/>
          <w:sz w:val="24"/>
          <w:szCs w:val="24"/>
        </w:rPr>
        <w:t>2018).</w:t>
      </w:r>
      <w:r w:rsidR="00223CCD" w:rsidRPr="005B39E2">
        <w:rPr>
          <w:color w:val="000000" w:themeColor="text1"/>
          <w:sz w:val="24"/>
          <w:szCs w:val="24"/>
        </w:rPr>
        <w:t xml:space="preserve"> </w:t>
      </w:r>
      <w:r w:rsidR="00BE6652" w:rsidRPr="005B39E2">
        <w:rPr>
          <w:color w:val="000000" w:themeColor="text1"/>
          <w:sz w:val="24"/>
          <w:szCs w:val="24"/>
        </w:rPr>
        <w:t xml:space="preserve">Maintaining confidentiality in youth work reflects NOS by promoting trust and respecting </w:t>
      </w:r>
      <w:r w:rsidR="00F63DF9">
        <w:rPr>
          <w:color w:val="000000" w:themeColor="text1"/>
          <w:sz w:val="24"/>
          <w:szCs w:val="24"/>
        </w:rPr>
        <w:t xml:space="preserve">for </w:t>
      </w:r>
      <w:r w:rsidR="00BE6652" w:rsidRPr="005B39E2">
        <w:rPr>
          <w:color w:val="000000" w:themeColor="text1"/>
          <w:sz w:val="24"/>
          <w:szCs w:val="24"/>
        </w:rPr>
        <w:t>the privacy of young people, thus promoting their wellbeing, and creating safe environments for participation (CLD</w:t>
      </w:r>
      <w:r w:rsidR="003A5CEF">
        <w:rPr>
          <w:color w:val="000000" w:themeColor="text1"/>
          <w:sz w:val="24"/>
          <w:szCs w:val="24"/>
        </w:rPr>
        <w:t xml:space="preserve"> </w:t>
      </w:r>
      <w:r w:rsidR="00BE6652" w:rsidRPr="005B39E2">
        <w:rPr>
          <w:color w:val="000000" w:themeColor="text1"/>
          <w:sz w:val="24"/>
          <w:szCs w:val="24"/>
        </w:rPr>
        <w:t xml:space="preserve">SCC, 2019).  </w:t>
      </w:r>
    </w:p>
    <w:p w14:paraId="5963989F" w14:textId="68A19669" w:rsidR="00BE6652" w:rsidRPr="005B39E2" w:rsidRDefault="00BE6652" w:rsidP="00227DF5">
      <w:pPr>
        <w:tabs>
          <w:tab w:val="left" w:pos="720"/>
        </w:tabs>
        <w:spacing w:line="480" w:lineRule="auto"/>
        <w:jc w:val="both"/>
        <w:rPr>
          <w:color w:val="000000" w:themeColor="text1"/>
          <w:sz w:val="24"/>
          <w:szCs w:val="24"/>
        </w:rPr>
      </w:pPr>
    </w:p>
    <w:p w14:paraId="3C3B223F" w14:textId="596D7C61" w:rsidR="00BE6652" w:rsidRPr="005B39E2" w:rsidRDefault="005D3267" w:rsidP="00302258">
      <w:pPr>
        <w:tabs>
          <w:tab w:val="left" w:pos="720"/>
        </w:tabs>
        <w:spacing w:line="480" w:lineRule="auto"/>
        <w:jc w:val="both"/>
        <w:rPr>
          <w:i/>
          <w:iCs/>
          <w:color w:val="000000" w:themeColor="text1"/>
          <w:sz w:val="24"/>
          <w:szCs w:val="24"/>
        </w:rPr>
      </w:pPr>
      <w:r w:rsidRPr="005B39E2">
        <w:rPr>
          <w:i/>
          <w:iCs/>
          <w:color w:val="000000" w:themeColor="text1"/>
          <w:sz w:val="24"/>
          <w:szCs w:val="24"/>
        </w:rPr>
        <w:t>Conclusion</w:t>
      </w:r>
    </w:p>
    <w:p w14:paraId="5F9241B8" w14:textId="77777777" w:rsidR="00B5117E" w:rsidRDefault="00DE3F5E" w:rsidP="00A458EF">
      <w:pPr>
        <w:tabs>
          <w:tab w:val="left" w:pos="720"/>
        </w:tabs>
        <w:spacing w:line="480" w:lineRule="auto"/>
        <w:jc w:val="both"/>
        <w:rPr>
          <w:color w:val="000000" w:themeColor="text1"/>
          <w:sz w:val="24"/>
          <w:szCs w:val="24"/>
        </w:rPr>
      </w:pPr>
      <w:r w:rsidRPr="005B39E2">
        <w:rPr>
          <w:color w:val="000000" w:themeColor="text1"/>
          <w:sz w:val="24"/>
          <w:szCs w:val="24"/>
        </w:rPr>
        <w:t xml:space="preserve">In conclusion, this research proposal </w:t>
      </w:r>
      <w:r w:rsidR="00302258" w:rsidRPr="005B39E2">
        <w:rPr>
          <w:color w:val="000000" w:themeColor="text1"/>
          <w:sz w:val="24"/>
          <w:szCs w:val="24"/>
        </w:rPr>
        <w:t>endeavours to enrich young people’s cultural understanding within the PYV scheme, by employing participatory methods and qualitative analysis. Their active participation in the process aligns with the core principles of youth work, respect</w:t>
      </w:r>
      <w:r w:rsidR="00F63DF9">
        <w:rPr>
          <w:color w:val="000000" w:themeColor="text1"/>
          <w:sz w:val="24"/>
          <w:szCs w:val="24"/>
        </w:rPr>
        <w:t xml:space="preserve">ing </w:t>
      </w:r>
      <w:r w:rsidR="00302258" w:rsidRPr="005B39E2">
        <w:rPr>
          <w:color w:val="000000" w:themeColor="text1"/>
          <w:sz w:val="24"/>
          <w:szCs w:val="24"/>
        </w:rPr>
        <w:t>their autonomy, experiences, and rights, while upholding ethical standards such as informed consent and confidentiality. The ultimate goals are to inform educational practices, promote social cohesion, and foster positive outcomes for both young people and their communities. By collaborating with stakeholders, and disseminating findings, this research has the potential to drive meaningful change, creating inclusive environments that celebrate cultural diversity.</w:t>
      </w:r>
    </w:p>
    <w:p w14:paraId="13E6F8A9" w14:textId="77777777" w:rsidR="000668AE" w:rsidRDefault="000668AE" w:rsidP="00B5117E">
      <w:pPr>
        <w:tabs>
          <w:tab w:val="left" w:pos="720"/>
        </w:tabs>
        <w:spacing w:line="480" w:lineRule="auto"/>
        <w:jc w:val="both"/>
        <w:rPr>
          <w:sz w:val="24"/>
          <w:szCs w:val="24"/>
          <w:u w:val="single"/>
        </w:rPr>
      </w:pPr>
    </w:p>
    <w:p w14:paraId="56D74872" w14:textId="77777777" w:rsidR="00FF75E1" w:rsidRDefault="00FF75E1" w:rsidP="00B5117E">
      <w:pPr>
        <w:tabs>
          <w:tab w:val="left" w:pos="720"/>
        </w:tabs>
        <w:spacing w:line="480" w:lineRule="auto"/>
        <w:jc w:val="both"/>
        <w:rPr>
          <w:sz w:val="24"/>
          <w:szCs w:val="24"/>
          <w:u w:val="single"/>
        </w:rPr>
      </w:pPr>
    </w:p>
    <w:p w14:paraId="775F2A12" w14:textId="2DEC21BE" w:rsidR="005B39E2" w:rsidRDefault="005B39E2" w:rsidP="00B5117E">
      <w:pPr>
        <w:tabs>
          <w:tab w:val="left" w:pos="720"/>
        </w:tabs>
        <w:spacing w:line="480" w:lineRule="auto"/>
        <w:jc w:val="both"/>
        <w:rPr>
          <w:sz w:val="24"/>
          <w:szCs w:val="24"/>
          <w:u w:val="single"/>
        </w:rPr>
      </w:pPr>
      <w:r w:rsidRPr="00B5117E">
        <w:rPr>
          <w:sz w:val="24"/>
          <w:szCs w:val="24"/>
          <w:u w:val="single"/>
        </w:rPr>
        <w:lastRenderedPageBreak/>
        <w:t>References</w:t>
      </w:r>
    </w:p>
    <w:p w14:paraId="2CDBC6DB" w14:textId="77777777" w:rsidR="006B4B21" w:rsidRDefault="006B4B21" w:rsidP="00B5117E">
      <w:pPr>
        <w:tabs>
          <w:tab w:val="left" w:pos="720"/>
        </w:tabs>
        <w:spacing w:line="480" w:lineRule="auto"/>
        <w:jc w:val="both"/>
        <w:rPr>
          <w:sz w:val="24"/>
          <w:szCs w:val="24"/>
          <w:u w:val="single"/>
        </w:rPr>
      </w:pPr>
    </w:p>
    <w:p w14:paraId="5B6167B9" w14:textId="699C1278" w:rsidR="003A5CEF" w:rsidRPr="003A5CEF" w:rsidRDefault="003A5CEF" w:rsidP="00B5117E">
      <w:pPr>
        <w:tabs>
          <w:tab w:val="left" w:pos="720"/>
        </w:tabs>
        <w:spacing w:line="480" w:lineRule="auto"/>
        <w:jc w:val="both"/>
        <w:rPr>
          <w:sz w:val="24"/>
          <w:szCs w:val="24"/>
        </w:rPr>
      </w:pPr>
      <w:r w:rsidRPr="003A5CEF">
        <w:rPr>
          <w:sz w:val="24"/>
          <w:szCs w:val="24"/>
        </w:rPr>
        <w:t xml:space="preserve">BERA (2018) </w:t>
      </w:r>
      <w:r w:rsidRPr="003A5CEF">
        <w:rPr>
          <w:i/>
          <w:iCs/>
          <w:sz w:val="24"/>
          <w:szCs w:val="24"/>
        </w:rPr>
        <w:t xml:space="preserve">Ethical Guidelines for Educational Research, fourth edition (2018). </w:t>
      </w:r>
      <w:r w:rsidRPr="003A5CEF">
        <w:rPr>
          <w:sz w:val="24"/>
          <w:szCs w:val="24"/>
        </w:rPr>
        <w:t xml:space="preserve">Available at: </w:t>
      </w:r>
      <w:hyperlink r:id="rId7" w:history="1">
        <w:r w:rsidRPr="003A5CEF">
          <w:rPr>
            <w:rStyle w:val="Hyperlink"/>
            <w:color w:val="auto"/>
            <w:sz w:val="24"/>
            <w:szCs w:val="24"/>
            <w:u w:val="none"/>
          </w:rPr>
          <w:t>https://www.bera.ac.uk/publication/ethical-guidelines-for-educational-research-2018-online</w:t>
        </w:r>
      </w:hyperlink>
      <w:r w:rsidRPr="003A5CEF">
        <w:rPr>
          <w:sz w:val="24"/>
          <w:szCs w:val="24"/>
        </w:rPr>
        <w:t xml:space="preserve"> (Accessed: 2 May 2024). </w:t>
      </w:r>
    </w:p>
    <w:p w14:paraId="7F1CE4DA" w14:textId="62635431" w:rsidR="005B39E2" w:rsidRDefault="00A458EF" w:rsidP="00B5117E">
      <w:pPr>
        <w:spacing w:line="480" w:lineRule="auto"/>
        <w:jc w:val="both"/>
        <w:rPr>
          <w:sz w:val="24"/>
          <w:szCs w:val="24"/>
        </w:rPr>
      </w:pPr>
      <w:r w:rsidRPr="00B5117E">
        <w:rPr>
          <w:sz w:val="24"/>
          <w:szCs w:val="24"/>
        </w:rPr>
        <w:t xml:space="preserve">Boys and Girls Clubs of Wales (no date) </w:t>
      </w:r>
      <w:r w:rsidRPr="00B5117E">
        <w:rPr>
          <w:i/>
          <w:iCs/>
          <w:sz w:val="24"/>
          <w:szCs w:val="24"/>
        </w:rPr>
        <w:t xml:space="preserve">South Wales Police Youth Volunteer Scheme. </w:t>
      </w:r>
      <w:r w:rsidRPr="00B5117E">
        <w:rPr>
          <w:sz w:val="24"/>
          <w:szCs w:val="24"/>
        </w:rPr>
        <w:t xml:space="preserve">Available at: </w:t>
      </w:r>
      <w:hyperlink r:id="rId8" w:history="1">
        <w:r w:rsidRPr="00B5117E">
          <w:rPr>
            <w:rStyle w:val="Hyperlink"/>
            <w:color w:val="auto"/>
            <w:sz w:val="24"/>
            <w:szCs w:val="24"/>
            <w:u w:val="none"/>
          </w:rPr>
          <w:t>https://www.bgc.wales/sw-pyv</w:t>
        </w:r>
      </w:hyperlink>
      <w:r w:rsidRPr="00B5117E">
        <w:rPr>
          <w:sz w:val="24"/>
          <w:szCs w:val="24"/>
        </w:rPr>
        <w:t xml:space="preserve"> (Accessed: 25 April 2024).</w:t>
      </w:r>
    </w:p>
    <w:p w14:paraId="26A7761B" w14:textId="77777777" w:rsidR="001A7A6E" w:rsidRDefault="00B5117E" w:rsidP="00400450">
      <w:pPr>
        <w:spacing w:line="480" w:lineRule="auto"/>
        <w:jc w:val="both"/>
        <w:rPr>
          <w:sz w:val="24"/>
          <w:szCs w:val="24"/>
        </w:rPr>
      </w:pPr>
      <w:r w:rsidRPr="482736F8">
        <w:rPr>
          <w:sz w:val="24"/>
          <w:szCs w:val="24"/>
        </w:rPr>
        <w:t xml:space="preserve">CLD Standards Council Scotland (2019) </w:t>
      </w:r>
      <w:r w:rsidRPr="482736F8">
        <w:rPr>
          <w:i/>
          <w:iCs/>
          <w:sz w:val="24"/>
          <w:szCs w:val="24"/>
        </w:rPr>
        <w:t>Youth Work National Occupational Standards.</w:t>
      </w:r>
      <w:r w:rsidRPr="482736F8">
        <w:rPr>
          <w:sz w:val="24"/>
          <w:szCs w:val="24"/>
        </w:rPr>
        <w:t xml:space="preserve"> Glasgow: CLD Standards Council Scotland.</w:t>
      </w:r>
    </w:p>
    <w:p w14:paraId="291AD0D4" w14:textId="7AB473F6" w:rsidR="001A7A6E" w:rsidRPr="001A7A6E" w:rsidRDefault="001A7A6E" w:rsidP="00400450">
      <w:pPr>
        <w:spacing w:line="480" w:lineRule="auto"/>
        <w:jc w:val="both"/>
        <w:rPr>
          <w:sz w:val="24"/>
          <w:szCs w:val="24"/>
          <w:shd w:val="clear" w:color="auto" w:fill="FFFFFF"/>
        </w:rPr>
      </w:pPr>
      <w:r w:rsidRPr="001A7A6E">
        <w:rPr>
          <w:sz w:val="24"/>
          <w:szCs w:val="24"/>
          <w:shd w:val="clear" w:color="auto" w:fill="FFFFFF"/>
        </w:rPr>
        <w:t>Creswell, J.W. and Creswell, J.D. (2018) </w:t>
      </w:r>
      <w:r w:rsidRPr="001A7A6E">
        <w:rPr>
          <w:i/>
          <w:iCs/>
          <w:sz w:val="24"/>
          <w:szCs w:val="24"/>
          <w:shd w:val="clear" w:color="auto" w:fill="FFFFFF"/>
        </w:rPr>
        <w:t>Research Design: Qualitative, Quantitative and Mixed Methods Approaches</w:t>
      </w:r>
      <w:r w:rsidRPr="001A7A6E">
        <w:rPr>
          <w:sz w:val="24"/>
          <w:szCs w:val="24"/>
          <w:shd w:val="clear" w:color="auto" w:fill="FFFFFF"/>
        </w:rPr>
        <w:t>. 5th edition. Los Angeles: SAGE.</w:t>
      </w:r>
    </w:p>
    <w:p w14:paraId="4F779FD0" w14:textId="59018AC5" w:rsidR="001A7A6E" w:rsidRPr="0061087F" w:rsidRDefault="001A7A6E" w:rsidP="00FF75E1">
      <w:pPr>
        <w:spacing w:line="480" w:lineRule="auto"/>
        <w:jc w:val="both"/>
        <w:rPr>
          <w:rStyle w:val="eop"/>
          <w:rFonts w:eastAsiaTheme="majorEastAsia"/>
          <w:sz w:val="24"/>
          <w:szCs w:val="24"/>
          <w:shd w:val="clear" w:color="auto" w:fill="FFFFFF"/>
        </w:rPr>
      </w:pPr>
      <w:r w:rsidRPr="005B5715">
        <w:rPr>
          <w:rStyle w:val="normaltextrun"/>
          <w:rFonts w:eastAsiaTheme="majorEastAsia"/>
          <w:color w:val="000000"/>
          <w:sz w:val="24"/>
          <w:szCs w:val="24"/>
          <w:shd w:val="clear" w:color="auto" w:fill="FFFFFF"/>
        </w:rPr>
        <w:t xml:space="preserve">Collins, J. and Foley, P. (Eds) (2008) </w:t>
      </w:r>
      <w:r w:rsidRPr="005B5715">
        <w:rPr>
          <w:rStyle w:val="normaltextrun"/>
          <w:rFonts w:eastAsiaTheme="majorEastAsia"/>
          <w:i/>
          <w:iCs/>
          <w:color w:val="000000"/>
          <w:sz w:val="24"/>
          <w:szCs w:val="24"/>
          <w:shd w:val="clear" w:color="auto" w:fill="FFFFFF"/>
        </w:rPr>
        <w:t xml:space="preserve">Promoting children’s wellbeing: Policy and practice </w:t>
      </w:r>
      <w:r w:rsidRPr="0061087F">
        <w:rPr>
          <w:rStyle w:val="normaltextrun"/>
          <w:rFonts w:eastAsiaTheme="majorEastAsia"/>
          <w:i/>
          <w:iCs/>
          <w:sz w:val="24"/>
          <w:szCs w:val="24"/>
          <w:shd w:val="clear" w:color="auto" w:fill="FFFFFF"/>
        </w:rPr>
        <w:t>working together for children.</w:t>
      </w:r>
      <w:r w:rsidRPr="0061087F">
        <w:rPr>
          <w:rStyle w:val="normaltextrun"/>
          <w:rFonts w:eastAsiaTheme="majorEastAsia"/>
          <w:sz w:val="24"/>
          <w:szCs w:val="24"/>
          <w:shd w:val="clear" w:color="auto" w:fill="FFFFFF"/>
        </w:rPr>
        <w:t xml:space="preserve"> Bristol: Policy Press in Association with the Open University.</w:t>
      </w:r>
      <w:r w:rsidRPr="0061087F">
        <w:rPr>
          <w:rStyle w:val="eop"/>
          <w:rFonts w:eastAsiaTheme="majorEastAsia"/>
          <w:sz w:val="24"/>
          <w:szCs w:val="24"/>
          <w:shd w:val="clear" w:color="auto" w:fill="FFFFFF"/>
        </w:rPr>
        <w:t> </w:t>
      </w:r>
    </w:p>
    <w:p w14:paraId="53056AC4" w14:textId="2B47F7A0" w:rsidR="00FF75E1" w:rsidRPr="0061087F" w:rsidRDefault="00FF75E1" w:rsidP="00FF75E1">
      <w:pPr>
        <w:spacing w:line="480" w:lineRule="auto"/>
        <w:jc w:val="both"/>
        <w:rPr>
          <w:rFonts w:eastAsiaTheme="majorEastAsia"/>
          <w:sz w:val="24"/>
          <w:szCs w:val="24"/>
          <w:shd w:val="clear" w:color="auto" w:fill="FFFFFF"/>
        </w:rPr>
      </w:pPr>
      <w:bookmarkStart w:id="0" w:name="_Hlk165920882"/>
      <w:r w:rsidRPr="0061087F">
        <w:rPr>
          <w:sz w:val="24"/>
          <w:szCs w:val="24"/>
          <w:shd w:val="clear" w:color="auto" w:fill="FFFFFF"/>
        </w:rPr>
        <w:t>Cottrell, S. (2014) </w:t>
      </w:r>
      <w:r w:rsidRPr="0061087F">
        <w:rPr>
          <w:i/>
          <w:iCs/>
          <w:sz w:val="24"/>
          <w:szCs w:val="24"/>
          <w:shd w:val="clear" w:color="auto" w:fill="FFFFFF"/>
        </w:rPr>
        <w:t xml:space="preserve">Dissertations and project reports: a </w:t>
      </w:r>
      <w:proofErr w:type="gramStart"/>
      <w:r w:rsidRPr="0061087F">
        <w:rPr>
          <w:i/>
          <w:iCs/>
          <w:sz w:val="24"/>
          <w:szCs w:val="24"/>
          <w:shd w:val="clear" w:color="auto" w:fill="FFFFFF"/>
        </w:rPr>
        <w:t>step by step</w:t>
      </w:r>
      <w:proofErr w:type="gramEnd"/>
      <w:r w:rsidRPr="0061087F">
        <w:rPr>
          <w:i/>
          <w:iCs/>
          <w:sz w:val="24"/>
          <w:szCs w:val="24"/>
          <w:shd w:val="clear" w:color="auto" w:fill="FFFFFF"/>
        </w:rPr>
        <w:t xml:space="preserve"> guide</w:t>
      </w:r>
      <w:r w:rsidRPr="0061087F">
        <w:rPr>
          <w:sz w:val="24"/>
          <w:szCs w:val="24"/>
          <w:shd w:val="clear" w:color="auto" w:fill="FFFFFF"/>
        </w:rPr>
        <w:t xml:space="preserve">. New York: </w:t>
      </w:r>
      <w:proofErr w:type="spellStart"/>
      <w:r w:rsidRPr="0061087F">
        <w:rPr>
          <w:sz w:val="24"/>
          <w:szCs w:val="24"/>
          <w:shd w:val="clear" w:color="auto" w:fill="FFFFFF"/>
        </w:rPr>
        <w:t>Pallgrave</w:t>
      </w:r>
      <w:proofErr w:type="spellEnd"/>
      <w:r w:rsidRPr="0061087F">
        <w:rPr>
          <w:sz w:val="24"/>
          <w:szCs w:val="24"/>
          <w:shd w:val="clear" w:color="auto" w:fill="FFFFFF"/>
        </w:rPr>
        <w:t>.</w:t>
      </w:r>
    </w:p>
    <w:bookmarkEnd w:id="0"/>
    <w:p w14:paraId="12E2C683" w14:textId="33BB077B" w:rsidR="005B5715" w:rsidRPr="0061087F" w:rsidRDefault="005B5715" w:rsidP="00FF75E1">
      <w:pPr>
        <w:spacing w:line="480" w:lineRule="auto"/>
        <w:jc w:val="both"/>
        <w:rPr>
          <w:sz w:val="24"/>
          <w:szCs w:val="24"/>
          <w:shd w:val="clear" w:color="auto" w:fill="FFFFFF"/>
        </w:rPr>
      </w:pPr>
      <w:r w:rsidRPr="0061087F">
        <w:rPr>
          <w:sz w:val="24"/>
          <w:szCs w:val="24"/>
          <w:shd w:val="clear" w:color="auto" w:fill="FFFFFF"/>
        </w:rPr>
        <w:t>Groundwater-Smith, S., Dockett, S.</w:t>
      </w:r>
      <w:r w:rsidR="00400450" w:rsidRPr="0061087F">
        <w:rPr>
          <w:sz w:val="24"/>
          <w:szCs w:val="24"/>
          <w:shd w:val="clear" w:color="auto" w:fill="FFFFFF"/>
        </w:rPr>
        <w:t>,</w:t>
      </w:r>
      <w:r w:rsidRPr="0061087F">
        <w:rPr>
          <w:sz w:val="24"/>
          <w:szCs w:val="24"/>
          <w:shd w:val="clear" w:color="auto" w:fill="FFFFFF"/>
        </w:rPr>
        <w:t xml:space="preserve"> and Bottrell, D. (2015) </w:t>
      </w:r>
      <w:r w:rsidRPr="0061087F">
        <w:rPr>
          <w:i/>
          <w:iCs/>
          <w:sz w:val="24"/>
          <w:szCs w:val="24"/>
          <w:shd w:val="clear" w:color="auto" w:fill="FFFFFF"/>
        </w:rPr>
        <w:t>Participatory research with children and young people</w:t>
      </w:r>
      <w:r w:rsidRPr="0061087F">
        <w:rPr>
          <w:sz w:val="24"/>
          <w:szCs w:val="24"/>
          <w:shd w:val="clear" w:color="auto" w:fill="FFFFFF"/>
        </w:rPr>
        <w:t>. Los Angeles: SAGE.</w:t>
      </w:r>
    </w:p>
    <w:p w14:paraId="6787C2A0" w14:textId="4417FC7B" w:rsidR="00400450" w:rsidRPr="00400450" w:rsidRDefault="00400450" w:rsidP="00400450">
      <w:pPr>
        <w:spacing w:line="480" w:lineRule="auto"/>
        <w:jc w:val="both"/>
        <w:rPr>
          <w:sz w:val="24"/>
          <w:szCs w:val="24"/>
          <w:shd w:val="clear" w:color="auto" w:fill="FFFFFF"/>
        </w:rPr>
      </w:pPr>
      <w:r w:rsidRPr="00400450">
        <w:rPr>
          <w:sz w:val="24"/>
          <w:szCs w:val="24"/>
          <w:shd w:val="clear" w:color="auto" w:fill="FFFFFF"/>
        </w:rPr>
        <w:t xml:space="preserve">Peace Mala (no date) </w:t>
      </w:r>
      <w:r w:rsidRPr="00400450">
        <w:rPr>
          <w:i/>
          <w:iCs/>
          <w:sz w:val="24"/>
          <w:szCs w:val="24"/>
          <w:shd w:val="clear" w:color="auto" w:fill="FFFFFF"/>
        </w:rPr>
        <w:t xml:space="preserve">Benefits of Peace Mala Accreditation for schools, </w:t>
      </w:r>
      <w:proofErr w:type="gramStart"/>
      <w:r w:rsidRPr="00400450">
        <w:rPr>
          <w:i/>
          <w:iCs/>
          <w:sz w:val="24"/>
          <w:szCs w:val="24"/>
          <w:shd w:val="clear" w:color="auto" w:fill="FFFFFF"/>
        </w:rPr>
        <w:t>youth</w:t>
      </w:r>
      <w:proofErr w:type="gramEnd"/>
      <w:r w:rsidRPr="00400450">
        <w:rPr>
          <w:i/>
          <w:iCs/>
          <w:sz w:val="24"/>
          <w:szCs w:val="24"/>
          <w:shd w:val="clear" w:color="auto" w:fill="FFFFFF"/>
        </w:rPr>
        <w:t xml:space="preserve"> and community groups.</w:t>
      </w:r>
      <w:r w:rsidRPr="00400450">
        <w:rPr>
          <w:sz w:val="24"/>
          <w:szCs w:val="24"/>
          <w:shd w:val="clear" w:color="auto" w:fill="FFFFFF"/>
        </w:rPr>
        <w:t xml:space="preserve"> Available at: </w:t>
      </w:r>
      <w:hyperlink r:id="rId9" w:history="1">
        <w:r w:rsidRPr="00400450">
          <w:rPr>
            <w:rStyle w:val="Hyperlink"/>
            <w:color w:val="auto"/>
            <w:sz w:val="24"/>
            <w:szCs w:val="24"/>
            <w:u w:val="none"/>
          </w:rPr>
          <w:t>https://www.peacemala.org.uk/accreditation-benefits.php</w:t>
        </w:r>
      </w:hyperlink>
      <w:r w:rsidRPr="00400450">
        <w:rPr>
          <w:sz w:val="24"/>
          <w:szCs w:val="24"/>
        </w:rPr>
        <w:t xml:space="preserve"> (Accessed: 25 April 2024).</w:t>
      </w:r>
    </w:p>
    <w:p w14:paraId="5FD955A5" w14:textId="64B72144" w:rsidR="00400450" w:rsidRPr="0061087F" w:rsidRDefault="00B5117E" w:rsidP="00400450">
      <w:pPr>
        <w:spacing w:line="480" w:lineRule="auto"/>
        <w:jc w:val="both"/>
        <w:rPr>
          <w:sz w:val="24"/>
          <w:szCs w:val="24"/>
        </w:rPr>
      </w:pPr>
      <w:bookmarkStart w:id="1" w:name="_Hlk165921039"/>
      <w:r w:rsidRPr="0061087F">
        <w:rPr>
          <w:sz w:val="24"/>
          <w:szCs w:val="24"/>
        </w:rPr>
        <w:t xml:space="preserve">Peace Mala (no date) </w:t>
      </w:r>
      <w:r w:rsidRPr="0061087F">
        <w:rPr>
          <w:i/>
          <w:iCs/>
          <w:sz w:val="24"/>
          <w:szCs w:val="24"/>
        </w:rPr>
        <w:t>History, Concept, and Design.</w:t>
      </w:r>
      <w:r w:rsidRPr="0061087F">
        <w:rPr>
          <w:sz w:val="24"/>
          <w:szCs w:val="24"/>
        </w:rPr>
        <w:t xml:space="preserve"> Available at https://www.peacemala.org.uk/history.php (Accessed: 25 April 2024).</w:t>
      </w:r>
    </w:p>
    <w:bookmarkEnd w:id="1"/>
    <w:p w14:paraId="738930C3" w14:textId="22BBABED" w:rsidR="00686E8E" w:rsidRPr="0061087F" w:rsidRDefault="00686E8E" w:rsidP="00400450">
      <w:pPr>
        <w:spacing w:line="480" w:lineRule="auto"/>
        <w:jc w:val="both"/>
        <w:rPr>
          <w:sz w:val="24"/>
          <w:szCs w:val="24"/>
        </w:rPr>
      </w:pPr>
      <w:r w:rsidRPr="0061087F">
        <w:rPr>
          <w:sz w:val="24"/>
          <w:szCs w:val="24"/>
          <w:shd w:val="clear" w:color="auto" w:fill="FFFFFF"/>
        </w:rPr>
        <w:t>Sapin, K. (2013) </w:t>
      </w:r>
      <w:r w:rsidRPr="0061087F">
        <w:rPr>
          <w:i/>
          <w:iCs/>
          <w:sz w:val="24"/>
          <w:szCs w:val="24"/>
          <w:shd w:val="clear" w:color="auto" w:fill="FFFFFF"/>
        </w:rPr>
        <w:t>Essential skills for youth work practice</w:t>
      </w:r>
      <w:r w:rsidRPr="0061087F">
        <w:rPr>
          <w:sz w:val="24"/>
          <w:szCs w:val="24"/>
          <w:shd w:val="clear" w:color="auto" w:fill="FFFFFF"/>
        </w:rPr>
        <w:t>. 2nd ed. London; SAGE.</w:t>
      </w:r>
    </w:p>
    <w:p w14:paraId="0C2CDCE2" w14:textId="0B18FDDE" w:rsidR="00400450" w:rsidRPr="00400450" w:rsidRDefault="00400450" w:rsidP="00400450">
      <w:pPr>
        <w:spacing w:line="480" w:lineRule="auto"/>
        <w:jc w:val="both"/>
        <w:rPr>
          <w:sz w:val="24"/>
          <w:szCs w:val="24"/>
        </w:rPr>
      </w:pPr>
      <w:r w:rsidRPr="0061087F">
        <w:rPr>
          <w:sz w:val="24"/>
          <w:szCs w:val="24"/>
        </w:rPr>
        <w:t xml:space="preserve">South Wales Police (no date) </w:t>
      </w:r>
      <w:r w:rsidRPr="0061087F">
        <w:rPr>
          <w:i/>
          <w:iCs/>
          <w:sz w:val="24"/>
          <w:szCs w:val="24"/>
        </w:rPr>
        <w:t xml:space="preserve">Equality, </w:t>
      </w:r>
      <w:proofErr w:type="gramStart"/>
      <w:r w:rsidRPr="0061087F">
        <w:rPr>
          <w:i/>
          <w:iCs/>
          <w:sz w:val="24"/>
          <w:szCs w:val="24"/>
        </w:rPr>
        <w:t>Diversity</w:t>
      </w:r>
      <w:proofErr w:type="gramEnd"/>
      <w:r w:rsidRPr="0061087F">
        <w:rPr>
          <w:i/>
          <w:iCs/>
          <w:sz w:val="24"/>
          <w:szCs w:val="24"/>
        </w:rPr>
        <w:t xml:space="preserve"> and Inclusion. </w:t>
      </w:r>
      <w:r w:rsidRPr="0061087F">
        <w:rPr>
          <w:sz w:val="24"/>
          <w:szCs w:val="24"/>
        </w:rPr>
        <w:t xml:space="preserve">Available at: </w:t>
      </w:r>
      <w:r w:rsidRPr="0061087F">
        <w:rPr>
          <w:rStyle w:val="normaltextrun"/>
          <w:rFonts w:eastAsiaTheme="majorEastAsia"/>
          <w:sz w:val="24"/>
          <w:szCs w:val="24"/>
          <w:shd w:val="clear" w:color="auto" w:fill="FFFFFF"/>
        </w:rPr>
        <w:t>https://www.south-wales.police.uk/police-forces/south-wales-</w:t>
      </w:r>
      <w:r w:rsidRPr="00400450">
        <w:rPr>
          <w:rStyle w:val="normaltextrun"/>
          <w:rFonts w:eastAsiaTheme="majorEastAsia"/>
          <w:sz w:val="24"/>
          <w:szCs w:val="24"/>
          <w:shd w:val="clear" w:color="auto" w:fill="FFFFFF"/>
        </w:rPr>
        <w:lastRenderedPageBreak/>
        <w:t>police/areas/careers/careers/police-staff-roles/police-staff-departments/equality-diversity-and-inclusion/ (Accessed: 1 May 2024).</w:t>
      </w:r>
    </w:p>
    <w:p w14:paraId="0B3F3888" w14:textId="746B9698" w:rsidR="005B5715" w:rsidRPr="005B5715" w:rsidRDefault="005B5715" w:rsidP="00400450">
      <w:pPr>
        <w:spacing w:line="480" w:lineRule="auto"/>
        <w:jc w:val="both"/>
        <w:rPr>
          <w:sz w:val="24"/>
          <w:szCs w:val="24"/>
        </w:rPr>
      </w:pPr>
      <w:r w:rsidRPr="005B5715">
        <w:rPr>
          <w:sz w:val="24"/>
          <w:szCs w:val="24"/>
        </w:rPr>
        <w:t>The Council of Europe (2018) T-Kit 4 intercultural learning. Available at: https://pjp-eu.coe.int/documents/42128013/47262514/PREMS+042218+T-kit4+WEB.pdf/37396481-d543-88c6-dccc-d81719537b32?t=1522062157000 (Accessed: 28 April 2024).</w:t>
      </w:r>
    </w:p>
    <w:p w14:paraId="6473857C" w14:textId="2C57751D" w:rsidR="000668AE" w:rsidRPr="000668AE" w:rsidRDefault="000668AE" w:rsidP="000668AE">
      <w:pPr>
        <w:spacing w:line="480" w:lineRule="auto"/>
        <w:jc w:val="both"/>
        <w:rPr>
          <w:sz w:val="24"/>
          <w:szCs w:val="24"/>
        </w:rPr>
      </w:pPr>
      <w:r w:rsidRPr="005B39E2">
        <w:rPr>
          <w:color w:val="000000" w:themeColor="text1"/>
          <w:sz w:val="24"/>
          <w:szCs w:val="24"/>
        </w:rPr>
        <w:t>The Equality and Human Rights Commission (2018)</w:t>
      </w:r>
      <w:r>
        <w:rPr>
          <w:color w:val="000000" w:themeColor="text1"/>
          <w:sz w:val="24"/>
          <w:szCs w:val="24"/>
        </w:rPr>
        <w:t xml:space="preserve"> </w:t>
      </w:r>
      <w:r w:rsidRPr="000668AE">
        <w:rPr>
          <w:i/>
          <w:iCs/>
          <w:color w:val="000000" w:themeColor="text1"/>
          <w:sz w:val="24"/>
          <w:szCs w:val="24"/>
        </w:rPr>
        <w:t>Developing a national barometer of prejudice and discrimination in Britain.</w:t>
      </w:r>
      <w:r w:rsidRPr="000668AE">
        <w:rPr>
          <w:color w:val="000000" w:themeColor="text1"/>
          <w:sz w:val="24"/>
          <w:szCs w:val="24"/>
        </w:rPr>
        <w:t xml:space="preserve"> Available at: </w:t>
      </w:r>
      <w:r w:rsidRPr="000668AE">
        <w:rPr>
          <w:sz w:val="24"/>
          <w:szCs w:val="24"/>
        </w:rPr>
        <w:t xml:space="preserve">https://www.equalityhumanrights.com/sites/default/files/national-barometer-of-prejudice-and-discrimination-in-britain.pdf </w:t>
      </w:r>
      <w:r>
        <w:rPr>
          <w:sz w:val="24"/>
          <w:szCs w:val="24"/>
        </w:rPr>
        <w:t>(Accessed: 28 April 2024).</w:t>
      </w:r>
    </w:p>
    <w:p w14:paraId="5E48A044" w14:textId="5D1D8A36" w:rsidR="00B5117E" w:rsidRDefault="00B5117E" w:rsidP="000668AE">
      <w:pPr>
        <w:spacing w:line="480" w:lineRule="auto"/>
        <w:jc w:val="both"/>
        <w:rPr>
          <w:sz w:val="24"/>
          <w:szCs w:val="24"/>
        </w:rPr>
      </w:pPr>
      <w:r w:rsidRPr="000668AE">
        <w:rPr>
          <w:sz w:val="24"/>
          <w:szCs w:val="24"/>
        </w:rPr>
        <w:t>UNICEF (no dat</w:t>
      </w:r>
      <w:r w:rsidRPr="000668AE">
        <w:rPr>
          <w:i/>
          <w:iCs/>
          <w:sz w:val="24"/>
          <w:szCs w:val="24"/>
        </w:rPr>
        <w:t>e) A Summary of the UN Convention on the Rights of the Child</w:t>
      </w:r>
      <w:r w:rsidRPr="000668AE">
        <w:rPr>
          <w:sz w:val="24"/>
          <w:szCs w:val="24"/>
        </w:rPr>
        <w:t>. Available at: https://www.unicef.org.uk/wp-content/uploads/2019/10/UNCRC_summary-1_1.pdf (Accessed: 25 April 2024).</w:t>
      </w:r>
    </w:p>
    <w:p w14:paraId="0179DFA4" w14:textId="73CD9DB9" w:rsidR="00686E8E" w:rsidRDefault="00686E8E" w:rsidP="000668AE">
      <w:pPr>
        <w:spacing w:line="480" w:lineRule="auto"/>
        <w:jc w:val="both"/>
        <w:rPr>
          <w:sz w:val="24"/>
          <w:szCs w:val="24"/>
        </w:rPr>
      </w:pPr>
      <w:r w:rsidRPr="00686E8E">
        <w:rPr>
          <w:sz w:val="24"/>
          <w:szCs w:val="24"/>
        </w:rPr>
        <w:t>University of Wales Trinity Saint David (2022) Research Ethics &amp; Integrity Code of Practice. Available at: C:\Users\student\Downloads\REICoP-July-2022.pdf (Accessed: 1 May 2024).</w:t>
      </w:r>
    </w:p>
    <w:p w14:paraId="52CF44FA" w14:textId="42CB5808" w:rsidR="000668AE" w:rsidRPr="000668AE" w:rsidRDefault="000668AE" w:rsidP="000668AE">
      <w:pPr>
        <w:spacing w:line="480" w:lineRule="auto"/>
        <w:jc w:val="both"/>
        <w:rPr>
          <w:sz w:val="24"/>
          <w:szCs w:val="24"/>
        </w:rPr>
      </w:pPr>
      <w:bookmarkStart w:id="2" w:name="_Hlk165921120"/>
      <w:r w:rsidRPr="000668AE">
        <w:rPr>
          <w:sz w:val="24"/>
          <w:szCs w:val="24"/>
        </w:rPr>
        <w:t xml:space="preserve">Welsh Government (2021) </w:t>
      </w:r>
      <w:r w:rsidRPr="000668AE">
        <w:rPr>
          <w:i/>
          <w:iCs/>
          <w:sz w:val="24"/>
          <w:szCs w:val="24"/>
        </w:rPr>
        <w:t>Ethnic group, national identity, and religion in Wales (Census 2021).</w:t>
      </w:r>
      <w:r w:rsidRPr="000668AE">
        <w:rPr>
          <w:sz w:val="24"/>
          <w:szCs w:val="24"/>
        </w:rPr>
        <w:t xml:space="preserve"> Available at: </w:t>
      </w:r>
      <w:hyperlink r:id="rId10" w:history="1">
        <w:r w:rsidRPr="000668AE">
          <w:rPr>
            <w:rStyle w:val="Hyperlink"/>
            <w:color w:val="auto"/>
            <w:sz w:val="24"/>
            <w:szCs w:val="24"/>
            <w:u w:val="none"/>
          </w:rPr>
          <w:t>https://www.gov.wales/ethnic-group-national-identity-language-and-religion-wales-census-2021-html</w:t>
        </w:r>
      </w:hyperlink>
      <w:r w:rsidRPr="000668AE">
        <w:rPr>
          <w:sz w:val="24"/>
          <w:szCs w:val="24"/>
        </w:rPr>
        <w:t xml:space="preserve"> (Accessed: 24 April 2024). </w:t>
      </w:r>
    </w:p>
    <w:bookmarkEnd w:id="2"/>
    <w:p w14:paraId="23393E7A" w14:textId="341D4701" w:rsidR="00B5117E" w:rsidRPr="000668AE" w:rsidRDefault="00B5117E" w:rsidP="000668AE">
      <w:pPr>
        <w:spacing w:line="480" w:lineRule="auto"/>
        <w:jc w:val="both"/>
        <w:rPr>
          <w:sz w:val="24"/>
          <w:szCs w:val="24"/>
        </w:rPr>
      </w:pPr>
      <w:r w:rsidRPr="000668AE">
        <w:rPr>
          <w:sz w:val="24"/>
          <w:szCs w:val="24"/>
        </w:rPr>
        <w:t xml:space="preserve">Youth Work in Wales Review Group (2022) </w:t>
      </w:r>
      <w:r w:rsidRPr="000668AE">
        <w:rPr>
          <w:i/>
          <w:iCs/>
          <w:sz w:val="24"/>
          <w:szCs w:val="24"/>
        </w:rPr>
        <w:t>Youth Work in Wales: Principles and Purposes</w:t>
      </w:r>
      <w:r w:rsidRPr="000668AE">
        <w:rPr>
          <w:sz w:val="24"/>
          <w:szCs w:val="24"/>
        </w:rPr>
        <w:t>. Available at: https://www.cwvys.org.uk/youth-work-in-wales-principles-and-purposes-2/ (Accessed: 25 April 2024).</w:t>
      </w:r>
    </w:p>
    <w:p w14:paraId="31BDED62" w14:textId="77777777" w:rsidR="00B5117E" w:rsidRDefault="00B5117E" w:rsidP="00B5117E">
      <w:pPr>
        <w:spacing w:line="480" w:lineRule="auto"/>
        <w:jc w:val="both"/>
        <w:rPr>
          <w:sz w:val="24"/>
          <w:szCs w:val="24"/>
        </w:rPr>
      </w:pPr>
    </w:p>
    <w:p w14:paraId="5AE5365F" w14:textId="77777777" w:rsidR="00B5117E" w:rsidRDefault="00B5117E" w:rsidP="00B5117E">
      <w:pPr>
        <w:spacing w:line="480" w:lineRule="auto"/>
        <w:jc w:val="both"/>
        <w:rPr>
          <w:sz w:val="24"/>
          <w:szCs w:val="24"/>
        </w:rPr>
      </w:pPr>
    </w:p>
    <w:p w14:paraId="1A806355" w14:textId="778625F5" w:rsidR="00A458EF" w:rsidRDefault="00A458EF" w:rsidP="00A458EF">
      <w:pPr>
        <w:jc w:val="both"/>
        <w:rPr>
          <w:sz w:val="24"/>
          <w:szCs w:val="24"/>
        </w:rPr>
      </w:pPr>
    </w:p>
    <w:p w14:paraId="1F8C4F42" w14:textId="77777777" w:rsidR="00A458EF" w:rsidRPr="00A458EF" w:rsidRDefault="00A458EF" w:rsidP="00A458EF">
      <w:pPr>
        <w:jc w:val="both"/>
        <w:rPr>
          <w:sz w:val="24"/>
          <w:szCs w:val="24"/>
        </w:rPr>
      </w:pPr>
    </w:p>
    <w:sectPr w:rsidR="00A458EF" w:rsidRPr="00A458E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7449B9" w14:textId="77777777" w:rsidR="001B2FFE" w:rsidRDefault="001B2FFE" w:rsidP="007C684C">
      <w:r>
        <w:separator/>
      </w:r>
    </w:p>
  </w:endnote>
  <w:endnote w:type="continuationSeparator" w:id="0">
    <w:p w14:paraId="21DDDBD6" w14:textId="77777777" w:rsidR="001B2FFE" w:rsidRDefault="001B2FFE" w:rsidP="007C6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7493750"/>
      <w:docPartObj>
        <w:docPartGallery w:val="Page Numbers (Bottom of Page)"/>
        <w:docPartUnique/>
      </w:docPartObj>
    </w:sdtPr>
    <w:sdtEndPr>
      <w:rPr>
        <w:noProof/>
      </w:rPr>
    </w:sdtEndPr>
    <w:sdtContent>
      <w:p w14:paraId="28682EB8" w14:textId="7C37FD0C" w:rsidR="007C684C" w:rsidRDefault="007C68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236275" w14:textId="77777777" w:rsidR="007C684C" w:rsidRDefault="007C6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5F8F58" w14:textId="77777777" w:rsidR="001B2FFE" w:rsidRDefault="001B2FFE" w:rsidP="007C684C">
      <w:r>
        <w:separator/>
      </w:r>
    </w:p>
  </w:footnote>
  <w:footnote w:type="continuationSeparator" w:id="0">
    <w:p w14:paraId="39E79EFE" w14:textId="77777777" w:rsidR="001B2FFE" w:rsidRDefault="001B2FFE" w:rsidP="007C6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13A66" w14:textId="32C78CD1" w:rsidR="007C684C" w:rsidRDefault="007C684C">
    <w:pPr>
      <w:pStyle w:val="Header"/>
    </w:pPr>
    <w:r w:rsidRPr="007C684C">
      <w:rPr>
        <w:sz w:val="24"/>
        <w:szCs w:val="24"/>
      </w:rPr>
      <w:t>ECYW 5001</w:t>
    </w:r>
    <w:r w:rsidRPr="007C684C">
      <w:rPr>
        <w:sz w:val="24"/>
        <w:szCs w:val="24"/>
      </w:rPr>
      <w:ptab w:relativeTo="margin" w:alignment="center" w:leader="none"/>
    </w:r>
    <w:r>
      <w:ptab w:relativeTo="margin" w:alignment="right" w:leader="none"/>
    </w:r>
    <w:r w:rsidRPr="007C684C">
      <w:rPr>
        <w:sz w:val="24"/>
        <w:szCs w:val="24"/>
      </w:rPr>
      <w:t>2218436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ECF3D"/>
    <w:multiLevelType w:val="hybridMultilevel"/>
    <w:tmpl w:val="4E06C52A"/>
    <w:lvl w:ilvl="0" w:tplc="5E0681AE">
      <w:start w:val="1"/>
      <w:numFmt w:val="bullet"/>
      <w:lvlText w:val=""/>
      <w:lvlJc w:val="left"/>
      <w:pPr>
        <w:ind w:left="720" w:hanging="360"/>
      </w:pPr>
      <w:rPr>
        <w:rFonts w:ascii="Symbol" w:hAnsi="Symbol" w:hint="default"/>
      </w:rPr>
    </w:lvl>
    <w:lvl w:ilvl="1" w:tplc="50460DB4">
      <w:start w:val="1"/>
      <w:numFmt w:val="bullet"/>
      <w:lvlText w:val="o"/>
      <w:lvlJc w:val="left"/>
      <w:pPr>
        <w:ind w:left="1440" w:hanging="360"/>
      </w:pPr>
      <w:rPr>
        <w:rFonts w:ascii="Courier New" w:hAnsi="Courier New" w:hint="default"/>
      </w:rPr>
    </w:lvl>
    <w:lvl w:ilvl="2" w:tplc="3516FFB6">
      <w:start w:val="1"/>
      <w:numFmt w:val="bullet"/>
      <w:lvlText w:val=""/>
      <w:lvlJc w:val="left"/>
      <w:pPr>
        <w:ind w:left="2160" w:hanging="360"/>
      </w:pPr>
      <w:rPr>
        <w:rFonts w:ascii="Wingdings" w:hAnsi="Wingdings" w:hint="default"/>
      </w:rPr>
    </w:lvl>
    <w:lvl w:ilvl="3" w:tplc="A2DE9A12">
      <w:start w:val="1"/>
      <w:numFmt w:val="bullet"/>
      <w:lvlText w:val=""/>
      <w:lvlJc w:val="left"/>
      <w:pPr>
        <w:ind w:left="2880" w:hanging="360"/>
      </w:pPr>
      <w:rPr>
        <w:rFonts w:ascii="Symbol" w:hAnsi="Symbol" w:hint="default"/>
      </w:rPr>
    </w:lvl>
    <w:lvl w:ilvl="4" w:tplc="3544E688">
      <w:start w:val="1"/>
      <w:numFmt w:val="bullet"/>
      <w:lvlText w:val="o"/>
      <w:lvlJc w:val="left"/>
      <w:pPr>
        <w:ind w:left="3600" w:hanging="360"/>
      </w:pPr>
      <w:rPr>
        <w:rFonts w:ascii="Courier New" w:hAnsi="Courier New" w:hint="default"/>
      </w:rPr>
    </w:lvl>
    <w:lvl w:ilvl="5" w:tplc="87C890E2">
      <w:start w:val="1"/>
      <w:numFmt w:val="bullet"/>
      <w:lvlText w:val=""/>
      <w:lvlJc w:val="left"/>
      <w:pPr>
        <w:ind w:left="4320" w:hanging="360"/>
      </w:pPr>
      <w:rPr>
        <w:rFonts w:ascii="Wingdings" w:hAnsi="Wingdings" w:hint="default"/>
      </w:rPr>
    </w:lvl>
    <w:lvl w:ilvl="6" w:tplc="9C6A3B68">
      <w:start w:val="1"/>
      <w:numFmt w:val="bullet"/>
      <w:lvlText w:val=""/>
      <w:lvlJc w:val="left"/>
      <w:pPr>
        <w:ind w:left="5040" w:hanging="360"/>
      </w:pPr>
      <w:rPr>
        <w:rFonts w:ascii="Symbol" w:hAnsi="Symbol" w:hint="default"/>
      </w:rPr>
    </w:lvl>
    <w:lvl w:ilvl="7" w:tplc="637A9914">
      <w:start w:val="1"/>
      <w:numFmt w:val="bullet"/>
      <w:lvlText w:val="o"/>
      <w:lvlJc w:val="left"/>
      <w:pPr>
        <w:ind w:left="5760" w:hanging="360"/>
      </w:pPr>
      <w:rPr>
        <w:rFonts w:ascii="Courier New" w:hAnsi="Courier New" w:hint="default"/>
      </w:rPr>
    </w:lvl>
    <w:lvl w:ilvl="8" w:tplc="36D86A92">
      <w:start w:val="1"/>
      <w:numFmt w:val="bullet"/>
      <w:lvlText w:val=""/>
      <w:lvlJc w:val="left"/>
      <w:pPr>
        <w:ind w:left="6480" w:hanging="360"/>
      </w:pPr>
      <w:rPr>
        <w:rFonts w:ascii="Wingdings" w:hAnsi="Wingdings" w:hint="default"/>
      </w:rPr>
    </w:lvl>
  </w:abstractNum>
  <w:abstractNum w:abstractNumId="1" w15:restartNumberingAfterBreak="0">
    <w:nsid w:val="4D1A91C8"/>
    <w:multiLevelType w:val="hybridMultilevel"/>
    <w:tmpl w:val="C8ACF43A"/>
    <w:lvl w:ilvl="0" w:tplc="F9AA9E24">
      <w:start w:val="1"/>
      <w:numFmt w:val="bullet"/>
      <w:lvlText w:val=""/>
      <w:lvlJc w:val="left"/>
      <w:pPr>
        <w:ind w:left="720" w:hanging="360"/>
      </w:pPr>
      <w:rPr>
        <w:rFonts w:ascii="Symbol" w:hAnsi="Symbol" w:hint="default"/>
      </w:rPr>
    </w:lvl>
    <w:lvl w:ilvl="1" w:tplc="4E7E95F8">
      <w:start w:val="1"/>
      <w:numFmt w:val="bullet"/>
      <w:lvlText w:val="o"/>
      <w:lvlJc w:val="left"/>
      <w:pPr>
        <w:ind w:left="1440" w:hanging="360"/>
      </w:pPr>
      <w:rPr>
        <w:rFonts w:ascii="Courier New" w:hAnsi="Courier New" w:hint="default"/>
      </w:rPr>
    </w:lvl>
    <w:lvl w:ilvl="2" w:tplc="BB961B96">
      <w:start w:val="1"/>
      <w:numFmt w:val="bullet"/>
      <w:lvlText w:val=""/>
      <w:lvlJc w:val="left"/>
      <w:pPr>
        <w:ind w:left="2160" w:hanging="360"/>
      </w:pPr>
      <w:rPr>
        <w:rFonts w:ascii="Wingdings" w:hAnsi="Wingdings" w:hint="default"/>
      </w:rPr>
    </w:lvl>
    <w:lvl w:ilvl="3" w:tplc="CB1EE862">
      <w:start w:val="1"/>
      <w:numFmt w:val="bullet"/>
      <w:lvlText w:val=""/>
      <w:lvlJc w:val="left"/>
      <w:pPr>
        <w:ind w:left="2880" w:hanging="360"/>
      </w:pPr>
      <w:rPr>
        <w:rFonts w:ascii="Symbol" w:hAnsi="Symbol" w:hint="default"/>
      </w:rPr>
    </w:lvl>
    <w:lvl w:ilvl="4" w:tplc="B7A24358">
      <w:start w:val="1"/>
      <w:numFmt w:val="bullet"/>
      <w:lvlText w:val="o"/>
      <w:lvlJc w:val="left"/>
      <w:pPr>
        <w:ind w:left="3600" w:hanging="360"/>
      </w:pPr>
      <w:rPr>
        <w:rFonts w:ascii="Courier New" w:hAnsi="Courier New" w:hint="default"/>
      </w:rPr>
    </w:lvl>
    <w:lvl w:ilvl="5" w:tplc="1AA6CDAC">
      <w:start w:val="1"/>
      <w:numFmt w:val="bullet"/>
      <w:lvlText w:val=""/>
      <w:lvlJc w:val="left"/>
      <w:pPr>
        <w:ind w:left="4320" w:hanging="360"/>
      </w:pPr>
      <w:rPr>
        <w:rFonts w:ascii="Wingdings" w:hAnsi="Wingdings" w:hint="default"/>
      </w:rPr>
    </w:lvl>
    <w:lvl w:ilvl="6" w:tplc="BF0E14D0">
      <w:start w:val="1"/>
      <w:numFmt w:val="bullet"/>
      <w:lvlText w:val=""/>
      <w:lvlJc w:val="left"/>
      <w:pPr>
        <w:ind w:left="5040" w:hanging="360"/>
      </w:pPr>
      <w:rPr>
        <w:rFonts w:ascii="Symbol" w:hAnsi="Symbol" w:hint="default"/>
      </w:rPr>
    </w:lvl>
    <w:lvl w:ilvl="7" w:tplc="DFE850D4">
      <w:start w:val="1"/>
      <w:numFmt w:val="bullet"/>
      <w:lvlText w:val="o"/>
      <w:lvlJc w:val="left"/>
      <w:pPr>
        <w:ind w:left="5760" w:hanging="360"/>
      </w:pPr>
      <w:rPr>
        <w:rFonts w:ascii="Courier New" w:hAnsi="Courier New" w:hint="default"/>
      </w:rPr>
    </w:lvl>
    <w:lvl w:ilvl="8" w:tplc="49B035DC">
      <w:start w:val="1"/>
      <w:numFmt w:val="bullet"/>
      <w:lvlText w:val=""/>
      <w:lvlJc w:val="left"/>
      <w:pPr>
        <w:ind w:left="6480" w:hanging="360"/>
      </w:pPr>
      <w:rPr>
        <w:rFonts w:ascii="Wingdings" w:hAnsi="Wingdings" w:hint="default"/>
      </w:rPr>
    </w:lvl>
  </w:abstractNum>
  <w:abstractNum w:abstractNumId="2" w15:restartNumberingAfterBreak="0">
    <w:nsid w:val="570111D2"/>
    <w:multiLevelType w:val="hybridMultilevel"/>
    <w:tmpl w:val="A68611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85C1A7C"/>
    <w:multiLevelType w:val="hybridMultilevel"/>
    <w:tmpl w:val="8E1A1C96"/>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77BF1BC4"/>
    <w:multiLevelType w:val="hybridMultilevel"/>
    <w:tmpl w:val="4492F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3328993">
    <w:abstractNumId w:val="0"/>
  </w:num>
  <w:num w:numId="2" w16cid:durableId="862934311">
    <w:abstractNumId w:val="1"/>
  </w:num>
  <w:num w:numId="3" w16cid:durableId="1855000925">
    <w:abstractNumId w:val="2"/>
  </w:num>
  <w:num w:numId="4" w16cid:durableId="795485981">
    <w:abstractNumId w:val="3"/>
  </w:num>
  <w:num w:numId="5" w16cid:durableId="21440825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DF5"/>
    <w:rsid w:val="00020950"/>
    <w:rsid w:val="000668AE"/>
    <w:rsid w:val="000C5CA0"/>
    <w:rsid w:val="001A7A6E"/>
    <w:rsid w:val="001B2FFE"/>
    <w:rsid w:val="00223CCD"/>
    <w:rsid w:val="00227DF5"/>
    <w:rsid w:val="002A2848"/>
    <w:rsid w:val="00302258"/>
    <w:rsid w:val="003A57DD"/>
    <w:rsid w:val="003A5CEF"/>
    <w:rsid w:val="00400450"/>
    <w:rsid w:val="00415247"/>
    <w:rsid w:val="004B0DE0"/>
    <w:rsid w:val="005617C6"/>
    <w:rsid w:val="005B39E2"/>
    <w:rsid w:val="005B5715"/>
    <w:rsid w:val="005C26E4"/>
    <w:rsid w:val="005D3267"/>
    <w:rsid w:val="0061087F"/>
    <w:rsid w:val="006654E1"/>
    <w:rsid w:val="006755B9"/>
    <w:rsid w:val="00686E8E"/>
    <w:rsid w:val="006B4B21"/>
    <w:rsid w:val="006C28FA"/>
    <w:rsid w:val="00771901"/>
    <w:rsid w:val="007C684C"/>
    <w:rsid w:val="0083786F"/>
    <w:rsid w:val="00883259"/>
    <w:rsid w:val="008C2E81"/>
    <w:rsid w:val="008D1061"/>
    <w:rsid w:val="00924100"/>
    <w:rsid w:val="00966F43"/>
    <w:rsid w:val="009B7B79"/>
    <w:rsid w:val="00A458EF"/>
    <w:rsid w:val="00B2464E"/>
    <w:rsid w:val="00B44CA9"/>
    <w:rsid w:val="00B5117E"/>
    <w:rsid w:val="00BD532F"/>
    <w:rsid w:val="00BE6652"/>
    <w:rsid w:val="00DE3F5E"/>
    <w:rsid w:val="00F63DF9"/>
    <w:rsid w:val="00FF7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8EB43"/>
  <w15:chartTrackingRefBased/>
  <w15:docId w15:val="{E63DC0C1-A1D8-4746-93E8-D2B8E5AD2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DF5"/>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227D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7D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7D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7D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7D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7DF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7DF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7DF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7DF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D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7D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7D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7D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7D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7D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7D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7D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7DF5"/>
    <w:rPr>
      <w:rFonts w:eastAsiaTheme="majorEastAsia" w:cstheme="majorBidi"/>
      <w:color w:val="272727" w:themeColor="text1" w:themeTint="D8"/>
    </w:rPr>
  </w:style>
  <w:style w:type="paragraph" w:styleId="Title">
    <w:name w:val="Title"/>
    <w:basedOn w:val="Normal"/>
    <w:next w:val="Normal"/>
    <w:link w:val="TitleChar"/>
    <w:uiPriority w:val="10"/>
    <w:qFormat/>
    <w:rsid w:val="00227D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7D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7D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7D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7DF5"/>
    <w:pPr>
      <w:spacing w:before="160"/>
      <w:jc w:val="center"/>
    </w:pPr>
    <w:rPr>
      <w:i/>
      <w:iCs/>
      <w:color w:val="404040" w:themeColor="text1" w:themeTint="BF"/>
    </w:rPr>
  </w:style>
  <w:style w:type="character" w:customStyle="1" w:styleId="QuoteChar">
    <w:name w:val="Quote Char"/>
    <w:basedOn w:val="DefaultParagraphFont"/>
    <w:link w:val="Quote"/>
    <w:uiPriority w:val="29"/>
    <w:rsid w:val="00227DF5"/>
    <w:rPr>
      <w:i/>
      <w:iCs/>
      <w:color w:val="404040" w:themeColor="text1" w:themeTint="BF"/>
    </w:rPr>
  </w:style>
  <w:style w:type="paragraph" w:styleId="ListParagraph">
    <w:name w:val="List Paragraph"/>
    <w:basedOn w:val="Normal"/>
    <w:uiPriority w:val="34"/>
    <w:qFormat/>
    <w:rsid w:val="00227DF5"/>
    <w:pPr>
      <w:ind w:left="720"/>
      <w:contextualSpacing/>
    </w:pPr>
  </w:style>
  <w:style w:type="character" w:styleId="IntenseEmphasis">
    <w:name w:val="Intense Emphasis"/>
    <w:basedOn w:val="DefaultParagraphFont"/>
    <w:uiPriority w:val="21"/>
    <w:qFormat/>
    <w:rsid w:val="00227DF5"/>
    <w:rPr>
      <w:i/>
      <w:iCs/>
      <w:color w:val="0F4761" w:themeColor="accent1" w:themeShade="BF"/>
    </w:rPr>
  </w:style>
  <w:style w:type="paragraph" w:styleId="IntenseQuote">
    <w:name w:val="Intense Quote"/>
    <w:basedOn w:val="Normal"/>
    <w:next w:val="Normal"/>
    <w:link w:val="IntenseQuoteChar"/>
    <w:uiPriority w:val="30"/>
    <w:qFormat/>
    <w:rsid w:val="00227D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7DF5"/>
    <w:rPr>
      <w:i/>
      <w:iCs/>
      <w:color w:val="0F4761" w:themeColor="accent1" w:themeShade="BF"/>
    </w:rPr>
  </w:style>
  <w:style w:type="character" w:styleId="IntenseReference">
    <w:name w:val="Intense Reference"/>
    <w:basedOn w:val="DefaultParagraphFont"/>
    <w:uiPriority w:val="32"/>
    <w:qFormat/>
    <w:rsid w:val="00227DF5"/>
    <w:rPr>
      <w:b/>
      <w:bCs/>
      <w:smallCaps/>
      <w:color w:val="0F4761" w:themeColor="accent1" w:themeShade="BF"/>
      <w:spacing w:val="5"/>
    </w:rPr>
  </w:style>
  <w:style w:type="character" w:styleId="Hyperlink">
    <w:name w:val="Hyperlink"/>
    <w:basedOn w:val="DefaultParagraphFont"/>
    <w:uiPriority w:val="99"/>
    <w:unhideWhenUsed/>
    <w:rsid w:val="00A458EF"/>
    <w:rPr>
      <w:color w:val="0000FF"/>
      <w:u w:val="single"/>
    </w:rPr>
  </w:style>
  <w:style w:type="character" w:styleId="UnresolvedMention">
    <w:name w:val="Unresolved Mention"/>
    <w:basedOn w:val="DefaultParagraphFont"/>
    <w:uiPriority w:val="99"/>
    <w:semiHidden/>
    <w:unhideWhenUsed/>
    <w:rsid w:val="00A458EF"/>
    <w:rPr>
      <w:color w:val="605E5C"/>
      <w:shd w:val="clear" w:color="auto" w:fill="E1DFDD"/>
    </w:rPr>
  </w:style>
  <w:style w:type="character" w:customStyle="1" w:styleId="normaltextrun">
    <w:name w:val="normaltextrun"/>
    <w:basedOn w:val="DefaultParagraphFont"/>
    <w:rsid w:val="00B5117E"/>
  </w:style>
  <w:style w:type="character" w:customStyle="1" w:styleId="eop">
    <w:name w:val="eop"/>
    <w:basedOn w:val="DefaultParagraphFont"/>
    <w:rsid w:val="00B5117E"/>
  </w:style>
  <w:style w:type="paragraph" w:styleId="Header">
    <w:name w:val="header"/>
    <w:basedOn w:val="Normal"/>
    <w:link w:val="HeaderChar"/>
    <w:uiPriority w:val="99"/>
    <w:unhideWhenUsed/>
    <w:rsid w:val="007C684C"/>
    <w:pPr>
      <w:tabs>
        <w:tab w:val="center" w:pos="4513"/>
        <w:tab w:val="right" w:pos="9026"/>
      </w:tabs>
    </w:pPr>
  </w:style>
  <w:style w:type="character" w:customStyle="1" w:styleId="HeaderChar">
    <w:name w:val="Header Char"/>
    <w:basedOn w:val="DefaultParagraphFont"/>
    <w:link w:val="Header"/>
    <w:uiPriority w:val="99"/>
    <w:rsid w:val="007C684C"/>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7C684C"/>
    <w:pPr>
      <w:tabs>
        <w:tab w:val="center" w:pos="4513"/>
        <w:tab w:val="right" w:pos="9026"/>
      </w:tabs>
    </w:pPr>
  </w:style>
  <w:style w:type="character" w:customStyle="1" w:styleId="FooterChar">
    <w:name w:val="Footer Char"/>
    <w:basedOn w:val="DefaultParagraphFont"/>
    <w:link w:val="Footer"/>
    <w:uiPriority w:val="99"/>
    <w:rsid w:val="007C684C"/>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893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gc.wales/sw-py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v.wales/ethnic-group-national-identity-language-and-religion-wales-census-2021-html" TargetMode="External"/><Relationship Id="rId4" Type="http://schemas.openxmlformats.org/officeDocument/2006/relationships/webSettings" Target="webSettings.xml"/><Relationship Id="rId9" Type="http://schemas.openxmlformats.org/officeDocument/2006/relationships/hyperlink" Target="https://www.peacemala.org.uk/accreditation-benefits.ph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11</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kayleighcowdery@outlook.com</dc:creator>
  <cp:keywords/>
  <dc:description/>
  <cp:lastModifiedBy>kayleighcowdery@outlook.com</cp:lastModifiedBy>
  <cp:revision>14</cp:revision>
  <dcterms:created xsi:type="dcterms:W3CDTF">2024-05-05T16:02:00Z</dcterms:created>
  <dcterms:modified xsi:type="dcterms:W3CDTF">2024-05-06T22:06:00Z</dcterms:modified>
</cp:coreProperties>
</file>