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94373" w14:textId="77777777" w:rsidR="00D110AC" w:rsidRDefault="00D110AC" w:rsidP="00D110AC">
      <w:pPr>
        <w:jc w:val="center"/>
        <w:rPr>
          <w:u w:val="single"/>
        </w:rPr>
      </w:pPr>
    </w:p>
    <w:p w14:paraId="177D9AA3" w14:textId="77777777" w:rsidR="00D110AC" w:rsidRDefault="00D110AC" w:rsidP="00D110AC">
      <w:pPr>
        <w:rPr>
          <w:u w:val="single"/>
        </w:rPr>
      </w:pPr>
    </w:p>
    <w:p w14:paraId="0DC215D2" w14:textId="77777777" w:rsidR="00D110AC" w:rsidRDefault="00D110AC" w:rsidP="00D110AC">
      <w:pPr>
        <w:rPr>
          <w:u w:val="single"/>
        </w:rPr>
      </w:pPr>
    </w:p>
    <w:p w14:paraId="49DA541E" w14:textId="77777777" w:rsidR="00D110AC" w:rsidRDefault="00D110AC" w:rsidP="00D110AC">
      <w:pPr>
        <w:rPr>
          <w:u w:val="single"/>
        </w:rPr>
      </w:pPr>
    </w:p>
    <w:p w14:paraId="5BFBD012" w14:textId="77777777" w:rsidR="00D110AC" w:rsidRDefault="00D110AC" w:rsidP="00D110AC">
      <w:pPr>
        <w:rPr>
          <w:u w:val="single"/>
        </w:rPr>
      </w:pPr>
    </w:p>
    <w:p w14:paraId="1441D3B3" w14:textId="77777777" w:rsidR="00D110AC" w:rsidRDefault="00D110AC" w:rsidP="00D110AC">
      <w:pPr>
        <w:rPr>
          <w:u w:val="single"/>
        </w:rPr>
      </w:pPr>
    </w:p>
    <w:p w14:paraId="466AA1CA" w14:textId="77777777" w:rsidR="00D110AC" w:rsidRDefault="00D110AC" w:rsidP="00D110AC">
      <w:pPr>
        <w:rPr>
          <w:u w:val="single"/>
        </w:rPr>
      </w:pPr>
    </w:p>
    <w:p w14:paraId="5C24FC8C" w14:textId="77777777" w:rsidR="00D110AC" w:rsidRDefault="00D110AC" w:rsidP="00D110AC">
      <w:pPr>
        <w:jc w:val="center"/>
        <w:rPr>
          <w:u w:val="single"/>
        </w:rPr>
      </w:pPr>
      <w:r>
        <w:rPr>
          <w:u w:val="single"/>
        </w:rPr>
        <w:t xml:space="preserve">Sam </w:t>
      </w:r>
      <w:proofErr w:type="spellStart"/>
      <w:r>
        <w:rPr>
          <w:u w:val="single"/>
        </w:rPr>
        <w:t>Gedrych</w:t>
      </w:r>
      <w:proofErr w:type="spellEnd"/>
    </w:p>
    <w:p w14:paraId="18A1A5CA" w14:textId="77777777" w:rsidR="00D110AC" w:rsidRDefault="00D110AC" w:rsidP="00D110AC">
      <w:pPr>
        <w:jc w:val="center"/>
        <w:rPr>
          <w:u w:val="single"/>
        </w:rPr>
      </w:pPr>
      <w:r>
        <w:rPr>
          <w:u w:val="single"/>
        </w:rPr>
        <w:t>1600772.</w:t>
      </w:r>
    </w:p>
    <w:p w14:paraId="2636DA4C" w14:textId="4253BA14" w:rsidR="00D110AC" w:rsidRDefault="00D110AC" w:rsidP="00D110AC">
      <w:pPr>
        <w:jc w:val="center"/>
        <w:rPr>
          <w:u w:val="single"/>
        </w:rPr>
      </w:pPr>
      <w:r>
        <w:rPr>
          <w:u w:val="single"/>
        </w:rPr>
        <w:t>Word Count: 2511</w:t>
      </w:r>
      <w:bookmarkStart w:id="0" w:name="_GoBack"/>
      <w:bookmarkEnd w:id="0"/>
      <w:r>
        <w:rPr>
          <w:u w:val="single"/>
        </w:rPr>
        <w:br w:type="page"/>
      </w:r>
    </w:p>
    <w:p w14:paraId="63DB09F5" w14:textId="259D7FA6" w:rsidR="00D110AC" w:rsidRPr="00D110AC" w:rsidRDefault="00D110AC" w:rsidP="00D110AC">
      <w:pPr>
        <w:jc w:val="center"/>
        <w:rPr>
          <w:u w:val="single"/>
        </w:rPr>
      </w:pPr>
      <w:r w:rsidRPr="00D110AC">
        <w:rPr>
          <w:u w:val="single"/>
        </w:rPr>
        <w:lastRenderedPageBreak/>
        <w:t>Lamentation in Homeric Epic and its relationship with archaic masculinity; an exploration of the cultural normalities of archaic Greece.</w:t>
      </w:r>
    </w:p>
    <w:p w14:paraId="75D683AF" w14:textId="76061EDD" w:rsidR="006112ED" w:rsidRDefault="006112ED" w:rsidP="006112ED">
      <w:r>
        <w:t xml:space="preserve">In this paper I shall be examining the concept of masculinity through a gender-specific lens, </w:t>
      </w:r>
      <w:proofErr w:type="gramStart"/>
      <w:r>
        <w:t>in order to</w:t>
      </w:r>
      <w:proofErr w:type="gramEnd"/>
      <w:r>
        <w:t xml:space="preserve"> reach a conclusion on the forms and presentation of </w:t>
      </w:r>
      <w:r w:rsidR="00CC208F">
        <w:t xml:space="preserve">unusual </w:t>
      </w:r>
      <w:r>
        <w:t xml:space="preserve">qualities of manliness in archaic ‘Greek’ culture and its differences with later ideals. I shall accomplish this task by examining Homeric heroic literature and its depictions of masculinity, focusing on the lamentation of Achilles and Odysseus, thus making it possible to demonstrate traits and actions that </w:t>
      </w:r>
      <w:proofErr w:type="gramStart"/>
      <w:r>
        <w:t>were seen as</w:t>
      </w:r>
      <w:proofErr w:type="gramEnd"/>
      <w:r>
        <w:t xml:space="preserve"> masculine that may conflict with modern and even classical Greek concepts. This will include comparing the earlier Homeric texts with later classical works it can be shown that there is a distinct difference behind the social construct of masculinity between the two cultures and even how the earlier concepts would go on to inform and differ from the later classical Hellenic forms of masculinity.</w:t>
      </w:r>
      <w:r w:rsidR="00C268BA">
        <w:t xml:space="preserve"> </w:t>
      </w:r>
      <w:r w:rsidR="00CC208F">
        <w:t xml:space="preserve">Ultimately this discussion comes down to two points, whether the ability to process and express grief is a masculine trait to a Homeric audience, and what the emotion in question </w:t>
      </w:r>
      <w:proofErr w:type="gramStart"/>
      <w:r w:rsidR="00CC208F">
        <w:t>actually meant</w:t>
      </w:r>
      <w:proofErr w:type="gramEnd"/>
      <w:r w:rsidR="00CC208F">
        <w:t xml:space="preserve"> to </w:t>
      </w:r>
      <w:r w:rsidR="00C268BA">
        <w:t xml:space="preserve">these archaic ‘Greek’ peoples. The first point of order when discussing a topic such as this is to ensure that I can adequately define the core principle of manliness or masculinity, both shall be used interchangeably for the sake of this essay, as to limit any ambiguousness over my own interpretation. </w:t>
      </w:r>
      <w:r>
        <w:t>Masculinity is defined by www.dictionary.com</w:t>
      </w:r>
      <w:r>
        <w:rPr>
          <w:rStyle w:val="FootnoteReference"/>
        </w:rPr>
        <w:footnoteReference w:id="1"/>
      </w:r>
      <w:r>
        <w:t xml:space="preserve"> as: ‘</w:t>
      </w:r>
      <w:r w:rsidRPr="003C42A1">
        <w:t>having qualities traditionally ascribed to men, as strength or bravery.</w:t>
      </w:r>
      <w:r>
        <w:t xml:space="preserve">’ And furthermore as: </w:t>
      </w:r>
    </w:p>
    <w:p w14:paraId="67EDE31D" w14:textId="77777777" w:rsidR="006112ED" w:rsidRDefault="006112ED" w:rsidP="006112ED">
      <w:pPr>
        <w:jc w:val="center"/>
      </w:pPr>
      <w:r>
        <w:t>‘</w:t>
      </w:r>
      <w:r w:rsidRPr="003C42A1">
        <w:t>Manly, manful, mannish mean having the traits or qualities that a culture regards as especially characteristic of or ideally appropriate to adult men. Manly is usually a term of approval, suggesting traits admired by society, such as determination, decisiveness, and steadiness: a manly acceptance of the facts; manly firmness of character. Manful, also a term of approval, stresses qualities such as courage, strength, and fortitude: a manful effort to overcome great odds.</w:t>
      </w:r>
      <w:r>
        <w:t>’</w:t>
      </w:r>
    </w:p>
    <w:p w14:paraId="14EFD7C1" w14:textId="3923E82A" w:rsidR="006112ED" w:rsidRDefault="006112ED" w:rsidP="006112ED">
      <w:r>
        <w:t xml:space="preserve"> This Definition of masculinity or manhood is </w:t>
      </w:r>
      <w:proofErr w:type="gramStart"/>
      <w:r>
        <w:t>fairly consistent</w:t>
      </w:r>
      <w:proofErr w:type="gramEnd"/>
      <w:r>
        <w:t xml:space="preserve"> in a traditional sense as it stresses that a man must be strong in the face of adversity and in body, with no mention of any form of emotional expression implying a level of apathy or detachedness as a part of being a ‘good’ man. This first definition is perhaps a little reductive and outdated so to demonstrate the difficulties of characterising a concept as broad as this, I have taken another definition, this being from an opinion piece in the Guardian newspaper: </w:t>
      </w:r>
    </w:p>
    <w:p w14:paraId="11CD25B2" w14:textId="6E7ED2FE" w:rsidR="006112ED" w:rsidRDefault="006112ED" w:rsidP="006112ED">
      <w:pPr>
        <w:pStyle w:val="ListParagraph"/>
        <w:jc w:val="center"/>
      </w:pPr>
      <w:r>
        <w:t>“</w:t>
      </w:r>
      <w:r w:rsidRPr="00220C7B">
        <w:t>Masculine power will always remain maddeningly elusive, prone to periodic crises, breakdowns and panicky reassertions. It is an unfulfillable ideal, a hallucination of command and control, and an illusion of mastery, in a world where all that is solid melts into thin air, and where even the ostensibly powerful are haunted by the spectre of loss and displacement. As a straitjacket of onerous roles and impossible expectations, masculinity has become a source of great suffering – for men as much as women.</w:t>
      </w:r>
      <w:r>
        <w:t>” – Pankaj Mishra,2018.</w:t>
      </w:r>
      <w:r>
        <w:rPr>
          <w:rStyle w:val="FootnoteReference"/>
        </w:rPr>
        <w:footnoteReference w:id="2"/>
      </w:r>
    </w:p>
    <w:p w14:paraId="65800006" w14:textId="4C09B6C6" w:rsidR="006112ED" w:rsidRDefault="006112ED" w:rsidP="006112ED">
      <w:r>
        <w:t xml:space="preserve">Of course, what it means to be a modern man, or even if such a thing as manliness is possible, is an ongoing debate and something that every generation must decide for itself, however a cultural shift which has moved rapidly over the last century with a particularly strong discourse on gender and </w:t>
      </w:r>
      <w:r>
        <w:lastRenderedPageBreak/>
        <w:t>society taking place in recent years has rendered any one definition implausible or not inclusive enough. For the sake of this essay I shall be settling with the definition of masculinity in a more conservative</w:t>
      </w:r>
      <w:r w:rsidR="00C268BA">
        <w:t>,</w:t>
      </w:r>
      <w:r>
        <w:t xml:space="preserve"> traditionalist view</w:t>
      </w:r>
      <w:r>
        <w:rPr>
          <w:rStyle w:val="FootnoteReference"/>
        </w:rPr>
        <w:footnoteReference w:id="3"/>
      </w:r>
      <w:r>
        <w:t>. This view</w:t>
      </w:r>
      <w:r w:rsidR="00C268BA">
        <w:t>point</w:t>
      </w:r>
      <w:r>
        <w:t xml:space="preserve">, </w:t>
      </w:r>
      <w:r w:rsidR="00C268BA">
        <w:t xml:space="preserve">one </w:t>
      </w:r>
      <w:r>
        <w:t xml:space="preserve">which certainly pervades modern society presently, provides the best comparison between archaic Greek attitudes implied throughout Homeric epic. </w:t>
      </w:r>
      <w:r w:rsidR="00D62A03">
        <w:t>Firstly,</w:t>
      </w:r>
      <w:r w:rsidR="009833DB">
        <w:t xml:space="preserve"> this essay will examine the expression of grief in Homeric epic and the significance of the clear difference in social and cultural attitudes, followed by a discussion on what grief consists of and the translation issue owing to shifts in the role of men and masculinity. From this I shall discuss the possible evolution of this presentation of archaic masculinity into the forms of masculinities of classical Greece that are more recognisable to a modern audience</w:t>
      </w:r>
      <w:r w:rsidR="00D62A03">
        <w:t xml:space="preserve"> as the first building blocks of contemporary masculinities.</w:t>
      </w:r>
      <w:r w:rsidR="003F7F26">
        <w:t xml:space="preserve"> Lastly it must be said that although the world presented to us by Homer is fantastical, I must agree with van Wees that it must be understood that the characters presented in the epics cannot have held vastly different emotional behaviours to their own lest the characters not be understood</w:t>
      </w:r>
      <w:r w:rsidR="003F7F26">
        <w:rPr>
          <w:rStyle w:val="FootnoteReference"/>
        </w:rPr>
        <w:footnoteReference w:id="4"/>
      </w:r>
      <w:r w:rsidR="003F7F26">
        <w:t>, hence their behaviours can provide an insight into archaic Greek culture.</w:t>
      </w:r>
    </w:p>
    <w:p w14:paraId="505F212D" w14:textId="24E4BF3C" w:rsidR="00D62A03" w:rsidRDefault="00D62A03" w:rsidP="006112ED">
      <w:r>
        <w:t>Heroes can cry too…</w:t>
      </w:r>
    </w:p>
    <w:p w14:paraId="4CE8A5B9" w14:textId="77777777" w:rsidR="0016228B" w:rsidRDefault="003A4708" w:rsidP="006112ED">
      <w:r>
        <w:t xml:space="preserve">When we imagine the brave heroes out of the stories repeated to us as children, Horatio Nelson calmly walking the decks of the HMS victory whilst under intense </w:t>
      </w:r>
      <w:r w:rsidR="004418AC">
        <w:t>close-range</w:t>
      </w:r>
      <w:r>
        <w:t xml:space="preserve"> fire at the battle of Trafalgar or perhaps tales </w:t>
      </w:r>
      <w:r w:rsidR="00021876">
        <w:t xml:space="preserve">of courage of the men defending </w:t>
      </w:r>
      <w:proofErr w:type="spellStart"/>
      <w:r w:rsidR="00021876">
        <w:t>Rorke’s</w:t>
      </w:r>
      <w:proofErr w:type="spellEnd"/>
      <w:r w:rsidR="00021876">
        <w:t xml:space="preserve"> Drift against overwhelming odds, exclusively British examples albeit, often the last thing that we pause </w:t>
      </w:r>
      <w:r w:rsidR="00190CE3">
        <w:t xml:space="preserve">to </w:t>
      </w:r>
      <w:r w:rsidR="00021876">
        <w:t xml:space="preserve">question is </w:t>
      </w:r>
      <w:proofErr w:type="gramStart"/>
      <w:r w:rsidR="00021876">
        <w:t>whether or not</w:t>
      </w:r>
      <w:proofErr w:type="gramEnd"/>
      <w:r w:rsidR="00021876">
        <w:t xml:space="preserve"> these men ever broke under the pressure of losing their comrades-in-arms</w:t>
      </w:r>
      <w:r w:rsidR="00190CE3">
        <w:t xml:space="preserve">? No, of course not. How could these men as they came from that age characterised by the stiff upper lip attitude, hence it can be a surprise to modern </w:t>
      </w:r>
      <w:r w:rsidR="004418AC">
        <w:t>audiences to read of the greatest and best of the legendary Greek warriors, Achilles, whimpering off to his mother to cry over how mean King Agamemnon had been to him</w:t>
      </w:r>
      <w:r w:rsidR="004418AC">
        <w:rPr>
          <w:rStyle w:val="FootnoteReference"/>
        </w:rPr>
        <w:footnoteReference w:id="5"/>
      </w:r>
      <w:r w:rsidR="004418AC">
        <w:t>. This observation as pointed out by van Wees</w:t>
      </w:r>
      <w:r w:rsidR="004418AC">
        <w:rPr>
          <w:rStyle w:val="FootnoteReference"/>
        </w:rPr>
        <w:footnoteReference w:id="6"/>
      </w:r>
      <w:r w:rsidR="004418AC">
        <w:t xml:space="preserve">, demonstrates a key difference between these early Homeric heroes and their contemporary counterparts, the ability to express, not supress, their true emotions. But this singular outburst is far from the only example and so we must ask the question: how is </w:t>
      </w:r>
      <w:r w:rsidR="0083650A">
        <w:t xml:space="preserve">grief conveyed by Homeric characters? Let us start by examining the language used by the author to convey this spectrum of emotion. </w:t>
      </w:r>
      <w:r w:rsidR="00057C56" w:rsidRPr="00057C56">
        <w:t>“</w:t>
      </w:r>
      <w:proofErr w:type="spellStart"/>
      <w:r w:rsidR="00057C56" w:rsidRPr="00057C56">
        <w:rPr>
          <w:i/>
        </w:rPr>
        <w:t>Klaiein</w:t>
      </w:r>
      <w:proofErr w:type="spellEnd"/>
      <w:r w:rsidR="00057C56" w:rsidRPr="00057C56">
        <w:rPr>
          <w:i/>
        </w:rPr>
        <w:t xml:space="preserve">, </w:t>
      </w:r>
      <w:proofErr w:type="spellStart"/>
      <w:r w:rsidR="00057C56" w:rsidRPr="00057C56">
        <w:rPr>
          <w:i/>
        </w:rPr>
        <w:t>oduresthai</w:t>
      </w:r>
      <w:proofErr w:type="spellEnd"/>
      <w:r w:rsidR="00057C56" w:rsidRPr="00057C56">
        <w:rPr>
          <w:i/>
        </w:rPr>
        <w:t xml:space="preserve">, </w:t>
      </w:r>
      <w:proofErr w:type="spellStart"/>
      <w:r w:rsidR="00057C56" w:rsidRPr="00057C56">
        <w:rPr>
          <w:i/>
        </w:rPr>
        <w:t>olophuresthai</w:t>
      </w:r>
      <w:proofErr w:type="spellEnd"/>
      <w:r w:rsidR="00057C56" w:rsidRPr="00057C56">
        <w:rPr>
          <w:i/>
        </w:rPr>
        <w:t xml:space="preserve">, </w:t>
      </w:r>
      <w:proofErr w:type="spellStart"/>
      <w:r w:rsidR="00057C56" w:rsidRPr="00057C56">
        <w:rPr>
          <w:i/>
        </w:rPr>
        <w:t>muresthai</w:t>
      </w:r>
      <w:proofErr w:type="spellEnd"/>
      <w:r w:rsidR="00057C56" w:rsidRPr="00057C56">
        <w:rPr>
          <w:i/>
        </w:rPr>
        <w:t xml:space="preserve">, </w:t>
      </w:r>
      <w:proofErr w:type="spellStart"/>
      <w:r w:rsidR="00057C56" w:rsidRPr="00057C56">
        <w:rPr>
          <w:i/>
        </w:rPr>
        <w:t>oimozein</w:t>
      </w:r>
      <w:proofErr w:type="spellEnd"/>
      <w:r w:rsidR="00057C56" w:rsidRPr="00057C56">
        <w:rPr>
          <w:i/>
        </w:rPr>
        <w:t xml:space="preserve">, </w:t>
      </w:r>
      <w:proofErr w:type="spellStart"/>
      <w:r w:rsidR="00057C56" w:rsidRPr="00057C56">
        <w:rPr>
          <w:i/>
        </w:rPr>
        <w:t>goan</w:t>
      </w:r>
      <w:proofErr w:type="spellEnd"/>
      <w:r w:rsidR="00057C56" w:rsidRPr="00057C56">
        <w:rPr>
          <w:i/>
        </w:rPr>
        <w:t xml:space="preserve">, </w:t>
      </w:r>
      <w:proofErr w:type="spellStart"/>
      <w:r w:rsidR="00057C56" w:rsidRPr="00057C56">
        <w:rPr>
          <w:i/>
        </w:rPr>
        <w:t>stenakh</w:t>
      </w:r>
      <w:proofErr w:type="spellEnd"/>
      <w:r w:rsidR="00057C56" w:rsidRPr="00057C56">
        <w:rPr>
          <w:i/>
        </w:rPr>
        <w:t>(</w:t>
      </w:r>
      <w:proofErr w:type="spellStart"/>
      <w:r w:rsidR="00057C56" w:rsidRPr="00057C56">
        <w:rPr>
          <w:i/>
        </w:rPr>
        <w:t>iz</w:t>
      </w:r>
      <w:proofErr w:type="spellEnd"/>
      <w:r w:rsidR="00057C56" w:rsidRPr="00057C56">
        <w:rPr>
          <w:i/>
        </w:rPr>
        <w:t>)</w:t>
      </w:r>
      <w:proofErr w:type="spellStart"/>
      <w:r w:rsidR="00057C56" w:rsidRPr="00057C56">
        <w:rPr>
          <w:i/>
        </w:rPr>
        <w:t>ein</w:t>
      </w:r>
      <w:proofErr w:type="spellEnd"/>
      <w:r w:rsidR="00057C56" w:rsidRPr="00057C56">
        <w:rPr>
          <w:i/>
        </w:rPr>
        <w:t xml:space="preserve">, </w:t>
      </w:r>
      <w:r w:rsidR="00057C56" w:rsidRPr="00057C56">
        <w:t>and, for women only</w:t>
      </w:r>
      <w:r w:rsidR="00057C56" w:rsidRPr="00057C56">
        <w:rPr>
          <w:i/>
        </w:rPr>
        <w:t xml:space="preserve">, </w:t>
      </w:r>
      <w:proofErr w:type="spellStart"/>
      <w:r w:rsidR="00057C56" w:rsidRPr="00057C56">
        <w:rPr>
          <w:i/>
        </w:rPr>
        <w:t>kokuein</w:t>
      </w:r>
      <w:proofErr w:type="spellEnd"/>
      <w:r w:rsidR="00057C56" w:rsidRPr="00057C56">
        <w:t>”</w:t>
      </w:r>
      <w:r w:rsidR="00057C56">
        <w:rPr>
          <w:rStyle w:val="FootnoteReference"/>
        </w:rPr>
        <w:footnoteReference w:id="7"/>
      </w:r>
      <w:r w:rsidR="00057C56">
        <w:t xml:space="preserve"> are all verbs employed by Homer to vocalise lament</w:t>
      </w:r>
      <w:r w:rsidR="00057B45">
        <w:t xml:space="preserve"> ranging from moans of grief right up to a form of uncontrollable wailing. </w:t>
      </w:r>
      <w:r w:rsidR="00576AB0">
        <w:t>It is true that to a modern audience the imagery of Agamemnon the king of the Achaeans weeping in front of his army is most odd:</w:t>
      </w:r>
    </w:p>
    <w:p w14:paraId="605E5282" w14:textId="3AB1C682" w:rsidR="0016228B" w:rsidRDefault="0016228B" w:rsidP="0016228B">
      <w:pPr>
        <w:jc w:val="center"/>
      </w:pPr>
      <w:r>
        <w:t xml:space="preserve">“they sat down to the assembly in a sorry mood, and as Agamemnon rose to address them, he groaned </w:t>
      </w:r>
      <w:proofErr w:type="gramStart"/>
      <w:r>
        <w:t>heavily</w:t>
      </w:r>
      <w:proofErr w:type="gramEnd"/>
      <w:r>
        <w:t xml:space="preserve"> and the tears ran down his face like water trickling from a spring in dark streaks down a precipice”.</w:t>
      </w:r>
      <w:r>
        <w:rPr>
          <w:rStyle w:val="FootnoteReference"/>
        </w:rPr>
        <w:footnoteReference w:id="8"/>
      </w:r>
    </w:p>
    <w:p w14:paraId="51194A7C" w14:textId="30779049" w:rsidR="0016228B" w:rsidRDefault="0016228B" w:rsidP="0016228B">
      <w:r>
        <w:lastRenderedPageBreak/>
        <w:t>Furthermore he, Agamemnon, is described as lamenting publicly, wailing and groaning at the sight of enemy campfires</w:t>
      </w:r>
      <w:r>
        <w:rPr>
          <w:rStyle w:val="FootnoteReference"/>
        </w:rPr>
        <w:footnoteReference w:id="9"/>
      </w:r>
      <w:r>
        <w:t>. Yet in both cases there is no suggestion of lost honour or that this was an effeminate act, this shows us that this form of public acknowledgement of one’s own grief</w:t>
      </w:r>
      <w:r w:rsidR="00C01573">
        <w:t xml:space="preserve"> carried no real social penalty. Even when discussed in terms of the negative relationship between the concepts of </w:t>
      </w:r>
      <w:proofErr w:type="spellStart"/>
      <w:r w:rsidR="00237153" w:rsidRPr="006D523F">
        <w:rPr>
          <w:i/>
        </w:rPr>
        <w:t>Penthos</w:t>
      </w:r>
      <w:proofErr w:type="spellEnd"/>
      <w:r w:rsidR="00237153">
        <w:t xml:space="preserve"> </w:t>
      </w:r>
      <w:r w:rsidR="00C01573">
        <w:t xml:space="preserve">and </w:t>
      </w:r>
      <w:proofErr w:type="spellStart"/>
      <w:r w:rsidR="00C01573">
        <w:t>kleon</w:t>
      </w:r>
      <w:proofErr w:type="spellEnd"/>
      <w:r w:rsidR="00C01573">
        <w:rPr>
          <w:rStyle w:val="FootnoteReference"/>
        </w:rPr>
        <w:footnoteReference w:id="10"/>
      </w:r>
      <w:r w:rsidR="0081466F">
        <w:t xml:space="preserve"> we see that there are only certain circumstances when it is not acceptable to show your true feelings.</w:t>
      </w:r>
    </w:p>
    <w:p w14:paraId="71EDBF42" w14:textId="250076DA" w:rsidR="00272449" w:rsidRDefault="00272449" w:rsidP="00272449">
      <w:r>
        <w:t>To be able to fully understand this argument first we must delve into the definitions of some key terms and will be using throughout.  There are three key words or ideals that this essay will focus on</w:t>
      </w:r>
      <w:r w:rsidR="00237153" w:rsidRPr="00237153">
        <w:rPr>
          <w:i/>
        </w:rPr>
        <w:t xml:space="preserve"> </w:t>
      </w:r>
      <w:proofErr w:type="spellStart"/>
      <w:r w:rsidR="00237153" w:rsidRPr="006D523F">
        <w:rPr>
          <w:i/>
        </w:rPr>
        <w:t>Penthos</w:t>
      </w:r>
      <w:proofErr w:type="spellEnd"/>
      <w:r>
        <w:t xml:space="preserve">, </w:t>
      </w:r>
      <w:proofErr w:type="spellStart"/>
      <w:r>
        <w:t>akhos</w:t>
      </w:r>
      <w:proofErr w:type="spellEnd"/>
      <w:r>
        <w:t xml:space="preserve"> and </w:t>
      </w:r>
      <w:proofErr w:type="spellStart"/>
      <w:r>
        <w:t>kleon</w:t>
      </w:r>
      <w:proofErr w:type="spellEnd"/>
      <w:r>
        <w:t>.  All three are very interrelated.</w:t>
      </w:r>
    </w:p>
    <w:p w14:paraId="48CF392B" w14:textId="116D93B0" w:rsidR="00272449" w:rsidRPr="00237153" w:rsidRDefault="00272449" w:rsidP="00272449">
      <w:proofErr w:type="spellStart"/>
      <w:r w:rsidRPr="006D523F">
        <w:rPr>
          <w:i/>
        </w:rPr>
        <w:t>Penthos</w:t>
      </w:r>
      <w:proofErr w:type="spellEnd"/>
      <w:r>
        <w:t xml:space="preserve"> vs. </w:t>
      </w:r>
      <w:proofErr w:type="spellStart"/>
      <w:r w:rsidRPr="006D523F">
        <w:rPr>
          <w:i/>
        </w:rPr>
        <w:t>akhos</w:t>
      </w:r>
      <w:proofErr w:type="spellEnd"/>
      <w:r>
        <w:t xml:space="preserve"> and their relationship with </w:t>
      </w:r>
      <w:proofErr w:type="spellStart"/>
      <w:r w:rsidRPr="006D523F">
        <w:rPr>
          <w:i/>
        </w:rPr>
        <w:t>kleon</w:t>
      </w:r>
      <w:proofErr w:type="spellEnd"/>
      <w:r>
        <w:t xml:space="preserve">.  Grief in archaic Greek poetry is rarely a cut and dry affair as it is in the English language.  For example, a man can grieve in private and in front of an audience and the verb doesn’t change, demonstrating the grief in our perception focuses on the individual rather than the collective.  Homeric poetry reveals a keener awareness of the grieving characters surroundings, with the two terms </w:t>
      </w:r>
      <w:proofErr w:type="spellStart"/>
      <w:r w:rsidRPr="006D523F">
        <w:rPr>
          <w:i/>
        </w:rPr>
        <w:t>Penthos</w:t>
      </w:r>
      <w:proofErr w:type="spellEnd"/>
      <w:r>
        <w:t xml:space="preserve"> and </w:t>
      </w:r>
      <w:proofErr w:type="spellStart"/>
      <w:r w:rsidRPr="006D523F">
        <w:rPr>
          <w:i/>
        </w:rPr>
        <w:t>akhos</w:t>
      </w:r>
      <w:proofErr w:type="spellEnd"/>
      <w:r>
        <w:t xml:space="preserve"> distinguishing between public and private grief. </w:t>
      </w:r>
      <w:proofErr w:type="spellStart"/>
      <w:r w:rsidRPr="006D523F">
        <w:rPr>
          <w:i/>
        </w:rPr>
        <w:t>Akhos</w:t>
      </w:r>
      <w:proofErr w:type="spellEnd"/>
      <w:r>
        <w:t xml:space="preserve"> being the personal form of grief is used by homer when describing the loss of family and personal friends as we see with Achilles at the </w:t>
      </w:r>
      <w:r w:rsidR="006D523F">
        <w:t>loss of</w:t>
      </w:r>
      <w:r w:rsidR="006D523F" w:rsidRPr="006D523F">
        <w:rPr>
          <w:rStyle w:val="ListParagraph"/>
          <w:rFonts w:ascii="Helvetica" w:hAnsi="Helvetica"/>
          <w:color w:val="000000"/>
          <w:sz w:val="23"/>
          <w:szCs w:val="23"/>
          <w:shd w:val="clear" w:color="auto" w:fill="FFFFFF"/>
        </w:rPr>
        <w:t xml:space="preserve"> </w:t>
      </w:r>
      <w:proofErr w:type="spellStart"/>
      <w:r w:rsidR="006D523F" w:rsidRPr="006D523F">
        <w:rPr>
          <w:rStyle w:val="Emphasis"/>
          <w:i w:val="0"/>
          <w:color w:val="000000"/>
          <w:shd w:val="clear" w:color="auto" w:fill="FFFFFF"/>
        </w:rPr>
        <w:t>patroclus</w:t>
      </w:r>
      <w:proofErr w:type="spellEnd"/>
      <w:r w:rsidR="006D523F">
        <w:rPr>
          <w:rStyle w:val="FootnoteReference"/>
          <w:rFonts w:ascii="Helvetica" w:hAnsi="Helvetica"/>
          <w:i/>
          <w:iCs/>
          <w:color w:val="000000"/>
          <w:sz w:val="23"/>
          <w:szCs w:val="23"/>
          <w:shd w:val="clear" w:color="auto" w:fill="FFFFFF"/>
        </w:rPr>
        <w:footnoteReference w:id="11"/>
      </w:r>
      <w:r w:rsidR="006D523F">
        <w:t>: “</w:t>
      </w:r>
      <w:r w:rsidR="006D523F" w:rsidRPr="006D523F">
        <w:t>and with his own hands he tore and marred his hair</w:t>
      </w:r>
      <w:r w:rsidR="006D523F">
        <w:t>”</w:t>
      </w:r>
      <w:r>
        <w:t xml:space="preserve"> and further exampled </w:t>
      </w:r>
      <w:proofErr w:type="gramStart"/>
      <w:r>
        <w:t xml:space="preserve">by </w:t>
      </w:r>
      <w:r w:rsidR="006D523F">
        <w:t>the use of</w:t>
      </w:r>
      <w:proofErr w:type="gramEnd"/>
      <w:r w:rsidR="006D523F">
        <w:t xml:space="preserve"> </w:t>
      </w:r>
      <w:proofErr w:type="spellStart"/>
      <w:r w:rsidR="006D523F" w:rsidRPr="006D523F">
        <w:rPr>
          <w:i/>
        </w:rPr>
        <w:t>ákhos</w:t>
      </w:r>
      <w:proofErr w:type="spellEnd"/>
      <w:r>
        <w:t xml:space="preserve"> </w:t>
      </w:r>
      <w:r w:rsidR="006D523F">
        <w:t xml:space="preserve">when describing Achilles loss of </w:t>
      </w:r>
      <w:proofErr w:type="spellStart"/>
      <w:r w:rsidR="006D523F" w:rsidRPr="006D523F">
        <w:rPr>
          <w:i/>
        </w:rPr>
        <w:t>tīmḗ</w:t>
      </w:r>
      <w:proofErr w:type="spellEnd"/>
      <w:r w:rsidR="006D523F">
        <w:t xml:space="preserve"> through the quarrel with Agamemnon</w:t>
      </w:r>
      <w:r w:rsidR="006D523F">
        <w:rPr>
          <w:rStyle w:val="FootnoteReference"/>
        </w:rPr>
        <w:footnoteReference w:id="12"/>
      </w:r>
      <w:r>
        <w:t xml:space="preserve">. </w:t>
      </w:r>
      <w:r w:rsidR="00237153">
        <w:t xml:space="preserve">The word </w:t>
      </w:r>
      <w:proofErr w:type="spellStart"/>
      <w:r w:rsidR="00237153" w:rsidRPr="006D523F">
        <w:rPr>
          <w:i/>
        </w:rPr>
        <w:t>ákhos</w:t>
      </w:r>
      <w:proofErr w:type="spellEnd"/>
      <w:r w:rsidR="00237153">
        <w:rPr>
          <w:i/>
        </w:rPr>
        <w:t xml:space="preserve"> </w:t>
      </w:r>
      <w:r w:rsidR="00237153">
        <w:t>is never used to connote any non-masculine behaviour, this is something I shall return to.</w:t>
      </w:r>
    </w:p>
    <w:p w14:paraId="3C6E638C" w14:textId="311E6499" w:rsidR="00272449" w:rsidRPr="00D110AC" w:rsidRDefault="00237153" w:rsidP="0016228B">
      <w:proofErr w:type="spellStart"/>
      <w:r w:rsidRPr="006D523F">
        <w:rPr>
          <w:i/>
        </w:rPr>
        <w:t>Penthos</w:t>
      </w:r>
      <w:proofErr w:type="spellEnd"/>
      <w:r>
        <w:t xml:space="preserve"> </w:t>
      </w:r>
      <w:r w:rsidR="00272449">
        <w:t>is the word most often ascribed by Homer to the sense of public grief displayed at loss. Whilst the range of expression remains similar its use is reserved for circumstances involving an audience, for examp</w:t>
      </w:r>
      <w:r>
        <w:t>le the collective grief shown by the Trojans at the death of their prince, Hector: “</w:t>
      </w:r>
      <w:r w:rsidRPr="00237153">
        <w:t>nor was any man left there within the city, neither any woman, for upon all had come grief that might not be borne</w:t>
      </w:r>
      <w:r>
        <w:t xml:space="preserve">”. </w:t>
      </w:r>
      <w:proofErr w:type="spellStart"/>
      <w:r w:rsidRPr="006D523F">
        <w:rPr>
          <w:i/>
        </w:rPr>
        <w:t>Penthos</w:t>
      </w:r>
      <w:proofErr w:type="spellEnd"/>
      <w:r>
        <w:t xml:space="preserve"> </w:t>
      </w:r>
      <w:r>
        <w:t>can also be used in the form of a ritualised mourning as initiated by a song of lamentation</w:t>
      </w:r>
      <w:r>
        <w:rPr>
          <w:rStyle w:val="FootnoteReference"/>
        </w:rPr>
        <w:footnoteReference w:id="13"/>
      </w:r>
      <w:r>
        <w:t>.</w:t>
      </w:r>
      <w:r w:rsidR="00272449">
        <w:t xml:space="preserve"> </w:t>
      </w:r>
      <w:proofErr w:type="spellStart"/>
      <w:r w:rsidRPr="006D523F">
        <w:rPr>
          <w:i/>
        </w:rPr>
        <w:t>Penthos</w:t>
      </w:r>
      <w:proofErr w:type="spellEnd"/>
      <w:r>
        <w:t xml:space="preserve"> </w:t>
      </w:r>
      <w:r w:rsidR="00272449">
        <w:t xml:space="preserve">also has an interesting juxtaposition with the archaic notion of </w:t>
      </w:r>
      <w:proofErr w:type="spellStart"/>
      <w:r w:rsidR="00D110AC" w:rsidRPr="006D523F">
        <w:rPr>
          <w:i/>
        </w:rPr>
        <w:t>kleon</w:t>
      </w:r>
      <w:proofErr w:type="spellEnd"/>
      <w:r w:rsidR="00272449">
        <w:t>, a word literally formed from the base word ‘</w:t>
      </w:r>
      <w:proofErr w:type="spellStart"/>
      <w:r w:rsidR="00272449">
        <w:t>kleos</w:t>
      </w:r>
      <w:proofErr w:type="spellEnd"/>
      <w:r w:rsidR="00272449">
        <w:t xml:space="preserve">’ or ‘to hear’, meaning ‘what others hear about you’, </w:t>
      </w:r>
      <w:proofErr w:type="gramStart"/>
      <w:r w:rsidR="00272449">
        <w:t>similar to</w:t>
      </w:r>
      <w:proofErr w:type="gramEnd"/>
      <w:r w:rsidR="00272449">
        <w:t xml:space="preserve"> the idea of renown in English.  </w:t>
      </w:r>
      <w:proofErr w:type="spellStart"/>
      <w:r w:rsidR="00D110AC" w:rsidRPr="006D523F">
        <w:rPr>
          <w:i/>
        </w:rPr>
        <w:t>kleon</w:t>
      </w:r>
      <w:proofErr w:type="spellEnd"/>
      <w:r w:rsidR="00272449">
        <w:t xml:space="preserve"> as a concept should be confused or conflated with the idea of ‘</w:t>
      </w:r>
      <w:proofErr w:type="spellStart"/>
      <w:r w:rsidRPr="006D523F">
        <w:rPr>
          <w:i/>
        </w:rPr>
        <w:t>tīmḗ</w:t>
      </w:r>
      <w:proofErr w:type="spellEnd"/>
      <w:r w:rsidR="00272449">
        <w:t xml:space="preserve">’ or Honour, </w:t>
      </w:r>
      <w:proofErr w:type="spellStart"/>
      <w:r w:rsidR="00272449">
        <w:t>infact</w:t>
      </w:r>
      <w:proofErr w:type="spellEnd"/>
      <w:r w:rsidR="00272449">
        <w:t xml:space="preserve"> they mean something quite separate which is best shown by a quote from the doctor healing Menelaus when </w:t>
      </w:r>
      <w:proofErr w:type="gramStart"/>
      <w:r w:rsidR="00272449">
        <w:t>in reference to</w:t>
      </w:r>
      <w:proofErr w:type="gramEnd"/>
      <w:r w:rsidR="00272449">
        <w:t xml:space="preserve"> the warrior that strikes him down: ‘to him </w:t>
      </w:r>
      <w:proofErr w:type="spellStart"/>
      <w:r w:rsidR="00D110AC" w:rsidRPr="006D523F">
        <w:rPr>
          <w:i/>
        </w:rPr>
        <w:t>kleon</w:t>
      </w:r>
      <w:proofErr w:type="spellEnd"/>
      <w:r w:rsidR="00272449">
        <w:t>, for us</w:t>
      </w:r>
      <w:r w:rsidRPr="00237153">
        <w:rPr>
          <w:i/>
        </w:rPr>
        <w:t xml:space="preserve"> </w:t>
      </w:r>
      <w:proofErr w:type="spellStart"/>
      <w:r w:rsidRPr="006D523F">
        <w:rPr>
          <w:i/>
        </w:rPr>
        <w:t>Penthos</w:t>
      </w:r>
      <w:proofErr w:type="spellEnd"/>
      <w:r w:rsidR="00272449">
        <w:t>’</w:t>
      </w:r>
      <w:r>
        <w:t xml:space="preserve">. </w:t>
      </w:r>
      <w:r w:rsidR="00D110AC">
        <w:t xml:space="preserve"> This demonstrates that </w:t>
      </w:r>
      <w:proofErr w:type="spellStart"/>
      <w:r w:rsidR="00D110AC" w:rsidRPr="006D523F">
        <w:rPr>
          <w:i/>
        </w:rPr>
        <w:t>kleon</w:t>
      </w:r>
      <w:proofErr w:type="spellEnd"/>
      <w:r w:rsidR="00D110AC">
        <w:rPr>
          <w:i/>
        </w:rPr>
        <w:t xml:space="preserve"> </w:t>
      </w:r>
      <w:r w:rsidR="00D110AC">
        <w:t xml:space="preserve">chiefly used when in opposition to </w:t>
      </w:r>
      <w:proofErr w:type="spellStart"/>
      <w:r w:rsidR="00D110AC" w:rsidRPr="006D523F">
        <w:rPr>
          <w:i/>
        </w:rPr>
        <w:t>Penthos</w:t>
      </w:r>
      <w:proofErr w:type="spellEnd"/>
      <w:r w:rsidR="00D110AC">
        <w:t xml:space="preserve">, a </w:t>
      </w:r>
      <w:proofErr w:type="spellStart"/>
      <w:r w:rsidR="00D110AC">
        <w:t>juxtapositional</w:t>
      </w:r>
      <w:proofErr w:type="spellEnd"/>
      <w:r w:rsidR="00D110AC">
        <w:t xml:space="preserve"> relationship.</w:t>
      </w:r>
    </w:p>
    <w:p w14:paraId="6146AE55" w14:textId="53CA66D5" w:rsidR="00576AB0" w:rsidRDefault="00B523BE" w:rsidP="006112ED">
      <w:r>
        <w:t xml:space="preserve">Only occasionally are characters required to supress their emotions, the first of these is </w:t>
      </w:r>
      <w:r w:rsidR="00576AB0">
        <w:t xml:space="preserve">Achilles’ son during the Trojan horse story from the odyssey where he alone is able to contain his fears and not shed a tear or </w:t>
      </w:r>
      <w:proofErr w:type="gramStart"/>
      <w:r w:rsidR="00D110AC">
        <w:t>weep,</w:t>
      </w:r>
      <w:r w:rsidR="00576AB0">
        <w:t>‘</w:t>
      </w:r>
      <w:proofErr w:type="spellStart"/>
      <w:proofErr w:type="gramEnd"/>
      <w:r w:rsidR="00576AB0" w:rsidRPr="00576AB0">
        <w:rPr>
          <w:i/>
        </w:rPr>
        <w:t>klaiein</w:t>
      </w:r>
      <w:proofErr w:type="spellEnd"/>
      <w:r w:rsidR="00576AB0">
        <w:rPr>
          <w:i/>
        </w:rPr>
        <w:t>,</w:t>
      </w:r>
      <w:r w:rsidR="00576AB0">
        <w:t>’ whilst inside the horse:</w:t>
      </w:r>
    </w:p>
    <w:p w14:paraId="1E806C04" w14:textId="7543E5F3" w:rsidR="0083650A" w:rsidRDefault="00576AB0" w:rsidP="00576AB0">
      <w:pPr>
        <w:jc w:val="center"/>
      </w:pPr>
      <w:r>
        <w:t>“</w:t>
      </w:r>
      <w:r w:rsidRPr="00576AB0">
        <w:t xml:space="preserve">And again, when we, the best of the Argives, were about to go down into the horse which </w:t>
      </w:r>
      <w:proofErr w:type="spellStart"/>
      <w:r w:rsidRPr="00576AB0">
        <w:t>Epeus</w:t>
      </w:r>
      <w:proofErr w:type="spellEnd"/>
      <w:r w:rsidRPr="00576AB0">
        <w:t xml:space="preserve"> made, and the command of all was laid upon me, [525] both to open and to close the door of our stout-built ambush, then the other leaders and counsellors of the </w:t>
      </w:r>
      <w:proofErr w:type="spellStart"/>
      <w:r w:rsidRPr="00576AB0">
        <w:t>Danaans</w:t>
      </w:r>
      <w:proofErr w:type="spellEnd"/>
      <w:r w:rsidRPr="00576AB0">
        <w:t xml:space="preserve"> would wipe away tears </w:t>
      </w:r>
      <w:r w:rsidRPr="00576AB0">
        <w:lastRenderedPageBreak/>
        <w:t>from their eyes, and each man's limbs shook beneath him, but never did my eyes see his fair face grow pale at all, nor see him [530] wiping tears from his cheeks</w:t>
      </w:r>
      <w:r>
        <w:t>”</w:t>
      </w:r>
      <w:r>
        <w:rPr>
          <w:rStyle w:val="FootnoteReference"/>
        </w:rPr>
        <w:footnoteReference w:id="14"/>
      </w:r>
      <w:r>
        <w:t>.</w:t>
      </w:r>
    </w:p>
    <w:p w14:paraId="48D98EBE" w14:textId="2E1132A6" w:rsidR="0081466F" w:rsidRPr="002E0E0A" w:rsidRDefault="0081466F" w:rsidP="0081466F">
      <w:r>
        <w:t>This is a clear demonstration of bravery and</w:t>
      </w:r>
      <w:r w:rsidR="00895E40">
        <w:t xml:space="preserve"> when hearing of this in the underworld Achilles swells with pride. Yet a more revealing suppression of emotion occurs with Odysseus at the Phaeacian feast whereupon twice he is forced to cover his face to hide his tears at the song from Demodocus the muse. As we have already established the use of male weeping in public is by no means an uncommon occurrence yet here Odysseus must hold back his tears, again not because it is unmanly to cry </w:t>
      </w:r>
      <w:proofErr w:type="spellStart"/>
      <w:r w:rsidR="00895E40">
        <w:t>infront</w:t>
      </w:r>
      <w:proofErr w:type="spellEnd"/>
      <w:r w:rsidR="00895E40">
        <w:t xml:space="preserve"> of company, at least when the time is right, but due to the social etiquette surrounding feasting. It is impolite to bring down the atmosphere of a feast as it is the hosts job to keep the mood cheerful and so Odysseus by shielding his face</w:t>
      </w:r>
      <w:r w:rsidR="002E0E0A">
        <w:t>, is him attempting to not offend his host</w:t>
      </w:r>
      <w:r w:rsidR="002E0E0A">
        <w:rPr>
          <w:rStyle w:val="FootnoteReference"/>
        </w:rPr>
        <w:footnoteReference w:id="15"/>
      </w:r>
      <w:r w:rsidR="002E0E0A">
        <w:t xml:space="preserve">. But this can also be explained in a different manner as the song of Demodocus is Odysseus a personal </w:t>
      </w:r>
      <w:proofErr w:type="spellStart"/>
      <w:r w:rsidR="002E0E0A" w:rsidRPr="006D523F">
        <w:rPr>
          <w:i/>
        </w:rPr>
        <w:t>ákhos</w:t>
      </w:r>
      <w:proofErr w:type="spellEnd"/>
      <w:r w:rsidR="002E0E0A">
        <w:rPr>
          <w:i/>
        </w:rPr>
        <w:t xml:space="preserve">, </w:t>
      </w:r>
      <w:r w:rsidR="002E0E0A">
        <w:t xml:space="preserve">perhaps something often missed as we are too focused on the breaking of etiquette; the epithet for </w:t>
      </w:r>
      <w:proofErr w:type="spellStart"/>
      <w:r w:rsidR="002E0E0A" w:rsidRPr="006D523F">
        <w:rPr>
          <w:i/>
        </w:rPr>
        <w:t>ákhos</w:t>
      </w:r>
      <w:proofErr w:type="spellEnd"/>
      <w:r w:rsidR="002E0E0A">
        <w:rPr>
          <w:i/>
        </w:rPr>
        <w:t xml:space="preserve"> </w:t>
      </w:r>
      <w:r w:rsidR="002E0E0A">
        <w:t xml:space="preserve">comes into play here: </w:t>
      </w:r>
      <w:proofErr w:type="spellStart"/>
      <w:r w:rsidR="002E0E0A" w:rsidRPr="002E0E0A">
        <w:rPr>
          <w:i/>
        </w:rPr>
        <w:t>álaston</w:t>
      </w:r>
      <w:proofErr w:type="spellEnd"/>
      <w:r w:rsidR="002E0E0A">
        <w:rPr>
          <w:i/>
        </w:rPr>
        <w:t xml:space="preserve">, </w:t>
      </w:r>
      <w:r w:rsidR="002E0E0A">
        <w:t xml:space="preserve">meaning unforgettable. As Nagy also points out </w:t>
      </w:r>
      <w:proofErr w:type="spellStart"/>
      <w:r w:rsidR="002E0E0A" w:rsidRPr="002E0E0A">
        <w:rPr>
          <w:rStyle w:val="Emphasis"/>
          <w:color w:val="000000"/>
          <w:shd w:val="clear" w:color="auto" w:fill="FFFFFF"/>
        </w:rPr>
        <w:t>álaston</w:t>
      </w:r>
      <w:proofErr w:type="spellEnd"/>
      <w:r w:rsidR="002E0E0A">
        <w:rPr>
          <w:rStyle w:val="Emphasis"/>
          <w:color w:val="000000"/>
          <w:shd w:val="clear" w:color="auto" w:fill="FFFFFF"/>
        </w:rPr>
        <w:t xml:space="preserve"> </w:t>
      </w:r>
      <w:r w:rsidR="002E0E0A">
        <w:rPr>
          <w:rStyle w:val="Emphasis"/>
          <w:i w:val="0"/>
          <w:color w:val="000000"/>
          <w:shd w:val="clear" w:color="auto" w:fill="FFFFFF"/>
        </w:rPr>
        <w:t xml:space="preserve">is also interwoven with the evocation of memory or </w:t>
      </w:r>
      <w:proofErr w:type="spellStart"/>
      <w:r w:rsidR="002E0E0A" w:rsidRPr="002E0E0A">
        <w:rPr>
          <w:rStyle w:val="Emphasis"/>
          <w:color w:val="000000"/>
          <w:shd w:val="clear" w:color="auto" w:fill="FFFFFF"/>
        </w:rPr>
        <w:t>mnēmosúnē</w:t>
      </w:r>
      <w:proofErr w:type="spellEnd"/>
      <w:r w:rsidR="002E0E0A">
        <w:rPr>
          <w:rStyle w:val="FootnoteReference"/>
          <w:i/>
          <w:iCs/>
          <w:color w:val="000000"/>
          <w:shd w:val="clear" w:color="auto" w:fill="FFFFFF"/>
        </w:rPr>
        <w:footnoteReference w:id="16"/>
      </w:r>
      <w:r w:rsidR="002E0E0A">
        <w:rPr>
          <w:rStyle w:val="Emphasis"/>
          <w:color w:val="000000"/>
          <w:shd w:val="clear" w:color="auto" w:fill="FFFFFF"/>
        </w:rPr>
        <w:t xml:space="preserve"> </w:t>
      </w:r>
      <w:r w:rsidR="002E0E0A">
        <w:rPr>
          <w:rStyle w:val="Emphasis"/>
          <w:i w:val="0"/>
          <w:color w:val="000000"/>
          <w:shd w:val="clear" w:color="auto" w:fill="FFFFFF"/>
        </w:rPr>
        <w:t>and this must go some way to explaining Odysseus’ tears. When faced with the memory of his lost men the grief that faces him is unforgettable and so he is forced to tears</w:t>
      </w:r>
      <w:r w:rsidR="003F7F26">
        <w:rPr>
          <w:rStyle w:val="Emphasis"/>
          <w:i w:val="0"/>
          <w:color w:val="000000"/>
          <w:shd w:val="clear" w:color="auto" w:fill="FFFFFF"/>
        </w:rPr>
        <w:t xml:space="preserve">, when noting this with the fact that the hero </w:t>
      </w:r>
      <w:proofErr w:type="gramStart"/>
      <w:r w:rsidR="003F7F26">
        <w:rPr>
          <w:rStyle w:val="Emphasis"/>
          <w:i w:val="0"/>
          <w:color w:val="000000"/>
          <w:shd w:val="clear" w:color="auto" w:fill="FFFFFF"/>
        </w:rPr>
        <w:t>actually makes</w:t>
      </w:r>
      <w:proofErr w:type="gramEnd"/>
      <w:r w:rsidR="003F7F26">
        <w:rPr>
          <w:rStyle w:val="Emphasis"/>
          <w:i w:val="0"/>
          <w:color w:val="000000"/>
          <w:shd w:val="clear" w:color="auto" w:fill="FFFFFF"/>
        </w:rPr>
        <w:t xml:space="preserve"> to attempt to force back his tears instead he simply hides them, an important distinction. As to be polite we can clearly see that in this Homeric world expressing grief is not unmanly or undignified it is just the characters surrounding</w:t>
      </w:r>
      <w:r w:rsidR="00FD1669">
        <w:rPr>
          <w:rStyle w:val="Emphasis"/>
          <w:i w:val="0"/>
          <w:color w:val="000000"/>
          <w:shd w:val="clear" w:color="auto" w:fill="FFFFFF"/>
        </w:rPr>
        <w:t xml:space="preserve">s </w:t>
      </w:r>
      <w:r w:rsidR="003F7F26">
        <w:rPr>
          <w:rStyle w:val="Emphasis"/>
          <w:i w:val="0"/>
          <w:color w:val="000000"/>
          <w:shd w:val="clear" w:color="auto" w:fill="FFFFFF"/>
        </w:rPr>
        <w:t>that differs the response to their own grief.</w:t>
      </w:r>
    </w:p>
    <w:p w14:paraId="35E058B0" w14:textId="4C669347" w:rsidR="00576AB0" w:rsidRDefault="00FD1669" w:rsidP="00576AB0">
      <w:r>
        <w:t xml:space="preserve">And </w:t>
      </w:r>
      <w:r w:rsidR="00D110AC">
        <w:t>finally,</w:t>
      </w:r>
      <w:r>
        <w:t xml:space="preserve"> to touch on a point made by van Wees that when the insult womanly or effeminate is used in the Homeric epic how strong of an offence is it? </w:t>
      </w:r>
      <w:r w:rsidR="004E3DA4">
        <w:t>Well let us take the character of Penelope, the ever-faithful wife to the hero Odysseus, who spends every day at her loom weeping out of longing for the return of her husband. It is a grave mistake to assume that this is due to her being a woman as can sometimes occur. If we mirror Penelope with Odysseus we can see that both behave in a very similar manner as seemingly the great hero also spends any of his time where he is not in danger also lamenting his slow return to Ithaca yet there is no sense of effeminacy here. Therefore, I must agree with van Wees that “the narrative, in fact, does not suggest that women cry more easily than men.”</w:t>
      </w:r>
      <w:r w:rsidR="004E3DA4">
        <w:rPr>
          <w:rStyle w:val="FootnoteReference"/>
        </w:rPr>
        <w:footnoteReference w:id="17"/>
      </w:r>
    </w:p>
    <w:p w14:paraId="08D6596D" w14:textId="609666F4" w:rsidR="004E3DA4" w:rsidRDefault="004E3DA4" w:rsidP="00576AB0">
      <w:proofErr w:type="gramStart"/>
      <w:r>
        <w:t>Thus</w:t>
      </w:r>
      <w:proofErr w:type="gramEnd"/>
      <w:r>
        <w:t xml:space="preserve"> to draw this all to a point, I believe I have shown that through the use of Homeric epic one can clearly demonstrate that archaic Greek cultural values towards traditionally ‘negative’ male emotional responses were very different to our</w:t>
      </w:r>
      <w:r w:rsidR="00A21E45">
        <w:t xml:space="preserve"> contemporary standards. </w:t>
      </w:r>
      <w:proofErr w:type="gramStart"/>
      <w:r w:rsidR="00A21E45">
        <w:t>Indeed</w:t>
      </w:r>
      <w:proofErr w:type="gramEnd"/>
      <w:r w:rsidR="00A21E45">
        <w:t xml:space="preserve"> Homer enlightens his audience with multi-dimensional characters who are never perfect, somewhat flawed, men who have the power to express their full range of emotions across many social settings without pressure from their peers to appear more ‘masculine’ for their tears. </w:t>
      </w:r>
    </w:p>
    <w:p w14:paraId="04F87C88" w14:textId="4BCE115F" w:rsidR="00A21E45" w:rsidRDefault="00A21E45" w:rsidP="00576AB0"/>
    <w:p w14:paraId="3B7D4A8B" w14:textId="50A198F4" w:rsidR="00A21E45" w:rsidRDefault="00A21E45" w:rsidP="00576AB0"/>
    <w:p w14:paraId="6275960A" w14:textId="5409EFD3" w:rsidR="00A21E45" w:rsidRDefault="00A21E45" w:rsidP="00576AB0"/>
    <w:p w14:paraId="1C42449A" w14:textId="354E7E58" w:rsidR="00A21E45" w:rsidRDefault="00A21E45" w:rsidP="00576AB0"/>
    <w:p w14:paraId="1F51CADD" w14:textId="1FE05269" w:rsidR="00A21E45" w:rsidRDefault="00A21E45" w:rsidP="00576AB0"/>
    <w:p w14:paraId="7BC63C9D" w14:textId="7F105542" w:rsidR="00A21E45" w:rsidRDefault="00A21E45" w:rsidP="00576AB0"/>
    <w:p w14:paraId="30A3B97E" w14:textId="140FDBA3" w:rsidR="00A21E45" w:rsidRDefault="00A21E45" w:rsidP="00576AB0"/>
    <w:p w14:paraId="3F69ACEB" w14:textId="541B8FC2" w:rsidR="00A21E45" w:rsidRDefault="00A21E45" w:rsidP="00576AB0"/>
    <w:p w14:paraId="4066DDE4" w14:textId="455B5A8E" w:rsidR="00A21E45" w:rsidRDefault="00A21E45" w:rsidP="00576AB0"/>
    <w:p w14:paraId="5CADD48C" w14:textId="13BFEC55" w:rsidR="00A21E45" w:rsidRDefault="00A21E45" w:rsidP="00576AB0"/>
    <w:p w14:paraId="44DA3AD1" w14:textId="030F37C6" w:rsidR="00A21E45" w:rsidRDefault="00A21E45" w:rsidP="00576AB0"/>
    <w:p w14:paraId="79DB6438" w14:textId="70A0A883" w:rsidR="00A21E45" w:rsidRDefault="00A21E45" w:rsidP="00576AB0"/>
    <w:p w14:paraId="5E6D9735" w14:textId="2D4EC291" w:rsidR="00A21E45" w:rsidRDefault="00A21E45" w:rsidP="00576AB0"/>
    <w:p w14:paraId="418B073F" w14:textId="0DA1DC2C" w:rsidR="00A21E45" w:rsidRDefault="00A21E45" w:rsidP="00576AB0"/>
    <w:p w14:paraId="1588471F" w14:textId="281D4083" w:rsidR="00A21E45" w:rsidRDefault="00A21E45" w:rsidP="00576AB0"/>
    <w:p w14:paraId="0540A9AD" w14:textId="1CB9FB49" w:rsidR="00A21E45" w:rsidRDefault="00A21E45" w:rsidP="00576AB0"/>
    <w:p w14:paraId="25E9E428" w14:textId="18E294B2" w:rsidR="00A21E45" w:rsidRDefault="00A21E45" w:rsidP="00576AB0"/>
    <w:p w14:paraId="476F330D" w14:textId="10065104" w:rsidR="00A21E45" w:rsidRDefault="00A21E45" w:rsidP="00576AB0"/>
    <w:p w14:paraId="5D5ED161" w14:textId="199368A8" w:rsidR="00A21E45" w:rsidRDefault="00A21E45" w:rsidP="00576AB0"/>
    <w:p w14:paraId="4722B685" w14:textId="19C0DCB8" w:rsidR="00A21E45" w:rsidRDefault="00A21E45" w:rsidP="00576AB0"/>
    <w:p w14:paraId="16E02E80" w14:textId="3164AC0F" w:rsidR="00A21E45" w:rsidRDefault="00A21E45" w:rsidP="00576AB0"/>
    <w:p w14:paraId="7E2980D4" w14:textId="19404CDD" w:rsidR="00A21E45" w:rsidRDefault="00A21E45" w:rsidP="00576AB0"/>
    <w:p w14:paraId="52D179E6" w14:textId="493E4E90" w:rsidR="00A21E45" w:rsidRDefault="00A21E45" w:rsidP="00576AB0"/>
    <w:p w14:paraId="7658B444" w14:textId="44087942" w:rsidR="00A21E45" w:rsidRDefault="00A21E45" w:rsidP="00576AB0"/>
    <w:p w14:paraId="76336E0B" w14:textId="2E119FB9" w:rsidR="00A21E45" w:rsidRDefault="00A21E45" w:rsidP="00576AB0"/>
    <w:p w14:paraId="75293C45" w14:textId="3038B838" w:rsidR="00A21E45" w:rsidRDefault="00A21E45" w:rsidP="00576AB0">
      <w:r>
        <w:t>Bibliography:</w:t>
      </w:r>
    </w:p>
    <w:p w14:paraId="0B001763" w14:textId="45AF3A57" w:rsidR="00A21E45" w:rsidRDefault="00A21E45" w:rsidP="00576AB0">
      <w:r>
        <w:t xml:space="preserve">Homer. Iliad. E.V. </w:t>
      </w:r>
      <w:proofErr w:type="spellStart"/>
      <w:r>
        <w:t>Rieu</w:t>
      </w:r>
      <w:proofErr w:type="spellEnd"/>
      <w:r>
        <w:t xml:space="preserve"> (trans.) 1950. Penguin Books, London</w:t>
      </w:r>
    </w:p>
    <w:p w14:paraId="6E5DE362" w14:textId="3D76B9C3" w:rsidR="00A21E45" w:rsidRDefault="00A21E45" w:rsidP="00576AB0">
      <w:r>
        <w:t xml:space="preserve">Homer. Odyssey. E.V. </w:t>
      </w:r>
      <w:proofErr w:type="spellStart"/>
      <w:r>
        <w:t>Rieu</w:t>
      </w:r>
      <w:proofErr w:type="spellEnd"/>
      <w:r>
        <w:t xml:space="preserve"> (trans.) 1946.</w:t>
      </w:r>
      <w:r w:rsidR="00D110AC">
        <w:t xml:space="preserve"> Penguin Books, London</w:t>
      </w:r>
    </w:p>
    <w:p w14:paraId="3DF8E3D4" w14:textId="77777777" w:rsidR="00A21E45" w:rsidRDefault="00A21E45" w:rsidP="00A21E45">
      <w:r>
        <w:t xml:space="preserve">Foxhall, L and Salmon, J. </w:t>
      </w:r>
      <w:r>
        <w:rPr>
          <w:i/>
        </w:rPr>
        <w:t xml:space="preserve">When Men were Men; Masculinity, power and identity in classical antiquity. </w:t>
      </w:r>
      <w:r>
        <w:t>1998. Routledge, London.</w:t>
      </w:r>
    </w:p>
    <w:p w14:paraId="10491C3A" w14:textId="77777777" w:rsidR="00A21E45" w:rsidRDefault="00A21E45" w:rsidP="00A21E45">
      <w:r>
        <w:lastRenderedPageBreak/>
        <w:t xml:space="preserve">Foxhall, L and Salmon, J. </w:t>
      </w:r>
      <w:r>
        <w:rPr>
          <w:i/>
        </w:rPr>
        <w:t xml:space="preserve">Thinking Men; Masculinity and its self-representation in the classical tradition. </w:t>
      </w:r>
      <w:r>
        <w:t>1998. Routledge, London.</w:t>
      </w:r>
    </w:p>
    <w:p w14:paraId="5FCC993C" w14:textId="77777777" w:rsidR="00A21E45" w:rsidRDefault="00A21E45" w:rsidP="00A21E45">
      <w:pPr>
        <w:pStyle w:val="Default"/>
      </w:pPr>
      <w:proofErr w:type="spellStart"/>
      <w:r w:rsidRPr="0065229D">
        <w:rPr>
          <w:rFonts w:asciiTheme="minorHAnsi" w:hAnsiTheme="minorHAnsi"/>
          <w:sz w:val="22"/>
          <w:szCs w:val="22"/>
        </w:rPr>
        <w:t>No</w:t>
      </w:r>
      <w:r>
        <w:rPr>
          <w:rFonts w:asciiTheme="minorHAnsi" w:hAnsiTheme="minorHAnsi"/>
          <w:sz w:val="22"/>
          <w:szCs w:val="22"/>
        </w:rPr>
        <w:t>rtwick</w:t>
      </w:r>
      <w:proofErr w:type="spellEnd"/>
      <w:r>
        <w:rPr>
          <w:rFonts w:asciiTheme="minorHAnsi" w:hAnsiTheme="minorHAnsi"/>
          <w:sz w:val="22"/>
          <w:szCs w:val="22"/>
        </w:rPr>
        <w:t xml:space="preserve">, T.V. </w:t>
      </w:r>
      <w:r w:rsidRPr="0065229D">
        <w:rPr>
          <w:rFonts w:asciiTheme="minorHAnsi" w:hAnsiTheme="minorHAnsi"/>
          <w:i/>
          <w:sz w:val="22"/>
          <w:szCs w:val="22"/>
        </w:rPr>
        <w:t>Aeneas, Turnus, and Achilles</w:t>
      </w:r>
      <w:r>
        <w:rPr>
          <w:rFonts w:asciiTheme="minorHAnsi" w:hAnsiTheme="minorHAnsi"/>
          <w:sz w:val="22"/>
          <w:szCs w:val="22"/>
        </w:rPr>
        <w:t xml:space="preserve">. </w:t>
      </w:r>
      <w:r w:rsidRPr="0065229D">
        <w:rPr>
          <w:rFonts w:asciiTheme="minorHAnsi" w:hAnsiTheme="minorHAnsi"/>
          <w:sz w:val="22"/>
          <w:szCs w:val="22"/>
        </w:rPr>
        <w:t>Transactions of the American Philological Association (1974-2014), Vol. 110 (1980</w:t>
      </w:r>
      <w:proofErr w:type="gramStart"/>
      <w:r w:rsidRPr="0065229D">
        <w:rPr>
          <w:rFonts w:asciiTheme="minorHAnsi" w:hAnsiTheme="minorHAnsi"/>
          <w:sz w:val="22"/>
          <w:szCs w:val="22"/>
        </w:rPr>
        <w:t>),pp.</w:t>
      </w:r>
      <w:proofErr w:type="gramEnd"/>
      <w:r w:rsidRPr="0065229D">
        <w:rPr>
          <w:rFonts w:asciiTheme="minorHAnsi" w:hAnsiTheme="minorHAnsi"/>
          <w:sz w:val="22"/>
          <w:szCs w:val="22"/>
        </w:rPr>
        <w:t xml:space="preserve"> 303-314</w:t>
      </w:r>
      <w:r>
        <w:rPr>
          <w:rFonts w:asciiTheme="minorHAnsi" w:hAnsiTheme="minorHAnsi"/>
          <w:sz w:val="22"/>
          <w:szCs w:val="22"/>
        </w:rPr>
        <w:t xml:space="preserve">. </w:t>
      </w:r>
      <w:r w:rsidRPr="0065229D">
        <w:rPr>
          <w:rFonts w:asciiTheme="minorHAnsi" w:hAnsiTheme="minorHAnsi"/>
          <w:sz w:val="22"/>
          <w:szCs w:val="22"/>
        </w:rPr>
        <w:t>The Johns Hopkins University Press</w:t>
      </w:r>
      <w:r>
        <w:rPr>
          <w:rFonts w:asciiTheme="minorHAnsi" w:hAnsiTheme="minorHAnsi"/>
          <w:sz w:val="22"/>
          <w:szCs w:val="22"/>
        </w:rPr>
        <w:t xml:space="preserve">. [accessed via: </w:t>
      </w:r>
    </w:p>
    <w:p w14:paraId="471F8D88" w14:textId="77777777" w:rsidR="00A21E45" w:rsidRDefault="00A21E45" w:rsidP="00A21E45">
      <w:pPr>
        <w:pStyle w:val="Default"/>
        <w:rPr>
          <w:sz w:val="23"/>
          <w:szCs w:val="23"/>
        </w:rPr>
      </w:pPr>
      <w:r>
        <w:t xml:space="preserve"> </w:t>
      </w:r>
      <w:hyperlink r:id="rId8" w:history="1">
        <w:r w:rsidRPr="001E0BAE">
          <w:rPr>
            <w:rStyle w:val="Hyperlink"/>
            <w:sz w:val="23"/>
            <w:szCs w:val="23"/>
          </w:rPr>
          <w:t>http://www.jstor.org/stable/284224 on 11.06.18</w:t>
        </w:r>
      </w:hyperlink>
      <w:r>
        <w:rPr>
          <w:sz w:val="23"/>
          <w:szCs w:val="23"/>
        </w:rPr>
        <w:t>]</w:t>
      </w:r>
    </w:p>
    <w:p w14:paraId="2085621D" w14:textId="77777777" w:rsidR="00A21E45" w:rsidRDefault="00A21E45" w:rsidP="00A21E45">
      <w:pPr>
        <w:pStyle w:val="Default"/>
        <w:rPr>
          <w:rFonts w:asciiTheme="minorHAnsi" w:hAnsiTheme="minorHAnsi"/>
          <w:sz w:val="22"/>
          <w:szCs w:val="22"/>
        </w:rPr>
      </w:pPr>
    </w:p>
    <w:p w14:paraId="3811C5DB" w14:textId="77777777" w:rsidR="00A21E45" w:rsidRDefault="00A21E45" w:rsidP="00A21E45">
      <w:pPr>
        <w:pStyle w:val="Default"/>
        <w:rPr>
          <w:rFonts w:asciiTheme="minorHAnsi" w:hAnsiTheme="minorHAnsi" w:cs="Times New Roman"/>
          <w:bCs/>
          <w:sz w:val="22"/>
          <w:szCs w:val="22"/>
        </w:rPr>
      </w:pPr>
      <w:proofErr w:type="spellStart"/>
      <w:r>
        <w:rPr>
          <w:rFonts w:asciiTheme="minorHAnsi" w:hAnsiTheme="minorHAnsi"/>
          <w:sz w:val="22"/>
          <w:szCs w:val="22"/>
        </w:rPr>
        <w:t>Rubarth</w:t>
      </w:r>
      <w:proofErr w:type="spellEnd"/>
      <w:r>
        <w:rPr>
          <w:rFonts w:asciiTheme="minorHAnsi" w:hAnsiTheme="minorHAnsi"/>
          <w:sz w:val="22"/>
          <w:szCs w:val="22"/>
        </w:rPr>
        <w:t xml:space="preserve">, S. </w:t>
      </w:r>
      <w:r w:rsidRPr="0065229D">
        <w:rPr>
          <w:rFonts w:asciiTheme="minorHAnsi" w:hAnsiTheme="minorHAnsi" w:cs="Times New Roman"/>
          <w:bCs/>
          <w:i/>
          <w:sz w:val="22"/>
          <w:szCs w:val="22"/>
        </w:rPr>
        <w:t>Competing Constructions of Masculinity in Ancient Greece</w:t>
      </w:r>
      <w:r>
        <w:rPr>
          <w:rFonts w:asciiTheme="minorHAnsi" w:hAnsiTheme="minorHAnsi" w:cs="Times New Roman"/>
          <w:bCs/>
          <w:i/>
          <w:sz w:val="22"/>
          <w:szCs w:val="22"/>
        </w:rPr>
        <w:t xml:space="preserve">. </w:t>
      </w:r>
      <w:r>
        <w:rPr>
          <w:rFonts w:asciiTheme="minorHAnsi" w:hAnsiTheme="minorHAnsi" w:cs="Times New Roman"/>
          <w:bCs/>
          <w:sz w:val="22"/>
          <w:szCs w:val="22"/>
        </w:rPr>
        <w:t xml:space="preserve">2014. </w:t>
      </w:r>
      <w:r w:rsidRPr="0065229D">
        <w:rPr>
          <w:rFonts w:asciiTheme="minorHAnsi" w:hAnsiTheme="minorHAnsi" w:cs="Times New Roman"/>
          <w:bCs/>
          <w:sz w:val="22"/>
          <w:szCs w:val="22"/>
        </w:rPr>
        <w:t>Athens Journal of Humanities &amp; Arts</w:t>
      </w:r>
      <w:r>
        <w:rPr>
          <w:rFonts w:asciiTheme="minorHAnsi" w:hAnsiTheme="minorHAnsi" w:cs="Times New Roman"/>
          <w:bCs/>
          <w:sz w:val="22"/>
          <w:szCs w:val="22"/>
        </w:rPr>
        <w:t>.</w:t>
      </w:r>
    </w:p>
    <w:p w14:paraId="1CE03BCD" w14:textId="77777777" w:rsidR="00A21E45" w:rsidRPr="0065229D" w:rsidRDefault="00A21E45" w:rsidP="00A21E45">
      <w:pPr>
        <w:pStyle w:val="Default"/>
        <w:rPr>
          <w:rFonts w:asciiTheme="minorHAnsi" w:hAnsiTheme="minorHAnsi" w:cs="Times New Roman"/>
          <w:sz w:val="22"/>
          <w:szCs w:val="22"/>
        </w:rPr>
      </w:pPr>
    </w:p>
    <w:p w14:paraId="6162E7C2" w14:textId="77777777" w:rsidR="00A21E45" w:rsidRDefault="00A21E45" w:rsidP="00A21E45">
      <w:pPr>
        <w:pStyle w:val="Default"/>
        <w:rPr>
          <w:rFonts w:asciiTheme="minorHAnsi" w:hAnsiTheme="minorHAnsi" w:cs="Times New Roman"/>
          <w:sz w:val="22"/>
          <w:szCs w:val="22"/>
        </w:rPr>
      </w:pPr>
      <w:proofErr w:type="spellStart"/>
      <w:r>
        <w:rPr>
          <w:rFonts w:asciiTheme="minorHAnsi" w:hAnsiTheme="minorHAnsi" w:cs="Times New Roman"/>
          <w:sz w:val="22"/>
          <w:szCs w:val="22"/>
        </w:rPr>
        <w:t>Nortwick</w:t>
      </w:r>
      <w:proofErr w:type="spellEnd"/>
      <w:r>
        <w:rPr>
          <w:rFonts w:asciiTheme="minorHAnsi" w:hAnsiTheme="minorHAnsi" w:cs="Times New Roman"/>
          <w:sz w:val="22"/>
          <w:szCs w:val="22"/>
        </w:rPr>
        <w:t>, T.V</w:t>
      </w:r>
      <w:r w:rsidRPr="0065229D">
        <w:rPr>
          <w:rFonts w:asciiTheme="minorHAnsi" w:hAnsiTheme="minorHAnsi" w:cs="Times New Roman"/>
          <w:i/>
          <w:sz w:val="22"/>
          <w:szCs w:val="22"/>
        </w:rPr>
        <w:t>. Like a Woman: Hector and the Boundaries of Masculinity</w:t>
      </w:r>
      <w:r>
        <w:rPr>
          <w:rFonts w:asciiTheme="minorHAnsi" w:hAnsiTheme="minorHAnsi" w:cs="Times New Roman"/>
          <w:i/>
          <w:sz w:val="22"/>
          <w:szCs w:val="22"/>
        </w:rPr>
        <w:t>.</w:t>
      </w:r>
      <w:r>
        <w:rPr>
          <w:rFonts w:asciiTheme="minorHAnsi" w:hAnsiTheme="minorHAnsi" w:cs="Times New Roman"/>
          <w:sz w:val="22"/>
          <w:szCs w:val="22"/>
        </w:rPr>
        <w:t xml:space="preserve"> </w:t>
      </w:r>
      <w:r w:rsidRPr="0065229D">
        <w:rPr>
          <w:rFonts w:asciiTheme="minorHAnsi" w:hAnsiTheme="minorHAnsi" w:cs="Times New Roman"/>
          <w:sz w:val="22"/>
          <w:szCs w:val="22"/>
        </w:rPr>
        <w:t>Arethusa, Volume 34, Number 2, Spring 2001, pp. 221-235 (Article)</w:t>
      </w:r>
      <w:r>
        <w:rPr>
          <w:rFonts w:asciiTheme="minorHAnsi" w:hAnsiTheme="minorHAnsi" w:cs="Times New Roman"/>
          <w:sz w:val="22"/>
          <w:szCs w:val="22"/>
        </w:rPr>
        <w:t xml:space="preserve">. </w:t>
      </w:r>
      <w:r w:rsidRPr="0065229D">
        <w:rPr>
          <w:rFonts w:asciiTheme="minorHAnsi" w:hAnsiTheme="minorHAnsi" w:cs="Times New Roman"/>
          <w:sz w:val="22"/>
          <w:szCs w:val="22"/>
        </w:rPr>
        <w:t>Johns Hopkins University Press</w:t>
      </w:r>
      <w:r>
        <w:rPr>
          <w:rFonts w:asciiTheme="minorHAnsi" w:hAnsiTheme="minorHAnsi" w:cs="Times New Roman"/>
          <w:sz w:val="22"/>
          <w:szCs w:val="22"/>
        </w:rPr>
        <w:t xml:space="preserve">. [accessed via </w:t>
      </w:r>
      <w:hyperlink r:id="rId9" w:history="1">
        <w:r w:rsidRPr="001E0BAE">
          <w:rPr>
            <w:rStyle w:val="Hyperlink"/>
            <w:rFonts w:asciiTheme="minorHAnsi" w:hAnsiTheme="minorHAnsi" w:cs="Times New Roman"/>
            <w:sz w:val="22"/>
            <w:szCs w:val="22"/>
          </w:rPr>
          <w:t>https://doi.org/10.1353/are.2001.0013</w:t>
        </w:r>
      </w:hyperlink>
      <w:r>
        <w:rPr>
          <w:rFonts w:asciiTheme="minorHAnsi" w:hAnsiTheme="minorHAnsi" w:cs="Times New Roman"/>
          <w:sz w:val="22"/>
          <w:szCs w:val="22"/>
        </w:rPr>
        <w:t xml:space="preserve"> on </w:t>
      </w:r>
      <w:proofErr w:type="gramStart"/>
      <w:r>
        <w:rPr>
          <w:rFonts w:asciiTheme="minorHAnsi" w:hAnsiTheme="minorHAnsi" w:cs="Times New Roman"/>
          <w:sz w:val="22"/>
          <w:szCs w:val="22"/>
        </w:rPr>
        <w:t>12.06.18]#</w:t>
      </w:r>
      <w:proofErr w:type="gramEnd"/>
    </w:p>
    <w:p w14:paraId="0B6D97F9" w14:textId="7F23CCF8" w:rsidR="00A21E45" w:rsidRDefault="00A21E45" w:rsidP="00576AB0"/>
    <w:p w14:paraId="1B7B3477" w14:textId="33B13486" w:rsidR="00A21E45" w:rsidRPr="00A21E45" w:rsidRDefault="00A21E45" w:rsidP="00576AB0">
      <w:r>
        <w:t xml:space="preserve">Nagy, G. </w:t>
      </w:r>
      <w:r>
        <w:rPr>
          <w:i/>
        </w:rPr>
        <w:t xml:space="preserve">The Best of the Achaeans; concepts of the hero in archaic Greek Poetry. </w:t>
      </w:r>
      <w:r>
        <w:t xml:space="preserve">1999. [accessed via: </w:t>
      </w:r>
      <w:hyperlink r:id="rId10" w:history="1">
        <w:r w:rsidRPr="004F68B4">
          <w:rPr>
            <w:rStyle w:val="Hyperlink"/>
          </w:rPr>
          <w:t>http://nrs.harvard.edu/urn-3:hul.ebook:CHS_NagyG.The_Best_of_the_Achaeans.1999</w:t>
        </w:r>
      </w:hyperlink>
      <w:r w:rsidRPr="00A21E45">
        <w:t>.</w:t>
      </w:r>
      <w:r>
        <w:t xml:space="preserve"> On 13.07.2018]</w:t>
      </w:r>
    </w:p>
    <w:p w14:paraId="0A4AE778" w14:textId="3E45B8E8" w:rsidR="009833DB" w:rsidRDefault="009833DB" w:rsidP="006112ED"/>
    <w:p w14:paraId="3541820F" w14:textId="18BFDD79" w:rsidR="00C268BA" w:rsidRPr="003C42A1" w:rsidRDefault="00C268BA" w:rsidP="006112ED"/>
    <w:p w14:paraId="490BED23" w14:textId="77777777" w:rsidR="00F92D5B" w:rsidRDefault="00F92D5B"/>
    <w:sectPr w:rsidR="00F92D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AE13F" w14:textId="77777777" w:rsidR="00CB6856" w:rsidRDefault="00CB6856" w:rsidP="006112ED">
      <w:pPr>
        <w:spacing w:after="0" w:line="240" w:lineRule="auto"/>
      </w:pPr>
      <w:r>
        <w:separator/>
      </w:r>
    </w:p>
  </w:endnote>
  <w:endnote w:type="continuationSeparator" w:id="0">
    <w:p w14:paraId="1D6D9564" w14:textId="77777777" w:rsidR="00CB6856" w:rsidRDefault="00CB6856" w:rsidP="00611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de">
    <w:altName w:val="Calibri"/>
    <w:panose1 w:val="00000000000000000000"/>
    <w:charset w:val="00"/>
    <w:family w:val="swiss"/>
    <w:notTrueType/>
    <w:pitch w:val="default"/>
    <w:sig w:usb0="00000003" w:usb1="00000000" w:usb2="00000000" w:usb3="00000000" w:csb0="00000001" w:csb1="00000000"/>
  </w:font>
  <w:font w:name="Helvetica">
    <w:altName w:val="Arial"/>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901AB" w14:textId="77777777" w:rsidR="00CB6856" w:rsidRDefault="00CB6856" w:rsidP="006112ED">
      <w:pPr>
        <w:spacing w:after="0" w:line="240" w:lineRule="auto"/>
      </w:pPr>
      <w:r>
        <w:separator/>
      </w:r>
    </w:p>
  </w:footnote>
  <w:footnote w:type="continuationSeparator" w:id="0">
    <w:p w14:paraId="5DEE64F8" w14:textId="77777777" w:rsidR="00CB6856" w:rsidRDefault="00CB6856" w:rsidP="006112ED">
      <w:pPr>
        <w:spacing w:after="0" w:line="240" w:lineRule="auto"/>
      </w:pPr>
      <w:r>
        <w:continuationSeparator/>
      </w:r>
    </w:p>
  </w:footnote>
  <w:footnote w:id="1">
    <w:p w14:paraId="7A8DC988" w14:textId="74750508" w:rsidR="00057C56" w:rsidRDefault="00057C56" w:rsidP="006112ED">
      <w:pPr>
        <w:pStyle w:val="FootnoteText"/>
      </w:pPr>
      <w:r>
        <w:rPr>
          <w:rStyle w:val="FootnoteReference"/>
        </w:rPr>
        <w:footnoteRef/>
      </w:r>
      <w:r>
        <w:t xml:space="preserve"> </w:t>
      </w:r>
      <w:r w:rsidRPr="006112ED">
        <w:t>http://www.dictionary.com/browse/manliness [accessed on 9/07/2018</w:t>
      </w:r>
      <w:r>
        <w:t xml:space="preserve"> at 20:53]</w:t>
      </w:r>
    </w:p>
  </w:footnote>
  <w:footnote w:id="2">
    <w:p w14:paraId="127146D9" w14:textId="3AE26C0E" w:rsidR="00057C56" w:rsidRDefault="00057C56">
      <w:pPr>
        <w:pStyle w:val="FootnoteText"/>
      </w:pPr>
      <w:r>
        <w:rPr>
          <w:rStyle w:val="FootnoteReference"/>
        </w:rPr>
        <w:footnoteRef/>
      </w:r>
      <w:r>
        <w:t xml:space="preserve"> Accessed via: </w:t>
      </w:r>
      <w:hyperlink r:id="rId1" w:history="1">
        <w:r w:rsidRPr="004F68B4">
          <w:rPr>
            <w:rStyle w:val="Hyperlink"/>
          </w:rPr>
          <w:t>https://www.theguardian.com/books/2018/mar/17/the-crisis-in-modern-masculinity</w:t>
        </w:r>
      </w:hyperlink>
      <w:r>
        <w:t xml:space="preserve"> [at 00:12 on 12/07/2018]</w:t>
      </w:r>
    </w:p>
  </w:footnote>
  <w:footnote w:id="3">
    <w:p w14:paraId="22BF183E" w14:textId="73D18D67" w:rsidR="00057C56" w:rsidRDefault="00057C56">
      <w:pPr>
        <w:pStyle w:val="FootnoteText"/>
      </w:pPr>
      <w:r>
        <w:rPr>
          <w:rStyle w:val="FootnoteReference"/>
        </w:rPr>
        <w:footnoteRef/>
      </w:r>
      <w:r>
        <w:t xml:space="preserve"> This is an attempt at not getting caught up in the contemporary debate over masculinity and instead try to encapsulate the zeitgeist of </w:t>
      </w:r>
      <w:proofErr w:type="gramStart"/>
      <w:r>
        <w:t>the majority of</w:t>
      </w:r>
      <w:proofErr w:type="gramEnd"/>
      <w:r>
        <w:t xml:space="preserve"> the time throughout which this ancient literature has been translated.</w:t>
      </w:r>
    </w:p>
  </w:footnote>
  <w:footnote w:id="4">
    <w:p w14:paraId="79A47BFD" w14:textId="691DD7F3" w:rsidR="003F7F26" w:rsidRDefault="003F7F26">
      <w:pPr>
        <w:pStyle w:val="FootnoteText"/>
      </w:pPr>
      <w:r>
        <w:rPr>
          <w:rStyle w:val="FootnoteReference"/>
        </w:rPr>
        <w:footnoteRef/>
      </w:r>
      <w:r>
        <w:t xml:space="preserve"> H. van Wees, 1998. Pg. 12</w:t>
      </w:r>
    </w:p>
  </w:footnote>
  <w:footnote w:id="5">
    <w:p w14:paraId="5A583082" w14:textId="7169CD2A" w:rsidR="00057C56" w:rsidRDefault="00057C56">
      <w:pPr>
        <w:pStyle w:val="FootnoteText"/>
      </w:pPr>
      <w:r>
        <w:rPr>
          <w:rStyle w:val="FootnoteReference"/>
        </w:rPr>
        <w:footnoteRef/>
      </w:r>
      <w:r>
        <w:t xml:space="preserve"> </w:t>
      </w:r>
      <w:proofErr w:type="spellStart"/>
      <w:r>
        <w:t>Hom</w:t>
      </w:r>
      <w:proofErr w:type="spellEnd"/>
      <w:r>
        <w:t>. Il. 1.349 – exact words being “prayed and wept”.</w:t>
      </w:r>
    </w:p>
  </w:footnote>
  <w:footnote w:id="6">
    <w:p w14:paraId="68E64470" w14:textId="049BAA28" w:rsidR="00057C56" w:rsidRDefault="00057C56">
      <w:pPr>
        <w:pStyle w:val="FootnoteText"/>
      </w:pPr>
      <w:r>
        <w:rPr>
          <w:rStyle w:val="FootnoteReference"/>
        </w:rPr>
        <w:footnoteRef/>
      </w:r>
      <w:r>
        <w:t xml:space="preserve"> H. van Wees, 1998. Pg. 11</w:t>
      </w:r>
    </w:p>
  </w:footnote>
  <w:footnote w:id="7">
    <w:p w14:paraId="462134B7" w14:textId="51E3E976" w:rsidR="00057C56" w:rsidRDefault="00057C56">
      <w:pPr>
        <w:pStyle w:val="FootnoteText"/>
      </w:pPr>
      <w:r>
        <w:rPr>
          <w:rStyle w:val="FootnoteReference"/>
        </w:rPr>
        <w:footnoteRef/>
      </w:r>
      <w:r>
        <w:t xml:space="preserve"> H. van Wees, 1998. Pg. 11</w:t>
      </w:r>
    </w:p>
  </w:footnote>
  <w:footnote w:id="8">
    <w:p w14:paraId="0A8884D2" w14:textId="2E84E0D3" w:rsidR="0016228B" w:rsidRDefault="0016228B">
      <w:pPr>
        <w:pStyle w:val="FootnoteText"/>
      </w:pPr>
      <w:r>
        <w:rPr>
          <w:rStyle w:val="FootnoteReference"/>
        </w:rPr>
        <w:footnoteRef/>
      </w:r>
      <w:r>
        <w:t xml:space="preserve"> </w:t>
      </w:r>
      <w:proofErr w:type="spellStart"/>
      <w:r>
        <w:t>Hom</w:t>
      </w:r>
      <w:proofErr w:type="spellEnd"/>
      <w:r>
        <w:t>. Il. 9.14-16</w:t>
      </w:r>
    </w:p>
  </w:footnote>
  <w:footnote w:id="9">
    <w:p w14:paraId="621BD479" w14:textId="135261AA" w:rsidR="0016228B" w:rsidRDefault="0016228B">
      <w:pPr>
        <w:pStyle w:val="FootnoteText"/>
      </w:pPr>
      <w:r>
        <w:rPr>
          <w:rStyle w:val="FootnoteReference"/>
        </w:rPr>
        <w:footnoteRef/>
      </w:r>
      <w:r>
        <w:t xml:space="preserve"> </w:t>
      </w:r>
      <w:proofErr w:type="spellStart"/>
      <w:r>
        <w:t>Hom</w:t>
      </w:r>
      <w:proofErr w:type="spellEnd"/>
      <w:r>
        <w:t>. Il. 10.9-15</w:t>
      </w:r>
    </w:p>
  </w:footnote>
  <w:footnote w:id="10">
    <w:p w14:paraId="6A563DD8" w14:textId="5B68EAF8" w:rsidR="00C01573" w:rsidRDefault="00C01573">
      <w:pPr>
        <w:pStyle w:val="FootnoteText"/>
      </w:pPr>
      <w:r>
        <w:rPr>
          <w:rStyle w:val="FootnoteReference"/>
        </w:rPr>
        <w:footnoteRef/>
      </w:r>
      <w:r>
        <w:t xml:space="preserve"> G. Nagy, 1999. 6.3</w:t>
      </w:r>
    </w:p>
  </w:footnote>
  <w:footnote w:id="11">
    <w:p w14:paraId="7A63FF51" w14:textId="6EC4873D" w:rsidR="006D523F" w:rsidRDefault="006D523F">
      <w:pPr>
        <w:pStyle w:val="FootnoteText"/>
      </w:pPr>
      <w:r>
        <w:rPr>
          <w:rStyle w:val="FootnoteReference"/>
        </w:rPr>
        <w:footnoteRef/>
      </w:r>
      <w:r>
        <w:t xml:space="preserve"> G. Nagy, 1999. 6.2</w:t>
      </w:r>
    </w:p>
  </w:footnote>
  <w:footnote w:id="12">
    <w:p w14:paraId="7D0E0BBB" w14:textId="4B3496B0" w:rsidR="006D523F" w:rsidRDefault="006D523F">
      <w:pPr>
        <w:pStyle w:val="FootnoteText"/>
      </w:pPr>
      <w:r>
        <w:rPr>
          <w:rStyle w:val="FootnoteReference"/>
        </w:rPr>
        <w:footnoteRef/>
      </w:r>
      <w:r>
        <w:t xml:space="preserve"> </w:t>
      </w:r>
      <w:proofErr w:type="spellStart"/>
      <w:r>
        <w:t>Hom</w:t>
      </w:r>
      <w:proofErr w:type="spellEnd"/>
      <w:r>
        <w:t>. Il. 1.84-91</w:t>
      </w:r>
    </w:p>
  </w:footnote>
  <w:footnote w:id="13">
    <w:p w14:paraId="08DC60C9" w14:textId="57491389" w:rsidR="00237153" w:rsidRDefault="00237153">
      <w:pPr>
        <w:pStyle w:val="FootnoteText"/>
      </w:pPr>
      <w:r>
        <w:rPr>
          <w:rStyle w:val="FootnoteReference"/>
        </w:rPr>
        <w:footnoteRef/>
      </w:r>
      <w:r>
        <w:t xml:space="preserve"> G. Nagy, 1999. 6.3</w:t>
      </w:r>
    </w:p>
  </w:footnote>
  <w:footnote w:id="14">
    <w:p w14:paraId="5F7BFD4D" w14:textId="255C3807" w:rsidR="00576AB0" w:rsidRDefault="00576AB0">
      <w:pPr>
        <w:pStyle w:val="FootnoteText"/>
      </w:pPr>
      <w:r>
        <w:rPr>
          <w:rStyle w:val="FootnoteReference"/>
        </w:rPr>
        <w:footnoteRef/>
      </w:r>
      <w:r>
        <w:t xml:space="preserve"> </w:t>
      </w:r>
      <w:proofErr w:type="spellStart"/>
      <w:r>
        <w:t>Hom</w:t>
      </w:r>
      <w:proofErr w:type="spellEnd"/>
      <w:r>
        <w:t>. Od. 11.524-530</w:t>
      </w:r>
    </w:p>
  </w:footnote>
  <w:footnote w:id="15">
    <w:p w14:paraId="366C2425" w14:textId="5AC28180" w:rsidR="002E0E0A" w:rsidRDefault="002E0E0A">
      <w:pPr>
        <w:pStyle w:val="FootnoteText"/>
      </w:pPr>
      <w:r>
        <w:rPr>
          <w:rStyle w:val="FootnoteReference"/>
        </w:rPr>
        <w:footnoteRef/>
      </w:r>
      <w:r>
        <w:t xml:space="preserve"> H. van Wees</w:t>
      </w:r>
      <w:r w:rsidR="004E3DA4">
        <w:t>, 1998.</w:t>
      </w:r>
      <w:r>
        <w:t xml:space="preserve"> Pg.14</w:t>
      </w:r>
    </w:p>
  </w:footnote>
  <w:footnote w:id="16">
    <w:p w14:paraId="196FED96" w14:textId="1452F41A" w:rsidR="002E0E0A" w:rsidRDefault="002E0E0A">
      <w:pPr>
        <w:pStyle w:val="FootnoteText"/>
      </w:pPr>
      <w:r>
        <w:rPr>
          <w:rStyle w:val="FootnoteReference"/>
        </w:rPr>
        <w:footnoteRef/>
      </w:r>
      <w:r>
        <w:t xml:space="preserve"> </w:t>
      </w:r>
      <w:r w:rsidR="003F7F26">
        <w:t>G. Nagy, 1999. 6.4</w:t>
      </w:r>
    </w:p>
  </w:footnote>
  <w:footnote w:id="17">
    <w:p w14:paraId="37403142" w14:textId="00E79B53" w:rsidR="004E3DA4" w:rsidRDefault="004E3DA4">
      <w:pPr>
        <w:pStyle w:val="FootnoteText"/>
      </w:pPr>
      <w:r>
        <w:rPr>
          <w:rStyle w:val="FootnoteReference"/>
        </w:rPr>
        <w:footnoteRef/>
      </w:r>
      <w:r>
        <w:t xml:space="preserve"> H. van Wees, 1998. Pg.14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C3BEF"/>
    <w:multiLevelType w:val="hybridMultilevel"/>
    <w:tmpl w:val="88022BDE"/>
    <w:lvl w:ilvl="0" w:tplc="E77C18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2ED"/>
    <w:rsid w:val="00021876"/>
    <w:rsid w:val="00057B45"/>
    <w:rsid w:val="00057C56"/>
    <w:rsid w:val="00087AFE"/>
    <w:rsid w:val="00107763"/>
    <w:rsid w:val="00136858"/>
    <w:rsid w:val="0016228B"/>
    <w:rsid w:val="00190CE3"/>
    <w:rsid w:val="00237153"/>
    <w:rsid w:val="002658CF"/>
    <w:rsid w:val="00272449"/>
    <w:rsid w:val="002817EE"/>
    <w:rsid w:val="00297C38"/>
    <w:rsid w:val="002C12FF"/>
    <w:rsid w:val="002E0E0A"/>
    <w:rsid w:val="00335E32"/>
    <w:rsid w:val="003A4708"/>
    <w:rsid w:val="003F7F26"/>
    <w:rsid w:val="00414195"/>
    <w:rsid w:val="004418AC"/>
    <w:rsid w:val="00487CB8"/>
    <w:rsid w:val="004E3DA4"/>
    <w:rsid w:val="00576AB0"/>
    <w:rsid w:val="006112ED"/>
    <w:rsid w:val="006D523F"/>
    <w:rsid w:val="00772196"/>
    <w:rsid w:val="007857AE"/>
    <w:rsid w:val="0078766C"/>
    <w:rsid w:val="00790EED"/>
    <w:rsid w:val="007C4AF2"/>
    <w:rsid w:val="00806A11"/>
    <w:rsid w:val="0081466F"/>
    <w:rsid w:val="0083650A"/>
    <w:rsid w:val="00887D8D"/>
    <w:rsid w:val="00895E40"/>
    <w:rsid w:val="00950C68"/>
    <w:rsid w:val="009833DB"/>
    <w:rsid w:val="00A042C6"/>
    <w:rsid w:val="00A21E45"/>
    <w:rsid w:val="00AD45EB"/>
    <w:rsid w:val="00B523BE"/>
    <w:rsid w:val="00BA1467"/>
    <w:rsid w:val="00BE4078"/>
    <w:rsid w:val="00BE415C"/>
    <w:rsid w:val="00C01573"/>
    <w:rsid w:val="00C268BA"/>
    <w:rsid w:val="00CB6856"/>
    <w:rsid w:val="00CC208F"/>
    <w:rsid w:val="00D110AC"/>
    <w:rsid w:val="00D62A03"/>
    <w:rsid w:val="00DE28E7"/>
    <w:rsid w:val="00DF137F"/>
    <w:rsid w:val="00DF1DBA"/>
    <w:rsid w:val="00DF5568"/>
    <w:rsid w:val="00F164D7"/>
    <w:rsid w:val="00F27DB5"/>
    <w:rsid w:val="00F92D5B"/>
    <w:rsid w:val="00FD1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E67DE"/>
  <w15:chartTrackingRefBased/>
  <w15:docId w15:val="{C3BA3094-FD5B-401E-BCE1-04CE7819F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2ED"/>
    <w:pPr>
      <w:ind w:left="720"/>
      <w:contextualSpacing/>
    </w:pPr>
  </w:style>
  <w:style w:type="paragraph" w:styleId="FootnoteText">
    <w:name w:val="footnote text"/>
    <w:basedOn w:val="Normal"/>
    <w:link w:val="FootnoteTextChar"/>
    <w:uiPriority w:val="99"/>
    <w:semiHidden/>
    <w:unhideWhenUsed/>
    <w:rsid w:val="006112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2ED"/>
    <w:rPr>
      <w:sz w:val="20"/>
      <w:szCs w:val="20"/>
    </w:rPr>
  </w:style>
  <w:style w:type="character" w:styleId="FootnoteReference">
    <w:name w:val="footnote reference"/>
    <w:basedOn w:val="DefaultParagraphFont"/>
    <w:uiPriority w:val="99"/>
    <w:semiHidden/>
    <w:unhideWhenUsed/>
    <w:rsid w:val="006112ED"/>
    <w:rPr>
      <w:vertAlign w:val="superscript"/>
    </w:rPr>
  </w:style>
  <w:style w:type="character" w:styleId="Hyperlink">
    <w:name w:val="Hyperlink"/>
    <w:basedOn w:val="DefaultParagraphFont"/>
    <w:uiPriority w:val="99"/>
    <w:unhideWhenUsed/>
    <w:rsid w:val="006112ED"/>
    <w:rPr>
      <w:color w:val="0000FF" w:themeColor="hyperlink"/>
      <w:u w:val="single"/>
    </w:rPr>
  </w:style>
  <w:style w:type="character" w:styleId="UnresolvedMention">
    <w:name w:val="Unresolved Mention"/>
    <w:basedOn w:val="DefaultParagraphFont"/>
    <w:uiPriority w:val="99"/>
    <w:semiHidden/>
    <w:unhideWhenUsed/>
    <w:rsid w:val="006112ED"/>
    <w:rPr>
      <w:color w:val="605E5C"/>
      <w:shd w:val="clear" w:color="auto" w:fill="E1DFDD"/>
    </w:rPr>
  </w:style>
  <w:style w:type="character" w:styleId="Emphasis">
    <w:name w:val="Emphasis"/>
    <w:basedOn w:val="DefaultParagraphFont"/>
    <w:uiPriority w:val="20"/>
    <w:qFormat/>
    <w:rsid w:val="006D523F"/>
    <w:rPr>
      <w:i/>
      <w:iCs/>
    </w:rPr>
  </w:style>
  <w:style w:type="paragraph" w:customStyle="1" w:styleId="Default">
    <w:name w:val="Default"/>
    <w:rsid w:val="00A21E45"/>
    <w:pPr>
      <w:autoSpaceDE w:val="0"/>
      <w:autoSpaceDN w:val="0"/>
      <w:adjustRightInd w:val="0"/>
      <w:spacing w:after="0" w:line="240" w:lineRule="auto"/>
    </w:pPr>
    <w:rPr>
      <w:rFonts w:ascii="Code" w:hAnsi="Code" w:cs="Code"/>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84224%20on%2011.06.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nrs.harvard.edu/urn-3:hul.ebook:CHS_NagyG.The_Best_of_the_Achaeans.1999" TargetMode="External"/><Relationship Id="rId4" Type="http://schemas.openxmlformats.org/officeDocument/2006/relationships/settings" Target="settings.xml"/><Relationship Id="rId9" Type="http://schemas.openxmlformats.org/officeDocument/2006/relationships/hyperlink" Target="https://doi.org/10.1353/are.2001.0013"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heguardian.com/books/2018/mar/17/the-crisis-in-modern-masculi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39AB2-AE52-448E-B983-BE9D300B4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2018-07-13T11:44:00Z</dcterms:created>
  <dcterms:modified xsi:type="dcterms:W3CDTF">2018-07-13T11:44:00Z</dcterms:modified>
</cp:coreProperties>
</file>