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media/image1.svg" ContentType="image/svg+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rPr>
          <w:b/>
          <w:bCs/>
        </w:rPr>
      </w:pPr>
      <w:r>
        <w:rPr>
          <w:b/>
          <w:bCs/>
        </w:rPr>
        <w:t>Research planning</w:t>
      </w:r>
    </w:p>
    <w:p>
      <w:pPr>
        <w:rPr>
          <w:b/>
          <w:bCs/>
        </w:rPr>
      </w:pPr>
    </w:p>
    <w:p>
      <w:pPr>
        <w:jc w:val="center"/>
        <w:rPr>
          <w:b/>
          <w:bCs/>
        </w:rPr>
      </w:pPr>
      <w:r>
        <w:rPr>
          <w:b/>
          <w:bCs/>
        </w:rPr>
        <w:drawing>
          <wp:inline distT="0" distB="0" distL="0" distR="0">
            <wp:extent cx="4985385" cy="29210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4992854" cy="2925500"/>
                    </a:xfrm>
                    <a:prstGeom prst="rect">
                      <a:avLst/>
                    </a:prstGeom>
                    <a:noFill/>
                  </pic:spPr>
                </pic:pic>
              </a:graphicData>
            </a:graphic>
          </wp:inline>
        </w:drawing>
      </w:r>
    </w:p>
    <w:p>
      <w:pPr>
        <w:jc w:val="center"/>
        <w:rPr>
          <w:b/>
          <w:bCs/>
          <w:i/>
          <w:iCs/>
        </w:rPr>
      </w:pPr>
      <w:r>
        <w:rPr>
          <w:b/>
          <w:bCs/>
          <w:i/>
          <w:iCs/>
        </w:rPr>
        <w:t>You may not face mamba snakes in the outhouse, but you should still anticipate possible challenges and fears (Marshall et al, 2021).</w:t>
      </w:r>
    </w:p>
    <w:p/>
    <w:p>
      <w:pPr>
        <w:rPr>
          <w:b/>
          <w:bCs/>
        </w:rPr>
      </w:pPr>
      <w:r>
        <w:rPr>
          <w:b/>
          <w:bCs/>
        </w:rPr>
        <w:t>Structure of your Research Proposal</w:t>
      </w:r>
    </w:p>
    <w:p>
      <w:pPr>
        <w:rPr>
          <w:b/>
          <w:bCs/>
        </w:rPr>
      </w:pPr>
    </w:p>
    <w:p>
      <w:pPr>
        <w:rPr>
          <w:b/>
          <w:bCs/>
        </w:rPr>
      </w:pPr>
      <w:r>
        <w:t xml:space="preserve">You have been working on your research topic for many months now. </w:t>
      </w:r>
      <w:r>
        <w:rPr>
          <w:u w:val="single"/>
        </w:rPr>
        <w:t>Without using previously written work, please fill in this table.</w:t>
      </w:r>
      <w:r>
        <w:t xml:space="preserve"> Boxes will expand as you write. This is not a formal assessment but it will test you and your knowledge.</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4178"/>
        <w:gridCol w:w="2742"/>
      </w:tblGrid>
      <w:tr>
        <w:tc>
          <w:tcPr>
            <w:tcW w:w="2382" w:type="dxa"/>
          </w:tcPr>
          <w:p>
            <w:pPr>
              <w:spacing w:after="0" w:line="240" w:lineRule="auto"/>
              <w:rPr>
                <w:b/>
                <w:bCs/>
              </w:rPr>
            </w:pPr>
            <w:r>
              <w:rPr>
                <w:b/>
                <w:bCs/>
              </w:rPr>
              <w:t>WHAT IS THE BIG THING YOU ARE TRYING TO FIND OUT?</w:t>
            </w:r>
          </w:p>
        </w:tc>
        <w:tc>
          <w:tcPr>
            <w:tcW w:w="6634" w:type="dxa"/>
            <w:gridSpan w:val="2"/>
            <w:shd w:val="clear" w:color="auto" w:fill="BEDEBC"/>
          </w:tcPr>
          <w:p>
            <w:pPr>
              <w:spacing w:after="0" w:line="240" w:lineRule="auto"/>
              <w:rPr>
                <w:b/>
                <w:bCs/>
              </w:rPr>
            </w:pPr>
            <w:r>
              <w:rPr>
                <w:b w:val="0"/>
                <w:bCs w:val="0"/>
              </w:rPr>
              <w:t>To find out</w:t>
            </w:r>
            <w:r>
              <w:rPr>
                <w:rFonts w:hint="eastAsia"/>
                <w:b w:val="0"/>
                <w:bCs w:val="0"/>
              </w:rPr>
              <w:t xml:space="preserve"> the impact of the </w:t>
            </w:r>
            <w:r>
              <w:rPr>
                <w:rFonts w:hint="default"/>
                <w:b w:val="0"/>
                <w:bCs w:val="0"/>
              </w:rPr>
              <w:t xml:space="preserve">transformation </w:t>
            </w:r>
            <w:r>
              <w:rPr>
                <w:rFonts w:hint="eastAsia"/>
                <w:b w:val="0"/>
                <w:bCs w:val="0"/>
              </w:rPr>
              <w:t xml:space="preserve">of </w:t>
            </w:r>
            <w:r>
              <w:rPr>
                <w:rFonts w:hint="eastAsia"/>
                <w:b w:val="0"/>
                <w:bCs w:val="0"/>
                <w:lang w:val="en-US" w:eastAsia="zh-Hans"/>
              </w:rPr>
              <w:t>t</w:t>
            </w:r>
            <w:r>
              <w:rPr>
                <w:rFonts w:hint="default"/>
                <w:b w:val="0"/>
                <w:bCs w:val="0"/>
                <w:lang w:eastAsia="zh-Hans"/>
              </w:rPr>
              <w:t xml:space="preserve">he marketing mode of </w:t>
            </w:r>
            <w:r>
              <w:rPr>
                <w:rFonts w:hint="eastAsia"/>
                <w:b w:val="0"/>
                <w:bCs w:val="0"/>
              </w:rPr>
              <w:t xml:space="preserve">live </w:t>
            </w:r>
            <w:r>
              <w:rPr>
                <w:rFonts w:hint="default"/>
                <w:b w:val="0"/>
                <w:bCs w:val="0"/>
              </w:rPr>
              <w:t>streamer during e-commerce live stream</w:t>
            </w:r>
            <w:r>
              <w:rPr>
                <w:rFonts w:hint="eastAsia"/>
                <w:b w:val="0"/>
                <w:bCs w:val="0"/>
              </w:rPr>
              <w:t xml:space="preserve"> on </w:t>
            </w:r>
            <w:r>
              <w:rPr>
                <w:rFonts w:hint="default"/>
                <w:b w:val="0"/>
                <w:bCs w:val="0"/>
              </w:rPr>
              <w:t>consumers’ online purchase intention in China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82" w:type="dxa"/>
          </w:tcPr>
          <w:p>
            <w:pPr>
              <w:spacing w:after="0" w:line="240" w:lineRule="auto"/>
              <w:rPr>
                <w:b/>
                <w:bCs/>
              </w:rPr>
            </w:pPr>
            <w:r>
              <w:rPr>
                <w:b/>
                <w:bCs/>
              </w:rPr>
              <w:t>WHAT IS THE PROBLEM?</w:t>
            </w:r>
          </w:p>
        </w:tc>
        <w:tc>
          <w:tcPr>
            <w:tcW w:w="6634" w:type="dxa"/>
            <w:gridSpan w:val="2"/>
            <w:shd w:val="clear" w:color="auto" w:fill="BFC6DB"/>
          </w:tcPr>
          <w:p>
            <w:pPr>
              <w:numPr>
                <w:ilvl w:val="0"/>
                <w:numId w:val="1"/>
              </w:numPr>
              <w:spacing w:after="0" w:line="240" w:lineRule="auto"/>
              <w:rPr>
                <w:rFonts w:hint="default"/>
                <w:b w:val="0"/>
                <w:bCs w:val="0"/>
              </w:rPr>
            </w:pPr>
            <w:r>
              <w:rPr>
                <w:rFonts w:hint="eastAsia"/>
                <w:b w:val="0"/>
                <w:bCs w:val="0"/>
              </w:rPr>
              <w:t xml:space="preserve">What </w:t>
            </w:r>
            <w:r>
              <w:rPr>
                <w:rFonts w:hint="default"/>
                <w:b w:val="0"/>
                <w:bCs w:val="0"/>
              </w:rPr>
              <w:t xml:space="preserve">influential factors </w:t>
            </w:r>
            <w:r>
              <w:rPr>
                <w:rFonts w:hint="eastAsia"/>
                <w:b w:val="0"/>
                <w:bCs w:val="0"/>
              </w:rPr>
              <w:t xml:space="preserve"> drive consumer purchases under the live </w:t>
            </w:r>
            <w:r>
              <w:rPr>
                <w:rFonts w:hint="default"/>
                <w:b w:val="0"/>
                <w:bCs w:val="0"/>
              </w:rPr>
              <w:t>stream</w:t>
            </w:r>
            <w:r>
              <w:rPr>
                <w:rFonts w:hint="eastAsia"/>
                <w:b w:val="0"/>
                <w:bCs w:val="0"/>
                <w:lang w:val="en-US" w:eastAsia="zh-Hans"/>
              </w:rPr>
              <w:t>ing</w:t>
            </w:r>
            <w:r>
              <w:rPr>
                <w:rFonts w:hint="default"/>
                <w:b w:val="0"/>
                <w:bCs w:val="0"/>
              </w:rPr>
              <w:t xml:space="preserve"> room</w:t>
            </w:r>
          </w:p>
          <w:p>
            <w:pPr>
              <w:numPr>
                <w:ilvl w:val="0"/>
                <w:numId w:val="1"/>
              </w:numPr>
              <w:spacing w:after="0" w:line="240" w:lineRule="auto"/>
              <w:rPr>
                <w:rFonts w:hint="default"/>
                <w:b w:val="0"/>
                <w:bCs w:val="0"/>
              </w:rPr>
            </w:pPr>
            <w:r>
              <w:rPr>
                <w:rFonts w:hint="default"/>
                <w:b w:val="0"/>
                <w:bCs w:val="0"/>
              </w:rPr>
              <w:t>What are the transformation in marketing for live streamer</w:t>
            </w:r>
          </w:p>
          <w:p>
            <w:pPr>
              <w:numPr>
                <w:ilvl w:val="0"/>
                <w:numId w:val="1"/>
              </w:numPr>
              <w:spacing w:after="0" w:line="240" w:lineRule="auto"/>
              <w:rPr>
                <w:rFonts w:hint="default"/>
                <w:b w:val="0"/>
                <w:bCs w:val="0"/>
              </w:rPr>
            </w:pPr>
            <w:r>
              <w:rPr>
                <w:rFonts w:hint="eastAsia"/>
                <w:b w:val="0"/>
                <w:bCs w:val="0"/>
                <w:lang w:val="en-US" w:eastAsia="zh-Hans"/>
              </w:rPr>
              <w:t>What</w:t>
            </w:r>
            <w:r>
              <w:rPr>
                <w:rFonts w:hint="default"/>
                <w:b w:val="0"/>
                <w:bCs w:val="0"/>
                <w:lang w:eastAsia="zh-Hans"/>
              </w:rPr>
              <w:t xml:space="preserve"> are the consumers’</w:t>
            </w:r>
            <w:r>
              <w:rPr>
                <w:rFonts w:hint="default"/>
                <w:b w:val="0"/>
                <w:bCs w:val="0"/>
              </w:rPr>
              <w:t xml:space="preserve"> attitudes and perceptions towards different marketing approaches of live streamers</w:t>
            </w:r>
          </w:p>
          <w:p>
            <w:pPr>
              <w:numPr>
                <w:numId w:val="0"/>
              </w:numPr>
              <w:spacing w:after="0" w:line="240" w:lineRule="auto"/>
              <w:rPr>
                <w:rFonts w:hint="default"/>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82" w:type="dxa"/>
          </w:tcPr>
          <w:p>
            <w:pPr>
              <w:spacing w:after="0" w:line="240" w:lineRule="auto"/>
              <w:rPr>
                <w:b/>
                <w:bCs/>
              </w:rPr>
            </w:pPr>
            <w:r>
              <w:rPr>
                <w:b/>
                <w:bCs/>
              </w:rPr>
              <w:t>Structure</w:t>
            </w:r>
          </w:p>
        </w:tc>
        <w:tc>
          <w:tcPr>
            <w:tcW w:w="5461" w:type="dxa"/>
          </w:tcPr>
          <w:p>
            <w:pPr>
              <w:spacing w:after="0" w:line="240" w:lineRule="auto"/>
              <w:rPr>
                <w:b/>
                <w:bCs/>
              </w:rPr>
            </w:pPr>
            <w:r>
              <w:rPr>
                <w:b/>
                <w:bCs/>
              </w:rPr>
              <w:t>Please list important points here</w:t>
            </w:r>
          </w:p>
        </w:tc>
        <w:tc>
          <w:tcPr>
            <w:tcW w:w="0" w:type="auto"/>
          </w:tcPr>
          <w:p>
            <w:pPr>
              <w:spacing w:after="0" w:line="240" w:lineRule="auto"/>
              <w:rPr>
                <w:b/>
                <w:bCs/>
              </w:rPr>
            </w:pPr>
            <w:r>
              <w:rPr>
                <w:b/>
                <w:bCs/>
              </w:rPr>
              <w:t>Key references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82" w:type="dxa"/>
          </w:tcPr>
          <w:p>
            <w:pPr>
              <w:pStyle w:val="9"/>
              <w:numPr>
                <w:ilvl w:val="0"/>
                <w:numId w:val="2"/>
              </w:numPr>
              <w:spacing w:after="0" w:line="240" w:lineRule="auto"/>
              <w:rPr>
                <w:b/>
                <w:bCs/>
              </w:rPr>
            </w:pPr>
            <w:r>
              <w:rPr>
                <w:b/>
                <w:bCs/>
              </w:rPr>
              <w:t>Introduction</w:t>
            </w:r>
          </w:p>
        </w:tc>
        <w:tc>
          <w:tcPr>
            <w:tcW w:w="5461" w:type="dxa"/>
          </w:tcPr>
          <w:p>
            <w:pPr>
              <w:numPr>
                <w:ilvl w:val="0"/>
                <w:numId w:val="3"/>
              </w:numPr>
              <w:spacing w:after="0" w:line="240" w:lineRule="auto"/>
              <w:rPr>
                <w:b w:val="0"/>
                <w:bCs w:val="0"/>
              </w:rPr>
            </w:pPr>
            <w:r>
              <w:rPr>
                <w:b w:val="0"/>
                <w:bCs w:val="0"/>
              </w:rPr>
              <w:t>the background of e-commerce and live industry in China</w:t>
            </w:r>
          </w:p>
          <w:p>
            <w:pPr>
              <w:numPr>
                <w:ilvl w:val="0"/>
                <w:numId w:val="3"/>
              </w:numPr>
              <w:spacing w:after="0" w:line="240" w:lineRule="auto"/>
              <w:rPr>
                <w:b w:val="0"/>
                <w:bCs w:val="0"/>
              </w:rPr>
            </w:pPr>
            <w:r>
              <w:rPr>
                <w:b w:val="0"/>
                <w:bCs w:val="0"/>
              </w:rPr>
              <w:t>the definitions of e-commerce live stream industry, live streamer and internet celebrity</w:t>
            </w:r>
          </w:p>
          <w:p>
            <w:pPr>
              <w:numPr>
                <w:ilvl w:val="0"/>
                <w:numId w:val="3"/>
              </w:numPr>
              <w:spacing w:after="0" w:line="240" w:lineRule="auto"/>
              <w:rPr>
                <w:b w:val="0"/>
                <w:bCs w:val="0"/>
              </w:rPr>
            </w:pPr>
            <w:r>
              <w:rPr>
                <w:b w:val="0"/>
                <w:bCs w:val="0"/>
              </w:rPr>
              <w:t>the influence of live streamers especially internet celebrities (wang hong)</w:t>
            </w:r>
          </w:p>
          <w:p>
            <w:pPr>
              <w:numPr>
                <w:numId w:val="0"/>
              </w:numPr>
              <w:spacing w:after="0" w:line="240" w:lineRule="auto"/>
              <w:rPr>
                <w:b/>
                <w:bCs/>
              </w:rPr>
            </w:pPr>
            <w:r>
              <w:rPr>
                <w:b/>
                <w:bCs/>
              </w:rPr>
              <w:t xml:space="preserve"> </w:t>
            </w:r>
          </w:p>
        </w:tc>
        <w:tc>
          <w:tcPr>
            <w:tcW w:w="0" w:type="auto"/>
          </w:tcPr>
          <w:p>
            <w:pPr>
              <w:numPr>
                <w:numId w:val="0"/>
              </w:numPr>
              <w:spacing w:after="0" w:line="240" w:lineRule="auto"/>
              <w:rPr>
                <w:b w:val="0"/>
                <w:bCs w:val="0"/>
              </w:rPr>
            </w:pPr>
            <w:r>
              <w:rPr>
                <w:b w:val="0"/>
                <w:bCs w:val="0"/>
              </w:rPr>
              <w:t>eMarketer,</w:t>
            </w:r>
          </w:p>
          <w:p>
            <w:pPr>
              <w:numPr>
                <w:numId w:val="0"/>
              </w:numPr>
              <w:spacing w:after="0" w:line="240" w:lineRule="auto"/>
              <w:rPr>
                <w:b w:val="0"/>
                <w:bCs w:val="0"/>
              </w:rPr>
            </w:pPr>
            <w:r>
              <w:rPr>
                <w:rFonts w:hint="default"/>
                <w:b w:val="0"/>
                <w:bCs w:val="0"/>
              </w:rPr>
              <w:t>McKinsey,</w:t>
            </w:r>
          </w:p>
          <w:p>
            <w:pPr>
              <w:numPr>
                <w:numId w:val="0"/>
              </w:numPr>
              <w:spacing w:after="0" w:line="240" w:lineRule="auto"/>
              <w:rPr>
                <w:b w:val="0"/>
                <w:bCs w:val="0"/>
              </w:rPr>
            </w:pPr>
            <w:r>
              <w:rPr>
                <w:b w:val="0"/>
                <w:bCs w:val="0"/>
              </w:rPr>
              <w:t>Caixin</w:t>
            </w:r>
            <w:r>
              <w:rPr>
                <w:b w:val="0"/>
                <w:bCs w:val="0"/>
              </w:rPr>
              <w:t>,</w:t>
            </w:r>
          </w:p>
          <w:p>
            <w:pPr>
              <w:numPr>
                <w:numId w:val="0"/>
              </w:numPr>
              <w:spacing w:after="0" w:line="240" w:lineRule="auto"/>
              <w:rPr>
                <w:b w:val="0"/>
                <w:bCs w:val="0"/>
              </w:rPr>
            </w:pPr>
          </w:p>
          <w:p>
            <w:pPr>
              <w:numPr>
                <w:numId w:val="0"/>
              </w:numPr>
              <w:spacing w:after="0" w:line="240" w:lineRule="auto"/>
              <w:rPr>
                <w:rFonts w:hint="default"/>
                <w:b w:val="0"/>
                <w:bCs w:val="0"/>
                <w:lang w:eastAsia="zh-CN"/>
              </w:rPr>
            </w:pPr>
            <w:r>
              <w:rPr>
                <w:rFonts w:hint="default"/>
                <w:b w:val="0"/>
                <w:bCs w:val="0"/>
                <w:lang w:val="en-US" w:eastAsia="zh-CN"/>
              </w:rPr>
              <w:t>Si, R.</w:t>
            </w:r>
            <w:r>
              <w:rPr>
                <w:rFonts w:hint="default"/>
                <w:b w:val="0"/>
                <w:bCs w:val="0"/>
                <w:lang w:eastAsia="zh-CN"/>
              </w:rPr>
              <w:t>(</w:t>
            </w:r>
            <w:r>
              <w:rPr>
                <w:rFonts w:hint="default"/>
                <w:b w:val="0"/>
                <w:bCs w:val="0"/>
                <w:lang w:val="en-US" w:eastAsia="zh-CN"/>
              </w:rPr>
              <w:t>2021</w:t>
            </w:r>
            <w:r>
              <w:rPr>
                <w:rFonts w:hint="default"/>
                <w:b w:val="0"/>
                <w:bCs w:val="0"/>
                <w:lang w:eastAsia="zh-CN"/>
              </w:rPr>
              <w:t>)</w:t>
            </w:r>
            <w:r>
              <w:rPr>
                <w:rFonts w:hint="default"/>
                <w:b w:val="0"/>
                <w:bCs w:val="0"/>
                <w:lang w:eastAsia="zh-CN"/>
              </w:rPr>
              <w:t>,</w:t>
            </w:r>
          </w:p>
          <w:p>
            <w:pPr>
              <w:spacing w:after="0" w:line="240" w:lineRule="auto"/>
              <w:rPr>
                <w:rFonts w:hint="default" w:ascii="Times New Roman" w:hAnsi="Times New Roman" w:eastAsia="宋体" w:cs="Times New Roman"/>
                <w:b w:val="0"/>
                <w:bCs w:val="0"/>
                <w:i w:val="0"/>
                <w:iCs w:val="0"/>
                <w:caps w:val="0"/>
                <w:color w:val="222222"/>
                <w:spacing w:val="0"/>
                <w:kern w:val="0"/>
                <w:sz w:val="24"/>
                <w:szCs w:val="24"/>
                <w:shd w:val="clear" w:fill="FFFFFF"/>
                <w:lang w:eastAsia="zh-CN" w:bidi="ar"/>
              </w:rPr>
            </w:pPr>
            <w:r>
              <w:rPr>
                <w:rFonts w:hint="default" w:hAnsi="Times New Roman" w:cs="Times New Roman" w:asciiTheme="minorAscii"/>
                <w:b w:val="0"/>
                <w:bCs w:val="0"/>
                <w:sz w:val="24"/>
                <w:szCs w:val="24"/>
                <w:lang w:eastAsia="zh-Hans"/>
              </w:rPr>
              <w:t>Rojek (2001</w:t>
            </w:r>
            <w:r>
              <w:rPr>
                <w:rFonts w:hint="default" w:hAnsi="Times New Roman" w:cs="Times New Roman" w:asciiTheme="minorAscii"/>
                <w:b w:val="0"/>
                <w:bCs w:val="0"/>
                <w:sz w:val="24"/>
                <w:szCs w:val="24"/>
                <w:lang w:eastAsia="zh-Han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82" w:type="dxa"/>
          </w:tcPr>
          <w:p>
            <w:pPr>
              <w:pStyle w:val="9"/>
              <w:numPr>
                <w:ilvl w:val="0"/>
                <w:numId w:val="2"/>
              </w:numPr>
              <w:spacing w:after="0" w:line="240" w:lineRule="auto"/>
              <w:rPr>
                <w:b/>
                <w:bCs/>
              </w:rPr>
            </w:pPr>
            <w:r>
              <w:rPr>
                <w:b/>
                <w:bCs/>
              </w:rPr>
              <w:t>Overview</w:t>
            </w:r>
          </w:p>
        </w:tc>
        <w:tc>
          <w:tcPr>
            <w:tcW w:w="5461" w:type="dxa"/>
          </w:tcPr>
          <w:p>
            <w:pPr>
              <w:spacing w:after="0" w:line="240" w:lineRule="auto"/>
              <w:rPr>
                <w:b/>
                <w:bCs/>
              </w:rPr>
            </w:pPr>
          </w:p>
        </w:tc>
        <w:tc>
          <w:tcPr>
            <w:tcW w:w="0" w:type="auto"/>
          </w:tcPr>
          <w:p>
            <w:pPr>
              <w:spacing w:after="0" w:line="240" w:lineRule="auto"/>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82" w:type="dxa"/>
          </w:tcPr>
          <w:p>
            <w:pPr>
              <w:pStyle w:val="9"/>
              <w:numPr>
                <w:ilvl w:val="0"/>
                <w:numId w:val="2"/>
              </w:numPr>
              <w:spacing w:after="0" w:line="240" w:lineRule="auto"/>
              <w:rPr>
                <w:b w:val="0"/>
                <w:bCs w:val="0"/>
              </w:rPr>
            </w:pPr>
            <w:r>
              <w:rPr>
                <w:b w:val="0"/>
                <w:bCs w:val="0"/>
              </w:rPr>
              <w:t>Topic and purpose</w:t>
            </w:r>
          </w:p>
        </w:tc>
        <w:tc>
          <w:tcPr>
            <w:tcW w:w="5461" w:type="dxa"/>
          </w:tcPr>
          <w:p>
            <w:pPr>
              <w:spacing w:after="0" w:line="240" w:lineRule="auto"/>
              <w:rPr>
                <w:b/>
                <w:bCs/>
              </w:rPr>
            </w:pPr>
            <w:r>
              <w:rPr>
                <w:b/>
                <w:bCs/>
              </w:rPr>
              <w:t xml:space="preserve">Topic: </w:t>
            </w:r>
          </w:p>
          <w:p>
            <w:pPr>
              <w:spacing w:after="0" w:line="240" w:lineRule="auto"/>
              <w:rPr>
                <w:rFonts w:hint="default"/>
                <w:b w:val="0"/>
                <w:bCs w:val="0"/>
              </w:rPr>
            </w:pPr>
            <w:r>
              <w:rPr>
                <w:b w:val="0"/>
                <w:bCs w:val="0"/>
              </w:rPr>
              <w:t>A critical evaluation on</w:t>
            </w:r>
            <w:r>
              <w:rPr>
                <w:rFonts w:hint="eastAsia"/>
                <w:b w:val="0"/>
                <w:bCs w:val="0"/>
              </w:rPr>
              <w:t xml:space="preserve"> the</w:t>
            </w:r>
            <w:r>
              <w:rPr>
                <w:rFonts w:hint="default"/>
                <w:b w:val="0"/>
                <w:bCs w:val="0"/>
              </w:rPr>
              <w:t xml:space="preserve"> effectiveness</w:t>
            </w:r>
            <w:r>
              <w:rPr>
                <w:rFonts w:hint="eastAsia"/>
                <w:b w:val="0"/>
                <w:bCs w:val="0"/>
              </w:rPr>
              <w:t xml:space="preserve"> of the </w:t>
            </w:r>
            <w:r>
              <w:rPr>
                <w:rFonts w:hint="default"/>
                <w:b w:val="0"/>
                <w:bCs w:val="0"/>
              </w:rPr>
              <w:t xml:space="preserve">transformation </w:t>
            </w:r>
            <w:r>
              <w:rPr>
                <w:rFonts w:hint="eastAsia"/>
                <w:b w:val="0"/>
                <w:bCs w:val="0"/>
              </w:rPr>
              <w:t xml:space="preserve">of live </w:t>
            </w:r>
            <w:r>
              <w:rPr>
                <w:rFonts w:hint="default"/>
                <w:b w:val="0"/>
                <w:bCs w:val="0"/>
              </w:rPr>
              <w:t>streamer</w:t>
            </w:r>
            <w:r>
              <w:rPr>
                <w:rFonts w:hint="default"/>
                <w:b w:val="0"/>
                <w:bCs w:val="0"/>
              </w:rPr>
              <w:t xml:space="preserve">s </w:t>
            </w:r>
            <w:r>
              <w:rPr>
                <w:rFonts w:hint="eastAsia"/>
                <w:b w:val="0"/>
                <w:bCs w:val="0"/>
              </w:rPr>
              <w:t xml:space="preserve">on </w:t>
            </w:r>
            <w:r>
              <w:rPr>
                <w:rFonts w:hint="default"/>
                <w:b w:val="0"/>
                <w:bCs w:val="0"/>
              </w:rPr>
              <w:t>consumers’ online behavioural intention in China</w:t>
            </w:r>
          </w:p>
          <w:p>
            <w:pPr>
              <w:spacing w:after="0" w:line="240" w:lineRule="auto"/>
              <w:rPr>
                <w:rFonts w:hint="default"/>
                <w:b w:val="0"/>
                <w:bCs w:val="0"/>
              </w:rPr>
            </w:pPr>
          </w:p>
          <w:p>
            <w:pPr>
              <w:spacing w:after="0" w:line="240" w:lineRule="auto"/>
              <w:jc w:val="both"/>
              <w:rPr>
                <w:b w:val="0"/>
                <w:bCs w:val="0"/>
                <w:lang w:eastAsia="zh-CN"/>
              </w:rPr>
            </w:pPr>
            <w:r>
              <w:rPr>
                <w:b/>
                <w:bCs/>
                <w:lang w:eastAsia="zh-CN"/>
              </w:rPr>
              <w:t>Purpose:</w:t>
            </w:r>
            <w:r>
              <w:rPr>
                <w:b w:val="0"/>
                <w:bCs w:val="0"/>
                <w:lang w:eastAsia="zh-CN"/>
              </w:rPr>
              <w:t xml:space="preserve"> </w:t>
            </w:r>
          </w:p>
          <w:p>
            <w:pPr>
              <w:spacing w:after="0" w:line="240" w:lineRule="auto"/>
              <w:jc w:val="both"/>
              <w:rPr>
                <w:b w:val="0"/>
                <w:bCs w:val="0"/>
              </w:rPr>
            </w:pPr>
            <w:r>
              <w:rPr>
                <w:b w:val="0"/>
                <w:bCs w:val="0"/>
                <w:lang w:eastAsia="zh-CN"/>
              </w:rPr>
              <w:t>through</w:t>
            </w:r>
            <w:r>
              <w:rPr>
                <w:rFonts w:hint="eastAsia"/>
                <w:b w:val="0"/>
                <w:bCs w:val="0"/>
                <w:lang w:eastAsia="zh-CN"/>
              </w:rPr>
              <w:t xml:space="preserve"> study </w:t>
            </w:r>
            <w:r>
              <w:rPr>
                <w:rFonts w:hint="default"/>
                <w:b w:val="0"/>
                <w:bCs w:val="0"/>
                <w:lang w:eastAsia="zh-CN"/>
              </w:rPr>
              <w:t>on</w:t>
            </w:r>
            <w:r>
              <w:rPr>
                <w:rFonts w:hint="eastAsia"/>
                <w:b w:val="0"/>
                <w:bCs w:val="0"/>
                <w:lang w:eastAsia="zh-CN"/>
              </w:rPr>
              <w:t xml:space="preserve"> the impact of a new</w:t>
            </w:r>
            <w:r>
              <w:rPr>
                <w:rFonts w:hint="default"/>
                <w:b w:val="0"/>
                <w:bCs w:val="0"/>
                <w:lang w:eastAsia="zh-CN"/>
              </w:rPr>
              <w:t xml:space="preserve"> </w:t>
            </w:r>
            <w:r>
              <w:rPr>
                <w:rFonts w:hint="eastAsia"/>
                <w:b w:val="0"/>
                <w:bCs w:val="0"/>
                <w:lang w:eastAsia="zh-CN"/>
              </w:rPr>
              <w:t>shift</w:t>
            </w:r>
            <w:r>
              <w:rPr>
                <w:rFonts w:hint="default"/>
                <w:b w:val="0"/>
                <w:bCs w:val="0"/>
                <w:lang w:eastAsia="zh-CN"/>
              </w:rPr>
              <w:t xml:space="preserve"> of live streamers</w:t>
            </w:r>
            <w:r>
              <w:rPr>
                <w:rFonts w:hint="eastAsia"/>
                <w:b w:val="0"/>
                <w:bCs w:val="0"/>
                <w:lang w:eastAsia="zh-CN"/>
              </w:rPr>
              <w:t xml:space="preserve"> </w:t>
            </w:r>
            <w:r>
              <w:rPr>
                <w:rFonts w:hint="default"/>
                <w:b w:val="0"/>
                <w:bCs w:val="0"/>
                <w:lang w:eastAsia="zh-CN"/>
              </w:rPr>
              <w:t>in live stream</w:t>
            </w:r>
            <w:r>
              <w:rPr>
                <w:rFonts w:hint="eastAsia"/>
                <w:b w:val="0"/>
                <w:bCs w:val="0"/>
                <w:lang w:eastAsia="zh-CN"/>
              </w:rPr>
              <w:t xml:space="preserve"> on consumer behaviour, </w:t>
            </w:r>
            <w:r>
              <w:rPr>
                <w:rFonts w:hint="default"/>
                <w:b w:val="0"/>
                <w:bCs w:val="0"/>
                <w:lang w:eastAsia="zh-CN"/>
              </w:rPr>
              <w:t xml:space="preserve">to draw a serious of </w:t>
            </w:r>
            <w:r>
              <w:rPr>
                <w:rFonts w:hint="eastAsia"/>
                <w:b w:val="0"/>
                <w:bCs w:val="0"/>
                <w:lang w:eastAsia="zh-CN"/>
              </w:rPr>
              <w:t xml:space="preserve">constructive </w:t>
            </w:r>
            <w:r>
              <w:rPr>
                <w:rFonts w:hint="default"/>
                <w:b w:val="0"/>
                <w:bCs w:val="0"/>
                <w:lang w:eastAsia="zh-CN"/>
              </w:rPr>
              <w:t>recommendations</w:t>
            </w:r>
            <w:r>
              <w:rPr>
                <w:rFonts w:hint="eastAsia"/>
                <w:b w:val="0"/>
                <w:bCs w:val="0"/>
                <w:lang w:eastAsia="zh-CN"/>
              </w:rPr>
              <w:t xml:space="preserve"> for </w:t>
            </w:r>
            <w:r>
              <w:rPr>
                <w:rFonts w:hint="default"/>
                <w:b w:val="0"/>
                <w:bCs w:val="0"/>
                <w:lang w:eastAsia="zh-CN"/>
              </w:rPr>
              <w:t>live streamers</w:t>
            </w:r>
            <w:r>
              <w:rPr>
                <w:rFonts w:hint="eastAsia"/>
                <w:b w:val="0"/>
                <w:bCs w:val="0"/>
                <w:lang w:eastAsia="zh-CN"/>
              </w:rPr>
              <w:t xml:space="preserve">, consumers and related </w:t>
            </w:r>
            <w:r>
              <w:rPr>
                <w:rFonts w:hint="default"/>
                <w:b w:val="0"/>
                <w:bCs w:val="0"/>
                <w:lang w:eastAsia="zh-CN"/>
              </w:rPr>
              <w:t>stakeholders.</w:t>
            </w:r>
          </w:p>
          <w:p>
            <w:pPr>
              <w:spacing w:after="0" w:line="240" w:lineRule="auto"/>
              <w:rPr>
                <w:b w:val="0"/>
                <w:bCs w:val="0"/>
              </w:rPr>
            </w:pPr>
          </w:p>
        </w:tc>
        <w:tc>
          <w:tcPr>
            <w:tcW w:w="0" w:type="auto"/>
          </w:tcPr>
          <w:p>
            <w:pPr>
              <w:spacing w:after="0" w:line="240" w:lineRule="auto"/>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82" w:type="dxa"/>
          </w:tcPr>
          <w:p>
            <w:pPr>
              <w:pStyle w:val="9"/>
              <w:numPr>
                <w:ilvl w:val="0"/>
                <w:numId w:val="2"/>
              </w:numPr>
              <w:spacing w:after="0" w:line="240" w:lineRule="auto"/>
              <w:rPr>
                <w:b/>
                <w:bCs/>
              </w:rPr>
            </w:pPr>
            <w:r>
              <w:rPr>
                <w:b/>
                <w:bCs/>
              </w:rPr>
              <w:t>Significance for knowledge, for practical and policy problems, and/or for action</w:t>
            </w:r>
          </w:p>
        </w:tc>
        <w:tc>
          <w:tcPr>
            <w:tcW w:w="5461" w:type="dxa"/>
          </w:tcPr>
          <w:p>
            <w:pPr>
              <w:numPr>
                <w:numId w:val="0"/>
              </w:numPr>
              <w:spacing w:after="0" w:line="240" w:lineRule="auto"/>
              <w:jc w:val="both"/>
              <w:rPr>
                <w:rFonts w:hint="default"/>
                <w:b w:val="0"/>
                <w:bCs w:val="0"/>
                <w:lang w:eastAsia="zh-Hans"/>
              </w:rPr>
            </w:pPr>
            <w:r>
              <w:rPr>
                <w:b w:val="0"/>
                <w:bCs w:val="0"/>
              </w:rPr>
              <w:t xml:space="preserve">Live stream is a very new topics for analysis and the most recent big news of this topic is the new transferable way of marketing in live stream by New Oriental Education Group and have arisen an </w:t>
            </w:r>
            <w:r>
              <w:rPr>
                <w:rFonts w:hint="eastAsia"/>
                <w:b w:val="0"/>
                <w:bCs w:val="0"/>
                <w:lang w:val="en-US" w:eastAsia="zh-Hans"/>
              </w:rPr>
              <w:t>over</w:t>
            </w:r>
            <w:r>
              <w:rPr>
                <w:rFonts w:hint="default"/>
                <w:b w:val="0"/>
                <w:bCs w:val="0"/>
                <w:lang w:eastAsia="zh-Hans"/>
              </w:rPr>
              <w:t xml:space="preserve">whelming change of customers’ appetite in China. </w:t>
            </w:r>
          </w:p>
          <w:p>
            <w:pPr>
              <w:numPr>
                <w:numId w:val="0"/>
              </w:numPr>
              <w:spacing w:after="0" w:line="240" w:lineRule="auto"/>
              <w:jc w:val="both"/>
              <w:rPr>
                <w:rFonts w:hint="default"/>
                <w:b w:val="0"/>
                <w:bCs w:val="0"/>
                <w:lang w:eastAsia="zh-Hans"/>
              </w:rPr>
            </w:pPr>
          </w:p>
          <w:p>
            <w:pPr>
              <w:numPr>
                <w:numId w:val="0"/>
              </w:numPr>
              <w:spacing w:after="0" w:line="240" w:lineRule="auto"/>
              <w:jc w:val="both"/>
              <w:rPr>
                <w:rFonts w:hint="default"/>
                <w:b w:val="0"/>
                <w:bCs w:val="0"/>
                <w:lang w:eastAsia="zh-Hans"/>
              </w:rPr>
            </w:pPr>
            <w:r>
              <w:rPr>
                <w:rFonts w:hint="default"/>
                <w:b w:val="0"/>
                <w:bCs w:val="0"/>
                <w:lang w:eastAsia="zh-Hans"/>
              </w:rPr>
              <w:t>Through analyse this phenomenon, to show the big influence about a move away from the traditional hyperbolic shouting style towards a focus on authenticity and quality of content, the researcher can give a reflection on the future action of both academic and practice field.</w:t>
            </w:r>
          </w:p>
          <w:p>
            <w:pPr>
              <w:numPr>
                <w:numId w:val="0"/>
              </w:numPr>
              <w:spacing w:after="0" w:line="240" w:lineRule="auto"/>
              <w:jc w:val="both"/>
              <w:rPr>
                <w:rFonts w:hint="default"/>
                <w:b w:val="0"/>
                <w:bCs w:val="0"/>
                <w:lang w:eastAsia="zh-Hans"/>
              </w:rPr>
            </w:pPr>
          </w:p>
        </w:tc>
        <w:tc>
          <w:tcPr>
            <w:tcW w:w="0" w:type="auto"/>
          </w:tcPr>
          <w:p>
            <w:pPr>
              <w:spacing w:after="0" w:line="240" w:lineRule="auto"/>
              <w:rPr>
                <w:b/>
                <w:bCs/>
              </w:rPr>
            </w:pPr>
            <w:r>
              <w:rPr>
                <w:b/>
                <w:bCs/>
              </w:rPr>
              <w:t>Si</w:t>
            </w:r>
          </w:p>
        </w:tc>
      </w:tr>
      <w:tr>
        <w:trPr>
          <w:trHeight w:val="90" w:hRule="atLeast"/>
        </w:trPr>
        <w:tc>
          <w:tcPr>
            <w:tcW w:w="2382" w:type="dxa"/>
          </w:tcPr>
          <w:p>
            <w:pPr>
              <w:pStyle w:val="9"/>
              <w:numPr>
                <w:ilvl w:val="0"/>
                <w:numId w:val="2"/>
              </w:numPr>
              <w:spacing w:after="0" w:line="240" w:lineRule="auto"/>
              <w:rPr>
                <w:b/>
                <w:bCs/>
              </w:rPr>
            </w:pPr>
            <w:r>
              <w:rPr>
                <w:b/>
                <w:bCs/>
              </w:rPr>
              <w:t>Framework and general research questions</w:t>
            </w:r>
          </w:p>
        </w:tc>
        <w:tc>
          <w:tcPr>
            <w:tcW w:w="5461" w:type="dxa"/>
          </w:tcPr>
          <w:p>
            <w:pPr>
              <w:spacing w:after="0" w:line="240" w:lineRule="auto"/>
              <w:rPr>
                <w:rFonts w:hint="default" w:hAnsi="Times New Roman" w:cs="Times New Roman" w:asciiTheme="minorAscii"/>
                <w:b w:val="0"/>
                <w:bCs w:val="0"/>
                <w:sz w:val="24"/>
                <w:szCs w:val="24"/>
                <w:lang w:eastAsia="zh-Hans"/>
              </w:rPr>
            </w:pPr>
            <w:r>
              <w:rPr>
                <w:rFonts w:asciiTheme="minorAscii"/>
                <w:b w:val="0"/>
                <w:bCs w:val="0"/>
              </w:rPr>
              <w:t xml:space="preserve">S-O-R theory, </w:t>
            </w:r>
            <w:r>
              <w:rPr>
                <w:rFonts w:hint="default" w:hAnsi="Times New Roman" w:eastAsia="Times New Roman" w:cs="Times New Roman" w:asciiTheme="minorAscii"/>
                <w:b w:val="0"/>
                <w:bCs w:val="0"/>
                <w:sz w:val="24"/>
                <w:szCs w:val="24"/>
                <w:lang w:eastAsia="zh-CN"/>
              </w:rPr>
              <w:t>dramaturgical model theory</w:t>
            </w:r>
            <w:r>
              <w:rPr>
                <w:rFonts w:hint="default" w:hAnsi="Times New Roman" w:eastAsia="Times New Roman" w:cs="Times New Roman" w:asciiTheme="minorAscii"/>
                <w:b w:val="0"/>
                <w:bCs w:val="0"/>
                <w:sz w:val="24"/>
                <w:szCs w:val="24"/>
                <w:lang w:eastAsia="zh-CN"/>
              </w:rPr>
              <w:t xml:space="preserve">, </w:t>
            </w:r>
            <w:r>
              <w:rPr>
                <w:rFonts w:hint="default" w:hAnsi="Times New Roman" w:cs="Times New Roman" w:asciiTheme="minorAscii"/>
                <w:b w:val="0"/>
                <w:bCs w:val="0"/>
                <w:sz w:val="24"/>
                <w:szCs w:val="24"/>
                <w:lang w:eastAsia="zh-Hans"/>
              </w:rPr>
              <w:t>positionin</w:t>
            </w:r>
            <w:r>
              <w:rPr>
                <w:rFonts w:hint="default" w:hAnsi="Times New Roman" w:cs="Times New Roman" w:asciiTheme="minorAscii"/>
                <w:b w:val="0"/>
                <w:bCs w:val="0"/>
                <w:sz w:val="24"/>
                <w:szCs w:val="24"/>
                <w:lang w:eastAsia="zh-Hans"/>
              </w:rPr>
              <w:t>g</w:t>
            </w:r>
            <w:r>
              <w:rPr>
                <w:rFonts w:hint="default" w:hAnsi="Times New Roman" w:cs="Times New Roman" w:asciiTheme="minorAscii"/>
                <w:b w:val="0"/>
                <w:bCs w:val="0"/>
                <w:sz w:val="24"/>
                <w:szCs w:val="24"/>
                <w:lang w:eastAsia="zh-Hans"/>
              </w:rPr>
              <w:t xml:space="preserve"> and branding theory</w:t>
            </w:r>
            <w:r>
              <w:rPr>
                <w:rFonts w:hint="default" w:hAnsi="Times New Roman" w:cs="Times New Roman" w:asciiTheme="minorAscii"/>
                <w:b w:val="0"/>
                <w:bCs w:val="0"/>
                <w:sz w:val="24"/>
                <w:szCs w:val="24"/>
                <w:lang w:eastAsia="zh-Hans"/>
              </w:rPr>
              <w:t>, flow theory, purchse decision theory etc.</w:t>
            </w:r>
          </w:p>
          <w:p>
            <w:pPr>
              <w:spacing w:after="0" w:line="240" w:lineRule="auto"/>
              <w:rPr>
                <w:rFonts w:hint="default" w:hAnsi="Times New Roman" w:cs="Times New Roman" w:asciiTheme="minorAscii"/>
                <w:b w:val="0"/>
                <w:bCs w:val="0"/>
                <w:sz w:val="24"/>
                <w:szCs w:val="24"/>
                <w:lang w:eastAsia="zh-Hans"/>
              </w:rPr>
            </w:pPr>
          </w:p>
        </w:tc>
        <w:tc>
          <w:tcPr>
            <w:tcW w:w="0" w:type="auto"/>
          </w:tcPr>
          <w:p>
            <w:pPr>
              <w:spacing w:after="0" w:line="240" w:lineRule="auto"/>
              <w:rPr>
                <w:b/>
                <w:bCs/>
              </w:rPr>
            </w:pPr>
            <w:r>
              <w:rPr>
                <w:rFonts w:hint="default" w:hAnsi="Times New Roman" w:cs="Times New Roman" w:asciiTheme="minorAscii"/>
                <w:sz w:val="24"/>
                <w:szCs w:val="24"/>
              </w:rPr>
              <w:t>Maxwell (2008)</w:t>
            </w:r>
            <w:r>
              <w:rPr>
                <w:rFonts w:hint="default" w:hAnsi="Times New Roman" w:cs="Times New Roman" w:asciiTheme="minorAscii"/>
                <w:sz w:val="24"/>
                <w:szCs w:val="24"/>
              </w:rPr>
              <w:t xml:space="preserve">, </w:t>
            </w:r>
            <w:r>
              <w:rPr>
                <w:rFonts w:hint="default" w:hAnsi="Times New Roman" w:eastAsia="Times New Roman" w:cs="Times New Roman" w:asciiTheme="minorAscii"/>
                <w:sz w:val="24"/>
                <w:szCs w:val="24"/>
                <w:lang w:eastAsia="zh-CN"/>
              </w:rPr>
              <w:t>Goffman</w:t>
            </w:r>
            <w:r>
              <w:rPr>
                <w:rFonts w:hint="default" w:hAnsi="Times New Roman" w:eastAsia="Times New Roman" w:cs="Times New Roman" w:asciiTheme="minorAscii"/>
                <w:sz w:val="24"/>
                <w:szCs w:val="24"/>
                <w:lang w:eastAsia="zh-CN"/>
              </w:rPr>
              <w:t xml:space="preserve">, </w:t>
            </w:r>
            <w:r>
              <w:rPr>
                <w:rFonts w:hint="eastAsia" w:hAnsi="Times New Roman" w:cs="Times New Roman" w:asciiTheme="minorAscii"/>
                <w:b w:val="0"/>
                <w:bCs w:val="0"/>
                <w:sz w:val="24"/>
                <w:szCs w:val="24"/>
                <w:lang w:val="en-US" w:eastAsia="zh-Hans"/>
              </w:rPr>
              <w:t>Kotler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82" w:type="dxa"/>
          </w:tcPr>
          <w:p>
            <w:pPr>
              <w:pStyle w:val="9"/>
              <w:numPr>
                <w:ilvl w:val="0"/>
                <w:numId w:val="2"/>
              </w:numPr>
              <w:spacing w:after="0" w:line="240" w:lineRule="auto"/>
              <w:rPr>
                <w:b/>
                <w:bCs/>
              </w:rPr>
            </w:pPr>
            <w:r>
              <w:rPr>
                <w:b/>
                <w:bCs/>
              </w:rPr>
              <w:t>Limitations</w:t>
            </w:r>
          </w:p>
        </w:tc>
        <w:tc>
          <w:tcPr>
            <w:tcW w:w="5461" w:type="dxa"/>
          </w:tcPr>
          <w:p>
            <w:pPr>
              <w:spacing w:after="0" w:line="240" w:lineRule="auto"/>
              <w:rPr>
                <w:b/>
                <w:bCs/>
                <w:color w:val="2E75B6" w:themeColor="accent5" w:themeShade="BF"/>
              </w:rPr>
            </w:pPr>
            <w:r>
              <w:rPr>
                <w:b/>
                <w:bCs/>
                <w:color w:val="2E75B6" w:themeColor="accent5" w:themeShade="BF"/>
              </w:rPr>
              <w:t>“There are no perfect research designs. There are always trade-offs.” Patton (2015, p. 223)</w:t>
            </w:r>
          </w:p>
          <w:p>
            <w:pPr>
              <w:numPr>
                <w:ilvl w:val="0"/>
                <w:numId w:val="4"/>
              </w:numPr>
              <w:spacing w:after="0" w:line="240" w:lineRule="auto"/>
              <w:rPr>
                <w:b w:val="0"/>
                <w:bCs w:val="0"/>
                <w:color w:val="auto"/>
              </w:rPr>
            </w:pPr>
            <w:r>
              <w:rPr>
                <w:b w:val="0"/>
                <w:bCs w:val="0"/>
                <w:color w:val="auto"/>
              </w:rPr>
              <w:t>Sample not enough</w:t>
            </w:r>
          </w:p>
          <w:p>
            <w:pPr>
              <w:numPr>
                <w:ilvl w:val="0"/>
                <w:numId w:val="4"/>
              </w:numPr>
              <w:spacing w:after="0" w:line="240" w:lineRule="auto"/>
              <w:rPr>
                <w:b w:val="0"/>
                <w:bCs w:val="0"/>
                <w:color w:val="auto"/>
              </w:rPr>
            </w:pPr>
            <w:r>
              <w:rPr>
                <w:b w:val="0"/>
                <w:bCs w:val="0"/>
                <w:color w:val="auto"/>
              </w:rPr>
              <w:t>Interviewee may hide some certain truth</w:t>
            </w:r>
          </w:p>
          <w:p>
            <w:pPr>
              <w:numPr>
                <w:ilvl w:val="0"/>
                <w:numId w:val="4"/>
              </w:numPr>
              <w:spacing w:after="0" w:line="240" w:lineRule="auto"/>
              <w:rPr>
                <w:b w:val="0"/>
                <w:bCs w:val="0"/>
                <w:color w:val="auto"/>
              </w:rPr>
            </w:pPr>
            <w:r>
              <w:rPr>
                <w:b w:val="0"/>
                <w:bCs w:val="0"/>
                <w:color w:val="auto"/>
              </w:rPr>
              <w:t>Too new topic and not a plenty of academical literature</w:t>
            </w:r>
          </w:p>
          <w:p>
            <w:pPr>
              <w:spacing w:after="0" w:line="240" w:lineRule="auto"/>
              <w:rPr>
                <w:b/>
                <w:bCs/>
                <w:color w:val="2E75B6" w:themeColor="accent5" w:themeShade="BF"/>
              </w:rPr>
            </w:pPr>
          </w:p>
        </w:tc>
        <w:tc>
          <w:tcPr>
            <w:tcW w:w="0" w:type="auto"/>
          </w:tcPr>
          <w:p>
            <w:pPr>
              <w:spacing w:after="0" w:line="240" w:lineRule="auto"/>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82" w:type="dxa"/>
          </w:tcPr>
          <w:p>
            <w:pPr>
              <w:pStyle w:val="9"/>
              <w:numPr>
                <w:ilvl w:val="0"/>
                <w:numId w:val="2"/>
              </w:numPr>
              <w:spacing w:after="0" w:line="240" w:lineRule="auto"/>
              <w:rPr>
                <w:b/>
                <w:bCs/>
              </w:rPr>
            </w:pPr>
            <w:r>
              <w:rPr>
                <w:b/>
                <w:bCs/>
              </w:rPr>
              <w:t>Literature review and critique of related research</w:t>
            </w:r>
          </w:p>
        </w:tc>
        <w:tc>
          <w:tcPr>
            <w:tcW w:w="5461" w:type="dxa"/>
          </w:tcPr>
          <w:p>
            <w:pPr>
              <w:numPr>
                <w:numId w:val="0"/>
              </w:numPr>
              <w:spacing w:after="0" w:line="240" w:lineRule="auto"/>
              <w:rPr>
                <w:b w:val="0"/>
                <w:bCs w:val="0"/>
              </w:rPr>
            </w:pPr>
            <w:r>
              <w:rPr>
                <w:b w:val="0"/>
                <w:bCs w:val="0"/>
              </w:rPr>
              <w:t>Previous literaure much focus on the static customer behaviour, lack to analyse the dynamic transferable change between live streamer and viewer</w:t>
            </w:r>
          </w:p>
        </w:tc>
        <w:tc>
          <w:tcPr>
            <w:tcW w:w="0" w:type="auto"/>
          </w:tcPr>
          <w:p>
            <w:pPr>
              <w:spacing w:after="0" w:line="240" w:lineRule="auto"/>
              <w:rPr>
                <w:rFonts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82" w:type="dxa"/>
          </w:tcPr>
          <w:p>
            <w:pPr>
              <w:pStyle w:val="9"/>
              <w:numPr>
                <w:ilvl w:val="0"/>
                <w:numId w:val="2"/>
              </w:numPr>
              <w:spacing w:after="0" w:line="240" w:lineRule="auto"/>
              <w:rPr>
                <w:b/>
                <w:bCs/>
              </w:rPr>
            </w:pPr>
            <w:r>
              <w:rPr>
                <w:b/>
                <w:bCs/>
              </w:rPr>
              <w:t>Theoretical traditions and currents of thought for framing the question</w:t>
            </w:r>
          </w:p>
        </w:tc>
        <w:tc>
          <w:tcPr>
            <w:tcW w:w="5461" w:type="dxa"/>
          </w:tcPr>
          <w:p>
            <w:pPr>
              <w:numPr>
                <w:ilvl w:val="0"/>
                <w:numId w:val="5"/>
              </w:numPr>
              <w:spacing w:after="0" w:line="240" w:lineRule="auto"/>
              <w:rPr>
                <w:b/>
                <w:bCs/>
              </w:rPr>
            </w:pPr>
            <w:r>
              <w:rPr>
                <w:b w:val="0"/>
                <w:bCs w:val="0"/>
              </w:rPr>
              <w:t>classical marketing and branding literature</w:t>
            </w:r>
          </w:p>
          <w:p>
            <w:pPr>
              <w:numPr>
                <w:ilvl w:val="0"/>
                <w:numId w:val="5"/>
              </w:numPr>
              <w:spacing w:after="0" w:line="240" w:lineRule="auto"/>
              <w:rPr>
                <w:b/>
                <w:bCs/>
              </w:rPr>
            </w:pPr>
            <w:r>
              <w:rPr>
                <w:b w:val="0"/>
                <w:bCs w:val="0"/>
              </w:rPr>
              <w:t>Secondary big data analysis of live room customers from database</w:t>
            </w:r>
          </w:p>
        </w:tc>
        <w:tc>
          <w:tcPr>
            <w:tcW w:w="0" w:type="auto"/>
          </w:tcPr>
          <w:p>
            <w:pPr>
              <w:spacing w:after="0" w:line="240" w:lineRule="auto"/>
              <w:rPr>
                <w:rFonts w:hAnsi="Times New Roman" w:cs="Times New Roman" w:asciiTheme="minorAscii"/>
                <w:sz w:val="24"/>
                <w:szCs w:val="24"/>
              </w:rPr>
            </w:pPr>
            <w:r>
              <w:rPr>
                <w:rFonts w:hAnsi="Times New Roman" w:cs="Times New Roman" w:asciiTheme="minorAscii"/>
                <w:sz w:val="24"/>
                <w:szCs w:val="24"/>
              </w:rPr>
              <w:t>Park et al., (2020);</w:t>
            </w:r>
          </w:p>
          <w:p>
            <w:pPr>
              <w:spacing w:after="0" w:line="240" w:lineRule="auto"/>
              <w:rPr>
                <w:b/>
                <w:bCs/>
              </w:rPr>
            </w:pPr>
            <w:r>
              <w:rPr>
                <w:rFonts w:hAnsi="Times New Roman" w:cs="Times New Roman" w:asciiTheme="minorAscii"/>
                <w:sz w:val="24"/>
                <w:szCs w:val="24"/>
              </w:rPr>
              <w:t>Liu et al., 2022)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82" w:type="dxa"/>
          </w:tcPr>
          <w:p>
            <w:pPr>
              <w:pStyle w:val="9"/>
              <w:numPr>
                <w:ilvl w:val="0"/>
                <w:numId w:val="2"/>
              </w:numPr>
              <w:spacing w:after="0" w:line="240" w:lineRule="auto"/>
              <w:rPr>
                <w:b/>
                <w:bCs/>
              </w:rPr>
            </w:pPr>
            <w:r>
              <w:rPr>
                <w:b/>
                <w:bCs/>
              </w:rPr>
              <w:t>Review and critique of related empirical research</w:t>
            </w:r>
          </w:p>
        </w:tc>
        <w:tc>
          <w:tcPr>
            <w:tcW w:w="5461" w:type="dxa"/>
          </w:tcPr>
          <w:p>
            <w:pPr>
              <w:spacing w:after="0" w:line="240" w:lineRule="auto"/>
              <w:rPr>
                <w:b/>
                <w:bCs/>
              </w:rPr>
            </w:pPr>
          </w:p>
        </w:tc>
        <w:tc>
          <w:tcPr>
            <w:tcW w:w="0" w:type="auto"/>
          </w:tcPr>
          <w:p>
            <w:pPr>
              <w:spacing w:after="0" w:line="240" w:lineRule="auto"/>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82" w:type="dxa"/>
          </w:tcPr>
          <w:p>
            <w:pPr>
              <w:pStyle w:val="9"/>
              <w:numPr>
                <w:ilvl w:val="0"/>
                <w:numId w:val="2"/>
              </w:numPr>
              <w:spacing w:after="0" w:line="240" w:lineRule="auto"/>
              <w:rPr>
                <w:b/>
                <w:bCs/>
              </w:rPr>
            </w:pPr>
            <w:r>
              <w:rPr>
                <w:b/>
                <w:bCs/>
              </w:rPr>
              <w:t>Essays and opinions of experts and insiders</w:t>
            </w:r>
          </w:p>
        </w:tc>
        <w:tc>
          <w:tcPr>
            <w:tcW w:w="5461" w:type="dxa"/>
          </w:tcPr>
          <w:p>
            <w:pPr>
              <w:spacing w:after="0" w:line="240" w:lineRule="auto"/>
              <w:rPr>
                <w:b w:val="0"/>
                <w:bCs w:val="0"/>
              </w:rPr>
            </w:pPr>
            <w:r>
              <w:rPr>
                <w:b w:val="0"/>
                <w:bCs w:val="0"/>
              </w:rPr>
              <w:t>Dr.Si from Tsinghua University wrote a book to elaborate the history of live stream industry in China and show how the live streamers arose and effect the customers.</w:t>
            </w:r>
          </w:p>
          <w:p>
            <w:pPr>
              <w:spacing w:after="0" w:line="240" w:lineRule="auto"/>
              <w:rPr>
                <w:b w:val="0"/>
                <w:bCs w:val="0"/>
              </w:rPr>
            </w:pPr>
            <w:r>
              <w:rPr>
                <w:b w:val="0"/>
                <w:bCs w:val="0"/>
              </w:rPr>
              <w:t>Dr.Chenyu Dong from Renmin University of China have some researches on the live streamer.</w:t>
            </w:r>
          </w:p>
          <w:p>
            <w:pPr>
              <w:spacing w:after="0" w:line="240" w:lineRule="auto"/>
              <w:rPr>
                <w:b w:val="0"/>
                <w:bCs w:val="0"/>
              </w:rPr>
            </w:pPr>
            <w:r>
              <w:rPr>
                <w:b w:val="0"/>
                <w:bCs w:val="0"/>
              </w:rPr>
              <w:t>Dr.Xiaoyi Han from Jilin University have a research on customer behaviour in e-commerce live industry.</w:t>
            </w:r>
          </w:p>
          <w:p>
            <w:pPr>
              <w:spacing w:after="0" w:line="240" w:lineRule="auto"/>
              <w:rPr>
                <w:b w:val="0"/>
                <w:bCs w:val="0"/>
              </w:rPr>
            </w:pPr>
            <w:r>
              <w:rPr>
                <w:b w:val="0"/>
                <w:bCs w:val="0"/>
              </w:rPr>
              <w:t>Dr.Meizhen Zhang from Wuhan University have a research on customer online behaviour in live industry.</w:t>
            </w:r>
          </w:p>
          <w:p>
            <w:pPr>
              <w:spacing w:after="0" w:line="240" w:lineRule="auto"/>
              <w:rPr>
                <w:b w:val="0"/>
                <w:bCs w:val="0"/>
              </w:rPr>
            </w:pPr>
          </w:p>
        </w:tc>
        <w:tc>
          <w:tcPr>
            <w:tcW w:w="0" w:type="auto"/>
          </w:tcPr>
          <w:p>
            <w:pPr>
              <w:spacing w:after="0" w:line="240" w:lineRule="auto"/>
              <w:rPr>
                <w:b w:val="0"/>
                <w:bCs w:val="0"/>
              </w:rPr>
            </w:pPr>
            <w:r>
              <w:rPr>
                <w:b w:val="0"/>
                <w:bCs w:val="0"/>
              </w:rPr>
              <w:t>Si;</w:t>
            </w:r>
          </w:p>
          <w:p>
            <w:pPr>
              <w:spacing w:after="0" w:line="240" w:lineRule="auto"/>
              <w:rPr>
                <w:b w:val="0"/>
                <w:bCs w:val="0"/>
              </w:rPr>
            </w:pPr>
            <w:r>
              <w:rPr>
                <w:b w:val="0"/>
                <w:bCs w:val="0"/>
              </w:rPr>
              <w:t xml:space="preserve">Chenyu Dong; </w:t>
            </w:r>
          </w:p>
          <w:p>
            <w:pPr>
              <w:spacing w:after="0" w:line="240" w:lineRule="auto"/>
              <w:rPr>
                <w:b w:val="0"/>
                <w:bCs w:val="0"/>
              </w:rPr>
            </w:pPr>
            <w:r>
              <w:rPr>
                <w:b w:val="0"/>
                <w:bCs w:val="0"/>
              </w:rPr>
              <w:t xml:space="preserve">Xiaoyi Han; </w:t>
            </w:r>
          </w:p>
          <w:p>
            <w:pPr>
              <w:spacing w:after="0" w:line="240" w:lineRule="auto"/>
              <w:rPr>
                <w:b/>
                <w:bCs/>
              </w:rPr>
            </w:pPr>
            <w:r>
              <w:rPr>
                <w:b w:val="0"/>
                <w:bCs w:val="0"/>
              </w:rPr>
              <w:t>Meizhen Zhang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82" w:type="dxa"/>
          </w:tcPr>
          <w:p>
            <w:pPr>
              <w:pStyle w:val="9"/>
              <w:numPr>
                <w:ilvl w:val="0"/>
                <w:numId w:val="2"/>
              </w:numPr>
              <w:spacing w:after="0" w:line="240" w:lineRule="auto"/>
              <w:rPr>
                <w:b/>
                <w:bCs/>
              </w:rPr>
            </w:pPr>
            <w:r>
              <w:rPr>
                <w:b/>
                <w:bCs/>
              </w:rPr>
              <w:t>Design and methodology</w:t>
            </w:r>
          </w:p>
        </w:tc>
        <w:tc>
          <w:tcPr>
            <w:tcW w:w="5461" w:type="dxa"/>
          </w:tcPr>
          <w:p>
            <w:pPr>
              <w:numPr>
                <w:numId w:val="0"/>
              </w:numPr>
              <w:spacing w:after="0" w:line="240" w:lineRule="auto"/>
              <w:rPr>
                <w:b w:val="0"/>
                <w:bCs w:val="0"/>
                <w:highlight w:val="none"/>
              </w:rPr>
            </w:pPr>
            <w:r>
              <w:rPr>
                <w:b w:val="0"/>
                <w:bCs w:val="0"/>
              </w:rPr>
              <w:t>Constructivist Paradigm</w:t>
            </w:r>
            <w:r>
              <w:rPr>
                <w:b w:val="0"/>
                <w:bCs w:val="0"/>
              </w:rPr>
              <w:t xml:space="preserve">, </w:t>
            </w:r>
            <w:r>
              <w:rPr>
                <w:rFonts w:hint="eastAsia"/>
                <w:b w:val="0"/>
                <w:bCs w:val="0"/>
                <w:lang w:val="en-US" w:eastAsia="zh-Hans"/>
              </w:rPr>
              <w:t>R</w:t>
            </w:r>
            <w:r>
              <w:rPr>
                <w:rFonts w:hint="default"/>
                <w:b w:val="0"/>
                <w:bCs w:val="0"/>
                <w:lang w:eastAsia="zh-Hans"/>
              </w:rPr>
              <w:t xml:space="preserve">elativist </w:t>
            </w:r>
            <w:r>
              <w:rPr>
                <w:b w:val="0"/>
                <w:bCs w:val="0"/>
              </w:rPr>
              <w:t>Ontology</w:t>
            </w:r>
            <w:r>
              <w:rPr>
                <w:b w:val="0"/>
                <w:bCs w:val="0"/>
              </w:rPr>
              <w:t xml:space="preserve">, </w:t>
            </w:r>
            <w:r>
              <w:rPr>
                <w:b w:val="0"/>
                <w:bCs w:val="0"/>
                <w:highlight w:val="none"/>
              </w:rPr>
              <w:t>Subjectivist</w:t>
            </w:r>
            <w:r>
              <w:rPr>
                <w:rFonts w:hint="default"/>
                <w:b w:val="0"/>
                <w:bCs w:val="0"/>
                <w:highlight w:val="none"/>
              </w:rPr>
              <w:t xml:space="preserve"> </w:t>
            </w:r>
            <w:r>
              <w:rPr>
                <w:b w:val="0"/>
                <w:bCs w:val="0"/>
                <w:highlight w:val="none"/>
              </w:rPr>
              <w:t>Epistemology</w:t>
            </w:r>
          </w:p>
          <w:p>
            <w:pPr>
              <w:numPr>
                <w:numId w:val="0"/>
              </w:numPr>
              <w:spacing w:after="0" w:line="240" w:lineRule="auto"/>
              <w:rPr>
                <w:b w:val="0"/>
                <w:bCs w:val="0"/>
                <w:highlight w:val="none"/>
              </w:rPr>
            </w:pPr>
          </w:p>
          <w:p>
            <w:pPr>
              <w:numPr>
                <w:ilvl w:val="0"/>
                <w:numId w:val="6"/>
              </w:numPr>
              <w:spacing w:after="0" w:line="240" w:lineRule="auto"/>
              <w:rPr>
                <w:b w:val="0"/>
                <w:bCs w:val="0"/>
              </w:rPr>
            </w:pPr>
            <w:r>
              <w:rPr>
                <w:b w:val="0"/>
                <w:bCs w:val="0"/>
              </w:rPr>
              <w:t>Case study and Narrative research</w:t>
            </w:r>
          </w:p>
          <w:p>
            <w:pPr>
              <w:numPr>
                <w:ilvl w:val="0"/>
                <w:numId w:val="6"/>
              </w:numPr>
              <w:spacing w:after="0" w:line="240" w:lineRule="auto"/>
              <w:rPr>
                <w:b/>
                <w:bCs/>
              </w:rPr>
            </w:pPr>
            <w:r>
              <w:rPr>
                <w:b w:val="0"/>
                <w:bCs w:val="0"/>
              </w:rPr>
              <w:t>Semi-structured Interview a dozen live streamers  especially the very influential internet celebrities</w:t>
            </w:r>
          </w:p>
          <w:p>
            <w:pPr>
              <w:numPr>
                <w:ilvl w:val="0"/>
                <w:numId w:val="6"/>
              </w:numPr>
              <w:spacing w:after="0" w:line="240" w:lineRule="auto"/>
              <w:rPr>
                <w:b/>
                <w:bCs/>
              </w:rPr>
            </w:pPr>
            <w:r>
              <w:rPr>
                <w:b w:val="0"/>
                <w:bCs w:val="0"/>
              </w:rPr>
              <w:t>Observation in live stream company and interview the professional operation personnel in live stream company</w:t>
            </w:r>
          </w:p>
          <w:p>
            <w:pPr>
              <w:numPr>
                <w:ilvl w:val="0"/>
                <w:numId w:val="6"/>
              </w:numPr>
              <w:spacing w:after="0" w:line="240" w:lineRule="auto"/>
              <w:rPr>
                <w:b/>
                <w:bCs/>
              </w:rPr>
            </w:pPr>
            <w:r>
              <w:rPr>
                <w:b w:val="0"/>
                <w:bCs w:val="0"/>
              </w:rPr>
              <w:t xml:space="preserve">Focus group among different types of live stream customers  </w:t>
            </w:r>
          </w:p>
          <w:p>
            <w:pPr>
              <w:numPr>
                <w:numId w:val="0"/>
              </w:numPr>
              <w:spacing w:after="0" w:line="240" w:lineRule="auto"/>
              <w:rPr>
                <w:b/>
                <w:bCs/>
              </w:rPr>
            </w:pPr>
          </w:p>
        </w:tc>
        <w:tc>
          <w:tcPr>
            <w:tcW w:w="0" w:type="auto"/>
          </w:tcPr>
          <w:p>
            <w:pPr>
              <w:spacing w:after="0" w:line="240" w:lineRule="auto"/>
              <w:rPr>
                <w:rFonts w:asciiTheme="minorAscii"/>
                <w:b w:val="0"/>
                <w:bCs w:val="0"/>
              </w:rPr>
            </w:pPr>
            <w:r>
              <w:rPr>
                <w:rFonts w:asciiTheme="minorAscii"/>
                <w:b w:val="0"/>
                <w:bCs w:val="0"/>
              </w:rPr>
              <w:t>Kuhn;</w:t>
            </w:r>
          </w:p>
          <w:p>
            <w:pPr>
              <w:spacing w:after="0" w:line="240" w:lineRule="auto"/>
              <w:rPr>
                <w:rFonts w:hint="default" w:hAnsi="Times New Roman" w:cs="Times New Roman" w:asciiTheme="minorAscii"/>
                <w:b w:val="0"/>
                <w:bCs w:val="0"/>
                <w:i w:val="0"/>
                <w:iCs w:val="0"/>
                <w:sz w:val="24"/>
                <w:szCs w:val="24"/>
              </w:rPr>
            </w:pPr>
            <w:r>
              <w:rPr>
                <w:rFonts w:hint="default" w:hAnsi="Times New Roman" w:cs="Times New Roman" w:asciiTheme="minorAscii"/>
                <w:b w:val="0"/>
                <w:bCs w:val="0"/>
                <w:i w:val="0"/>
                <w:iCs w:val="0"/>
                <w:sz w:val="24"/>
                <w:szCs w:val="24"/>
              </w:rPr>
              <w:t>Crotty</w:t>
            </w:r>
            <w:r>
              <w:rPr>
                <w:rFonts w:hint="default" w:hAnsi="Times New Roman" w:cs="Times New Roman" w:asciiTheme="minorAscii"/>
                <w:b w:val="0"/>
                <w:bCs w:val="0"/>
                <w:i w:val="0"/>
                <w:iCs w:val="0"/>
                <w:sz w:val="24"/>
                <w:szCs w:val="24"/>
              </w:rPr>
              <w:t>;</w:t>
            </w:r>
          </w:p>
          <w:p>
            <w:pPr>
              <w:spacing w:after="0" w:line="240" w:lineRule="auto"/>
              <w:rPr>
                <w:rFonts w:hint="default" w:hAnsi="Times New Roman" w:cs="Times New Roman" w:asciiTheme="minorAscii"/>
                <w:b w:val="0"/>
                <w:bCs w:val="0"/>
                <w:i w:val="0"/>
                <w:iCs w:val="0"/>
                <w:sz w:val="24"/>
                <w:szCs w:val="24"/>
              </w:rPr>
            </w:pPr>
            <w:r>
              <w:rPr>
                <w:rFonts w:hint="default" w:hAnsi="Times New Roman" w:cs="Times New Roman" w:asciiTheme="minorAscii"/>
                <w:b w:val="0"/>
                <w:bCs w:val="0"/>
                <w:i w:val="0"/>
                <w:iCs w:val="0"/>
                <w:sz w:val="24"/>
                <w:szCs w:val="24"/>
              </w:rPr>
              <w:t xml:space="preserve">Peter; </w:t>
            </w:r>
          </w:p>
          <w:p>
            <w:pPr>
              <w:spacing w:after="0" w:line="240" w:lineRule="auto"/>
              <w:rPr>
                <w:rFonts w:hint="default" w:hAnsi="Times New Roman" w:cs="Times New Roman" w:asciiTheme="minorAscii"/>
                <w:b w:val="0"/>
                <w:bCs w:val="0"/>
                <w:i w:val="0"/>
                <w:iCs w:val="0"/>
                <w:sz w:val="24"/>
                <w:szCs w:val="24"/>
              </w:rPr>
            </w:pPr>
            <w:r>
              <w:rPr>
                <w:rFonts w:hint="default" w:hAnsi="Times New Roman" w:cs="Times New Roman" w:asciiTheme="minorAscii"/>
                <w:b w:val="0"/>
                <w:bCs w:val="0"/>
                <w:i w:val="0"/>
                <w:iCs w:val="0"/>
                <w:sz w:val="24"/>
                <w:szCs w:val="24"/>
              </w:rPr>
              <w:t xml:space="preserve">Ben; </w:t>
            </w:r>
          </w:p>
          <w:p>
            <w:pPr>
              <w:spacing w:after="0" w:line="240" w:lineRule="auto"/>
              <w:rPr>
                <w:b/>
                <w:bCs/>
              </w:rPr>
            </w:pPr>
            <w:r>
              <w:rPr>
                <w:rFonts w:hint="default" w:hAnsi="Times New Roman" w:cs="Times New Roman" w:asciiTheme="minorAscii"/>
                <w:b w:val="0"/>
                <w:bCs w:val="0"/>
                <w:i w:val="0"/>
                <w:iCs w:val="0"/>
                <w:sz w:val="24"/>
                <w:szCs w:val="24"/>
              </w:rPr>
              <w:t>Yin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82" w:type="dxa"/>
          </w:tcPr>
          <w:p>
            <w:pPr>
              <w:pStyle w:val="9"/>
              <w:numPr>
                <w:ilvl w:val="0"/>
                <w:numId w:val="2"/>
              </w:numPr>
              <w:spacing w:after="0" w:line="240" w:lineRule="auto"/>
              <w:rPr>
                <w:b/>
                <w:bCs/>
              </w:rPr>
            </w:pPr>
            <w:bookmarkStart w:id="0" w:name="_Hlk107751915"/>
            <w:bookmarkStart w:id="1" w:name="_Hlk107751944"/>
            <w:r>
              <w:rPr>
                <w:b/>
                <w:bCs/>
              </w:rPr>
              <w:t>Overall approach and rationale</w:t>
            </w:r>
          </w:p>
        </w:tc>
        <w:tc>
          <w:tcPr>
            <w:tcW w:w="5461" w:type="dxa"/>
          </w:tcPr>
          <w:p>
            <w:pPr>
              <w:spacing w:after="0" w:line="240" w:lineRule="auto"/>
              <w:rPr>
                <w:b/>
                <w:bCs/>
              </w:rPr>
            </w:pPr>
            <w:r>
              <w:rPr>
                <w:b w:val="0"/>
                <w:bCs w:val="0"/>
              </w:rPr>
              <w:t>Qualitative approach and inductive method</w:t>
            </w:r>
          </w:p>
        </w:tc>
        <w:tc>
          <w:tcPr>
            <w:tcW w:w="0" w:type="auto"/>
          </w:tcPr>
          <w:p>
            <w:pPr>
              <w:spacing w:after="0" w:line="240" w:lineRule="auto"/>
              <w:rPr>
                <w:b/>
                <w:bCs/>
              </w:rPr>
            </w:pPr>
            <w:r>
              <w:rPr>
                <w:rFonts w:asciiTheme="minorAscii"/>
                <w:b w:val="0"/>
                <w:bCs w:val="0"/>
              </w:rPr>
              <w:t xml:space="preserve">Creswell; </w:t>
            </w:r>
            <w:r>
              <w:rPr>
                <w:rFonts w:hAnsi="Times New Roman" w:eastAsia="Times New Roman" w:cs="Times New Roman" w:asciiTheme="minorAscii"/>
                <w:b w:val="0"/>
                <w:bCs w:val="0"/>
                <w:sz w:val="24"/>
                <w:szCs w:val="24"/>
                <w:lang w:eastAsia="en-GB"/>
              </w:rPr>
              <w:t>Guba and Lincoln</w:t>
            </w:r>
            <w:r>
              <w:rPr>
                <w:rFonts w:hAnsi="Times New Roman" w:eastAsia="Times New Roman" w:cs="Times New Roman" w:asciiTheme="minorAscii"/>
                <w:b w:val="0"/>
                <w:bCs w:val="0"/>
                <w:sz w:val="24"/>
                <w:szCs w:val="24"/>
                <w:lang w:eastAsia="en-GB"/>
              </w:rPr>
              <w:t>;</w:t>
            </w:r>
            <w:r>
              <w:rPr>
                <w:rFonts w:hint="default" w:hAnsi="Times New Roman" w:cs="Times New Roman" w:asciiTheme="minorAscii"/>
                <w:b w:val="0"/>
                <w:bCs w:val="0"/>
                <w:i w:val="0"/>
                <w:iCs w:val="0"/>
                <w:sz w:val="24"/>
                <w:szCs w:val="24"/>
                <w:lang w:eastAsia="zh-CN"/>
              </w:rPr>
              <w:t>Denscombe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82" w:type="dxa"/>
          </w:tcPr>
          <w:p>
            <w:pPr>
              <w:pStyle w:val="9"/>
              <w:numPr>
                <w:ilvl w:val="0"/>
                <w:numId w:val="2"/>
              </w:numPr>
              <w:spacing w:after="0" w:line="240" w:lineRule="auto"/>
              <w:rPr>
                <w:b/>
                <w:bCs/>
              </w:rPr>
            </w:pPr>
            <w:r>
              <w:rPr>
                <w:b/>
                <w:bCs/>
              </w:rPr>
              <w:t>Site or population selection and sampling strategies</w:t>
            </w:r>
          </w:p>
        </w:tc>
        <w:tc>
          <w:tcPr>
            <w:tcW w:w="5461" w:type="dxa"/>
          </w:tcPr>
          <w:p>
            <w:pPr>
              <w:numPr>
                <w:ilvl w:val="0"/>
                <w:numId w:val="7"/>
              </w:numPr>
              <w:spacing w:after="0" w:line="240" w:lineRule="auto"/>
              <w:rPr>
                <w:b w:val="0"/>
                <w:bCs w:val="0"/>
              </w:rPr>
            </w:pPr>
            <w:r>
              <w:rPr>
                <w:b w:val="0"/>
                <w:bCs w:val="0"/>
              </w:rPr>
              <w:t>local (my hometown) live streaming company</w:t>
            </w:r>
          </w:p>
          <w:p>
            <w:pPr>
              <w:numPr>
                <w:ilvl w:val="0"/>
                <w:numId w:val="7"/>
              </w:numPr>
              <w:spacing w:after="0" w:line="240" w:lineRule="auto"/>
              <w:rPr>
                <w:b w:val="0"/>
                <w:bCs w:val="0"/>
              </w:rPr>
            </w:pPr>
            <w:r>
              <w:rPr>
                <w:b w:val="0"/>
                <w:bCs w:val="0"/>
              </w:rPr>
              <w:t>Tik-tok operation staff</w:t>
            </w:r>
          </w:p>
          <w:p>
            <w:pPr>
              <w:numPr>
                <w:ilvl w:val="0"/>
                <w:numId w:val="7"/>
              </w:numPr>
              <w:spacing w:after="0" w:line="240" w:lineRule="auto"/>
              <w:rPr>
                <w:b w:val="0"/>
                <w:bCs w:val="0"/>
              </w:rPr>
            </w:pPr>
            <w:r>
              <w:rPr>
                <w:b w:val="0"/>
                <w:bCs w:val="0"/>
              </w:rPr>
              <w:t>Around 12 of Taobao, Alipay, tiktok, RED live streamers</w:t>
            </w:r>
          </w:p>
          <w:p>
            <w:pPr>
              <w:numPr>
                <w:ilvl w:val="0"/>
                <w:numId w:val="7"/>
              </w:numPr>
              <w:spacing w:after="0" w:line="240" w:lineRule="auto"/>
              <w:rPr>
                <w:b/>
                <w:bCs/>
              </w:rPr>
            </w:pPr>
            <w:r>
              <w:rPr>
                <w:b w:val="0"/>
                <w:bCs w:val="0"/>
              </w:rPr>
              <w:t>2 or 3 groups of live audiences (total around 12 )</w:t>
            </w:r>
          </w:p>
          <w:p>
            <w:pPr>
              <w:numPr>
                <w:numId w:val="0"/>
              </w:numPr>
              <w:spacing w:after="0" w:line="240" w:lineRule="auto"/>
              <w:rPr>
                <w:b/>
                <w:bCs/>
              </w:rPr>
            </w:pPr>
          </w:p>
        </w:tc>
        <w:tc>
          <w:tcPr>
            <w:tcW w:w="0" w:type="auto"/>
          </w:tcPr>
          <w:p>
            <w:pPr>
              <w:spacing w:after="0" w:line="240" w:lineRule="auto"/>
              <w:rPr>
                <w:b/>
                <w:bCs/>
              </w:rPr>
            </w:pPr>
            <w:r>
              <w:rPr>
                <w:b w:val="0"/>
                <w:bCs w:val="0"/>
              </w:rPr>
              <w:t>Field (2018)</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82" w:type="dxa"/>
          </w:tcPr>
          <w:p>
            <w:pPr>
              <w:pStyle w:val="9"/>
              <w:numPr>
                <w:ilvl w:val="0"/>
                <w:numId w:val="2"/>
              </w:numPr>
              <w:spacing w:after="0" w:line="240" w:lineRule="auto"/>
              <w:rPr>
                <w:b/>
                <w:bCs/>
              </w:rPr>
            </w:pPr>
            <w:r>
              <w:rPr>
                <w:b/>
                <w:bCs/>
              </w:rPr>
              <w:t>Access, role, reciprocity, trust, rapport</w:t>
            </w:r>
          </w:p>
        </w:tc>
        <w:tc>
          <w:tcPr>
            <w:tcW w:w="5461" w:type="dxa"/>
          </w:tcPr>
          <w:p>
            <w:pPr>
              <w:spacing w:after="0" w:line="240" w:lineRule="auto"/>
              <w:rPr>
                <w:b w:val="0"/>
                <w:bCs w:val="0"/>
              </w:rPr>
            </w:pPr>
            <w:r>
              <w:rPr>
                <w:b w:val="0"/>
                <w:bCs w:val="0"/>
              </w:rPr>
              <w:t>Previously I have a good relationship with this tiktok operation staff and many live streamers and I have gained their permission to interview them after I get the ethical form approval</w:t>
            </w:r>
            <w:r>
              <w:rPr>
                <w:b w:val="0"/>
                <w:bCs w:val="0"/>
              </w:rPr>
              <w:t xml:space="preserve"> with free</w:t>
            </w:r>
            <w:r>
              <w:rPr>
                <w:b w:val="0"/>
                <w:bCs w:val="0"/>
              </w:rPr>
              <w:t>.</w:t>
            </w:r>
          </w:p>
          <w:p>
            <w:pPr>
              <w:spacing w:after="0" w:line="240" w:lineRule="auto"/>
              <w:rPr>
                <w:b w:val="0"/>
                <w:bCs w:val="0"/>
              </w:rPr>
            </w:pPr>
            <w:bookmarkStart w:id="2" w:name="_GoBack"/>
            <w:bookmarkEnd w:id="2"/>
          </w:p>
        </w:tc>
        <w:tc>
          <w:tcPr>
            <w:tcW w:w="0" w:type="auto"/>
          </w:tcPr>
          <w:p>
            <w:pPr>
              <w:spacing w:after="0" w:line="240" w:lineRule="auto"/>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82" w:type="dxa"/>
          </w:tcPr>
          <w:p>
            <w:pPr>
              <w:pStyle w:val="9"/>
              <w:numPr>
                <w:ilvl w:val="0"/>
                <w:numId w:val="2"/>
              </w:numPr>
              <w:spacing w:after="0" w:line="240" w:lineRule="auto"/>
              <w:rPr>
                <w:b/>
                <w:bCs/>
              </w:rPr>
            </w:pPr>
            <w:r>
              <w:rPr>
                <w:b/>
                <w:bCs/>
              </w:rPr>
              <w:t>Personal biography</w:t>
            </w:r>
          </w:p>
        </w:tc>
        <w:tc>
          <w:tcPr>
            <w:tcW w:w="5461" w:type="dxa"/>
          </w:tcPr>
          <w:p>
            <w:pPr>
              <w:spacing w:after="0" w:line="240" w:lineRule="auto"/>
              <w:rPr>
                <w:rFonts w:hint="default"/>
                <w:b w:val="0"/>
                <w:bCs w:val="0"/>
              </w:rPr>
            </w:pPr>
            <w:r>
              <w:rPr>
                <w:b w:val="0"/>
                <w:bCs w:val="0"/>
              </w:rPr>
              <w:t xml:space="preserve">I have worked in a TV program as a TV host in China for two years and have some experiences about the broadcasting and audience marketing. Besides, </w:t>
            </w:r>
            <w:r>
              <w:rPr>
                <w:rFonts w:hint="eastAsia"/>
                <w:b w:val="0"/>
                <w:bCs w:val="0"/>
              </w:rPr>
              <w:t xml:space="preserve">I have </w:t>
            </w:r>
            <w:r>
              <w:rPr>
                <w:rFonts w:hint="default"/>
                <w:b w:val="0"/>
                <w:bCs w:val="0"/>
              </w:rPr>
              <w:t xml:space="preserve">some </w:t>
            </w:r>
            <w:r>
              <w:rPr>
                <w:rFonts w:hint="eastAsia"/>
                <w:b w:val="0"/>
                <w:bCs w:val="0"/>
              </w:rPr>
              <w:t xml:space="preserve">contacts of </w:t>
            </w:r>
            <w:r>
              <w:rPr>
                <w:rFonts w:hint="default"/>
                <w:b w:val="0"/>
                <w:bCs w:val="0"/>
              </w:rPr>
              <w:t>even</w:t>
            </w:r>
            <w:r>
              <w:rPr>
                <w:rFonts w:hint="eastAsia"/>
                <w:b w:val="0"/>
                <w:bCs w:val="0"/>
              </w:rPr>
              <w:t xml:space="preserve"> very famous </w:t>
            </w:r>
            <w:r>
              <w:rPr>
                <w:rFonts w:hint="default"/>
                <w:b w:val="0"/>
                <w:bCs w:val="0"/>
              </w:rPr>
              <w:t>live streamers who were my former colleagues.</w:t>
            </w:r>
          </w:p>
          <w:p>
            <w:pPr>
              <w:spacing w:after="0" w:line="240" w:lineRule="auto"/>
              <w:rPr>
                <w:rFonts w:hint="default"/>
                <w:b w:val="0"/>
                <w:bCs w:val="0"/>
              </w:rPr>
            </w:pPr>
          </w:p>
        </w:tc>
        <w:tc>
          <w:tcPr>
            <w:tcW w:w="0" w:type="auto"/>
          </w:tcPr>
          <w:p>
            <w:pPr>
              <w:spacing w:after="0" w:line="240" w:lineRule="auto"/>
              <w:rPr>
                <w:b/>
                <w:bCs/>
              </w:rPr>
            </w:pPr>
          </w:p>
        </w:tc>
      </w:tr>
      <w:bookmarkEnd w:id="1"/>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82" w:type="dxa"/>
          </w:tcPr>
          <w:p>
            <w:pPr>
              <w:pStyle w:val="9"/>
              <w:numPr>
                <w:ilvl w:val="0"/>
                <w:numId w:val="2"/>
              </w:numPr>
              <w:spacing w:after="0" w:line="240" w:lineRule="auto"/>
              <w:rPr>
                <w:b/>
                <w:bCs/>
              </w:rPr>
            </w:pPr>
            <w:r>
              <w:rPr>
                <w:b/>
                <w:bCs/>
              </w:rPr>
              <w:t>Ethical and political considerations</w:t>
            </w:r>
          </w:p>
        </w:tc>
        <w:tc>
          <w:tcPr>
            <w:tcW w:w="5461" w:type="dxa"/>
          </w:tcPr>
          <w:p>
            <w:pPr>
              <w:rPr>
                <w:rFonts w:ascii="Arial" w:hAnsi="Arial" w:cs="Arial"/>
                <w:sz w:val="22"/>
                <w:szCs w:val="22"/>
              </w:rPr>
            </w:pPr>
            <w:r>
              <w:rPr>
                <w:rFonts w:ascii="Arial" w:hAnsi="Arial" w:cs="Arial"/>
                <w:sz w:val="22"/>
                <w:szCs w:val="22"/>
              </w:rPr>
              <w:t>Data protection about the interviewee</w:t>
            </w:r>
          </w:p>
          <w:p>
            <w:pPr>
              <w:rPr>
                <w:rFonts w:ascii="Arial" w:hAnsi="Arial" w:cs="Arial"/>
                <w:sz w:val="22"/>
                <w:szCs w:val="22"/>
              </w:rPr>
            </w:pPr>
            <w:r>
              <w:rPr>
                <w:rFonts w:ascii="Arial" w:hAnsi="Arial" w:cs="Arial"/>
                <w:sz w:val="22"/>
                <w:szCs w:val="22"/>
              </w:rPr>
              <w:t>Aviod m</w:t>
            </w:r>
            <w:r>
              <w:rPr>
                <w:rFonts w:ascii="Arial" w:hAnsi="Arial" w:cs="Arial"/>
                <w:sz w:val="22"/>
                <w:szCs w:val="22"/>
              </w:rPr>
              <w:t>isrepresentation</w:t>
            </w:r>
            <w:r>
              <w:rPr>
                <w:rFonts w:ascii="Arial" w:hAnsi="Arial" w:cs="Arial"/>
                <w:sz w:val="22"/>
                <w:szCs w:val="22"/>
              </w:rPr>
              <w:t xml:space="preserve">, misunderstanding and </w:t>
            </w:r>
            <w:r>
              <w:rPr>
                <w:rFonts w:hint="eastAsia" w:ascii="Arial" w:hAnsi="Arial" w:cs="Arial"/>
                <w:sz w:val="22"/>
                <w:szCs w:val="22"/>
                <w:lang w:val="en-US" w:eastAsia="zh-Hans"/>
              </w:rPr>
              <w:t>mistranslation</w:t>
            </w:r>
          </w:p>
          <w:p>
            <w:pPr>
              <w:spacing w:after="0" w:line="240" w:lineRule="auto"/>
              <w:rPr>
                <w:b/>
                <w:bCs/>
              </w:rPr>
            </w:pPr>
          </w:p>
        </w:tc>
        <w:tc>
          <w:tcPr>
            <w:tcW w:w="0" w:type="auto"/>
          </w:tcPr>
          <w:p>
            <w:pPr>
              <w:spacing w:after="0" w:line="240" w:lineRule="auto"/>
              <w:rPr>
                <w:b/>
                <w:bCs/>
              </w:rPr>
            </w:pPr>
          </w:p>
        </w:tc>
      </w:tr>
      <w:tr>
        <w:tc>
          <w:tcPr>
            <w:tcW w:w="2382" w:type="dxa"/>
          </w:tcPr>
          <w:p>
            <w:pPr>
              <w:pStyle w:val="9"/>
              <w:numPr>
                <w:ilvl w:val="0"/>
                <w:numId w:val="2"/>
              </w:numPr>
              <w:spacing w:after="0" w:line="240" w:lineRule="auto"/>
              <w:rPr>
                <w:b/>
                <w:bCs/>
              </w:rPr>
            </w:pPr>
            <w:r>
              <w:rPr>
                <w:b/>
                <w:bCs/>
              </w:rPr>
              <w:t>Data collection methods</w:t>
            </w:r>
          </w:p>
        </w:tc>
        <w:tc>
          <w:tcPr>
            <w:tcW w:w="5461" w:type="dxa"/>
          </w:tcPr>
          <w:p>
            <w:pPr>
              <w:spacing w:after="0" w:line="240" w:lineRule="auto"/>
              <w:rPr>
                <w:b w:val="0"/>
                <w:bCs w:val="0"/>
              </w:rPr>
            </w:pPr>
            <w:r>
              <w:rPr>
                <w:b w:val="0"/>
                <w:bCs w:val="0"/>
              </w:rPr>
              <w:t>Take field note during interviewing and translate all the interview context and analyse and code</w:t>
            </w:r>
          </w:p>
          <w:p>
            <w:pPr>
              <w:spacing w:after="0" w:line="240" w:lineRule="auto"/>
              <w:rPr>
                <w:b/>
                <w:bCs/>
              </w:rPr>
            </w:pPr>
          </w:p>
        </w:tc>
        <w:tc>
          <w:tcPr>
            <w:tcW w:w="0" w:type="auto"/>
          </w:tcPr>
          <w:p>
            <w:pPr>
              <w:spacing w:after="0" w:line="240" w:lineRule="auto"/>
              <w:rPr>
                <w:b/>
                <w:bCs/>
              </w:rPr>
            </w:pPr>
            <w:r>
              <w:rPr>
                <w:b/>
                <w:bCs/>
              </w:rPr>
              <w:t xml:space="preserve">Crewell, </w:t>
            </w:r>
            <w:r>
              <w:rPr>
                <w:rFonts w:ascii="Times New Roman" w:hAnsi="Times New Roman" w:cs="Times New Roman"/>
                <w:sz w:val="24"/>
                <w:szCs w:val="24"/>
              </w:rPr>
              <w:t>Bryman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82" w:type="dxa"/>
          </w:tcPr>
          <w:p>
            <w:pPr>
              <w:pStyle w:val="9"/>
              <w:numPr>
                <w:ilvl w:val="0"/>
                <w:numId w:val="2"/>
              </w:numPr>
              <w:spacing w:after="0" w:line="240" w:lineRule="auto"/>
              <w:rPr>
                <w:b/>
                <w:bCs/>
              </w:rPr>
            </w:pPr>
            <w:r>
              <w:rPr>
                <w:b/>
                <w:bCs/>
              </w:rPr>
              <w:t>Data analysis procedures</w:t>
            </w:r>
          </w:p>
        </w:tc>
        <w:tc>
          <w:tcPr>
            <w:tcW w:w="5461" w:type="dxa"/>
          </w:tcPr>
          <w:p>
            <w:pPr>
              <w:spacing w:after="0" w:line="240" w:lineRule="auto"/>
              <w:rPr>
                <w:b/>
                <w:bCs/>
              </w:rPr>
            </w:pPr>
            <w:r>
              <w:rPr>
                <w:b w:val="0"/>
                <w:bCs w:val="0"/>
              </w:rPr>
              <w:t>Use Nvivo to analyse the record and code</w:t>
            </w:r>
          </w:p>
        </w:tc>
        <w:tc>
          <w:tcPr>
            <w:tcW w:w="0" w:type="auto"/>
          </w:tcPr>
          <w:p>
            <w:pPr>
              <w:spacing w:after="0" w:line="240" w:lineRule="auto"/>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82" w:type="dxa"/>
          </w:tcPr>
          <w:p>
            <w:pPr>
              <w:pStyle w:val="9"/>
              <w:numPr>
                <w:ilvl w:val="0"/>
                <w:numId w:val="2"/>
              </w:numPr>
              <w:spacing w:after="0" w:line="240" w:lineRule="auto"/>
              <w:rPr>
                <w:b/>
                <w:bCs/>
              </w:rPr>
            </w:pPr>
            <w:r>
              <w:rPr>
                <w:b/>
                <w:bCs/>
              </w:rPr>
              <w:t>Procedures to address trustworthiness and credibility</w:t>
            </w:r>
          </w:p>
          <w:p>
            <w:pPr>
              <w:pStyle w:val="9"/>
              <w:numPr>
                <w:ilvl w:val="0"/>
                <w:numId w:val="2"/>
              </w:numPr>
              <w:spacing w:after="0" w:line="240" w:lineRule="auto"/>
              <w:rPr>
                <w:b/>
                <w:bCs/>
              </w:rPr>
            </w:pPr>
            <w:r>
              <w:rPr>
                <w:b/>
                <w:bCs/>
              </w:rPr>
              <w:t>Or the tests you will use for reliability and validity</w:t>
            </w:r>
          </w:p>
        </w:tc>
        <w:tc>
          <w:tcPr>
            <w:tcW w:w="5461" w:type="dxa"/>
          </w:tcPr>
          <w:p>
            <w:pPr>
              <w:spacing w:after="0" w:line="240" w:lineRule="auto"/>
              <w:rPr>
                <w:b/>
                <w:bCs/>
              </w:rPr>
            </w:pPr>
            <w:r>
              <w:rPr>
                <w:b w:val="0"/>
                <w:bCs w:val="0"/>
              </w:rPr>
              <w:t xml:space="preserve">Use triangulation, checked by others and long engagement </w:t>
            </w:r>
            <w:r>
              <w:rPr>
                <w:b w:val="0"/>
                <w:bCs w:val="0"/>
              </w:rPr>
              <w:t xml:space="preserve"> to ensure the validity of data</w:t>
            </w:r>
          </w:p>
        </w:tc>
        <w:tc>
          <w:tcPr>
            <w:tcW w:w="0" w:type="auto"/>
          </w:tcPr>
          <w:p>
            <w:pPr>
              <w:spacing w:after="0" w:line="240" w:lineRule="auto"/>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82" w:type="dxa"/>
          </w:tcPr>
          <w:p>
            <w:pPr>
              <w:pStyle w:val="9"/>
              <w:numPr>
                <w:ilvl w:val="0"/>
                <w:numId w:val="2"/>
              </w:numPr>
              <w:spacing w:after="0" w:line="240" w:lineRule="auto"/>
              <w:rPr>
                <w:b/>
                <w:bCs/>
              </w:rPr>
            </w:pPr>
            <w:r>
              <w:rPr>
                <w:b/>
                <w:bCs/>
              </w:rPr>
              <w:t>Appendices (may include entry letters, data collection protocols and management details, sampling strategies, timelines, budgets, notes from pilot studies)</w:t>
            </w:r>
          </w:p>
        </w:tc>
        <w:tc>
          <w:tcPr>
            <w:tcW w:w="5461" w:type="dxa"/>
          </w:tcPr>
          <w:p>
            <w:pPr>
              <w:spacing w:after="0" w:line="240" w:lineRule="auto"/>
              <w:rPr>
                <w:rFonts w:hint="default"/>
                <w:b w:val="0"/>
                <w:bCs w:val="0"/>
                <w:lang w:eastAsia="zh-Hans"/>
              </w:rPr>
            </w:pPr>
            <w:r>
              <w:rPr>
                <w:rFonts w:hint="eastAsia"/>
                <w:b w:val="0"/>
                <w:bCs w:val="0"/>
                <w:lang w:val="en-US" w:eastAsia="zh-Hans"/>
              </w:rPr>
              <w:t>Attach</w:t>
            </w:r>
            <w:r>
              <w:rPr>
                <w:rFonts w:hint="default"/>
                <w:b w:val="0"/>
                <w:bCs w:val="0"/>
                <w:lang w:eastAsia="zh-Hans"/>
              </w:rPr>
              <w:t xml:space="preserve"> the bilingual interview  questions and hard copies of ethical form, information sheet and consent form;</w:t>
            </w:r>
          </w:p>
          <w:p>
            <w:pPr>
              <w:spacing w:after="0" w:line="240" w:lineRule="auto"/>
              <w:rPr>
                <w:rFonts w:hint="default"/>
                <w:b w:val="0"/>
                <w:bCs w:val="0"/>
                <w:lang w:eastAsia="zh-Hans"/>
              </w:rPr>
            </w:pPr>
            <w:r>
              <w:rPr>
                <w:rFonts w:hint="default"/>
                <w:b w:val="0"/>
                <w:bCs w:val="0"/>
                <w:lang w:eastAsia="zh-Hans"/>
              </w:rPr>
              <w:t>Attach the interview record within bilingual translations.</w:t>
            </w:r>
          </w:p>
          <w:p>
            <w:pPr>
              <w:spacing w:after="0" w:line="240" w:lineRule="auto"/>
              <w:rPr>
                <w:rFonts w:hint="eastAsia"/>
                <w:b/>
                <w:bCs/>
                <w:lang w:val="en-US" w:eastAsia="zh-Hans"/>
              </w:rPr>
            </w:pPr>
          </w:p>
        </w:tc>
        <w:tc>
          <w:tcPr>
            <w:tcW w:w="0" w:type="auto"/>
          </w:tcPr>
          <w:p>
            <w:pPr>
              <w:spacing w:after="0" w:line="240" w:lineRule="auto"/>
              <w:rPr>
                <w:b/>
                <w:bCs/>
              </w:rPr>
            </w:pPr>
          </w:p>
        </w:tc>
      </w:tr>
    </w:tbl>
    <w:p>
      <w:pPr>
        <w:rPr>
          <w:b/>
          <w:bCs/>
        </w:rPr>
      </w:pPr>
    </w:p>
    <w:p>
      <w:pPr>
        <w:spacing w:after="0" w:line="240" w:lineRule="auto"/>
        <w:rPr>
          <w:b/>
          <w:bCs/>
        </w:rPr>
      </w:pPr>
    </w:p>
    <w:p>
      <w:pPr>
        <w:rPr>
          <w:b/>
          <w:bCs/>
        </w:rPr>
      </w:pPr>
    </w:p>
    <w:p>
      <w:pPr>
        <w:rPr>
          <w:b/>
          <w:bCs/>
          <w:u w:val="single"/>
        </w:rPr>
      </w:pPr>
      <w:r>
        <w:rPr>
          <w:b/>
          <w:bCs/>
          <w:u w:val="single"/>
        </w:rPr>
        <w:t>In developing research proposal, you will need to consider these questions:</w:t>
      </w:r>
    </w:p>
    <w:p/>
    <w:p>
      <w:pPr>
        <w:pStyle w:val="9"/>
        <w:numPr>
          <w:ilvl w:val="0"/>
          <w:numId w:val="8"/>
        </w:numPr>
      </w:pPr>
      <w:r>
        <w:t>Will I obtain adequate data in an efficient way?</w:t>
      </w:r>
    </w:p>
    <w:p>
      <w:pPr>
        <w:pStyle w:val="9"/>
        <w:numPr>
          <w:ilvl w:val="0"/>
          <w:numId w:val="8"/>
        </w:numPr>
      </w:pPr>
      <w:r>
        <w:t>How will I attract participants? Please indicate all ways including social media, a poster and or any other ways.</w:t>
      </w:r>
    </w:p>
    <w:p>
      <w:pPr>
        <w:pStyle w:val="9"/>
        <w:numPr>
          <w:ilvl w:val="0"/>
          <w:numId w:val="8"/>
        </w:numPr>
      </w:pPr>
      <w:r>
        <w:t>Can I devise a workable way of building relationships with participants that will enable collecting rich data?</w:t>
      </w:r>
    </w:p>
    <w:p>
      <w:pPr>
        <w:pStyle w:val="9"/>
        <w:numPr>
          <w:ilvl w:val="0"/>
          <w:numId w:val="8"/>
        </w:numPr>
      </w:pPr>
      <w:r>
        <w:t>Is my strategy likely to foster responses to the research questions thoroughly and thoughtfully?</w:t>
      </w:r>
    </w:p>
    <w:p>
      <w:pPr>
        <w:pStyle w:val="9"/>
        <w:numPr>
          <w:ilvl w:val="0"/>
          <w:numId w:val="8"/>
        </w:numPr>
      </w:pPr>
      <w:r>
        <w:t>Will this strategy elicit the information I seek, as expressed in questions guiding my research?</w:t>
      </w:r>
    </w:p>
    <w:p>
      <w:pPr>
        <w:pStyle w:val="9"/>
        <w:numPr>
          <w:ilvl w:val="0"/>
          <w:numId w:val="8"/>
        </w:numPr>
      </w:pPr>
      <w:r>
        <w:t xml:space="preserve">Can I sustain relationships and remain ethical? </w:t>
      </w:r>
    </w:p>
    <w:p>
      <w:pPr>
        <w:pStyle w:val="9"/>
        <w:numPr>
          <w:ilvl w:val="0"/>
          <w:numId w:val="8"/>
        </w:numPr>
      </w:pPr>
      <w:r>
        <w:t>Does this plan allow adequate data to be collected, given the constraints of time, financial resources, access, and cost?</w:t>
      </w:r>
    </w:p>
    <w:p>
      <w:pPr>
        <w:pStyle w:val="9"/>
        <w:numPr>
          <w:ilvl w:val="0"/>
          <w:numId w:val="8"/>
        </w:numPr>
      </w:pPr>
      <w:r>
        <w:t>Can this research design be carried out without harming people or significantly disrupting the setting?</w:t>
      </w:r>
    </w:p>
    <w:p>
      <w:pPr>
        <w:pStyle w:val="9"/>
        <w:numPr>
          <w:ilvl w:val="0"/>
          <w:numId w:val="8"/>
        </w:numPr>
      </w:pPr>
      <w:r>
        <w:t>Will the proposed strategy violate the participants’ privacy or unduly disrupt their everyday worlds?</w:t>
      </w:r>
    </w:p>
    <w:p>
      <w:pPr>
        <w:pStyle w:val="9"/>
        <w:numPr>
          <w:ilvl w:val="0"/>
          <w:numId w:val="8"/>
        </w:numPr>
      </w:pPr>
      <w:r>
        <w:t>Are participants putting themselves in danger or at risk by participating in the study?</w:t>
      </w:r>
    </w:p>
    <w:p/>
    <w:p>
      <w:r>
        <w:drawing>
          <wp:inline distT="0" distB="0" distL="0" distR="0">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a:picLocks noChangeAspect="1"/>
                    </pic:cNvPicPr>
                  </pic:nvPicPr>
                  <pic:blipFill>
                    <a:blip r:embed="rId6">
                      <a:extLs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inline>
        </w:drawing>
      </w:r>
    </w:p>
    <w:p>
      <w:pPr>
        <w:rPr>
          <w:b/>
          <w:bCs/>
        </w:rPr>
      </w:pPr>
      <w:r>
        <w:rPr>
          <w:b/>
          <w:bCs/>
        </w:rPr>
        <w:t>A Definition of Theoretical Frameworks</w:t>
      </w:r>
    </w:p>
    <w:p>
      <w:r>
        <w:t>We clearly situate our conception of the theoretical framework with those authors who see theory as “more than” (i.e., Flinders &amp; Mills, 1993; Merriam, 1998, 2009; Miles &amp; Huberman, 1994; Schram, 2003, 2006). Acknowledging that the term does not have a clear and consistent definition, we define theoretical frameworks as any empirical or quasi-empirical theory of social and/or psychological processes, at a variety of levels (e.g., grand, midrange, explanatory), that can be applied to the understanding of phenomena. This definition of theoretical frameworks excludes what Guba and Lincoln (1994) have called “paradigms” of social research (e.g., postpositivist, constructivist, critical, feminist). It also does not consider methodological issues or approaches to be synonymous with theoretical frameworks (e.g., narrative analysis, systems analysis, symbolic interactionism).</w:t>
      </w:r>
    </w:p>
    <w:p/>
    <w:p>
      <w:r>
        <w:t>Examples of what we mean by theories that can be applied as “lenses” to study phenomena might include Vygotskian learning theory, micropolitical theory, class reproduction theory, job choice theory, and social capital, as well as the theories employed by the researchers who have contributed chapters to this book. The theoretical frameworks they used include varied lenses such as Black feminist theory (Collins, 1997, 2000), liminality (Turner, 1967, 1977), transformational learning theory (Merizow, 1991), the arena model of policy innovation (Mazzoni, 1991), and grief theory (Kubler-Ross, 1969), to name a few.</w:t>
      </w:r>
    </w:p>
    <w:p/>
    <w:p>
      <w:r>
        <w:t>There are a large number and wide variety of theoretical frameworks available for qualitative researchers to consider. These frameworks originate in the many different fields of study and the many disciplines in the social and natural sciences. Thus, the well-read qualitative researcher is alert to theoretical frameworks in economics, sociology, political science, psychology, biology, physics, and anthropology, to name but a few. That researcher is also open to considering the applicability of these frameworks to the research problem chosen for study. It is, indeed, this diversity and richness of theoretical frameworks that allow us to see in new and different ways what seems to be ordinary and familiar.</w:t>
      </w:r>
    </w:p>
    <w:p/>
    <w:p>
      <w:r>
        <w:t>As an example, Hoenack and Monk (1990) applied economic theory to a study of the costs and benefits of teacher evaluation systems in education. The economic aspects they addressed included production theory and efficiency, the economics of information, performance incentives, and the distributional effects of policy interventions. The use of this unusual theoretical framework in educational research allowed the authors to present a unique view of the phenomenon being studied. Another example is Pounder and Merrill (2001), who used job choice theory (developed by Behling, Labovitz, &amp; Gainer, 1968; later adapted to an educational setting by Young, Rinehart, &amp; Place, 1989) to examine potential candidates’ perceptions and job intentions with regard to high school principalships.</w:t>
      </w:r>
    </w:p>
    <w:p/>
    <w:p>
      <w:pPr>
        <w:rPr>
          <w:b/>
          <w:bCs/>
          <w:u w:val="single"/>
        </w:rPr>
      </w:pPr>
      <w:r>
        <w:rPr>
          <w:b/>
          <w:bCs/>
          <w:u w:val="single"/>
        </w:rPr>
        <w:t>So what is your theoretical framework bearing in mind, the section above ?</w:t>
      </w:r>
    </w:p>
    <w:p/>
    <w:p>
      <w:pPr>
        <w:rPr>
          <w:b/>
          <w:bCs/>
        </w:rPr>
      </w:pPr>
      <w:r>
        <w:rPr>
          <w:b/>
          <w:bCs/>
        </w:rPr>
        <w:t>Your conceptual framework</w:t>
      </w:r>
    </w:p>
    <w:p>
      <w:pPr>
        <w:rPr>
          <w:b/>
          <w:bCs/>
        </w:rPr>
      </w:pPr>
    </w:p>
    <w:p>
      <w:r>
        <w:t>While admitting that “many social anthropologists and social phenomenologists consider social processes to be too complex, too relative, too elusive or too exotic to be approached with explicit conceptual frames,” they held that “any researcher, no matter how unstructured or inductive, comes to fieldwork with some orienting ideas” (p. 17). Without at least “some rudimentary conceptual framework” (p. 17), they argued, there would be no way to make reasoned decisions about what data to gather, and about what, and to determine what is important from among the welter of what is possible. The conceptual framework “can be rudimentary or elaborate, theory-driven or commonsensical, descriptive or causal” (p. 18), but it delineates the main things to be studied and the “presumed relationships among them” (p. 18). The conceptual framework is, according to the authors, constructed from the theories and experiences the researcher brings to and draws on in conceptualizing the study. These theories, implicit and explicit, include grand theories such as symbolic interactionism and “middle-range concepts such as culture” (p. 91), as well as “preconceptions, biases, values, frames, and rhetorical habits” (p. 91).</w:t>
      </w:r>
    </w:p>
    <w:p>
      <w:r>
        <w:t>Maxwell (1996, 2013) considered the conceptual framework as one of five components of the research design that connect and interact in a nonlinear, noncyclical fashion, “the system of concepts, assumptions, expectations, beliefs, and the theories that supports and informs your research” and speaks to “what you think is going on” (2013, p. 39). “The function of this theory is to inform the rest of your design [and] it also helps you justify your research” (2013, p. 40).</w:t>
      </w:r>
    </w:p>
    <w:p>
      <w:r>
        <w:t>In his book Conceptualizing Qualitative Inquiry (2003), Schram aligned the conceptual context of a study with theory, which he saw as extending “from formal explanatory axiom[s]… to tentative hunch[es]… to any general set of ideas that guide action” (p. 42). He contended that the researcher's perspective, fundamental beliefs, values, hunches, assumptions, and purposes for engaging in the study constitute “premises about the world and how it can be understood and studied” (p. 29) and play a “pervasive but subtle” role in directing the study. This role includes “how you engage with a preliminary sense of problem and purpose, how you portray your involvement with study participants, the way you define key concepts, how you address assumptions within your research questions” (p. 39), as well as “deciding which of the things you see are legitimate and important to document” (p. 29). Summing it up in a subsequent edition, Schram (2006) concluded that the conceptual context declares, “Here's how I am positioning my problem within an established arena of ideas, and here's why it matters” (p. 62)</w:t>
      </w:r>
    </w:p>
    <w:p>
      <w:r>
        <w:t>Similarly, whereas Bentz and Shapiro (1998) acknowledged that there are “cultures of inquiry … general approaches to creating knowledge in the human and social sciences, each with its own model of what counts as knowledge, what it is for, and how it is produced” (p. 9), they contended,</w:t>
      </w:r>
    </w:p>
    <w:p/>
    <w:p>
      <w:r>
        <w:t>Research is always carried out by an individual with a life and a life-world… a personality, a social context, and various personal and practical challenges and conflicts, all of which affect the research, from the choice of a research question or topic, through the method used, to the reporting of the project's outcome. (p. 4)</w:t>
      </w:r>
    </w:p>
    <w:p/>
    <w:p>
      <w:r>
        <w:t>Among the advocates of the position that the theoretical or conceptual framework in qualitative research is more than the methodologies and epistemologies underlying them, few are as vehement and articulate the position as cogently as Flinders and Mills (1993). In their book Theory and Concepts in Qualitative Research, they addressed the issue directly. Flinders and Mills began by asserting, “Few of us now claim that we enter the field tabula rasa, unencumbered by notions of the phenomena we seek to understand” (p. xi). They argued that theory includes “any general set of ideas that guide action” (p. xii) and that theory profoundly affects the conduct of the research. “Theory is pragmatically bound up with the activities of planning a study, gaining entry into the field, recording observations, conducting interviews, sifting through documents, and writing up research” (p. xiv). Indeed, they affirmed a statement reputed to William James, “You can’t pick up rocks in a field without a theory” (p. xii).</w:t>
      </w:r>
    </w:p>
    <w:p/>
    <w:p>
      <w:r>
        <w:t>Arguing that atheoretical research is impossible, Schwandt, in Flinders and Mills (1993), contended that it is impossible to observe and describe “the way things really are, free of any prior conceptual scheme or theory… without some theory of what is relevant to observe, how what is to be observed is to be named, and so on” (p. 8). It is “prior theoretical commitments and conceptual schemes” (p. 9) that guide the inquiry.</w:t>
      </w:r>
    </w:p>
    <w:p>
      <w:r>
        <w:t>Mills (1993) defined theory as an “analytical and interpretive framework that helps the researcher make sense of ‘what is going on in the social setting being studied’” (p. 103) and spoke about the implicit and explicit theories underlying the case that is the focus of his chapter—the beliefs, propositions, and theoretical conceptions that framed the study and its analysis, even though the theory was purported to be “emergent.” These theories, he argued, “provide the researcher with a framework for the problem and questions to be addressed in the study” (p. 114).</w:t>
      </w:r>
    </w:p>
    <w:p/>
    <w:p>
      <w:r>
        <w:t>A recent addition to resources that place the role of theory in the “more” category comes from a somewhat different position (Ravitch &amp; Riggan, 2012). First, Ravitch and Riggan (2012) reject the idea that conceptual and theoretical frameworks are essentially the same thing, contending that conceptual frameworks (their focus) are composed of three elements, “personal interests, topical research and theoretical frameworks” (p. 10), the latter defined as “formal theories that have been used in empirical work” (p. 12). The authors see the conceptual framework as affecting every aspect of the study but state quite specifically that it “also guides the way in which you think about, collect, analyze, describe and interpret your data” (p. 14).</w:t>
      </w:r>
    </w:p>
    <w:p/>
    <w:p>
      <w:pPr>
        <w:rPr>
          <w:b/>
          <w:bCs/>
          <w:u w:val="single"/>
        </w:rPr>
      </w:pPr>
      <w:r>
        <w:rPr>
          <w:b/>
          <w:bCs/>
          <w:u w:val="single"/>
        </w:rPr>
        <w:t>So what are your hunches about your research ? Draw / discuss your conceptual framework</w:t>
      </w:r>
    </w:p>
    <w:p>
      <w:pPr>
        <w:rPr>
          <w:b/>
          <w:bCs/>
        </w:rPr>
      </w:pPr>
    </w:p>
    <w:p>
      <w:pPr>
        <w:rPr>
          <w:b/>
          <w:bCs/>
        </w:rPr>
      </w:pPr>
    </w:p>
    <w:p>
      <w:pPr>
        <w:rPr>
          <w:b/>
          <w:bCs/>
        </w:rPr>
      </w:pPr>
    </w:p>
    <w:p>
      <w:pPr>
        <w:rPr>
          <w:b/>
          <w:bCs/>
        </w:rPr>
      </w:pPr>
    </w:p>
    <w:p>
      <w:pPr>
        <w:rPr>
          <w:b/>
          <w:bCs/>
        </w:rPr>
      </w:pPr>
    </w:p>
    <w:p>
      <w:pPr>
        <w:rPr>
          <w:b/>
          <w:bCs/>
        </w:rPr>
      </w:pPr>
    </w:p>
    <w:p>
      <w:pPr>
        <w:rPr>
          <w:b/>
          <w:bCs/>
        </w:rPr>
      </w:pPr>
    </w:p>
    <w:p>
      <w:pPr>
        <w:rPr>
          <w:b/>
          <w:bCs/>
        </w:rPr>
      </w:pPr>
    </w:p>
    <w:p>
      <w:pPr>
        <w:rPr>
          <w:b/>
          <w:bCs/>
        </w:rPr>
      </w:pPr>
    </w:p>
    <w:p>
      <w:pPr>
        <w:rPr>
          <w:b/>
          <w:bCs/>
        </w:rPr>
      </w:pPr>
    </w:p>
    <w:p>
      <w:pPr>
        <w:rPr>
          <w:b/>
          <w:bCs/>
        </w:rPr>
      </w:pPr>
    </w:p>
    <w:p>
      <w:pPr>
        <w:rPr>
          <w:b/>
          <w:bCs/>
        </w:rPr>
      </w:pPr>
    </w:p>
    <w:p>
      <w:pPr>
        <w:rPr>
          <w:b/>
          <w:bCs/>
        </w:rPr>
      </w:pPr>
      <w:r>
        <w:rPr>
          <w:b/>
          <w:bCs/>
        </w:rPr>
        <w:t>WRITING A PURPOSE STATEMENT</w:t>
      </w:r>
    </w:p>
    <w:p>
      <w:pPr>
        <w:rPr>
          <w:b/>
          <w:bCs/>
        </w:rPr>
      </w:pPr>
    </w:p>
    <w:p>
      <w:r>
        <w:t>Develop a preliminary purpose statement using the following guidelines:</w:t>
      </w:r>
    </w:p>
    <w:p/>
    <w:p>
      <w:pPr>
        <w:rPr>
          <w:b/>
          <w:bCs/>
        </w:rPr>
      </w:pPr>
      <w:r>
        <w:rPr>
          <w:b/>
          <w:bCs/>
        </w:rPr>
        <w:t>The purpose of this study is to _____ (describe, compare, explain) the _____ (central concept or phenomenon) for _____ (the unit of analysis: person, group, discourses) using a _____ (method of inquiry: ethnography, phenomenology, case study, grounded theory). At this stage in the research, the _____ (central concept or phenomenon) is defined generally as _____.</w:t>
      </w:r>
    </w:p>
    <w:p>
      <w:pPr>
        <w:rPr>
          <w:b/>
          <w:bCs/>
        </w:rPr>
      </w:pPr>
    </w:p>
    <w:p>
      <w:pPr>
        <w:rPr>
          <w:b/>
          <w:bCs/>
        </w:rPr>
      </w:pPr>
      <w:r>
        <w:rPr>
          <w:b/>
          <w:bCs/>
        </w:rPr>
        <w:t>Source: Adapted from Rossman and Rallis (2017, pp. 114–115), drawing on Creswell (2009).</w:t>
      </w:r>
    </w:p>
    <w:p>
      <w:pPr>
        <w:rPr>
          <w:b/>
          <w:bCs/>
        </w:rPr>
      </w:pPr>
    </w:p>
    <w:p>
      <w:pPr>
        <w:rPr>
          <w:b/>
          <w:bCs/>
        </w:rPr>
      </w:pPr>
      <w:r>
        <w:rPr>
          <w:b/>
          <w:bCs/>
        </w:rPr>
        <w:t>Matching Research Questions and Purpose</w:t>
      </w:r>
    </w:p>
    <w:p>
      <w:pPr>
        <w:rPr>
          <w:b/>
          <w:bCs/>
        </w:rPr>
      </w:pPr>
    </w:p>
    <w:p>
      <w:pPr>
        <w:rPr>
          <w:b/>
          <w:bCs/>
        </w:rPr>
      </w:pPr>
      <w:r>
        <w:rPr>
          <w:b/>
          <w:bCs/>
        </w:rPr>
        <w:t>Purpose of the Study - General Research Questions</w:t>
      </w:r>
    </w:p>
    <w:p>
      <w:pPr>
        <w:rPr>
          <w:b/>
          <w:bCs/>
        </w:rPr>
      </w:pPr>
    </w:p>
    <w:p>
      <w:pPr>
        <w:rPr>
          <w:b/>
          <w:bCs/>
        </w:rPr>
      </w:pPr>
      <w:r>
        <w:rPr>
          <w:b/>
          <w:bCs/>
        </w:rPr>
        <w:t>Exploratory</w:t>
      </w:r>
    </w:p>
    <w:p>
      <w:pPr>
        <w:rPr>
          <w:b/>
          <w:bCs/>
        </w:rPr>
      </w:pPr>
    </w:p>
    <w:p>
      <w:pPr>
        <w:spacing w:after="0" w:line="240" w:lineRule="auto"/>
      </w:pPr>
      <w:r>
        <w:t>To investigate little-understood phenomena</w:t>
      </w:r>
    </w:p>
    <w:p>
      <w:pPr>
        <w:spacing w:after="0" w:line="240" w:lineRule="auto"/>
      </w:pPr>
    </w:p>
    <w:p>
      <w:pPr>
        <w:spacing w:after="0" w:line="240" w:lineRule="auto"/>
      </w:pPr>
      <w:r>
        <w:t>To identify or discover important categories of meaning</w:t>
      </w:r>
    </w:p>
    <w:p>
      <w:pPr>
        <w:spacing w:after="0" w:line="240" w:lineRule="auto"/>
      </w:pPr>
    </w:p>
    <w:p>
      <w:pPr>
        <w:spacing w:after="0" w:line="240" w:lineRule="auto"/>
      </w:pPr>
      <w:r>
        <w:t>To generate hypotheses for further research</w:t>
      </w:r>
    </w:p>
    <w:p>
      <w:pPr>
        <w:spacing w:after="0" w:line="240" w:lineRule="auto"/>
      </w:pPr>
    </w:p>
    <w:p>
      <w:pPr>
        <w:spacing w:after="0" w:line="240" w:lineRule="auto"/>
      </w:pPr>
      <w:r>
        <w:t>What is happening in this social program?</w:t>
      </w:r>
    </w:p>
    <w:p>
      <w:pPr>
        <w:spacing w:after="0" w:line="240" w:lineRule="auto"/>
      </w:pPr>
    </w:p>
    <w:p>
      <w:pPr>
        <w:spacing w:after="0" w:line="240" w:lineRule="auto"/>
      </w:pPr>
      <w:r>
        <w:t>What are the salient themes, patterns, or categories of meaning for the participants?</w:t>
      </w:r>
    </w:p>
    <w:p>
      <w:pPr>
        <w:spacing w:after="0" w:line="240" w:lineRule="auto"/>
      </w:pPr>
    </w:p>
    <w:p>
      <w:pPr>
        <w:spacing w:after="0" w:line="240" w:lineRule="auto"/>
      </w:pPr>
      <w:r>
        <w:t>How are these patterns linked with one another?</w:t>
      </w:r>
    </w:p>
    <w:p>
      <w:pPr>
        <w:rPr>
          <w:b/>
          <w:bCs/>
        </w:rPr>
      </w:pPr>
    </w:p>
    <w:p>
      <w:pPr>
        <w:rPr>
          <w:b/>
          <w:bCs/>
        </w:rPr>
      </w:pPr>
      <w:r>
        <w:rPr>
          <w:b/>
          <w:bCs/>
        </w:rPr>
        <w:t>Explanatory</w:t>
      </w:r>
    </w:p>
    <w:p>
      <w:pPr>
        <w:rPr>
          <w:b/>
          <w:bCs/>
        </w:rPr>
      </w:pPr>
    </w:p>
    <w:p>
      <w:pPr>
        <w:spacing w:after="0" w:line="240" w:lineRule="auto"/>
      </w:pPr>
      <w:r>
        <w:t>To explain the patterns related to the phenomenon in question</w:t>
      </w:r>
    </w:p>
    <w:p>
      <w:pPr>
        <w:spacing w:after="0" w:line="240" w:lineRule="auto"/>
      </w:pPr>
    </w:p>
    <w:p>
      <w:pPr>
        <w:spacing w:after="0" w:line="240" w:lineRule="auto"/>
      </w:pPr>
      <w:r>
        <w:t>To identify plausible relationships shaping the phenomenon</w:t>
      </w:r>
    </w:p>
    <w:p>
      <w:pPr>
        <w:spacing w:after="0" w:line="240" w:lineRule="auto"/>
      </w:pPr>
    </w:p>
    <w:p>
      <w:pPr>
        <w:spacing w:after="0" w:line="240" w:lineRule="auto"/>
      </w:pPr>
      <w:r>
        <w:t>What events, beliefs, attitudes, or policies shape this phenomenon?</w:t>
      </w:r>
    </w:p>
    <w:p>
      <w:pPr>
        <w:spacing w:after="0" w:line="240" w:lineRule="auto"/>
      </w:pPr>
    </w:p>
    <w:p>
      <w:pPr>
        <w:spacing w:after="0" w:line="240" w:lineRule="auto"/>
      </w:pPr>
      <w:r>
        <w:t>How do these forces interact to result in the phenomenon?</w:t>
      </w:r>
    </w:p>
    <w:p>
      <w:pPr>
        <w:rPr>
          <w:b/>
          <w:bCs/>
        </w:rPr>
      </w:pPr>
    </w:p>
    <w:p>
      <w:pPr>
        <w:rPr>
          <w:b/>
          <w:bCs/>
        </w:rPr>
      </w:pPr>
      <w:r>
        <w:rPr>
          <w:b/>
          <w:bCs/>
        </w:rPr>
        <w:t>Descriptive</w:t>
      </w:r>
    </w:p>
    <w:p>
      <w:pPr>
        <w:rPr>
          <w:b/>
          <w:bCs/>
        </w:rPr>
      </w:pPr>
    </w:p>
    <w:p>
      <w:pPr>
        <w:spacing w:after="0" w:line="240" w:lineRule="auto"/>
      </w:pPr>
      <w:r>
        <w:t>To document and describe the phenomenon of interest</w:t>
      </w:r>
    </w:p>
    <w:p>
      <w:pPr>
        <w:spacing w:after="0" w:line="240" w:lineRule="auto"/>
      </w:pPr>
    </w:p>
    <w:p>
      <w:pPr>
        <w:spacing w:after="0" w:line="240" w:lineRule="auto"/>
      </w:pPr>
      <w:r>
        <w:t>What are the salient actions, events, beliefs, attitudes, and social structures and processes occurring in this phenomenon?</w:t>
      </w:r>
    </w:p>
    <w:p>
      <w:pPr>
        <w:rPr>
          <w:b/>
          <w:bCs/>
        </w:rPr>
      </w:pPr>
    </w:p>
    <w:p>
      <w:pPr>
        <w:rPr>
          <w:b/>
          <w:bCs/>
        </w:rPr>
      </w:pPr>
      <w:r>
        <w:rPr>
          <w:b/>
          <w:bCs/>
        </w:rPr>
        <w:t>The Significance and Potential Contributions of the Study</w:t>
      </w:r>
    </w:p>
    <w:p>
      <w:pPr>
        <w:rPr>
          <w:b/>
          <w:bCs/>
        </w:rPr>
      </w:pPr>
      <w:r>
        <w:rPr>
          <w:b/>
          <w:bCs/>
        </w:rPr>
        <w:t>Significance means what is important, what is worth paying attention to, what matters.</w:t>
      </w:r>
    </w:p>
    <w:p>
      <w:pPr>
        <w:rPr>
          <w:b/>
          <w:bCs/>
          <w:u w:val="single"/>
        </w:rPr>
      </w:pPr>
      <w:r>
        <w:rPr>
          <w:b/>
          <w:bCs/>
          <w:u w:val="single"/>
        </w:rPr>
        <w:t>What is the significance of your research ?</w:t>
      </w:r>
    </w:p>
    <w:p>
      <w:pPr>
        <w:rPr>
          <w:b/>
          <w:bCs/>
        </w:rPr>
      </w:pPr>
    </w:p>
    <w:p>
      <w:r>
        <w:t>What is significance? Think about the following questions: What is important about this study? Who might want to pay attention to it? For whom is it relevant? And . . . so what? These all capture the broad meaning of significance. This should not be confused with the probabilistic meaning of statistical significance; we construe significance as much broader than that. One of our statistician colleagues once said, “A study can be statistically significant and yet trivial.” We certainly don’t want our research to be dismissed as “trivial”!</w:t>
      </w:r>
    </w:p>
    <w:p/>
    <w:p>
      <w:r>
        <w:t>To elaborate, convincing the reader that the study is likely to be significant and should be conducted entails building an argument that links the research to important theoretical perspectives, policy issues, concerns of practice, or social issues that affect people’s everyday lives. Think of it as an opportunity to discuss ways the study is likely to contribute to these domains. Who might be interested in the results? With what groups might the results be shared? Scholars? Policymakers? Practitioners? Members of similar groups? Individuals or groups usually silenced or marginalized? The general public? The challenge here is to situate the study as addressing an important problem; defining the problem shapes the study’s significance. Table 4.2 provides a description of how purposes lead to various research questions.</w:t>
      </w:r>
    </w:p>
    <w:p/>
    <w:p>
      <w:r>
        <w:t>A clinical psychologist might identify a theoretical gap in the literature on social isolation and define the topic for an ethnography of office workers currently connected only via Zoom. Such a study may well contribute to policy and practice, as well as theory, depending on what you emphasize in the write-up. A critical race feminist sociologist could frame a study of marginalized women in the workplace and their experiences with supervisors. Again, this study might be most relevant for policy and practice but also holds promise for theory. A study of the impact of welfare reform on the lives of adult learners in basic-education courses could focus either on policy issues or on how this recurring social problem plays out in the lives of the learners. You, the researcher, develop the significance of the study by defining the problem. Some researchers are inspired to add a dimension of action to the study’s significance for policy and practice. When overly narrow views of policy and practice miss a range of meanings and needs, qualitative researchers may want to provide a holistic presentation and use their research as a tool for action (Bustelo &amp; Verloo, 2009; Lee, 2006; Wronka, 2008).</w:t>
      </w:r>
    </w:p>
    <w:p/>
    <w:p>
      <w:r>
        <w:t>Funding opportunities often focus on a specific question. A welfare-to-work grants program calling for a multisite evaluation of programs for the so-called hard to employ might provide funding and an already interested audience. It also has direct significance for policy. The same could be said of a call for proposals that analyze the experiences of children and youth studying virtually during stay-at-home requirements because of the pandemic. These are rare opportunities for the researcher. Be wary of research opportunities focused on policy for their potential to seduce the researcher into agendas serving primarily the powerful elite (Ball, 2012; Marshall, 1997a; Scheurich, 1997). Recall the discussion of explicitly ideological research in Chapter 1. For further discussion of these issues, see Oliver and Johnston (2000).</w:t>
      </w:r>
    </w:p>
    <w:p/>
    <w:p>
      <w:r>
        <w:t>A study may well be able to contribute understanding and opportunities for action in all four domains, but it is unlikely to contribute equally to all four; the statement of the topic should thus emphasize one of them. For example, a study on the integration of children with disabilities into regular classrooms could be significant for both policy and practice. Framing this as a policy study requires that the topic be situated in national and state policy debates on special education. Framing it as most significant for practice would require it to focus on structures supporting inclusive classrooms. Both frames are legitimate and defensible; your challenge is to argue for the study’s potential contributions to the domains in which you are most interested. This, in turn, has implications for the literature review and design of the study.</w:t>
      </w:r>
    </w:p>
    <w:p>
      <w:r>
        <w:t>As social researchers in which way are you organisational and or social engineers?</w:t>
      </w:r>
    </w:p>
    <w:p>
      <w:r>
        <w:t>In Carey’s (1975) social history of the ‘Chicago School’ of sociology, he writes that in the 1920s the foremost practitioners of the foremost school of sociology were divided about how sociological knowledge should be applied. Should it be used to influence policy-makers? Or (and here lies a surprise) should sociologists intervene in social problems directly as consulting professionals, like clinicians or architects? Some hundred years earlier Auguste Comte had proposed a similar priestly cadre of sociologists to direct society along enlightened (and Enlightenment) paths. It was the absence of power, rather than humility, which thwarted the would-be social engineers of the 1920s: in Carey’s analysis (1975: 71–94), it was the lack of the kind of institutionalized authority which medicine exercises over a lay clientele, rather than any acknowledged deficiency in knowledge or in technical competence, which determined the path along which sociology would develop. Sociologists eventually opted to set out their stalls as scientists rather than professionals, and the West was largely spared the directive intervention of social experts (the peoples of the Soviet Union were less fortunate).</w:t>
      </w:r>
    </w:p>
    <w:p>
      <w:pPr>
        <w:rPr>
          <w:b/>
          <w:bCs/>
        </w:rPr>
      </w:pPr>
      <w:r>
        <w:rPr>
          <w:b/>
          <w:bCs/>
        </w:rPr>
        <w:t>Please produce a concept map of the literature review</w:t>
      </w:r>
    </w:p>
    <w:p>
      <w:r>
        <w:t xml:space="preserve">This activity invites you to create a collage that depicts, in a preliminary way, the various strands in the literature you may draw on and how they may relate to one another. </w:t>
      </w:r>
    </w:p>
    <w:p>
      <w:r>
        <w:t>First, with your critical friends, share or brainstorm key concepts/strands that you have identified in the literature. Second, build your collage, taking time to let the creative insights emerge. Third, share your collage, describing the key strands and how, at this point, you think they relate to one another. Finally, keep this collage handy for future reference. Depicting complex reasoning in collage form can encourage insights, as can the discussion with your group.</w:t>
      </w:r>
    </w:p>
    <w:p/>
    <w:p>
      <w:r>
        <w:t>Source: Adapted from Rossman and Rallis (2017, pp. 125–126).</w:t>
      </w:r>
    </w:p>
    <w:p/>
    <w:sectPr>
      <w:headerReference r:id="rId3" w:type="default"/>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8030705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Arial">
    <w:panose1 w:val="020B0704020202020204"/>
    <w:charset w:val="00"/>
    <w:family w:val="swiss"/>
    <w:pitch w:val="default"/>
    <w:sig w:usb0="E0002AFF" w:usb1="C0007843" w:usb2="00000009" w:usb3="00000000" w:csb0="400001FF" w:csb1="FFFF0000"/>
  </w:font>
  <w:font w:name="DengXian Light">
    <w:altName w:val="汉仪中等线KW"/>
    <w:panose1 w:val="02010600030101010101"/>
    <w:charset w:val="86"/>
    <w:family w:val="auto"/>
    <w:pitch w:val="default"/>
    <w:sig w:usb0="00000000" w:usb1="00000000" w:usb2="00000016" w:usb3="00000000" w:csb0="0004000F"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AFF" w:usb1="C000605B" w:usb2="00000029" w:usb3="00000000" w:csb0="200101FF" w:csb1="20280000"/>
  </w:font>
  <w:font w:name="Symbol">
    <w:altName w:val="Kingsoft Sign"/>
    <w:panose1 w:val="05050102010706020507"/>
    <w:charset w:val="02"/>
    <w:family w:val="roman"/>
    <w:pitch w:val="default"/>
    <w:sig w:usb0="00000000" w:usb1="00000000" w:usb2="00000000" w:usb3="00000000" w:csb0="80000000" w:csb1="00000000"/>
  </w:font>
  <w:font w:name="Courier New">
    <w:panose1 w:val="02070309020205020404"/>
    <w:charset w:val="00"/>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等线 Light">
    <w:altName w:val="汉仪中等线KW"/>
    <w:panose1 w:val="02010600030101010101"/>
    <w:charset w:val="86"/>
    <w:family w:val="auto"/>
    <w:pitch w:val="default"/>
    <w:sig w:usb0="00000000" w:usb1="00000000" w:usb2="00000016" w:usb3="00000000" w:csb0="0004000F" w:csb1="00000000"/>
  </w:font>
  <w:font w:name="冬青黑体简体中文">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Times New Roman Regular">
    <w:panose1 w:val="02020803070505020304"/>
    <w:charset w:val="00"/>
    <w:family w:val="auto"/>
    <w:pitch w:val="default"/>
    <w:sig w:usb0="E0002AEF" w:usb1="C0007841" w:usb2="00000009" w:usb3="00000000" w:csb0="400001FF" w:csb1="FFFF0000"/>
  </w:font>
  <w:font w:name="Times New Roman Bold">
    <w:panose1 w:val="02020803070505020304"/>
    <w:charset w:val="00"/>
    <w:family w:val="auto"/>
    <w:pitch w:val="default"/>
    <w:sig w:usb0="E0002AEF" w:usb1="C0007841" w:usb2="00000009" w:usb3="00000000" w:csb0="400001FF" w:csb1="FFFF0000"/>
  </w:font>
  <w:font w:name="Source Sans Pro">
    <w:altName w:val="苹方-简"/>
    <w:panose1 w:val="00000000000000000000"/>
    <w:charset w:val="00"/>
    <w:family w:val="auto"/>
    <w:pitch w:val="default"/>
    <w:sig w:usb0="00000000" w:usb1="00000000" w:usb2="00000000" w:usb3="00000000" w:csb0="00000000" w:csb1="00000000"/>
  </w:font>
  <w:font w:name="Times New Roman Italic">
    <w:panose1 w:val="02020803070505020304"/>
    <w:charset w:val="00"/>
    <w:family w:val="auto"/>
    <w:pitch w:val="default"/>
    <w:sig w:usb0="E0002AEF" w:usb1="C0007841" w:usb2="00000009" w:usb3="00000000" w:csb0="400001FF" w:csb1="FFFF0000"/>
  </w:font>
  <w:font w:name="Times New Roman Bold Italic">
    <w:panose1 w:val="02020803070505020304"/>
    <w:charset w:val="00"/>
    <w:family w:val="auto"/>
    <w:pitch w:val="default"/>
    <w:sig w:usb0="E0002AEF" w:usb1="C0007841" w:usb2="00000009" w:usb3="00000000" w:csb0="400001FF" w:csb1="FFFF0000"/>
  </w:font>
  <w:font w:name="TimesNewRomanPSMT">
    <w:panose1 w:val="02020803070505020304"/>
    <w:charset w:val="00"/>
    <w:family w:val="auto"/>
    <w:pitch w:val="default"/>
    <w:sig w:usb0="E0002AEF" w:usb1="C0007841" w:usb2="00000009" w:usb3="00000000" w:csb0="400001FF" w:csb1="FFFF0000"/>
  </w:font>
  <w:font w:name="AdvOT6520a694">
    <w:altName w:val="苹方-简"/>
    <w:panose1 w:val="00000000000000000000"/>
    <w:charset w:val="00"/>
    <w:family w:val="auto"/>
    <w:pitch w:val="default"/>
    <w:sig w:usb0="00000000" w:usb1="00000000" w:usb2="00000000" w:usb3="00000000" w:csb0="00000000" w:csb1="00000000"/>
  </w:font>
  <w:font w:name="AdvOT6520a694 + fb">
    <w:altName w:val="苹方-简"/>
    <w:panose1 w:val="00000000000000000000"/>
    <w:charset w:val="00"/>
    <w:family w:val="auto"/>
    <w:pitch w:val="default"/>
    <w:sig w:usb0="00000000" w:usb1="00000000" w:usb2="00000000" w:usb3="00000000" w:csb0="00000000" w:csb1="00000000"/>
  </w:font>
  <w:font w:name="-apple-system">
    <w:altName w:val="苹方-简"/>
    <w:panose1 w:val="00000000000000000000"/>
    <w:charset w:val="00"/>
    <w:family w:val="auto"/>
    <w:pitch w:val="default"/>
    <w:sig w:usb0="00000000" w:usb1="00000000" w:usb2="0000000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Helvetica">
    <w:panose1 w:val="00000000000000000000"/>
    <w:charset w:val="00"/>
    <w:family w:val="swiss"/>
    <w:pitch w:val="default"/>
    <w:sig w:usb0="E00002FF" w:usb1="5000785B" w:usb2="00000000" w:usb3="00000000" w:csb0="2000019F" w:csb1="4F010000"/>
  </w:font>
  <w:font w:name="Segoe UI">
    <w:altName w:val="苹方-简"/>
    <w:panose1 w:val="020B0502040204020203"/>
    <w:charset w:val="00"/>
    <w:family w:val="swiss"/>
    <w:pitch w:val="default"/>
    <w:sig w:usb0="00000000" w:usb1="00000000" w:usb2="00000009" w:usb3="00000000" w:csb0="000001FF" w:csb1="00000000"/>
  </w:font>
  <w:font w:name="宋体-简">
    <w:panose1 w:val="02010800040101010101"/>
    <w:charset w:val="86"/>
    <w:family w:val="auto"/>
    <w:pitch w:val="default"/>
    <w:sig w:usb0="00000001" w:usb1="080F0000" w:usb2="00000000" w:usb3="00000000" w:csb0="00040000" w:csb1="00000000"/>
  </w:font>
  <w:font w:name="StoneSerifStd-Medium">
    <w:altName w:val="苹方-简"/>
    <w:panose1 w:val="00000000000000000000"/>
    <w:charset w:val="00"/>
    <w:family w:val="auto"/>
    <w:pitch w:val="default"/>
    <w:sig w:usb0="00000000" w:usb1="00000000" w:usb2="00000000" w:usb3="00000000" w:csb0="00000000" w:csb1="00000000"/>
  </w:font>
  <w:font w:name="Interstate-Light">
    <w:altName w:val="苹方-简"/>
    <w:panose1 w:val="00000000000000000000"/>
    <w:charset w:val="00"/>
    <w:family w:val="auto"/>
    <w:pitch w:val="default"/>
    <w:sig w:usb0="00000000" w:usb1="00000000" w:usb2="00000000" w:usb3="00000000" w:csb0="00000000" w:csb1="00000000"/>
  </w:font>
  <w:font w:name="Interstate-Bold">
    <w:altName w:val="苹方-简"/>
    <w:panose1 w:val="00000000000000000000"/>
    <w:charset w:val="00"/>
    <w:family w:val="auto"/>
    <w:pitch w:val="default"/>
    <w:sig w:usb0="00000000" w:usb1="00000000" w:usb2="00000000" w:usb3="00000000" w:csb0="00000000" w:csb1="00000000"/>
  </w:font>
  <w:font w:name="StoneSerifStd-MediumItalic">
    <w:altName w:val="苹方-简"/>
    <w:panose1 w:val="00000000000000000000"/>
    <w:charset w:val="00"/>
    <w:family w:val="auto"/>
    <w:pitch w:val="default"/>
    <w:sig w:usb0="00000000" w:usb1="00000000" w:usb2="00000000" w:usb3="00000000" w:csb0="00000000" w:csb1="00000000"/>
  </w:font>
  <w:font w:name="StoneSerifStd-Bold">
    <w:altName w:val="苹方-简"/>
    <w:panose1 w:val="00000000000000000000"/>
    <w:charset w:val="00"/>
    <w:family w:val="auto"/>
    <w:pitch w:val="default"/>
    <w:sig w:usb0="00000000" w:usb1="00000000" w:usb2="00000000" w:usb3="00000000" w:csb0="00000000" w:csb1="00000000"/>
  </w:font>
  <w:font w:name="robotoregular">
    <w:altName w:val="苹方-简"/>
    <w:panose1 w:val="00000000000000000000"/>
    <w:charset w:val="00"/>
    <w:family w:val="auto"/>
    <w:pitch w:val="default"/>
    <w:sig w:usb0="00000000" w:usb1="00000000" w:usb2="00000000" w:usb3="00000000" w:csb0="00000000" w:csb1="00000000"/>
  </w:font>
  <w:font w:name="AdvPS8588">
    <w:altName w:val="苹方-简"/>
    <w:panose1 w:val="00000000000000000000"/>
    <w:charset w:val="00"/>
    <w:family w:val="auto"/>
    <w:pitch w:val="default"/>
    <w:sig w:usb0="00000000" w:usb1="00000000" w:usb2="00000000" w:usb3="00000000" w:csb0="00000000" w:csb1="00000000"/>
  </w:font>
  <w:font w:name="Open Sans">
    <w:altName w:val="苹方-简"/>
    <w:panose1 w:val="00000000000000000000"/>
    <w:charset w:val="00"/>
    <w:family w:val="auto"/>
    <w:pitch w:val="default"/>
    <w:sig w:usb0="00000000" w:usb1="00000000" w:usb2="00000000" w:usb3="00000000" w:csb0="00000000" w:csb1="00000000"/>
  </w:font>
  <w:font w:name="AdvOT55248eb3 . B">
    <w:altName w:val="苹方-简"/>
    <w:panose1 w:val="00000000000000000000"/>
    <w:charset w:val="00"/>
    <w:family w:val="auto"/>
    <w:pitch w:val="default"/>
    <w:sig w:usb0="00000000" w:usb1="00000000" w:usb2="00000000" w:usb3="00000000" w:csb0="00000000" w:csb1="00000000"/>
  </w:font>
  <w:font w:name="AdvOT4b47d116">
    <w:altName w:val="苹方-简"/>
    <w:panose1 w:val="00000000000000000000"/>
    <w:charset w:val="00"/>
    <w:family w:val="auto"/>
    <w:pitch w:val="default"/>
    <w:sig w:usb0="00000000" w:usb1="00000000" w:usb2="00000000" w:usb3="00000000" w:csb0="00000000" w:csb1="00000000"/>
  </w:font>
  <w:font w:name="AdvOT4b47d116 + 20">
    <w:altName w:val="苹方-简"/>
    <w:panose1 w:val="00000000000000000000"/>
    <w:charset w:val="00"/>
    <w:family w:val="auto"/>
    <w:pitch w:val="default"/>
    <w:sig w:usb0="00000000" w:usb1="00000000" w:usb2="00000000" w:usb3="00000000" w:csb0="00000000" w:csb1="00000000"/>
  </w:font>
  <w:font w:name="AdvOT4b47d116 + fb">
    <w:altName w:val="苹方-简"/>
    <w:panose1 w:val="00000000000000000000"/>
    <w:charset w:val="00"/>
    <w:family w:val="auto"/>
    <w:pitch w:val="default"/>
    <w:sig w:usb0="00000000" w:usb1="00000000" w:usb2="00000000" w:usb3="00000000" w:csb0="00000000" w:csb1="00000000"/>
  </w:font>
  <w:font w:name="AdvOTb63a3543 . I">
    <w:altName w:val="苹方-简"/>
    <w:panose1 w:val="00000000000000000000"/>
    <w:charset w:val="00"/>
    <w:family w:val="auto"/>
    <w:pitch w:val="default"/>
    <w:sig w:usb0="00000000" w:usb1="00000000" w:usb2="00000000" w:usb3="00000000" w:csb0="00000000" w:csb1="00000000"/>
  </w:font>
  <w:font w:name="OpenSymbol">
    <w:altName w:val="Thonburi"/>
    <w:panose1 w:val="00000000000000000000"/>
    <w:charset w:val="02"/>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egoe UI Symbol">
    <w:altName w:val="苹方-简"/>
    <w:panose1 w:val="020B0502040204020203"/>
    <w:charset w:val="00"/>
    <w:family w:val="swiss"/>
    <w:pitch w:val="default"/>
    <w:sig w:usb0="00000000" w:usb1="00000000" w:usb2="00040000" w:usb3="00000000" w:csb0="00000001" w:csb1="00000000"/>
  </w:font>
  <w:font w:name="MS Gothic">
    <w:altName w:val="Hiragino Sans"/>
    <w:panose1 w:val="020B0609070205080204"/>
    <w:charset w:val="80"/>
    <w:family w:val="modern"/>
    <w:pitch w:val="default"/>
    <w:sig w:usb0="00000000" w:usb1="00000000" w:usb2="08000012" w:usb3="00000000" w:csb0="0002009F" w:csb1="00000000"/>
  </w:font>
  <w:font w:name="Arial Unicode MS">
    <w:panose1 w:val="020B0604020202020204"/>
    <w:charset w:val="86"/>
    <w:family w:val="auto"/>
    <w:pitch w:val="default"/>
    <w:sig w:usb0="FFFFFFFF" w:usb1="E9FFFFFF" w:usb2="0000003F" w:usb3="00000000" w:csb0="603F01FF" w:csb1="FFFF0000"/>
  </w:font>
  <w:font w:name="Hiragino Sans">
    <w:panose1 w:val="020B0700000000000000"/>
    <w:charset w:val="80"/>
    <w:family w:val="auto"/>
    <w:pitch w:val="default"/>
    <w:sig w:usb0="800002CF" w:usb1="6AC7FCFC" w:usb2="00000012" w:usb3="00000000" w:csb0="0002000D" w:csb1="00000000"/>
  </w:font>
  <w:font w:name="Thonburi">
    <w:panose1 w:val="00000400000000000000"/>
    <w:charset w:val="00"/>
    <w:family w:val="auto"/>
    <w:pitch w:val="default"/>
    <w:sig w:usb0="01000000" w:usb1="00000000" w:usb2="00000000" w:usb3="00000000" w:csb0="20000193" w:csb1="4D000000"/>
  </w:font>
  <w:font w:name="Arial Bold">
    <w:panose1 w:val="020B0704020202020204"/>
    <w:charset w:val="00"/>
    <w:family w:val="auto"/>
    <w:pitch w:val="default"/>
    <w:sig w:usb0="E0002AFF" w:usb1="C0007843" w:usb2="00000009" w:usb3="00000000" w:csb0="400001FF" w:csb1="FFFF0000"/>
  </w:font>
  <w:font w:name="Arial Bold Italic">
    <w:panose1 w:val="020B07040202020202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Interstate-Regular">
    <w:altName w:val="苹方-简"/>
    <w:panose1 w:val="00000000000000000000"/>
    <w:charset w:val="00"/>
    <w:family w:val="auto"/>
    <w:pitch w:val="default"/>
    <w:sig w:usb0="00000000" w:usb1="00000000" w:usb2="00000000" w:usb3="00000000" w:csb0="00000000" w:csb1="00000000"/>
  </w:font>
  <w:font w:name="SymbolMT">
    <w:altName w:val="苹方-简"/>
    <w:panose1 w:val="00000000000000000000"/>
    <w:charset w:val="00"/>
    <w:family w:val="auto"/>
    <w:pitch w:val="default"/>
    <w:sig w:usb0="00000000" w:usb1="00000000" w:usb2="00000000" w:usb3="00000000" w:csb0="00000000" w:csb1="00000000"/>
  </w:font>
  <w:font w:name="MinionPro-Regular">
    <w:altName w:val="苹方-简"/>
    <w:panose1 w:val="00000000000000000000"/>
    <w:charset w:val="00"/>
    <w:family w:val="auto"/>
    <w:pitch w:val="default"/>
    <w:sig w:usb0="00000000" w:usb1="00000000" w:usb2="00000000" w:usb3="00000000" w:csb0="00000000" w:csb1="00000000"/>
  </w:font>
  <w:font w:name="SourceSansPro-Regular">
    <w:altName w:val="苹方-简"/>
    <w:panose1 w:val="00000000000000000000"/>
    <w:charset w:val="00"/>
    <w:family w:val="auto"/>
    <w:pitch w:val="default"/>
    <w:sig w:usb0="00000000" w:usb1="00000000" w:usb2="00000000" w:usb3="00000000" w:csb0="00000000" w:csb1="00000000"/>
  </w:font>
  <w:font w:name="PalatinoLinotype-Roman">
    <w:altName w:val="苹方-简"/>
    <w:panose1 w:val="00000000000000000000"/>
    <w:charset w:val="00"/>
    <w:family w:val="auto"/>
    <w:pitch w:val="default"/>
    <w:sig w:usb0="00000000" w:usb1="00000000" w:usb2="00000000" w:usb3="00000000" w:csb0="00000000" w:csb1="00000000"/>
  </w:font>
  <w:font w:name="PalatinoLinotype-Italic">
    <w:altName w:val="苹方-简"/>
    <w:panose1 w:val="00000000000000000000"/>
    <w:charset w:val="00"/>
    <w:family w:val="auto"/>
    <w:pitch w:val="default"/>
    <w:sig w:usb0="00000000" w:usb1="00000000" w:usb2="00000000" w:usb3="00000000" w:csb0="00000000" w:csb1="00000000"/>
  </w:font>
  <w:font w:name="roboto">
    <w:altName w:val="苹方-简"/>
    <w:panose1 w:val="00000000000000000000"/>
    <w:charset w:val="00"/>
    <w:family w:val="auto"/>
    <w:pitch w:val="default"/>
    <w:sig w:usb0="00000000" w:usb1="00000000" w:usb2="00000000" w:usb3="00000000" w:csb0="00000000" w:csb1="00000000"/>
  </w:font>
  <w:font w:name="Fd5430">
    <w:altName w:val="苹方-简"/>
    <w:panose1 w:val="00000000000000000000"/>
    <w:charset w:val="00"/>
    <w:family w:val="auto"/>
    <w:pitch w:val="default"/>
    <w:sig w:usb0="00000000" w:usb1="00000000" w:usb2="00000000" w:usb3="00000000" w:csb0="00000000" w:csb1="00000000"/>
  </w:font>
  <w:font w:name="TimesNewRomanPS-BoldMT">
    <w:panose1 w:val="02020803070505020304"/>
    <w:charset w:val="00"/>
    <w:family w:val="auto"/>
    <w:pitch w:val="default"/>
    <w:sig w:usb0="E0002AEF" w:usb1="C0007841" w:usb2="00000009" w:usb3="00000000" w:csb0="400001FF" w:csb1="FFFF0000"/>
  </w:font>
  <w:font w:name="ITCGaramondStd-Bk">
    <w:altName w:val="苹方-简"/>
    <w:panose1 w:val="00000000000000000000"/>
    <w:charset w:val="00"/>
    <w:family w:val="auto"/>
    <w:pitch w:val="default"/>
    <w:sig w:usb0="00000000" w:usb1="00000000" w:usb2="00000000" w:usb3="00000000" w:csb0="00000000" w:csb1="00000000"/>
  </w:font>
  <w:font w:name="AdvOTc9c0ed35 . B">
    <w:altName w:val="苹方-简"/>
    <w:panose1 w:val="00000000000000000000"/>
    <w:charset w:val="00"/>
    <w:family w:val="auto"/>
    <w:pitch w:val="default"/>
    <w:sig w:usb0="00000000" w:usb1="00000000" w:usb2="00000000" w:usb3="00000000" w:csb0="00000000" w:csb1="00000000"/>
  </w:font>
  <w:font w:name="AdvOT6520a694 + 20">
    <w:altName w:val="苹方-简"/>
    <w:panose1 w:val="00000000000000000000"/>
    <w:charset w:val="00"/>
    <w:family w:val="auto"/>
    <w:pitch w:val="default"/>
    <w:sig w:usb0="00000000" w:usb1="00000000" w:usb2="00000000" w:usb3="00000000" w:csb0="00000000" w:csb1="00000000"/>
  </w:font>
  <w:font w:name="Times Regular">
    <w:panose1 w:val="00000500000000020000"/>
    <w:charset w:val="00"/>
    <w:family w:val="auto"/>
    <w:pitch w:val="default"/>
    <w:sig w:usb0="E00002FF" w:usb1="5000205A" w:usb2="00000000" w:usb3="00000000" w:csb0="2000019F" w:csb1="4F010000"/>
  </w:font>
  <w:font w:name="CharisSIL">
    <w:altName w:val="苹方-简"/>
    <w:panose1 w:val="00000000000000000000"/>
    <w:charset w:val="00"/>
    <w:family w:val="auto"/>
    <w:pitch w:val="default"/>
    <w:sig w:usb0="00000000" w:usb1="00000000" w:usb2="00000000" w:usb3="00000000" w:csb0="00000000" w:csb1="00000000"/>
  </w:font>
  <w:font w:name="NexusSerif">
    <w:altName w:val="苹方-简"/>
    <w:panose1 w:val="00000000000000000000"/>
    <w:charset w:val="00"/>
    <w:family w:val="auto"/>
    <w:pitch w:val="default"/>
    <w:sig w:usb0="00000000" w:usb1="00000000" w:usb2="00000000" w:usb3="00000000" w:csb0="0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00000000" w:usb1="00000000"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幼圆">
    <w:altName w:val="华文宋体"/>
    <w:panose1 w:val="02010509060101010101"/>
    <w:charset w:val="86"/>
    <w:family w:val="auto"/>
    <w:pitch w:val="default"/>
    <w:sig w:usb0="00000000" w:usb1="0000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华文宋体">
    <w:panose1 w:val="02010600040101010101"/>
    <w:charset w:val="86"/>
    <w:family w:val="auto"/>
    <w:pitch w:val="default"/>
    <w:sig w:usb0="80000287" w:usb1="280F3C52" w:usb2="00000016" w:usb3="00000000" w:csb0="0004001F" w:csb1="00000000"/>
  </w:font>
  <w:font w:name="等线 Light">
    <w:altName w:val="汉仪中等线KW"/>
    <w:panose1 w:val="00000000000000000000"/>
    <w:charset w:val="00"/>
    <w:family w:val="auto"/>
    <w:pitch w:val="default"/>
    <w:sig w:usb0="00000000" w:usb1="00000000" w:usb2="00000000" w:usb3="00000000" w:csb0="00000000" w:csb1="00000000"/>
  </w:font>
  <w:font w:name="Arial Unicode MS">
    <w:panose1 w:val="020B0604020202020204"/>
    <w:charset w:val="80"/>
    <w:family w:val="swiss"/>
    <w:pitch w:val="default"/>
    <w:sig w:usb0="FFFFFFFF" w:usb1="E9FFFFFF" w:usb2="0000003F" w:usb3="00000000" w:csb0="603F01FF" w:csb1="FFFF0000"/>
  </w:font>
  <w:font w:name="CG Times (WN)">
    <w:altName w:val="苹方-简"/>
    <w:panose1 w:val="00000000000000000000"/>
    <w:charset w:val="00"/>
    <w:family w:val="roman"/>
    <w:pitch w:val="default"/>
    <w:sig w:usb0="00000000" w:usb1="00000000" w:usb2="00000000" w:usb3="00000000" w:csb0="00000001" w:csb1="00000000"/>
  </w:font>
  <w:font w:name="Verdana">
    <w:panose1 w:val="020B0604030504040204"/>
    <w:charset w:val="00"/>
    <w:family w:val="swiss"/>
    <w:pitch w:val="default"/>
    <w:sig w:usb0="A10006FF" w:usb1="4000205B" w:usb2="00000010" w:usb3="00000000" w:csb0="2000019F" w:csb1="00000000"/>
  </w:font>
  <w:font w:name="calib">
    <w:altName w:val="苹方-简"/>
    <w:panose1 w:val="00000000000000000000"/>
    <w:charset w:val="00"/>
    <w:family w:val="auto"/>
    <w:pitch w:val="default"/>
    <w:sig w:usb0="00000000" w:usb1="00000000" w:usb2="00000000" w:usb3="00000000" w:csb0="00000000" w:csb1="00000000"/>
  </w:font>
  <w:font w:name="Segoe Script">
    <w:altName w:val="苹方-简"/>
    <w:panose1 w:val="030B0804020000000003"/>
    <w:charset w:val="00"/>
    <w:family w:val="swiss"/>
    <w:pitch w:val="default"/>
    <w:sig w:usb0="00000000" w:usb1="00000000" w:usb2="00000000" w:usb3="00000000" w:csb0="000000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t>ADRS LCDB7012 Dr Caroline Jawad 4 July 2022</w:t>
    </w:r>
  </w:p>
  <w:p>
    <w:pPr>
      <w:pStyle w:val="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AD4B7B"/>
    <w:multiLevelType w:val="multilevel"/>
    <w:tmpl w:val="27AD4B7B"/>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D61CF0"/>
    <w:multiLevelType w:val="multilevel"/>
    <w:tmpl w:val="5AD61CF0"/>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6362471C"/>
    <w:multiLevelType w:val="singleLevel"/>
    <w:tmpl w:val="6362471C"/>
    <w:lvl w:ilvl="0" w:tentative="0">
      <w:start w:val="1"/>
      <w:numFmt w:val="decimal"/>
      <w:suff w:val="nothing"/>
      <w:lvlText w:val="%1）"/>
      <w:lvlJc w:val="left"/>
    </w:lvl>
  </w:abstractNum>
  <w:abstractNum w:abstractNumId="3">
    <w:nsid w:val="63624876"/>
    <w:multiLevelType w:val="singleLevel"/>
    <w:tmpl w:val="63624876"/>
    <w:lvl w:ilvl="0" w:tentative="0">
      <w:start w:val="1"/>
      <w:numFmt w:val="decimal"/>
      <w:suff w:val="space"/>
      <w:lvlText w:val="%1)"/>
      <w:lvlJc w:val="left"/>
    </w:lvl>
  </w:abstractNum>
  <w:abstractNum w:abstractNumId="4">
    <w:nsid w:val="63625C80"/>
    <w:multiLevelType w:val="singleLevel"/>
    <w:tmpl w:val="63625C80"/>
    <w:lvl w:ilvl="0" w:tentative="0">
      <w:start w:val="1"/>
      <w:numFmt w:val="decimal"/>
      <w:suff w:val="space"/>
      <w:lvlText w:val="%1)"/>
      <w:lvlJc w:val="left"/>
    </w:lvl>
  </w:abstractNum>
  <w:abstractNum w:abstractNumId="5">
    <w:nsid w:val="63625DE0"/>
    <w:multiLevelType w:val="singleLevel"/>
    <w:tmpl w:val="63625DE0"/>
    <w:lvl w:ilvl="0" w:tentative="0">
      <w:start w:val="1"/>
      <w:numFmt w:val="decimal"/>
      <w:suff w:val="space"/>
      <w:lvlText w:val="%1)"/>
      <w:lvlJc w:val="left"/>
    </w:lvl>
  </w:abstractNum>
  <w:abstractNum w:abstractNumId="6">
    <w:nsid w:val="636260CA"/>
    <w:multiLevelType w:val="singleLevel"/>
    <w:tmpl w:val="636260CA"/>
    <w:lvl w:ilvl="0" w:tentative="0">
      <w:start w:val="1"/>
      <w:numFmt w:val="decimal"/>
      <w:suff w:val="space"/>
      <w:lvlText w:val="%1)"/>
      <w:lvlJc w:val="left"/>
    </w:lvl>
  </w:abstractNum>
  <w:abstractNum w:abstractNumId="7">
    <w:nsid w:val="6362621C"/>
    <w:multiLevelType w:val="singleLevel"/>
    <w:tmpl w:val="6362621C"/>
    <w:lvl w:ilvl="0" w:tentative="0">
      <w:start w:val="1"/>
      <w:numFmt w:val="decimal"/>
      <w:suff w:val="space"/>
      <w:lvlText w:val="%1)"/>
      <w:lvlJc w:val="left"/>
    </w:lvl>
  </w:abstractNum>
  <w:num w:numId="1">
    <w:abstractNumId w:val="2"/>
  </w:num>
  <w:num w:numId="2">
    <w:abstractNumId w:val="0"/>
  </w:num>
  <w:num w:numId="3">
    <w:abstractNumId w:val="3"/>
  </w:num>
  <w:num w:numId="4">
    <w:abstractNumId w:val="4"/>
  </w:num>
  <w:num w:numId="5">
    <w:abstractNumId w:val="5"/>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E99"/>
    <w:rsid w:val="00055556"/>
    <w:rsid w:val="000659EC"/>
    <w:rsid w:val="00071AD5"/>
    <w:rsid w:val="00083E99"/>
    <w:rsid w:val="000A31CC"/>
    <w:rsid w:val="000B7CF5"/>
    <w:rsid w:val="00107D75"/>
    <w:rsid w:val="00121950"/>
    <w:rsid w:val="001E61CF"/>
    <w:rsid w:val="00221F9F"/>
    <w:rsid w:val="00297E46"/>
    <w:rsid w:val="002D0D2B"/>
    <w:rsid w:val="0033365E"/>
    <w:rsid w:val="003539F6"/>
    <w:rsid w:val="00365A46"/>
    <w:rsid w:val="00421377"/>
    <w:rsid w:val="004B290D"/>
    <w:rsid w:val="004B521B"/>
    <w:rsid w:val="004D6AED"/>
    <w:rsid w:val="00593431"/>
    <w:rsid w:val="00670FAA"/>
    <w:rsid w:val="00693B99"/>
    <w:rsid w:val="00777F50"/>
    <w:rsid w:val="00805DF3"/>
    <w:rsid w:val="00813CF4"/>
    <w:rsid w:val="00822129"/>
    <w:rsid w:val="00826755"/>
    <w:rsid w:val="00835436"/>
    <w:rsid w:val="0090148A"/>
    <w:rsid w:val="00907951"/>
    <w:rsid w:val="0091143E"/>
    <w:rsid w:val="0091242B"/>
    <w:rsid w:val="009932FC"/>
    <w:rsid w:val="00996CE7"/>
    <w:rsid w:val="00A34555"/>
    <w:rsid w:val="00B02DE0"/>
    <w:rsid w:val="00B54C92"/>
    <w:rsid w:val="00B76BBC"/>
    <w:rsid w:val="00BA6C11"/>
    <w:rsid w:val="00C401D4"/>
    <w:rsid w:val="00C40DAB"/>
    <w:rsid w:val="00C863D9"/>
    <w:rsid w:val="00CB7F6F"/>
    <w:rsid w:val="00D4159D"/>
    <w:rsid w:val="00D74990"/>
    <w:rsid w:val="00DF2603"/>
    <w:rsid w:val="00E10434"/>
    <w:rsid w:val="00E209FD"/>
    <w:rsid w:val="00EF24C0"/>
    <w:rsid w:val="00F07935"/>
    <w:rsid w:val="00F27AC2"/>
    <w:rsid w:val="5FFBE9F2"/>
    <w:rsid w:val="6FBFF617"/>
    <w:rsid w:val="7ED7B543"/>
    <w:rsid w:val="7FEC57C9"/>
    <w:rsid w:val="9FAF074E"/>
    <w:rsid w:val="B3EF7AC7"/>
    <w:rsid w:val="FF777E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kern w:val="2"/>
      <w:sz w:val="22"/>
      <w:szCs w:val="22"/>
      <w:lang w:val="en-GB" w:eastAsia="zh-CN" w:bidi="ar-SA"/>
      <w14:ligatures w14:val="standardContextual"/>
    </w:rPr>
  </w:style>
  <w:style w:type="character" w:default="1" w:styleId="4">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513"/>
        <w:tab w:val="right" w:pos="9026"/>
      </w:tabs>
      <w:spacing w:after="0" w:line="240" w:lineRule="auto"/>
    </w:pPr>
  </w:style>
  <w:style w:type="paragraph" w:styleId="3">
    <w:name w:val="header"/>
    <w:basedOn w:val="1"/>
    <w:link w:val="7"/>
    <w:unhideWhenUsed/>
    <w:qFormat/>
    <w:uiPriority w:val="99"/>
    <w:pPr>
      <w:tabs>
        <w:tab w:val="center" w:pos="4513"/>
        <w:tab w:val="right" w:pos="9026"/>
      </w:tabs>
      <w:spacing w:after="0" w:line="240" w:lineRule="auto"/>
    </w:pPr>
  </w:style>
  <w:style w:type="table" w:styleId="6">
    <w:name w:val="Table Grid"/>
    <w:basedOn w:val="5"/>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Header Char"/>
    <w:basedOn w:val="4"/>
    <w:link w:val="3"/>
    <w:qFormat/>
    <w:uiPriority w:val="99"/>
  </w:style>
  <w:style w:type="character" w:customStyle="1" w:styleId="8">
    <w:name w:val="Footer Char"/>
    <w:basedOn w:val="4"/>
    <w:link w:val="2"/>
    <w:qFormat/>
    <w:uiPriority w:val="99"/>
  </w:style>
  <w:style w:type="paragraph" w:customStyle="1" w:styleId="9">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sv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2987</Words>
  <Characters>17028</Characters>
  <Lines>141</Lines>
  <Paragraphs>39</Paragraphs>
  <ScaleCrop>false</ScaleCrop>
  <LinksUpToDate>false</LinksUpToDate>
  <CharactersWithSpaces>19976</CharactersWithSpaces>
  <Application>WPS Office_3.9.0.6159_F1E327BC-269C-435d-A152-05C5408002CA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2022-11-02T17:08:00Z</dcterms:created>
  <dc:creator>Caroline Jawad</dc:creator>
  <cp:lastModifiedBy>xuanyiyan</cp:lastModifiedBy>
  <dcterms:modified xsi:type="dcterms:W3CDTF">2022-11-02T21:39:12Z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2052-3.9.0.6159</vt:lpwstr>
  </property>
</Properties>
</file>