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E0ABF" w14:textId="043953ED" w:rsidR="0001273B" w:rsidRPr="00C42E01" w:rsidRDefault="00C42E01" w:rsidP="00C42E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2E01">
        <w:rPr>
          <w:rFonts w:ascii="Times New Roman" w:hAnsi="Times New Roman" w:cs="Times New Roman"/>
          <w:b/>
          <w:bCs/>
          <w:sz w:val="28"/>
          <w:szCs w:val="28"/>
        </w:rPr>
        <w:t>Do Callimachus’ Epigrams know they’re Epigrams?</w:t>
      </w:r>
    </w:p>
    <w:p w14:paraId="26555549" w14:textId="05560F36" w:rsidR="00C42E01" w:rsidRDefault="00C42E01">
      <w:pPr>
        <w:rPr>
          <w:rFonts w:ascii="Times New Roman" w:hAnsi="Times New Roman" w:cs="Times New Roman"/>
          <w:sz w:val="24"/>
          <w:szCs w:val="24"/>
        </w:rPr>
      </w:pPr>
    </w:p>
    <w:p w14:paraId="51923A45" w14:textId="5A0C7C5F" w:rsidR="00704440" w:rsidRDefault="007044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Throughout this course we’ve encountered many poets commenting on their own place within Greek literary history, and calling attention to the artificial nature of poetry.</w:t>
      </w:r>
      <w:r w:rsidR="00251268">
        <w:rPr>
          <w:rFonts w:ascii="Times New Roman" w:hAnsi="Times New Roman" w:cs="Times New Roman"/>
          <w:sz w:val="24"/>
          <w:szCs w:val="24"/>
        </w:rPr>
        <w:t xml:space="preserve"> But few are as famous for doing so as Callimachus. How does this self-referentiality play out in his epigrams? How do short forms of poetry enable these metaliterary poetic comments? And what is the purpose of the poems’ self-awareness?</w:t>
      </w:r>
    </w:p>
    <w:p w14:paraId="2C0C365C" w14:textId="6B8E25D6" w:rsidR="00251268" w:rsidRDefault="00251268">
      <w:pPr>
        <w:rPr>
          <w:rFonts w:ascii="Times New Roman" w:hAnsi="Times New Roman" w:cs="Times New Roman"/>
          <w:sz w:val="24"/>
          <w:szCs w:val="24"/>
        </w:rPr>
      </w:pPr>
    </w:p>
    <w:p w14:paraId="2D5FED4C" w14:textId="039E48EB" w:rsidR="00704440" w:rsidRPr="00251268" w:rsidRDefault="00251268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251268">
        <w:rPr>
          <w:rFonts w:ascii="Times New Roman" w:hAnsi="Times New Roman" w:cs="Times New Roman"/>
          <w:b/>
          <w:bCs/>
          <w:sz w:val="26"/>
          <w:szCs w:val="26"/>
        </w:rPr>
        <w:t>Reading</w:t>
      </w:r>
    </w:p>
    <w:p w14:paraId="05ED1355" w14:textId="77777777" w:rsidR="00C42E01" w:rsidRPr="00C42E01" w:rsidRDefault="00C42E01" w:rsidP="00C42E01">
      <w:pPr>
        <w:ind w:left="709" w:hanging="709"/>
        <w:rPr>
          <w:rFonts w:ascii="Times New Roman" w:hAnsi="Times New Roman" w:cs="Times New Roman"/>
          <w:sz w:val="24"/>
          <w:szCs w:val="24"/>
        </w:rPr>
      </w:pPr>
      <w:r w:rsidRPr="00C42E01">
        <w:rPr>
          <w:rFonts w:ascii="Times New Roman" w:hAnsi="Times New Roman" w:cs="Times New Roman"/>
          <w:sz w:val="24"/>
          <w:szCs w:val="24"/>
        </w:rPr>
        <w:t xml:space="preserve">Hutchinson, G. (2008), </w:t>
      </w:r>
      <w:r w:rsidRPr="00C42E01">
        <w:rPr>
          <w:rFonts w:ascii="Times New Roman" w:hAnsi="Times New Roman" w:cs="Times New Roman"/>
          <w:i/>
          <w:iCs/>
          <w:sz w:val="24"/>
          <w:szCs w:val="24"/>
        </w:rPr>
        <w:t>Talking Books</w:t>
      </w:r>
      <w:r w:rsidRPr="00C42E01">
        <w:rPr>
          <w:rFonts w:ascii="Times New Roman" w:hAnsi="Times New Roman" w:cs="Times New Roman"/>
          <w:sz w:val="24"/>
          <w:szCs w:val="24"/>
        </w:rPr>
        <w:t xml:space="preserve"> (Oxford): 1-20 (and skim chapters 4 &amp; 5)</w:t>
      </w:r>
    </w:p>
    <w:p w14:paraId="153A0EB3" w14:textId="77777777" w:rsidR="00C42E01" w:rsidRPr="00C42E01" w:rsidRDefault="00C42E01" w:rsidP="00C42E01">
      <w:pPr>
        <w:ind w:left="709" w:hanging="709"/>
        <w:rPr>
          <w:rFonts w:ascii="Times New Roman" w:hAnsi="Times New Roman" w:cs="Times New Roman"/>
          <w:sz w:val="24"/>
          <w:szCs w:val="24"/>
        </w:rPr>
      </w:pPr>
      <w:proofErr w:type="spellStart"/>
      <w:r w:rsidRPr="00C42E01">
        <w:rPr>
          <w:rFonts w:ascii="Times New Roman" w:hAnsi="Times New Roman" w:cs="Times New Roman"/>
          <w:sz w:val="24"/>
          <w:szCs w:val="24"/>
        </w:rPr>
        <w:t>Gutzwiller</w:t>
      </w:r>
      <w:proofErr w:type="spellEnd"/>
      <w:r w:rsidRPr="00C42E01">
        <w:rPr>
          <w:rFonts w:ascii="Times New Roman" w:hAnsi="Times New Roman" w:cs="Times New Roman"/>
          <w:sz w:val="24"/>
          <w:szCs w:val="24"/>
        </w:rPr>
        <w:t xml:space="preserve">, K. (1998), </w:t>
      </w:r>
      <w:r w:rsidRPr="00C42E01">
        <w:rPr>
          <w:rFonts w:ascii="Times New Roman" w:hAnsi="Times New Roman" w:cs="Times New Roman"/>
          <w:i/>
          <w:iCs/>
          <w:sz w:val="24"/>
          <w:szCs w:val="24"/>
        </w:rPr>
        <w:t xml:space="preserve">Poetic Garlands: Hellenistic Epigrams in Context </w:t>
      </w:r>
      <w:r w:rsidRPr="00C42E01">
        <w:rPr>
          <w:rFonts w:ascii="Times New Roman" w:hAnsi="Times New Roman" w:cs="Times New Roman"/>
          <w:sz w:val="24"/>
          <w:szCs w:val="24"/>
        </w:rPr>
        <w:t>(Berkeley): 1-14, 183-226</w:t>
      </w:r>
    </w:p>
    <w:p w14:paraId="500E49BE" w14:textId="77777777" w:rsidR="00C42E01" w:rsidRPr="00C42E01" w:rsidRDefault="00C42E01" w:rsidP="00C42E01">
      <w:pPr>
        <w:ind w:left="709" w:hanging="709"/>
        <w:rPr>
          <w:rFonts w:ascii="Times New Roman" w:hAnsi="Times New Roman" w:cs="Times New Roman"/>
          <w:sz w:val="24"/>
          <w:szCs w:val="24"/>
        </w:rPr>
      </w:pPr>
      <w:r w:rsidRPr="00C42E01">
        <w:rPr>
          <w:rFonts w:ascii="Times New Roman" w:hAnsi="Times New Roman" w:cs="Times New Roman"/>
          <w:sz w:val="24"/>
          <w:szCs w:val="24"/>
        </w:rPr>
        <w:t xml:space="preserve">Meyer, D. (2007), ‘The Act of Reading and the Act of Writing in Hellenistic Epigram’, in Bing, P. &amp; Bruss, J. S. (eds.) (2007), </w:t>
      </w:r>
      <w:r w:rsidRPr="00C42E01">
        <w:rPr>
          <w:rFonts w:ascii="Times New Roman" w:hAnsi="Times New Roman" w:cs="Times New Roman"/>
          <w:i/>
          <w:iCs/>
          <w:sz w:val="24"/>
          <w:szCs w:val="24"/>
        </w:rPr>
        <w:t>Brill’s Companion to Hellenistic Epigram</w:t>
      </w:r>
      <w:r w:rsidRPr="00C42E01">
        <w:rPr>
          <w:rFonts w:ascii="Times New Roman" w:hAnsi="Times New Roman" w:cs="Times New Roman"/>
          <w:sz w:val="24"/>
          <w:szCs w:val="24"/>
        </w:rPr>
        <w:t xml:space="preserve"> (Leiden)</w:t>
      </w:r>
    </w:p>
    <w:p w14:paraId="7A400AD9" w14:textId="11758604" w:rsidR="00C42E01" w:rsidRPr="00C42E01" w:rsidRDefault="00C42E01" w:rsidP="00C42E01">
      <w:pPr>
        <w:ind w:left="709" w:hanging="709"/>
        <w:rPr>
          <w:rFonts w:ascii="Times New Roman" w:hAnsi="Times New Roman" w:cs="Times New Roman"/>
          <w:sz w:val="24"/>
          <w:szCs w:val="24"/>
        </w:rPr>
      </w:pPr>
      <w:r w:rsidRPr="00C42E01">
        <w:rPr>
          <w:rFonts w:ascii="Times New Roman" w:hAnsi="Times New Roman" w:cs="Times New Roman"/>
          <w:sz w:val="24"/>
          <w:szCs w:val="24"/>
        </w:rPr>
        <w:t xml:space="preserve">Cameron, A. (1995), </w:t>
      </w:r>
      <w:r w:rsidRPr="00C42E01">
        <w:rPr>
          <w:rFonts w:ascii="Times New Roman" w:hAnsi="Times New Roman" w:cs="Times New Roman"/>
          <w:i/>
          <w:iCs/>
          <w:sz w:val="24"/>
          <w:szCs w:val="24"/>
        </w:rPr>
        <w:t>Callimachus and his Critics</w:t>
      </w:r>
      <w:r w:rsidRPr="00C42E01">
        <w:rPr>
          <w:rFonts w:ascii="Times New Roman" w:hAnsi="Times New Roman" w:cs="Times New Roman"/>
          <w:sz w:val="24"/>
          <w:szCs w:val="24"/>
        </w:rPr>
        <w:t xml:space="preserve"> (Princeton): Chapter 14</w:t>
      </w:r>
    </w:p>
    <w:p w14:paraId="5D69F825" w14:textId="77777777" w:rsidR="00C42E01" w:rsidRPr="00C42E01" w:rsidRDefault="00C42E01" w:rsidP="00C42E01">
      <w:pPr>
        <w:ind w:left="709" w:hanging="709"/>
        <w:rPr>
          <w:rFonts w:ascii="Times New Roman" w:hAnsi="Times New Roman" w:cs="Times New Roman"/>
          <w:sz w:val="24"/>
          <w:szCs w:val="24"/>
        </w:rPr>
      </w:pPr>
      <w:proofErr w:type="spellStart"/>
      <w:r w:rsidRPr="00C42E01">
        <w:rPr>
          <w:rFonts w:ascii="Times New Roman" w:hAnsi="Times New Roman" w:cs="Times New Roman"/>
          <w:sz w:val="24"/>
          <w:szCs w:val="24"/>
        </w:rPr>
        <w:t>Gutzwiller</w:t>
      </w:r>
      <w:proofErr w:type="spellEnd"/>
      <w:r w:rsidRPr="00C42E01">
        <w:rPr>
          <w:rFonts w:ascii="Times New Roman" w:hAnsi="Times New Roman" w:cs="Times New Roman"/>
          <w:sz w:val="24"/>
          <w:szCs w:val="24"/>
        </w:rPr>
        <w:t xml:space="preserve">, K. (2005), ‘The Literariness of the Milan Papyrus or ‘What Difference a Book?’’, in </w:t>
      </w:r>
      <w:proofErr w:type="spellStart"/>
      <w:r w:rsidRPr="00C42E01">
        <w:rPr>
          <w:rFonts w:ascii="Times New Roman" w:hAnsi="Times New Roman" w:cs="Times New Roman"/>
          <w:sz w:val="24"/>
          <w:szCs w:val="24"/>
        </w:rPr>
        <w:t>Gutzwiller</w:t>
      </w:r>
      <w:proofErr w:type="spellEnd"/>
      <w:r w:rsidRPr="00C42E01">
        <w:rPr>
          <w:rFonts w:ascii="Times New Roman" w:hAnsi="Times New Roman" w:cs="Times New Roman"/>
          <w:sz w:val="24"/>
          <w:szCs w:val="24"/>
        </w:rPr>
        <w:t xml:space="preserve">, K. (ed.) (2005), </w:t>
      </w:r>
      <w:r w:rsidRPr="00C42E01">
        <w:rPr>
          <w:rFonts w:ascii="Times New Roman" w:hAnsi="Times New Roman" w:cs="Times New Roman"/>
          <w:i/>
          <w:iCs/>
          <w:sz w:val="24"/>
          <w:szCs w:val="24"/>
        </w:rPr>
        <w:t>The New Posidippus: A Hellenistic Poetry Book</w:t>
      </w:r>
      <w:r w:rsidRPr="00C42E01">
        <w:rPr>
          <w:rFonts w:ascii="Times New Roman" w:hAnsi="Times New Roman" w:cs="Times New Roman"/>
          <w:sz w:val="24"/>
          <w:szCs w:val="24"/>
        </w:rPr>
        <w:t xml:space="preserve"> (New York)</w:t>
      </w:r>
    </w:p>
    <w:p w14:paraId="64A307AA" w14:textId="77777777" w:rsidR="00C42E01" w:rsidRPr="00C42E01" w:rsidRDefault="00C42E01">
      <w:pPr>
        <w:rPr>
          <w:rFonts w:ascii="Times New Roman" w:hAnsi="Times New Roman" w:cs="Times New Roman"/>
          <w:sz w:val="24"/>
          <w:szCs w:val="24"/>
        </w:rPr>
      </w:pPr>
    </w:p>
    <w:sectPr w:rsidR="00C42E01" w:rsidRPr="00C42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E01"/>
    <w:rsid w:val="0001273B"/>
    <w:rsid w:val="00251268"/>
    <w:rsid w:val="00704440"/>
    <w:rsid w:val="00C4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1B230"/>
  <w15:chartTrackingRefBased/>
  <w15:docId w15:val="{8FB168CC-3EA7-4434-AC0B-4F671CA0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Oakley</dc:creator>
  <cp:keywords/>
  <dc:description/>
  <cp:lastModifiedBy>James Oakley</cp:lastModifiedBy>
  <cp:revision>1</cp:revision>
  <dcterms:created xsi:type="dcterms:W3CDTF">2022-12-02T11:37:00Z</dcterms:created>
  <dcterms:modified xsi:type="dcterms:W3CDTF">2022-12-02T12:00:00Z</dcterms:modified>
</cp:coreProperties>
</file>