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713224205"/>
        <w:docPartObj>
          <w:docPartGallery w:val="Cover Pages"/>
          <w:docPartUnique/>
        </w:docPartObj>
      </w:sdtPr>
      <w:sdtEndPr>
        <w:rPr>
          <w:rFonts w:ascii="Arial" w:hAnsi="Arial" w:cs="Arial"/>
          <w:b/>
          <w:bCs/>
        </w:rPr>
      </w:sdtEndPr>
      <w:sdtContent>
        <w:p w14:paraId="62232C9E" w14:textId="1528DE62" w:rsidR="006E3B7D" w:rsidRDefault="00912337">
          <w:pPr>
            <w:pStyle w:val="NoSpacing"/>
          </w:pPr>
          <w:r>
            <w:rPr>
              <w:rFonts w:ascii="Arial" w:hAnsi="Arial" w:cs="Arial"/>
              <w:noProof/>
              <w:sz w:val="24"/>
              <w:szCs w:val="24"/>
            </w:rPr>
            <w:drawing>
              <wp:inline distT="0" distB="0" distL="0" distR="0" wp14:anchorId="5BE8099A" wp14:editId="6A9C84FB">
                <wp:extent cx="1981517" cy="951932"/>
                <wp:effectExtent l="0" t="0" r="0" b="635"/>
                <wp:docPr id="171743472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104699" cy="1011109"/>
                        </a:xfrm>
                        <a:prstGeom prst="rect">
                          <a:avLst/>
                        </a:prstGeom>
                        <a:noFill/>
                        <a:ln>
                          <a:noFill/>
                          <a:prstDash/>
                        </a:ln>
                      </pic:spPr>
                    </pic:pic>
                  </a:graphicData>
                </a:graphic>
              </wp:inline>
            </w:drawing>
          </w:r>
          <w:r w:rsidR="006E3B7D">
            <w:rPr>
              <w:noProof/>
            </w:rPr>
            <mc:AlternateContent>
              <mc:Choice Requires="wpg">
                <w:drawing>
                  <wp:anchor distT="0" distB="0" distL="114300" distR="114300" simplePos="0" relativeHeight="251659264" behindDoc="1" locked="0" layoutInCell="1" allowOverlap="1" wp14:anchorId="7A739A3D" wp14:editId="3FF1052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EE0000"/>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4DCD54C" w14:textId="3B3F4514" w:rsidR="006E3B7D" w:rsidRPr="00D431A8" w:rsidRDefault="00AA494F">
                                      <w:pPr>
                                        <w:pStyle w:val="NoSpacing"/>
                                        <w:jc w:val="right"/>
                                        <w:rPr>
                                          <w:color w:val="EE0000"/>
                                          <w:sz w:val="28"/>
                                          <w:szCs w:val="28"/>
                                        </w:rPr>
                                      </w:pPr>
                                      <w:r w:rsidRPr="00D431A8">
                                        <w:rPr>
                                          <w:color w:val="EE0000"/>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A739A3D"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EE0000"/>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4DCD54C" w14:textId="3B3F4514" w:rsidR="006E3B7D" w:rsidRPr="00D431A8" w:rsidRDefault="00AA494F">
                                <w:pPr>
                                  <w:pStyle w:val="NoSpacing"/>
                                  <w:jc w:val="right"/>
                                  <w:rPr>
                                    <w:color w:val="EE0000"/>
                                    <w:sz w:val="28"/>
                                    <w:szCs w:val="28"/>
                                  </w:rPr>
                                </w:pPr>
                                <w:r w:rsidRPr="00D431A8">
                                  <w:rPr>
                                    <w:color w:val="EE0000"/>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6E3B7D">
            <w:rPr>
              <w:noProof/>
            </w:rPr>
            <mc:AlternateContent>
              <mc:Choice Requires="wps">
                <w:drawing>
                  <wp:anchor distT="0" distB="0" distL="114300" distR="114300" simplePos="0" relativeHeight="251661312" behindDoc="0" locked="0" layoutInCell="1" allowOverlap="1" wp14:anchorId="1C5E9D48" wp14:editId="74C481E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EADB0" w14:textId="61BE4805" w:rsidR="006E3B7D"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6E3B7D">
                                      <w:rPr>
                                        <w:color w:val="156082" w:themeColor="accent1"/>
                                        <w:sz w:val="26"/>
                                        <w:szCs w:val="26"/>
                                      </w:rPr>
                                      <w:t>Catherine Tambot Catacutan (2530824)</w:t>
                                    </w:r>
                                  </w:sdtContent>
                                </w:sdt>
                              </w:p>
                              <w:p w14:paraId="134A1900" w14:textId="14B374C5" w:rsidR="006E3B7D"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3A5235">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C5E9D48"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7AEADB0" w14:textId="61BE4805" w:rsidR="006E3B7D" w:rsidRDefault="00FA2585">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E3B7D">
                                <w:rPr>
                                  <w:color w:val="156082" w:themeColor="accent1"/>
                                  <w:sz w:val="26"/>
                                  <w:szCs w:val="26"/>
                                </w:rPr>
                                <w:t>Catherine Tambot Catacutan (2530824)</w:t>
                              </w:r>
                            </w:sdtContent>
                          </w:sdt>
                        </w:p>
                        <w:p w14:paraId="134A1900" w14:textId="14B374C5" w:rsidR="006E3B7D" w:rsidRDefault="00FA258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3A5235">
                                <w:rPr>
                                  <w:caps/>
                                  <w:color w:val="595959" w:themeColor="text1" w:themeTint="A6"/>
                                  <w:sz w:val="20"/>
                                  <w:szCs w:val="20"/>
                                </w:rPr>
                                <w:t xml:space="preserve">     </w:t>
                              </w:r>
                            </w:sdtContent>
                          </w:sdt>
                        </w:p>
                      </w:txbxContent>
                    </v:textbox>
                    <w10:wrap anchorx="page" anchory="page"/>
                  </v:shape>
                </w:pict>
              </mc:Fallback>
            </mc:AlternateContent>
          </w:r>
          <w:r w:rsidR="006E3B7D">
            <w:rPr>
              <w:noProof/>
            </w:rPr>
            <mc:AlternateContent>
              <mc:Choice Requires="wps">
                <w:drawing>
                  <wp:anchor distT="0" distB="0" distL="114300" distR="114300" simplePos="0" relativeHeight="251660288" behindDoc="0" locked="0" layoutInCell="1" allowOverlap="1" wp14:anchorId="31B8AEAC" wp14:editId="1511CD0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278B0B" w14:textId="68F3741B" w:rsidR="006E3B7D"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4533A" w:rsidRPr="008A72F3">
                                      <w:rPr>
                                        <w:rFonts w:asciiTheme="majorHAnsi" w:eastAsiaTheme="majorEastAsia" w:hAnsiTheme="majorHAnsi" w:cstheme="majorBidi"/>
                                        <w:color w:val="262626" w:themeColor="text1" w:themeTint="D9"/>
                                        <w:sz w:val="72"/>
                                        <w:szCs w:val="72"/>
                                      </w:rPr>
                                      <w:t>INTR0DUCTION TO PUBLIC HEALT</w:t>
                                    </w:r>
                                    <w:r w:rsidR="009D5450">
                                      <w:rPr>
                                        <w:rFonts w:asciiTheme="majorHAnsi" w:eastAsiaTheme="majorEastAsia" w:hAnsiTheme="majorHAnsi" w:cstheme="majorBidi"/>
                                        <w:color w:val="262626" w:themeColor="text1" w:themeTint="D9"/>
                                        <w:sz w:val="72"/>
                                        <w:szCs w:val="72"/>
                                      </w:rPr>
                                      <w:t>H</w:t>
                                    </w:r>
                                  </w:sdtContent>
                                </w:sdt>
                              </w:p>
                              <w:p w14:paraId="750E1250" w14:textId="381B3B04" w:rsidR="006E3B7D"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B28FC" w:rsidRPr="00EB71B4">
                                      <w:rPr>
                                        <w:color w:val="404040" w:themeColor="text1" w:themeTint="BF"/>
                                        <w:sz w:val="36"/>
                                        <w:szCs w:val="36"/>
                                      </w:rPr>
                                      <w:t>LCHS400</w:t>
                                    </w:r>
                                    <w:r w:rsidR="005B28FC">
                                      <w:rPr>
                                        <w:color w:val="404040" w:themeColor="text1" w:themeTint="BF"/>
                                        <w:sz w:val="36"/>
                                        <w:szCs w:val="36"/>
                                      </w:rPr>
                                      <w:t>8</w:t>
                                    </w:r>
                                  </w:sdtContent>
                                </w:sdt>
                              </w:p>
                              <w:p w14:paraId="1756F2F4" w14:textId="729A98E7" w:rsidR="005B28FC" w:rsidRDefault="008E11F6">
                                <w:pPr>
                                  <w:spacing w:before="120"/>
                                  <w:rPr>
                                    <w:color w:val="404040" w:themeColor="text1" w:themeTint="BF"/>
                                    <w:sz w:val="36"/>
                                    <w:szCs w:val="36"/>
                                  </w:rPr>
                                </w:pPr>
                                <w:r w:rsidRPr="008F32FC">
                                  <w:rPr>
                                    <w:b/>
                                    <w:bCs/>
                                    <w:color w:val="404040" w:themeColor="text1" w:themeTint="BF"/>
                                    <w:sz w:val="36"/>
                                    <w:szCs w:val="36"/>
                                  </w:rPr>
                                  <w:t>Dr Patronella Ganza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B8AEAC"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1278B0B" w14:textId="68F3741B" w:rsidR="006E3B7D" w:rsidRDefault="00FA258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4533A" w:rsidRPr="008A72F3">
                                <w:rPr>
                                  <w:rFonts w:asciiTheme="majorHAnsi" w:eastAsiaTheme="majorEastAsia" w:hAnsiTheme="majorHAnsi" w:cstheme="majorBidi"/>
                                  <w:color w:val="262626" w:themeColor="text1" w:themeTint="D9"/>
                                  <w:sz w:val="72"/>
                                  <w:szCs w:val="72"/>
                                </w:rPr>
                                <w:t>INTR0DUCTION TO PUBLIC HEALT</w:t>
                              </w:r>
                              <w:r w:rsidR="009D5450">
                                <w:rPr>
                                  <w:rFonts w:asciiTheme="majorHAnsi" w:eastAsiaTheme="majorEastAsia" w:hAnsiTheme="majorHAnsi" w:cstheme="majorBidi"/>
                                  <w:color w:val="262626" w:themeColor="text1" w:themeTint="D9"/>
                                  <w:sz w:val="72"/>
                                  <w:szCs w:val="72"/>
                                </w:rPr>
                                <w:t>H</w:t>
                              </w:r>
                            </w:sdtContent>
                          </w:sdt>
                        </w:p>
                        <w:p w14:paraId="750E1250" w14:textId="381B3B04" w:rsidR="006E3B7D" w:rsidRDefault="00FA258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B28FC" w:rsidRPr="00EB71B4">
                                <w:rPr>
                                  <w:color w:val="404040" w:themeColor="text1" w:themeTint="BF"/>
                                  <w:sz w:val="36"/>
                                  <w:szCs w:val="36"/>
                                </w:rPr>
                                <w:t>LCHS400</w:t>
                              </w:r>
                              <w:r w:rsidR="005B28FC">
                                <w:rPr>
                                  <w:color w:val="404040" w:themeColor="text1" w:themeTint="BF"/>
                                  <w:sz w:val="36"/>
                                  <w:szCs w:val="36"/>
                                </w:rPr>
                                <w:t>8</w:t>
                              </w:r>
                            </w:sdtContent>
                          </w:sdt>
                        </w:p>
                        <w:p w14:paraId="1756F2F4" w14:textId="729A98E7" w:rsidR="005B28FC" w:rsidRDefault="008E11F6">
                          <w:pPr>
                            <w:spacing w:before="120"/>
                            <w:rPr>
                              <w:color w:val="404040" w:themeColor="text1" w:themeTint="BF"/>
                              <w:sz w:val="36"/>
                              <w:szCs w:val="36"/>
                            </w:rPr>
                          </w:pPr>
                          <w:r w:rsidRPr="008F32FC">
                            <w:rPr>
                              <w:b/>
                              <w:bCs/>
                              <w:color w:val="404040" w:themeColor="text1" w:themeTint="BF"/>
                              <w:sz w:val="36"/>
                              <w:szCs w:val="36"/>
                            </w:rPr>
                            <w:t>Dr Patronella Ganza</w:t>
                          </w:r>
                        </w:p>
                      </w:txbxContent>
                    </v:textbox>
                    <w10:wrap anchorx="page" anchory="page"/>
                  </v:shape>
                </w:pict>
              </mc:Fallback>
            </mc:AlternateContent>
          </w:r>
        </w:p>
        <w:p w14:paraId="3A874994" w14:textId="1F6F3841" w:rsidR="006E3B7D" w:rsidRDefault="006E3B7D">
          <w:pPr>
            <w:rPr>
              <w:rFonts w:ascii="Arial" w:hAnsi="Arial" w:cs="Arial"/>
              <w:b/>
              <w:bCs/>
              <w:sz w:val="22"/>
              <w:szCs w:val="22"/>
            </w:rPr>
          </w:pPr>
          <w:r>
            <w:rPr>
              <w:rFonts w:ascii="Arial" w:hAnsi="Arial" w:cs="Arial"/>
              <w:b/>
              <w:bCs/>
              <w:sz w:val="22"/>
              <w:szCs w:val="22"/>
            </w:rPr>
            <w:br w:type="page"/>
          </w:r>
        </w:p>
      </w:sdtContent>
    </w:sdt>
    <w:p w14:paraId="28DD9D6A" w14:textId="7FA29442" w:rsidR="003A5235" w:rsidRDefault="00A22F31" w:rsidP="00A22F31">
      <w:pPr>
        <w:spacing w:line="360" w:lineRule="auto"/>
        <w:rPr>
          <w:rFonts w:ascii="Arial" w:hAnsi="Arial" w:cs="Arial"/>
          <w:b/>
          <w:bCs/>
          <w:sz w:val="22"/>
          <w:szCs w:val="22"/>
        </w:rPr>
      </w:pPr>
      <w:r w:rsidRPr="00A22F31">
        <w:rPr>
          <w:rFonts w:ascii="Arial" w:hAnsi="Arial" w:cs="Arial"/>
          <w:b/>
          <w:bCs/>
          <w:sz w:val="22"/>
          <w:szCs w:val="22"/>
        </w:rPr>
        <w:lastRenderedPageBreak/>
        <w:t>Depression: A Public Health Issue</w:t>
      </w:r>
    </w:p>
    <w:p w14:paraId="7BB76465" w14:textId="77777777" w:rsidR="00720CED" w:rsidRDefault="00720CED" w:rsidP="00720CED">
      <w:pPr>
        <w:spacing w:line="360" w:lineRule="auto"/>
        <w:rPr>
          <w:rFonts w:ascii="Arial" w:hAnsi="Arial" w:cs="Arial"/>
          <w:b/>
          <w:bCs/>
          <w:sz w:val="22"/>
          <w:szCs w:val="22"/>
        </w:rPr>
      </w:pPr>
      <w:r w:rsidRPr="00B95D46">
        <w:rPr>
          <w:rFonts w:ascii="Arial" w:hAnsi="Arial" w:cs="Arial"/>
          <w:b/>
          <w:bCs/>
          <w:sz w:val="22"/>
          <w:szCs w:val="22"/>
        </w:rPr>
        <w:t xml:space="preserve">TABLE OF CONTENTS: </w:t>
      </w:r>
    </w:p>
    <w:p w14:paraId="4593674F" w14:textId="77777777" w:rsidR="00720CED" w:rsidRDefault="00720CED" w:rsidP="00720CED">
      <w:pPr>
        <w:spacing w:line="360" w:lineRule="auto"/>
        <w:rPr>
          <w:rFonts w:ascii="Arial" w:hAnsi="Arial" w:cs="Arial"/>
          <w:b/>
          <w:bCs/>
          <w:sz w:val="22"/>
          <w:szCs w:val="22"/>
        </w:rPr>
      </w:pPr>
      <w:r>
        <w:rPr>
          <w:rFonts w:ascii="Arial" w:hAnsi="Arial" w:cs="Arial"/>
          <w:b/>
          <w:bCs/>
          <w:sz w:val="22"/>
          <w:szCs w:val="22"/>
        </w:rPr>
        <w:t>Introduction………………………………………………………………………………… pg. 2</w:t>
      </w:r>
    </w:p>
    <w:p w14:paraId="42EF1BD7" w14:textId="3C0C55F9" w:rsidR="00720CED" w:rsidRDefault="00720CED" w:rsidP="00720CED">
      <w:pPr>
        <w:spacing w:line="360" w:lineRule="auto"/>
        <w:rPr>
          <w:rFonts w:ascii="Arial" w:hAnsi="Arial" w:cs="Arial"/>
          <w:b/>
          <w:bCs/>
          <w:sz w:val="22"/>
          <w:szCs w:val="22"/>
        </w:rPr>
      </w:pPr>
      <w:r>
        <w:rPr>
          <w:rFonts w:ascii="Arial" w:hAnsi="Arial" w:cs="Arial"/>
          <w:b/>
          <w:bCs/>
          <w:sz w:val="22"/>
          <w:szCs w:val="22"/>
        </w:rPr>
        <w:t>Main Body……………………………………………………………………………</w:t>
      </w:r>
      <w:proofErr w:type="gramStart"/>
      <w:r>
        <w:rPr>
          <w:rFonts w:ascii="Arial" w:hAnsi="Arial" w:cs="Arial"/>
          <w:b/>
          <w:bCs/>
          <w:sz w:val="22"/>
          <w:szCs w:val="22"/>
        </w:rPr>
        <w:t>…</w:t>
      </w:r>
      <w:r w:rsidR="00124465">
        <w:rPr>
          <w:rFonts w:ascii="Arial" w:hAnsi="Arial" w:cs="Arial"/>
          <w:b/>
          <w:bCs/>
          <w:sz w:val="22"/>
          <w:szCs w:val="22"/>
        </w:rPr>
        <w:t>..</w:t>
      </w:r>
      <w:proofErr w:type="gramEnd"/>
      <w:r>
        <w:rPr>
          <w:rFonts w:ascii="Arial" w:hAnsi="Arial" w:cs="Arial"/>
          <w:b/>
          <w:bCs/>
          <w:sz w:val="22"/>
          <w:szCs w:val="22"/>
        </w:rPr>
        <w:t xml:space="preserve"> pg</w:t>
      </w:r>
      <w:r w:rsidR="00A903F8">
        <w:rPr>
          <w:rFonts w:ascii="Arial" w:hAnsi="Arial" w:cs="Arial"/>
          <w:b/>
          <w:bCs/>
          <w:sz w:val="22"/>
          <w:szCs w:val="22"/>
        </w:rPr>
        <w:t>s</w:t>
      </w:r>
      <w:r>
        <w:rPr>
          <w:rFonts w:ascii="Arial" w:hAnsi="Arial" w:cs="Arial"/>
          <w:b/>
          <w:bCs/>
          <w:sz w:val="22"/>
          <w:szCs w:val="22"/>
        </w:rPr>
        <w:t>. 2</w:t>
      </w:r>
      <w:r w:rsidR="00124465">
        <w:rPr>
          <w:rFonts w:ascii="Arial" w:hAnsi="Arial" w:cs="Arial"/>
          <w:b/>
          <w:bCs/>
          <w:sz w:val="22"/>
          <w:szCs w:val="22"/>
        </w:rPr>
        <w:t>-6</w:t>
      </w:r>
    </w:p>
    <w:p w14:paraId="6A0BCE49" w14:textId="77777777" w:rsidR="00720CED" w:rsidRDefault="00720CED" w:rsidP="00720CED">
      <w:pPr>
        <w:spacing w:line="360" w:lineRule="auto"/>
        <w:rPr>
          <w:rFonts w:ascii="Arial" w:hAnsi="Arial" w:cs="Arial"/>
          <w:b/>
          <w:bCs/>
          <w:sz w:val="22"/>
          <w:szCs w:val="22"/>
        </w:rPr>
      </w:pPr>
      <w:r>
        <w:rPr>
          <w:rFonts w:ascii="Arial" w:hAnsi="Arial" w:cs="Arial"/>
          <w:b/>
          <w:bCs/>
          <w:sz w:val="22"/>
          <w:szCs w:val="22"/>
        </w:rPr>
        <w:t>Conclusion………………………………………………………………………………</w:t>
      </w:r>
      <w:proofErr w:type="gramStart"/>
      <w:r>
        <w:rPr>
          <w:rFonts w:ascii="Arial" w:hAnsi="Arial" w:cs="Arial"/>
          <w:b/>
          <w:bCs/>
          <w:sz w:val="22"/>
          <w:szCs w:val="22"/>
        </w:rPr>
        <w:t>…..</w:t>
      </w:r>
      <w:proofErr w:type="gramEnd"/>
      <w:r>
        <w:rPr>
          <w:rFonts w:ascii="Arial" w:hAnsi="Arial" w:cs="Arial"/>
          <w:b/>
          <w:bCs/>
          <w:sz w:val="22"/>
          <w:szCs w:val="22"/>
        </w:rPr>
        <w:t xml:space="preserve"> pg. 6</w:t>
      </w:r>
    </w:p>
    <w:p w14:paraId="1B1EAE8D" w14:textId="00453AB7" w:rsidR="003A5235" w:rsidRDefault="00720CED" w:rsidP="00087E2B">
      <w:pPr>
        <w:spacing w:line="360" w:lineRule="auto"/>
        <w:rPr>
          <w:rFonts w:ascii="Arial" w:hAnsi="Arial" w:cs="Arial"/>
          <w:b/>
          <w:bCs/>
          <w:sz w:val="22"/>
          <w:szCs w:val="22"/>
        </w:rPr>
      </w:pPr>
      <w:r>
        <w:rPr>
          <w:rFonts w:ascii="Arial" w:hAnsi="Arial" w:cs="Arial"/>
          <w:b/>
          <w:bCs/>
          <w:sz w:val="22"/>
          <w:szCs w:val="22"/>
        </w:rPr>
        <w:t xml:space="preserve">Reference List………………………………………………………………………………. pg. 7 </w:t>
      </w:r>
      <w:r w:rsidR="003A5235">
        <w:rPr>
          <w:rFonts w:ascii="Arial" w:hAnsi="Arial" w:cs="Arial"/>
          <w:b/>
          <w:bCs/>
          <w:sz w:val="22"/>
          <w:szCs w:val="22"/>
        </w:rPr>
        <w:br w:type="page"/>
      </w:r>
    </w:p>
    <w:p w14:paraId="07EF3A77" w14:textId="77777777" w:rsidR="00A22F31" w:rsidRPr="00A22F31" w:rsidRDefault="00A22F31" w:rsidP="00A22F31">
      <w:pPr>
        <w:spacing w:line="360" w:lineRule="auto"/>
        <w:rPr>
          <w:rFonts w:ascii="Arial" w:hAnsi="Arial" w:cs="Arial"/>
          <w:b/>
          <w:bCs/>
          <w:sz w:val="22"/>
          <w:szCs w:val="22"/>
        </w:rPr>
      </w:pPr>
    </w:p>
    <w:p w14:paraId="7C00DEDB" w14:textId="77777777" w:rsidR="00BB21FF" w:rsidRDefault="00087E2B" w:rsidP="00A22F31">
      <w:pPr>
        <w:spacing w:line="360" w:lineRule="auto"/>
        <w:rPr>
          <w:rFonts w:ascii="Arial" w:hAnsi="Arial" w:cs="Arial"/>
          <w:b/>
          <w:bCs/>
          <w:sz w:val="22"/>
          <w:szCs w:val="22"/>
        </w:rPr>
      </w:pPr>
      <w:r w:rsidRPr="00A22F31">
        <w:rPr>
          <w:rFonts w:ascii="Arial" w:hAnsi="Arial" w:cs="Arial"/>
          <w:b/>
          <w:bCs/>
          <w:sz w:val="22"/>
          <w:szCs w:val="22"/>
        </w:rPr>
        <w:t>Depression: A Public Health Issue</w:t>
      </w:r>
    </w:p>
    <w:p w14:paraId="58ECBBE8" w14:textId="3F87DE25" w:rsidR="00A22F31" w:rsidRPr="00A22F31" w:rsidRDefault="00A22F31" w:rsidP="00A22F31">
      <w:pPr>
        <w:spacing w:line="360" w:lineRule="auto"/>
        <w:rPr>
          <w:rFonts w:ascii="Arial" w:hAnsi="Arial" w:cs="Arial"/>
          <w:b/>
          <w:bCs/>
          <w:sz w:val="22"/>
          <w:szCs w:val="22"/>
        </w:rPr>
      </w:pPr>
      <w:r w:rsidRPr="00A22F31">
        <w:rPr>
          <w:rFonts w:ascii="Arial" w:hAnsi="Arial" w:cs="Arial"/>
          <w:b/>
          <w:bCs/>
          <w:sz w:val="22"/>
          <w:szCs w:val="22"/>
        </w:rPr>
        <w:t>Introduction</w:t>
      </w:r>
    </w:p>
    <w:p w14:paraId="0CF1894D"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Depression is a common mental health condition that causes ongoing feelings of sadness, low mood, and loss of interest in activities that a person usually enjoys. Unlike normal feelings of sadness, depression can continue for weeks, months, or even years and can affect a person's daily life, relationships, education, and work (World Health Organization, 2025). It is a serious illness that can affect people of all ages and backgrounds.</w:t>
      </w:r>
    </w:p>
    <w:p w14:paraId="292D1688"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Common signs and symptoms of depression include feeling sad most of the time, hopelessness, tiredness, difficulty concentrating, changes in eating habits, sleeping problems, low self-confidence, feelings of guilt, and thoughts of self-harm or suicide in severe cases (NHS, 2026).</w:t>
      </w:r>
    </w:p>
    <w:p w14:paraId="41C624CA"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People living with depression need different health and social care services in the community. These include support from GPs, counsellors, psychologists, community mental health teams, support groups, social workers, crisis services, and housing or employment support where necessary.</w:t>
      </w:r>
    </w:p>
    <w:p w14:paraId="697E3ADD" w14:textId="77777777" w:rsidR="00A22F31" w:rsidRPr="00A22F31" w:rsidRDefault="00000000" w:rsidP="00A22F31">
      <w:pPr>
        <w:spacing w:line="360" w:lineRule="auto"/>
        <w:rPr>
          <w:rFonts w:ascii="Arial" w:hAnsi="Arial" w:cs="Arial"/>
          <w:sz w:val="22"/>
          <w:szCs w:val="22"/>
        </w:rPr>
      </w:pPr>
      <w:r>
        <w:rPr>
          <w:rFonts w:ascii="Arial" w:hAnsi="Arial" w:cs="Arial"/>
          <w:sz w:val="22"/>
          <w:szCs w:val="22"/>
        </w:rPr>
        <w:pict w14:anchorId="6FF22E9B">
          <v:rect id="_x0000_i1025" style="width:0;height:1.5pt" o:hralign="center" o:hrstd="t" o:hr="t" fillcolor="#a0a0a0" stroked="f"/>
        </w:pict>
      </w:r>
    </w:p>
    <w:p w14:paraId="2AA51630" w14:textId="4EED8D99" w:rsidR="00A22F31" w:rsidRPr="00A22F31" w:rsidRDefault="00A22F31" w:rsidP="00A22F31">
      <w:pPr>
        <w:spacing w:line="360" w:lineRule="auto"/>
        <w:rPr>
          <w:rFonts w:ascii="Arial" w:hAnsi="Arial" w:cs="Arial"/>
          <w:b/>
          <w:bCs/>
          <w:sz w:val="22"/>
          <w:szCs w:val="22"/>
        </w:rPr>
      </w:pPr>
    </w:p>
    <w:p w14:paraId="1A510A7A" w14:textId="77777777" w:rsidR="00A22F31" w:rsidRPr="00A22F31" w:rsidRDefault="00A22F31" w:rsidP="00A22F31">
      <w:pPr>
        <w:spacing w:line="360" w:lineRule="auto"/>
        <w:rPr>
          <w:rFonts w:ascii="Arial" w:hAnsi="Arial" w:cs="Arial"/>
          <w:b/>
          <w:bCs/>
          <w:sz w:val="22"/>
          <w:szCs w:val="22"/>
        </w:rPr>
      </w:pPr>
      <w:r w:rsidRPr="00A22F31">
        <w:rPr>
          <w:rFonts w:ascii="Arial" w:hAnsi="Arial" w:cs="Arial"/>
          <w:b/>
          <w:bCs/>
          <w:sz w:val="22"/>
          <w:szCs w:val="22"/>
        </w:rPr>
        <w:t>Different Approaches Used to Measure and Monitor Depression</w:t>
      </w:r>
    </w:p>
    <w:p w14:paraId="320BB866"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To manage depression successfully, healthcare professionals must first identify, assess, and monitor the condition. Different methods are used to understand how serious the illness is, track changes in symptoms, and check whether treatment is working.</w:t>
      </w:r>
    </w:p>
    <w:p w14:paraId="06ADDEE0" w14:textId="77777777" w:rsidR="00A22F31" w:rsidRPr="00A22F31" w:rsidRDefault="00A22F31" w:rsidP="00A22F31">
      <w:pPr>
        <w:spacing w:line="360" w:lineRule="auto"/>
        <w:rPr>
          <w:rFonts w:ascii="Arial" w:hAnsi="Arial" w:cs="Arial"/>
          <w:b/>
          <w:bCs/>
          <w:sz w:val="22"/>
          <w:szCs w:val="22"/>
        </w:rPr>
      </w:pPr>
      <w:r w:rsidRPr="00A22F31">
        <w:rPr>
          <w:rFonts w:ascii="Arial" w:hAnsi="Arial" w:cs="Arial"/>
          <w:b/>
          <w:bCs/>
          <w:sz w:val="22"/>
          <w:szCs w:val="22"/>
        </w:rPr>
        <w:t>Clinical Assessment</w:t>
      </w:r>
    </w:p>
    <w:p w14:paraId="574BE53B" w14:textId="386D3AE6"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 xml:space="preserve">A clinical assessment is one of the main ways </w:t>
      </w:r>
      <w:r w:rsidR="002B25A2" w:rsidRPr="00A22F31">
        <w:rPr>
          <w:rFonts w:ascii="Arial" w:hAnsi="Arial" w:cs="Arial"/>
          <w:sz w:val="22"/>
          <w:szCs w:val="22"/>
        </w:rPr>
        <w:t>depressions</w:t>
      </w:r>
      <w:r w:rsidRPr="00A22F31">
        <w:rPr>
          <w:rFonts w:ascii="Arial" w:hAnsi="Arial" w:cs="Arial"/>
          <w:sz w:val="22"/>
          <w:szCs w:val="22"/>
        </w:rPr>
        <w:t xml:space="preserve"> </w:t>
      </w:r>
      <w:proofErr w:type="gramStart"/>
      <w:r w:rsidRPr="00A22F31">
        <w:rPr>
          <w:rFonts w:ascii="Arial" w:hAnsi="Arial" w:cs="Arial"/>
          <w:sz w:val="22"/>
          <w:szCs w:val="22"/>
        </w:rPr>
        <w:t>is</w:t>
      </w:r>
      <w:proofErr w:type="gramEnd"/>
      <w:r w:rsidRPr="00A22F31">
        <w:rPr>
          <w:rFonts w:ascii="Arial" w:hAnsi="Arial" w:cs="Arial"/>
          <w:sz w:val="22"/>
          <w:szCs w:val="22"/>
        </w:rPr>
        <w:t xml:space="preserve"> diagnosed. During this process, healthcare professionals talk to the individual about their emotions, behaviour, physical health, family history, and social situation. They compare the person's symptoms with recognised diagnostic guidelines, such as the International Classification of Diseases (ICD-11) and the Diagnostic and Statistical Manual of Mental Disorders (DSM-5) (NICE, 2022).</w:t>
      </w:r>
    </w:p>
    <w:p w14:paraId="15A5E892"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 xml:space="preserve">These assessments help healthcare professionals understand factors that may contribute to depression, including stress, bereavement, relationship problems, long-term illnesses, </w:t>
      </w:r>
      <w:r w:rsidRPr="00A22F31">
        <w:rPr>
          <w:rFonts w:ascii="Arial" w:hAnsi="Arial" w:cs="Arial"/>
          <w:sz w:val="22"/>
          <w:szCs w:val="22"/>
        </w:rPr>
        <w:lastRenderedPageBreak/>
        <w:t xml:space="preserve">traumatic experiences, and substance misuse. Looking at all these factors helps professionals develop suitable care plans for </w:t>
      </w:r>
      <w:proofErr w:type="gramStart"/>
      <w:r w:rsidRPr="00A22F31">
        <w:rPr>
          <w:rFonts w:ascii="Arial" w:hAnsi="Arial" w:cs="Arial"/>
          <w:sz w:val="22"/>
          <w:szCs w:val="22"/>
        </w:rPr>
        <w:t>each individual</w:t>
      </w:r>
      <w:proofErr w:type="gramEnd"/>
      <w:r w:rsidRPr="00A22F31">
        <w:rPr>
          <w:rFonts w:ascii="Arial" w:hAnsi="Arial" w:cs="Arial"/>
          <w:sz w:val="22"/>
          <w:szCs w:val="22"/>
        </w:rPr>
        <w:t>.</w:t>
      </w:r>
    </w:p>
    <w:p w14:paraId="18D7DE3E" w14:textId="77777777" w:rsidR="00A22F31" w:rsidRPr="00A22F31" w:rsidRDefault="00A22F31" w:rsidP="00A22F31">
      <w:pPr>
        <w:spacing w:line="360" w:lineRule="auto"/>
        <w:rPr>
          <w:rFonts w:ascii="Arial" w:hAnsi="Arial" w:cs="Arial"/>
          <w:b/>
          <w:bCs/>
          <w:sz w:val="22"/>
          <w:szCs w:val="22"/>
        </w:rPr>
      </w:pPr>
      <w:r w:rsidRPr="00A22F31">
        <w:rPr>
          <w:rFonts w:ascii="Arial" w:hAnsi="Arial" w:cs="Arial"/>
          <w:b/>
          <w:bCs/>
          <w:sz w:val="22"/>
          <w:szCs w:val="22"/>
        </w:rPr>
        <w:t>Standardised Questionnaires</w:t>
      </w:r>
    </w:p>
    <w:p w14:paraId="2C75A2A7"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Healthcare professionals also use questionnaires to measure the severity of depression. One of the most common tools is the Patient Health Questionnaire-9 (PHQ-9). This questionnaire contains nine questions that ask about symptoms experienced during the previous two weeks (Patient.info, 2025).</w:t>
      </w:r>
    </w:p>
    <w:p w14:paraId="37EDA800"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The total score helps professionals decide whether depression is mild, moderate, or severe. The questionnaire can be completed regularly to monitor whether symptoms are improving or becoming worse during treatment (Patient.info, 2025).</w:t>
      </w:r>
    </w:p>
    <w:p w14:paraId="251A8978" w14:textId="6023D12B" w:rsidR="00A22F31" w:rsidRPr="00C860D9" w:rsidRDefault="00A22F31" w:rsidP="00C860D9">
      <w:pPr>
        <w:spacing w:line="360" w:lineRule="auto"/>
        <w:rPr>
          <w:rFonts w:ascii="Arial" w:hAnsi="Arial" w:cs="Arial"/>
          <w:sz w:val="22"/>
          <w:szCs w:val="22"/>
        </w:rPr>
      </w:pPr>
      <w:r w:rsidRPr="00A22F31">
        <w:rPr>
          <w:rFonts w:ascii="Arial" w:hAnsi="Arial" w:cs="Arial"/>
          <w:sz w:val="22"/>
          <w:szCs w:val="22"/>
        </w:rPr>
        <w:t>Other assessment tools include</w:t>
      </w:r>
      <w:r w:rsidR="00246ABF">
        <w:rPr>
          <w:rFonts w:ascii="Arial" w:hAnsi="Arial" w:cs="Arial"/>
          <w:sz w:val="22"/>
          <w:szCs w:val="22"/>
        </w:rPr>
        <w:t xml:space="preserve">, </w:t>
      </w:r>
      <w:r w:rsidRPr="00A22F31">
        <w:rPr>
          <w:rFonts w:ascii="Arial" w:hAnsi="Arial" w:cs="Arial"/>
          <w:sz w:val="22"/>
          <w:szCs w:val="22"/>
        </w:rPr>
        <w:t>Beck Depression Inventory (BDI)</w:t>
      </w:r>
      <w:r w:rsidR="00C860D9">
        <w:rPr>
          <w:rFonts w:ascii="Arial" w:hAnsi="Arial" w:cs="Arial"/>
          <w:sz w:val="22"/>
          <w:szCs w:val="22"/>
        </w:rPr>
        <w:t xml:space="preserve">, </w:t>
      </w:r>
      <w:r w:rsidRPr="00C860D9">
        <w:rPr>
          <w:rFonts w:ascii="Arial" w:hAnsi="Arial" w:cs="Arial"/>
          <w:sz w:val="22"/>
          <w:szCs w:val="22"/>
        </w:rPr>
        <w:t>Hospital Anxiety and Depression Scale (HADS)</w:t>
      </w:r>
      <w:r w:rsidR="001B6DD7" w:rsidRPr="00C860D9">
        <w:rPr>
          <w:rFonts w:ascii="Arial" w:hAnsi="Arial" w:cs="Arial"/>
          <w:sz w:val="22"/>
          <w:szCs w:val="22"/>
        </w:rPr>
        <w:t xml:space="preserve">, </w:t>
      </w:r>
      <w:r w:rsidRPr="00C860D9">
        <w:rPr>
          <w:rFonts w:ascii="Arial" w:hAnsi="Arial" w:cs="Arial"/>
          <w:sz w:val="22"/>
          <w:szCs w:val="22"/>
        </w:rPr>
        <w:t>Hamilton Depression Rating Scale (HAM-D)</w:t>
      </w:r>
      <w:r w:rsidR="004B701F" w:rsidRPr="00C860D9">
        <w:rPr>
          <w:rFonts w:ascii="Arial" w:hAnsi="Arial" w:cs="Arial"/>
          <w:sz w:val="22"/>
          <w:szCs w:val="22"/>
        </w:rPr>
        <w:t xml:space="preserve">, </w:t>
      </w:r>
      <w:r w:rsidRPr="00C860D9">
        <w:rPr>
          <w:rFonts w:ascii="Arial" w:hAnsi="Arial" w:cs="Arial"/>
          <w:sz w:val="22"/>
          <w:szCs w:val="22"/>
        </w:rPr>
        <w:t>Montgomery-</w:t>
      </w:r>
      <w:proofErr w:type="spellStart"/>
      <w:r w:rsidRPr="00C860D9">
        <w:rPr>
          <w:rFonts w:ascii="Arial" w:hAnsi="Arial" w:cs="Arial"/>
          <w:sz w:val="22"/>
          <w:szCs w:val="22"/>
        </w:rPr>
        <w:t>Åsberg</w:t>
      </w:r>
      <w:proofErr w:type="spellEnd"/>
      <w:r w:rsidRPr="00C860D9">
        <w:rPr>
          <w:rFonts w:ascii="Arial" w:hAnsi="Arial" w:cs="Arial"/>
          <w:sz w:val="22"/>
          <w:szCs w:val="22"/>
        </w:rPr>
        <w:t xml:space="preserve"> Depression Rating Scale (MADRS)</w:t>
      </w:r>
    </w:p>
    <w:p w14:paraId="061878CB"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These tools provide consistent information and support healthcare professionals in making treatment decisions.</w:t>
      </w:r>
    </w:p>
    <w:p w14:paraId="73DEC00F" w14:textId="77777777" w:rsidR="00A22F31" w:rsidRPr="00A22F31" w:rsidRDefault="00A22F31" w:rsidP="00A22F31">
      <w:pPr>
        <w:spacing w:line="360" w:lineRule="auto"/>
        <w:rPr>
          <w:rFonts w:ascii="Arial" w:hAnsi="Arial" w:cs="Arial"/>
          <w:b/>
          <w:bCs/>
          <w:sz w:val="22"/>
          <w:szCs w:val="22"/>
        </w:rPr>
      </w:pPr>
      <w:r w:rsidRPr="00A22F31">
        <w:rPr>
          <w:rFonts w:ascii="Arial" w:hAnsi="Arial" w:cs="Arial"/>
          <w:b/>
          <w:bCs/>
          <w:sz w:val="22"/>
          <w:szCs w:val="22"/>
        </w:rPr>
        <w:t>Monitoring in Primary Care</w:t>
      </w:r>
    </w:p>
    <w:p w14:paraId="437B081E"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General practitioners (GPs) play an important role in monitoring people with depression. Patients usually attend follow-up appointments where healthcare professionals review symptoms, discuss treatment progress, assess medication side effects, and evaluate overall wellbeing. Questionnaires such as the PHQ-9 may be completed repeatedly to check improvement (NICE, 2022).</w:t>
      </w:r>
    </w:p>
    <w:p w14:paraId="61F34CB9"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These regular reviews help healthcare professionals decide if treatment should continue, be changed, or be combined with other interventions such as counselling or referral to specialist mental health services.</w:t>
      </w:r>
    </w:p>
    <w:p w14:paraId="4DD34FA4" w14:textId="77777777" w:rsidR="00A22F31" w:rsidRPr="00A22F31" w:rsidRDefault="00A22F31" w:rsidP="00A22F31">
      <w:pPr>
        <w:spacing w:line="360" w:lineRule="auto"/>
        <w:rPr>
          <w:rFonts w:ascii="Arial" w:hAnsi="Arial" w:cs="Arial"/>
          <w:b/>
          <w:bCs/>
          <w:sz w:val="22"/>
          <w:szCs w:val="22"/>
        </w:rPr>
      </w:pPr>
      <w:r w:rsidRPr="00A22F31">
        <w:rPr>
          <w:rFonts w:ascii="Arial" w:hAnsi="Arial" w:cs="Arial"/>
          <w:b/>
          <w:bCs/>
          <w:sz w:val="22"/>
          <w:szCs w:val="22"/>
        </w:rPr>
        <w:t>Community and Population Monitoring</w:t>
      </w:r>
    </w:p>
    <w:p w14:paraId="3EA318C6"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Public health organisations also monitor depression within the wider population through surveys and national studies. In the UK, NHS Digital and the Office for National Statistics (ONS) collect information about mental health conditions, service use, and treatment outcomes.</w:t>
      </w:r>
    </w:p>
    <w:p w14:paraId="11FA47BD"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The information gathered helps identify groups with higher risks of depression and assists governments in planning health services and directing resources where they are needed most (House of Commons Library, 2024).</w:t>
      </w:r>
    </w:p>
    <w:p w14:paraId="499ECF0A"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lastRenderedPageBreak/>
        <w:t>Globally, the World Health Organization collects information about depression rates to help countries understand the impact of the condition and improve mental health services worldwide.</w:t>
      </w:r>
    </w:p>
    <w:p w14:paraId="6C798101" w14:textId="77777777" w:rsidR="00A22F31" w:rsidRPr="00A22F31" w:rsidRDefault="00000000" w:rsidP="00A22F31">
      <w:pPr>
        <w:spacing w:line="360" w:lineRule="auto"/>
        <w:rPr>
          <w:rFonts w:ascii="Arial" w:hAnsi="Arial" w:cs="Arial"/>
          <w:sz w:val="22"/>
          <w:szCs w:val="22"/>
        </w:rPr>
      </w:pPr>
      <w:r>
        <w:rPr>
          <w:rFonts w:ascii="Arial" w:hAnsi="Arial" w:cs="Arial"/>
          <w:sz w:val="22"/>
          <w:szCs w:val="22"/>
        </w:rPr>
        <w:pict w14:anchorId="38F2D9E2">
          <v:rect id="_x0000_i1026" style="width:0;height:1.5pt" o:hralign="center" o:hrstd="t" o:hr="t" fillcolor="#a0a0a0" stroked="f"/>
        </w:pict>
      </w:r>
    </w:p>
    <w:p w14:paraId="0C57036B" w14:textId="77777777" w:rsidR="00A22F31" w:rsidRPr="00A22F31" w:rsidRDefault="00A22F31" w:rsidP="00A22F31">
      <w:pPr>
        <w:spacing w:line="360" w:lineRule="auto"/>
        <w:rPr>
          <w:rFonts w:ascii="Arial" w:hAnsi="Arial" w:cs="Arial"/>
          <w:b/>
          <w:bCs/>
          <w:sz w:val="22"/>
          <w:szCs w:val="22"/>
        </w:rPr>
      </w:pPr>
      <w:r w:rsidRPr="00A22F31">
        <w:rPr>
          <w:rFonts w:ascii="Arial" w:hAnsi="Arial" w:cs="Arial"/>
          <w:b/>
          <w:bCs/>
          <w:sz w:val="22"/>
          <w:szCs w:val="22"/>
        </w:rPr>
        <w:t>How Depression is Controlled</w:t>
      </w:r>
    </w:p>
    <w:p w14:paraId="012AE3AF"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Although depression cannot always be prevented, several methods can help control symptoms, reduce the effects of the illness, and improve recovery.</w:t>
      </w:r>
    </w:p>
    <w:p w14:paraId="656D72CF" w14:textId="77777777" w:rsidR="00A22F31" w:rsidRPr="00A22F31" w:rsidRDefault="00A22F31" w:rsidP="00A22F31">
      <w:pPr>
        <w:spacing w:line="360" w:lineRule="auto"/>
        <w:rPr>
          <w:rFonts w:ascii="Arial" w:hAnsi="Arial" w:cs="Arial"/>
          <w:b/>
          <w:bCs/>
          <w:sz w:val="22"/>
          <w:szCs w:val="22"/>
        </w:rPr>
      </w:pPr>
      <w:r w:rsidRPr="00A22F31">
        <w:rPr>
          <w:rFonts w:ascii="Arial" w:hAnsi="Arial" w:cs="Arial"/>
          <w:b/>
          <w:bCs/>
          <w:sz w:val="22"/>
          <w:szCs w:val="22"/>
        </w:rPr>
        <w:t>Psychological Therapies</w:t>
      </w:r>
    </w:p>
    <w:p w14:paraId="5532C72E" w14:textId="5F20749A" w:rsidR="00A22F31" w:rsidRPr="00584C72" w:rsidRDefault="00A22F31" w:rsidP="00AD4E70">
      <w:pPr>
        <w:spacing w:line="360" w:lineRule="auto"/>
        <w:rPr>
          <w:rFonts w:ascii="Arial" w:hAnsi="Arial" w:cs="Arial"/>
          <w:sz w:val="22"/>
          <w:szCs w:val="22"/>
        </w:rPr>
      </w:pPr>
      <w:r w:rsidRPr="00A22F31">
        <w:rPr>
          <w:rFonts w:ascii="Arial" w:hAnsi="Arial" w:cs="Arial"/>
          <w:sz w:val="22"/>
          <w:szCs w:val="22"/>
        </w:rPr>
        <w:t>Psychological therapies are often used as a first treatment option. Cognitive Behavioural Therapy (CBT) is one of the most common approaches. CBT helps people identify negative thoughts and behaviours and replace them with more positive and helpful ways of thinking</w:t>
      </w:r>
      <w:r w:rsidR="0063382D">
        <w:rPr>
          <w:rFonts w:ascii="Arial" w:hAnsi="Arial" w:cs="Arial"/>
          <w:sz w:val="22"/>
          <w:szCs w:val="22"/>
        </w:rPr>
        <w:t>.</w:t>
      </w:r>
      <w:r w:rsidRPr="00A22F31">
        <w:rPr>
          <w:rFonts w:ascii="Arial" w:hAnsi="Arial" w:cs="Arial"/>
          <w:sz w:val="22"/>
          <w:szCs w:val="22"/>
        </w:rPr>
        <w:t xml:space="preserve"> </w:t>
      </w:r>
      <w:r w:rsidR="00A949DE" w:rsidRPr="00A22F31">
        <w:rPr>
          <w:rFonts w:ascii="Arial" w:hAnsi="Arial" w:cs="Arial"/>
          <w:sz w:val="22"/>
          <w:szCs w:val="22"/>
        </w:rPr>
        <w:t>Other therapies include</w:t>
      </w:r>
      <w:r w:rsidR="00295F3F">
        <w:rPr>
          <w:rFonts w:ascii="Arial" w:hAnsi="Arial" w:cs="Arial"/>
          <w:sz w:val="22"/>
          <w:szCs w:val="22"/>
        </w:rPr>
        <w:t>,</w:t>
      </w:r>
      <w:r w:rsidR="00295F3F" w:rsidRPr="00295F3F">
        <w:rPr>
          <w:rFonts w:ascii="Arial" w:hAnsi="Arial" w:cs="Arial"/>
          <w:sz w:val="22"/>
          <w:szCs w:val="22"/>
        </w:rPr>
        <w:t xml:space="preserve"> </w:t>
      </w:r>
      <w:r w:rsidR="00295F3F" w:rsidRPr="00A22F31">
        <w:rPr>
          <w:rFonts w:ascii="Arial" w:hAnsi="Arial" w:cs="Arial"/>
          <w:sz w:val="22"/>
          <w:szCs w:val="22"/>
        </w:rPr>
        <w:t>Interpersonal Therapy (IPT)</w:t>
      </w:r>
      <w:r w:rsidR="00925236">
        <w:rPr>
          <w:rFonts w:ascii="Arial" w:hAnsi="Arial" w:cs="Arial"/>
          <w:sz w:val="22"/>
          <w:szCs w:val="22"/>
        </w:rPr>
        <w:t xml:space="preserve">, </w:t>
      </w:r>
      <w:r w:rsidR="00925236" w:rsidRPr="00A22F31">
        <w:rPr>
          <w:rFonts w:ascii="Arial" w:hAnsi="Arial" w:cs="Arial"/>
          <w:sz w:val="22"/>
          <w:szCs w:val="22"/>
        </w:rPr>
        <w:t>Behavioural Activation</w:t>
      </w:r>
      <w:r w:rsidR="002E0787">
        <w:rPr>
          <w:rFonts w:ascii="Arial" w:hAnsi="Arial" w:cs="Arial"/>
          <w:sz w:val="22"/>
          <w:szCs w:val="22"/>
        </w:rPr>
        <w:t xml:space="preserve">, </w:t>
      </w:r>
      <w:r w:rsidR="00E63982" w:rsidRPr="00A22F31">
        <w:rPr>
          <w:rFonts w:ascii="Arial" w:hAnsi="Arial" w:cs="Arial"/>
          <w:sz w:val="22"/>
          <w:szCs w:val="22"/>
        </w:rPr>
        <w:t>Counselling</w:t>
      </w:r>
      <w:r w:rsidR="00E63982">
        <w:rPr>
          <w:rFonts w:ascii="Arial" w:hAnsi="Arial" w:cs="Arial"/>
          <w:sz w:val="22"/>
          <w:szCs w:val="22"/>
        </w:rPr>
        <w:t xml:space="preserve">, </w:t>
      </w:r>
      <w:r w:rsidR="00E63982" w:rsidRPr="002E0787">
        <w:rPr>
          <w:rFonts w:ascii="Arial" w:hAnsi="Arial" w:cs="Arial"/>
          <w:sz w:val="22"/>
          <w:szCs w:val="22"/>
        </w:rPr>
        <w:t>Mindfulness</w:t>
      </w:r>
      <w:r w:rsidR="00E63982" w:rsidRPr="00A22F31">
        <w:rPr>
          <w:rFonts w:ascii="Arial" w:hAnsi="Arial" w:cs="Arial"/>
          <w:sz w:val="22"/>
          <w:szCs w:val="22"/>
        </w:rPr>
        <w:t>-Based Cognitive Therapy (MBCT)</w:t>
      </w:r>
      <w:r w:rsidR="00584C72">
        <w:rPr>
          <w:rFonts w:ascii="Arial" w:hAnsi="Arial" w:cs="Arial"/>
          <w:sz w:val="22"/>
          <w:szCs w:val="22"/>
        </w:rPr>
        <w:t xml:space="preserve">. </w:t>
      </w:r>
      <w:r w:rsidRPr="00E63982">
        <w:rPr>
          <w:rFonts w:ascii="Arial" w:hAnsi="Arial" w:cs="Arial"/>
          <w:sz w:val="22"/>
          <w:szCs w:val="22"/>
        </w:rPr>
        <w:t>(NICE, 2022)</w:t>
      </w:r>
    </w:p>
    <w:p w14:paraId="1810146B"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These treatments help individuals manage emotions, solve problems, improve relationships, and build coping skills.</w:t>
      </w:r>
    </w:p>
    <w:p w14:paraId="3BEC0525" w14:textId="77777777" w:rsidR="00A22F31" w:rsidRPr="00A22F31" w:rsidRDefault="00A22F31" w:rsidP="00A22F31">
      <w:pPr>
        <w:spacing w:line="360" w:lineRule="auto"/>
        <w:rPr>
          <w:rFonts w:ascii="Arial" w:hAnsi="Arial" w:cs="Arial"/>
          <w:b/>
          <w:bCs/>
          <w:sz w:val="22"/>
          <w:szCs w:val="22"/>
        </w:rPr>
      </w:pPr>
      <w:r w:rsidRPr="00A22F31">
        <w:rPr>
          <w:rFonts w:ascii="Arial" w:hAnsi="Arial" w:cs="Arial"/>
          <w:b/>
          <w:bCs/>
          <w:sz w:val="22"/>
          <w:szCs w:val="22"/>
        </w:rPr>
        <w:t>Medication</w:t>
      </w:r>
    </w:p>
    <w:p w14:paraId="688E1FBA"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Antidepressants are commonly used to treat moderate and severe depression. Selective Serotonin Reuptake Inhibitors (SSRIs), such as fluoxetine and sertraline, are among the most frequently prescribed medicines because they are effective and usually have fewer side effects than older medications (NICE, 2022).</w:t>
      </w:r>
    </w:p>
    <w:p w14:paraId="2F6400C2"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Medication can help improve mood, increase energy levels, reduce anxiety, and improve sleep. Healthcare professionals monitor patients regularly to make sure the medication is working safely and effectively.</w:t>
      </w:r>
    </w:p>
    <w:p w14:paraId="2A7DD251" w14:textId="77777777" w:rsidR="00A22F31" w:rsidRPr="00A22F31" w:rsidRDefault="00A22F31" w:rsidP="00A22F31">
      <w:pPr>
        <w:spacing w:line="360" w:lineRule="auto"/>
        <w:rPr>
          <w:rFonts w:ascii="Arial" w:hAnsi="Arial" w:cs="Arial"/>
          <w:b/>
          <w:bCs/>
          <w:sz w:val="22"/>
          <w:szCs w:val="22"/>
        </w:rPr>
      </w:pPr>
      <w:r w:rsidRPr="00A22F31">
        <w:rPr>
          <w:rFonts w:ascii="Arial" w:hAnsi="Arial" w:cs="Arial"/>
          <w:b/>
          <w:bCs/>
          <w:sz w:val="22"/>
          <w:szCs w:val="22"/>
        </w:rPr>
        <w:t>Community Support Services</w:t>
      </w:r>
    </w:p>
    <w:p w14:paraId="37FA3DF9"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Community services provide valuable support for individuals living with depression. Mental health charities, peer support groups, community mental health teams, and social prescribing programmes can all help people manage their condition.</w:t>
      </w:r>
    </w:p>
    <w:p w14:paraId="25946AD3" w14:textId="7642434F" w:rsidR="00A22F31" w:rsidRDefault="00A22F31" w:rsidP="00A22F31">
      <w:pPr>
        <w:spacing w:line="360" w:lineRule="auto"/>
        <w:rPr>
          <w:rFonts w:ascii="Arial" w:hAnsi="Arial" w:cs="Arial"/>
          <w:sz w:val="22"/>
          <w:szCs w:val="22"/>
        </w:rPr>
      </w:pPr>
      <w:r w:rsidRPr="00A22F31">
        <w:rPr>
          <w:rFonts w:ascii="Arial" w:hAnsi="Arial" w:cs="Arial"/>
          <w:sz w:val="22"/>
          <w:szCs w:val="22"/>
        </w:rPr>
        <w:t>These services reduce loneliness, encourage social interaction, and improve quality of life. Organisations such as Mind and NHS community services offer practical guidance and emotional support to help people recover and remain independent.</w:t>
      </w:r>
    </w:p>
    <w:p w14:paraId="66096224" w14:textId="77777777" w:rsidR="003F3944" w:rsidRPr="003F3944" w:rsidRDefault="003F3944" w:rsidP="00A22F31">
      <w:pPr>
        <w:spacing w:line="360" w:lineRule="auto"/>
        <w:rPr>
          <w:rFonts w:ascii="Arial" w:hAnsi="Arial" w:cs="Arial"/>
          <w:sz w:val="22"/>
          <w:szCs w:val="22"/>
        </w:rPr>
      </w:pPr>
    </w:p>
    <w:p w14:paraId="116C3062" w14:textId="0DEF00C5" w:rsidR="00736909" w:rsidRDefault="00736909" w:rsidP="00A22F31">
      <w:pPr>
        <w:spacing w:line="360" w:lineRule="auto"/>
        <w:rPr>
          <w:rFonts w:ascii="Arial" w:hAnsi="Arial" w:cs="Arial"/>
          <w:b/>
          <w:bCs/>
          <w:sz w:val="22"/>
          <w:szCs w:val="22"/>
        </w:rPr>
      </w:pPr>
    </w:p>
    <w:p w14:paraId="218ACC48" w14:textId="77777777" w:rsidR="008C46F8" w:rsidRDefault="008C46F8" w:rsidP="00A22F31">
      <w:pPr>
        <w:spacing w:line="360" w:lineRule="auto"/>
        <w:rPr>
          <w:rFonts w:ascii="Arial" w:hAnsi="Arial" w:cs="Arial"/>
          <w:b/>
          <w:bCs/>
          <w:sz w:val="22"/>
          <w:szCs w:val="22"/>
        </w:rPr>
      </w:pPr>
    </w:p>
    <w:p w14:paraId="60A3A89E" w14:textId="1B666AF7" w:rsidR="00736909" w:rsidRDefault="00736909" w:rsidP="00A22F31">
      <w:pPr>
        <w:spacing w:line="360" w:lineRule="auto"/>
        <w:rPr>
          <w:rFonts w:ascii="Arial" w:hAnsi="Arial" w:cs="Arial"/>
          <w:b/>
          <w:bCs/>
          <w:sz w:val="22"/>
          <w:szCs w:val="22"/>
        </w:rPr>
      </w:pPr>
      <w:r w:rsidRPr="00A22F31">
        <w:rPr>
          <w:rFonts w:ascii="Arial" w:hAnsi="Arial" w:cs="Arial"/>
          <w:b/>
          <w:bCs/>
          <w:sz w:val="22"/>
          <w:szCs w:val="22"/>
        </w:rPr>
        <w:t>Healthy Lifestyle Changes</w:t>
      </w:r>
    </w:p>
    <w:p w14:paraId="49D2E6C9" w14:textId="7E88C968" w:rsidR="00A22F31" w:rsidRPr="00736909" w:rsidRDefault="00A22F31" w:rsidP="00A22F31">
      <w:pPr>
        <w:spacing w:line="360" w:lineRule="auto"/>
        <w:rPr>
          <w:rFonts w:ascii="Arial" w:hAnsi="Arial" w:cs="Arial"/>
          <w:b/>
          <w:bCs/>
          <w:sz w:val="22"/>
          <w:szCs w:val="22"/>
        </w:rPr>
      </w:pPr>
      <w:r w:rsidRPr="00A22F31">
        <w:rPr>
          <w:rFonts w:ascii="Arial" w:hAnsi="Arial" w:cs="Arial"/>
          <w:sz w:val="22"/>
          <w:szCs w:val="22"/>
        </w:rPr>
        <w:t>Making healthy lifestyle choices can help control depression symptoms. Regular exercise, balanced nutrition, good sleep habits, avoiding excess alcohol, and finding effective ways to manage stress can all improve mental wellbeing.</w:t>
      </w:r>
    </w:p>
    <w:p w14:paraId="3AEC8775"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The World Health Organization states that healthy lifestyles and prevention programmes can reduce the risk of depression and support long-term recovery (WHO, 2025).</w:t>
      </w:r>
    </w:p>
    <w:p w14:paraId="1F157690" w14:textId="77777777" w:rsidR="00A22F31" w:rsidRPr="00A22F31" w:rsidRDefault="00A22F31" w:rsidP="00A22F31">
      <w:pPr>
        <w:spacing w:line="360" w:lineRule="auto"/>
        <w:rPr>
          <w:rFonts w:ascii="Arial" w:hAnsi="Arial" w:cs="Arial"/>
          <w:b/>
          <w:bCs/>
          <w:sz w:val="22"/>
          <w:szCs w:val="22"/>
        </w:rPr>
      </w:pPr>
      <w:r w:rsidRPr="00A22F31">
        <w:rPr>
          <w:rFonts w:ascii="Arial" w:hAnsi="Arial" w:cs="Arial"/>
          <w:b/>
          <w:bCs/>
          <w:sz w:val="22"/>
          <w:szCs w:val="22"/>
        </w:rPr>
        <w:t>Early Intervention and Public Health Strategies</w:t>
      </w:r>
    </w:p>
    <w:p w14:paraId="15722ABD"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Early diagnosis and treatment are important in controlling depression. Public awareness campaigns encourage people to recognise symptoms and seek help sooner. Reducing stigma surrounding mental health can also make individuals more willing to access support services.</w:t>
      </w:r>
    </w:p>
    <w:p w14:paraId="57DE3F85"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Early treatment often leads to better outcomes and can prevent symptoms from becoming more severe or long-lasting.</w:t>
      </w:r>
    </w:p>
    <w:p w14:paraId="0437A743" w14:textId="77777777" w:rsidR="00A22F31" w:rsidRPr="00A22F31" w:rsidRDefault="00000000" w:rsidP="00A22F31">
      <w:pPr>
        <w:spacing w:line="360" w:lineRule="auto"/>
        <w:rPr>
          <w:rFonts w:ascii="Arial" w:hAnsi="Arial" w:cs="Arial"/>
          <w:sz w:val="22"/>
          <w:szCs w:val="22"/>
        </w:rPr>
      </w:pPr>
      <w:r>
        <w:rPr>
          <w:rFonts w:ascii="Arial" w:hAnsi="Arial" w:cs="Arial"/>
          <w:sz w:val="22"/>
          <w:szCs w:val="22"/>
        </w:rPr>
        <w:pict w14:anchorId="579D8A64">
          <v:rect id="_x0000_i1027" style="width:0;height:1.5pt" o:hralign="center" o:hrstd="t" o:hr="t" fillcolor="#a0a0a0" stroked="f"/>
        </w:pict>
      </w:r>
    </w:p>
    <w:p w14:paraId="661875ED" w14:textId="77777777" w:rsidR="00A22F31" w:rsidRPr="00A22F31" w:rsidRDefault="00A22F31" w:rsidP="00A22F31">
      <w:pPr>
        <w:spacing w:line="360" w:lineRule="auto"/>
        <w:rPr>
          <w:rFonts w:ascii="Arial" w:hAnsi="Arial" w:cs="Arial"/>
          <w:b/>
          <w:bCs/>
          <w:sz w:val="22"/>
          <w:szCs w:val="22"/>
        </w:rPr>
      </w:pPr>
      <w:r w:rsidRPr="00A22F31">
        <w:rPr>
          <w:rFonts w:ascii="Arial" w:hAnsi="Arial" w:cs="Arial"/>
          <w:b/>
          <w:bCs/>
          <w:sz w:val="22"/>
          <w:szCs w:val="22"/>
        </w:rPr>
        <w:t>Consequences of Depression on People in the Community</w:t>
      </w:r>
    </w:p>
    <w:p w14:paraId="5370F4F7"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Depression affects not only individuals but also families, workplaces, healthcare systems, and the wider community.</w:t>
      </w:r>
    </w:p>
    <w:p w14:paraId="2F7288D7" w14:textId="77777777" w:rsidR="00A22F31" w:rsidRPr="00A22F31" w:rsidRDefault="00A22F31" w:rsidP="00A22F31">
      <w:pPr>
        <w:spacing w:line="360" w:lineRule="auto"/>
        <w:rPr>
          <w:rFonts w:ascii="Arial" w:hAnsi="Arial" w:cs="Arial"/>
          <w:b/>
          <w:bCs/>
          <w:sz w:val="22"/>
          <w:szCs w:val="22"/>
        </w:rPr>
      </w:pPr>
      <w:r w:rsidRPr="00A22F31">
        <w:rPr>
          <w:rFonts w:ascii="Arial" w:hAnsi="Arial" w:cs="Arial"/>
          <w:b/>
          <w:bCs/>
          <w:sz w:val="22"/>
          <w:szCs w:val="22"/>
        </w:rPr>
        <w:t>Effects on Physical Health</w:t>
      </w:r>
    </w:p>
    <w:p w14:paraId="57F8632A"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Depression can cause physical as well as emotional symptoms. People may experience tiredness, sleep problems, headaches, body pain, reduced energy, and digestive issues. Depression has also been linked to long-term illnesses such as heart disease, diabetes, and respiratory conditions (WHO, 2025).</w:t>
      </w:r>
    </w:p>
    <w:p w14:paraId="6F0131E6"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Poor mental health may reduce a person's motivation to exercise, eat healthily, take medication, and attend healthcare appointments.</w:t>
      </w:r>
    </w:p>
    <w:p w14:paraId="1BE4371F" w14:textId="77777777" w:rsidR="00A22F31" w:rsidRPr="00A22F31" w:rsidRDefault="00A22F31" w:rsidP="00A22F31">
      <w:pPr>
        <w:spacing w:line="360" w:lineRule="auto"/>
        <w:rPr>
          <w:rFonts w:ascii="Arial" w:hAnsi="Arial" w:cs="Arial"/>
          <w:b/>
          <w:bCs/>
          <w:sz w:val="22"/>
          <w:szCs w:val="22"/>
        </w:rPr>
      </w:pPr>
      <w:r w:rsidRPr="00A22F31">
        <w:rPr>
          <w:rFonts w:ascii="Arial" w:hAnsi="Arial" w:cs="Arial"/>
          <w:b/>
          <w:bCs/>
          <w:sz w:val="22"/>
          <w:szCs w:val="22"/>
        </w:rPr>
        <w:t>Social Isolation</w:t>
      </w:r>
    </w:p>
    <w:p w14:paraId="1D236FC3"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Many people with depression withdraw from social activities and relationships. Low self-esteem, anxiety, and feelings of hopelessness may make social interaction difficult. As a result, friendships and family relationships can become strained.</w:t>
      </w:r>
    </w:p>
    <w:p w14:paraId="73835AF6"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lastRenderedPageBreak/>
        <w:t>Social isolation can make depression worse and may slow recovery. Family members can also experience stress and emotional difficulties while providing support.</w:t>
      </w:r>
    </w:p>
    <w:p w14:paraId="11458861" w14:textId="77777777" w:rsidR="00A22F31" w:rsidRPr="00A22F31" w:rsidRDefault="00A22F31" w:rsidP="00A22F31">
      <w:pPr>
        <w:spacing w:line="360" w:lineRule="auto"/>
        <w:rPr>
          <w:rFonts w:ascii="Arial" w:hAnsi="Arial" w:cs="Arial"/>
          <w:b/>
          <w:bCs/>
          <w:sz w:val="22"/>
          <w:szCs w:val="22"/>
        </w:rPr>
      </w:pPr>
      <w:r w:rsidRPr="00A22F31">
        <w:rPr>
          <w:rFonts w:ascii="Arial" w:hAnsi="Arial" w:cs="Arial"/>
          <w:b/>
          <w:bCs/>
          <w:sz w:val="22"/>
          <w:szCs w:val="22"/>
        </w:rPr>
        <w:t>Effects on Education and Employment</w:t>
      </w:r>
    </w:p>
    <w:p w14:paraId="338DB234"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Depression can affect performance at school, college, and work. Symptoms such as tiredness, poor concentration, lack of motivation, and difficulty making decisions can reduce productivity and attendance.</w:t>
      </w:r>
    </w:p>
    <w:p w14:paraId="5DFA3ADF"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Some people may struggle to maintain employment or complete their education due to severe symptoms. According to the World Health Organization, depression and anxiety lead to billions of lost working days each year, creating major economic costs worldwide.</w:t>
      </w:r>
    </w:p>
    <w:p w14:paraId="63B16FE0" w14:textId="77777777" w:rsidR="00A22F31" w:rsidRPr="00A22F31" w:rsidRDefault="00A22F31" w:rsidP="00A22F31">
      <w:pPr>
        <w:spacing w:line="360" w:lineRule="auto"/>
        <w:rPr>
          <w:rFonts w:ascii="Arial" w:hAnsi="Arial" w:cs="Arial"/>
          <w:b/>
          <w:bCs/>
          <w:sz w:val="22"/>
          <w:szCs w:val="22"/>
        </w:rPr>
      </w:pPr>
      <w:r w:rsidRPr="00A22F31">
        <w:rPr>
          <w:rFonts w:ascii="Arial" w:hAnsi="Arial" w:cs="Arial"/>
          <w:b/>
          <w:bCs/>
          <w:sz w:val="22"/>
          <w:szCs w:val="22"/>
        </w:rPr>
        <w:t>Risk of Self-Harm and Suicide</w:t>
      </w:r>
    </w:p>
    <w:p w14:paraId="291DCFAD"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Depression increases the risk of self-harm and suicide, particularly when symptoms are severe. Individuals may experience hopelessness, low self-worth, and thoughts about ending their lives (WHO, 2025; NHS, 2026).</w:t>
      </w:r>
    </w:p>
    <w:p w14:paraId="77B4D784"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For this reason, suicide prevention is an important part of depression treatment and requires support from healthcare professionals, families, and community organisations.</w:t>
      </w:r>
    </w:p>
    <w:p w14:paraId="6FBCE194" w14:textId="77777777" w:rsidR="00A22F31" w:rsidRPr="00A22F31" w:rsidRDefault="00A22F31" w:rsidP="00A22F31">
      <w:pPr>
        <w:spacing w:line="360" w:lineRule="auto"/>
        <w:rPr>
          <w:rFonts w:ascii="Arial" w:hAnsi="Arial" w:cs="Arial"/>
          <w:b/>
          <w:bCs/>
          <w:sz w:val="22"/>
          <w:szCs w:val="22"/>
        </w:rPr>
      </w:pPr>
      <w:r w:rsidRPr="00A22F31">
        <w:rPr>
          <w:rFonts w:ascii="Arial" w:hAnsi="Arial" w:cs="Arial"/>
          <w:b/>
          <w:bCs/>
          <w:sz w:val="22"/>
          <w:szCs w:val="22"/>
        </w:rPr>
        <w:t>Economic Impact</w:t>
      </w:r>
    </w:p>
    <w:p w14:paraId="3C26EA12"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Depression creates significant costs for individuals and society. These include healthcare expenses, loss of income, reduced workplace productivity, and increased use of social services.</w:t>
      </w:r>
    </w:p>
    <w:p w14:paraId="3BEE7F65"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Healthcare systems must invest resources into treatment, community support, crisis intervention, and long-term care. As a result, depression remains both a major health concern and an important social and economic issue.</w:t>
      </w:r>
    </w:p>
    <w:p w14:paraId="479A0AC6" w14:textId="77777777" w:rsidR="00A22F31" w:rsidRPr="00A22F31" w:rsidRDefault="00000000" w:rsidP="00A22F31">
      <w:pPr>
        <w:spacing w:line="360" w:lineRule="auto"/>
        <w:rPr>
          <w:rFonts w:ascii="Arial" w:hAnsi="Arial" w:cs="Arial"/>
          <w:sz w:val="22"/>
          <w:szCs w:val="22"/>
        </w:rPr>
      </w:pPr>
      <w:r>
        <w:rPr>
          <w:rFonts w:ascii="Arial" w:hAnsi="Arial" w:cs="Arial"/>
          <w:sz w:val="22"/>
          <w:szCs w:val="22"/>
        </w:rPr>
        <w:pict w14:anchorId="51D30F9E">
          <v:rect id="_x0000_i1028" style="width:0;height:1.5pt" o:hralign="center" o:hrstd="t" o:hr="t" fillcolor="#a0a0a0" stroked="f"/>
        </w:pict>
      </w:r>
    </w:p>
    <w:p w14:paraId="7B9C39E6" w14:textId="57B6CD98" w:rsidR="00A22F31" w:rsidRPr="00A22F31" w:rsidRDefault="00A22F31" w:rsidP="00A22F31">
      <w:pPr>
        <w:spacing w:line="360" w:lineRule="auto"/>
        <w:rPr>
          <w:rFonts w:ascii="Arial" w:hAnsi="Arial" w:cs="Arial"/>
          <w:b/>
          <w:bCs/>
          <w:sz w:val="22"/>
          <w:szCs w:val="22"/>
        </w:rPr>
      </w:pPr>
      <w:r w:rsidRPr="00A22F31">
        <w:rPr>
          <w:rFonts w:ascii="Arial" w:hAnsi="Arial" w:cs="Arial"/>
          <w:b/>
          <w:bCs/>
          <w:sz w:val="22"/>
          <w:szCs w:val="22"/>
        </w:rPr>
        <w:t>Conclusion</w:t>
      </w:r>
    </w:p>
    <w:p w14:paraId="336622F1"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Depression is a serious mental health condition that affects millions of people around the world. It has a major impact on emotional wellbeing, physical health, social relationships, education, and employment. Healthcare professionals use clinical assessments, questionnaires, and public health data to measure and monitor the condition. Depression can be managed through psychological therapies, medication, community support services, healthy lifestyle choices, and early intervention programmes.</w:t>
      </w:r>
    </w:p>
    <w:p w14:paraId="70575116"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lastRenderedPageBreak/>
        <w:t>The scale of depression highlights its importance as a public health issue. The World Health Organization estimates that around 332 million people worldwide live with depression, representing approximately 4% of the global population and 5.7% of adults (WHO, 2025).</w:t>
      </w:r>
    </w:p>
    <w:p w14:paraId="60CEBB84"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In the United Kingdom, depression is also highly common. Recent evidence shows that about 18% of adults in Great Britain experience moderate to severe depressive symptoms, while previous surveys found that around one in six adults experience common mental health problems, including depression and anxiety (House of Commons Library, 2024).</w:t>
      </w:r>
    </w:p>
    <w:p w14:paraId="75FCA0F9" w14:textId="77777777" w:rsidR="00A22F31" w:rsidRPr="00A22F31" w:rsidRDefault="00000000" w:rsidP="00A22F31">
      <w:pPr>
        <w:spacing w:line="360" w:lineRule="auto"/>
        <w:rPr>
          <w:rFonts w:ascii="Arial" w:hAnsi="Arial" w:cs="Arial"/>
          <w:sz w:val="22"/>
          <w:szCs w:val="22"/>
        </w:rPr>
      </w:pPr>
      <w:r>
        <w:rPr>
          <w:rFonts w:ascii="Arial" w:hAnsi="Arial" w:cs="Arial"/>
          <w:sz w:val="22"/>
          <w:szCs w:val="22"/>
        </w:rPr>
        <w:pict w14:anchorId="290B12D1">
          <v:rect id="_x0000_i1029" style="width:0;height:1.5pt" o:hralign="center" o:hrstd="t" o:hr="t" fillcolor="#a0a0a0" stroked="f"/>
        </w:pict>
      </w:r>
    </w:p>
    <w:p w14:paraId="77B8717B" w14:textId="77777777" w:rsidR="00A22F31" w:rsidRPr="00A22F31" w:rsidRDefault="00A22F31" w:rsidP="00A22F31">
      <w:pPr>
        <w:spacing w:line="360" w:lineRule="auto"/>
        <w:rPr>
          <w:rFonts w:ascii="Arial" w:hAnsi="Arial" w:cs="Arial"/>
          <w:b/>
          <w:bCs/>
          <w:sz w:val="22"/>
          <w:szCs w:val="22"/>
        </w:rPr>
      </w:pPr>
      <w:r w:rsidRPr="00A22F31">
        <w:rPr>
          <w:rFonts w:ascii="Arial" w:hAnsi="Arial" w:cs="Arial"/>
          <w:b/>
          <w:bCs/>
          <w:sz w:val="22"/>
          <w:szCs w:val="22"/>
        </w:rPr>
        <w:t>References (Harvard Style)</w:t>
      </w:r>
    </w:p>
    <w:p w14:paraId="79E673CA"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 xml:space="preserve">House of Commons Library (2024) </w:t>
      </w:r>
      <w:r w:rsidRPr="00A22F31">
        <w:rPr>
          <w:rFonts w:ascii="Arial" w:hAnsi="Arial" w:cs="Arial"/>
          <w:i/>
          <w:iCs/>
          <w:sz w:val="22"/>
          <w:szCs w:val="22"/>
        </w:rPr>
        <w:t>Mental health statistics: prevalence, services and funding in England</w:t>
      </w:r>
      <w:r w:rsidRPr="00A22F31">
        <w:rPr>
          <w:rFonts w:ascii="Arial" w:hAnsi="Arial" w:cs="Arial"/>
          <w:sz w:val="22"/>
          <w:szCs w:val="22"/>
        </w:rPr>
        <w:t>. Available at: https://commonslibrary.parliament.uk/research-briefings/sn06988/ (Accessed: 26 July 2026).</w:t>
      </w:r>
    </w:p>
    <w:p w14:paraId="18F5132E"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 xml:space="preserve">Mind (2026) </w:t>
      </w:r>
      <w:r w:rsidRPr="00A22F31">
        <w:rPr>
          <w:rFonts w:ascii="Arial" w:hAnsi="Arial" w:cs="Arial"/>
          <w:i/>
          <w:iCs/>
          <w:sz w:val="22"/>
          <w:szCs w:val="22"/>
        </w:rPr>
        <w:t>Depression signs and symptoms</w:t>
      </w:r>
      <w:r w:rsidRPr="00A22F31">
        <w:rPr>
          <w:rFonts w:ascii="Arial" w:hAnsi="Arial" w:cs="Arial"/>
          <w:sz w:val="22"/>
          <w:szCs w:val="22"/>
        </w:rPr>
        <w:t>. Available at: https://www.mind.org.uk (Accessed: 26 July 2026).</w:t>
      </w:r>
    </w:p>
    <w:p w14:paraId="0CED9CDD"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 xml:space="preserve">National Institute for Health and Care Excellence (NICE) (2022) </w:t>
      </w:r>
      <w:r w:rsidRPr="00A22F31">
        <w:rPr>
          <w:rFonts w:ascii="Arial" w:hAnsi="Arial" w:cs="Arial"/>
          <w:i/>
          <w:iCs/>
          <w:sz w:val="22"/>
          <w:szCs w:val="22"/>
        </w:rPr>
        <w:t>Depression in adults: treatment and management (NG222)</w:t>
      </w:r>
      <w:r w:rsidRPr="00A22F31">
        <w:rPr>
          <w:rFonts w:ascii="Arial" w:hAnsi="Arial" w:cs="Arial"/>
          <w:sz w:val="22"/>
          <w:szCs w:val="22"/>
        </w:rPr>
        <w:t>. Available at: https://www.nice.org.uk/guidance/ng222 (Accessed: 26 July 2026).</w:t>
      </w:r>
    </w:p>
    <w:p w14:paraId="12A772E6"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 xml:space="preserve">NHS (2026) </w:t>
      </w:r>
      <w:r w:rsidRPr="00A22F31">
        <w:rPr>
          <w:rFonts w:ascii="Arial" w:hAnsi="Arial" w:cs="Arial"/>
          <w:i/>
          <w:iCs/>
          <w:sz w:val="22"/>
          <w:szCs w:val="22"/>
        </w:rPr>
        <w:t>Depression</w:t>
      </w:r>
      <w:r w:rsidRPr="00A22F31">
        <w:rPr>
          <w:rFonts w:ascii="Arial" w:hAnsi="Arial" w:cs="Arial"/>
          <w:sz w:val="22"/>
          <w:szCs w:val="22"/>
        </w:rPr>
        <w:t>. Available at: https://www.nhs.uk/mental-health/conditions/depression/ (Accessed: 26 July 2026).</w:t>
      </w:r>
    </w:p>
    <w:p w14:paraId="3CEFA644"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 xml:space="preserve">NHS (2026) </w:t>
      </w:r>
      <w:r w:rsidRPr="00A22F31">
        <w:rPr>
          <w:rFonts w:ascii="Arial" w:hAnsi="Arial" w:cs="Arial"/>
          <w:i/>
          <w:iCs/>
          <w:sz w:val="22"/>
          <w:szCs w:val="22"/>
        </w:rPr>
        <w:t>Symptoms of depression in adults</w:t>
      </w:r>
      <w:r w:rsidRPr="00A22F31">
        <w:rPr>
          <w:rFonts w:ascii="Arial" w:hAnsi="Arial" w:cs="Arial"/>
          <w:sz w:val="22"/>
          <w:szCs w:val="22"/>
        </w:rPr>
        <w:t>. Available at: https://www.nhs.uk/mental-health/conditions/depression-in-adults/symptoms/ (Accessed: 26 July 2026).</w:t>
      </w:r>
    </w:p>
    <w:p w14:paraId="50CA47D5"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 xml:space="preserve">Patient.info (2025) </w:t>
      </w:r>
      <w:r w:rsidRPr="00A22F31">
        <w:rPr>
          <w:rFonts w:ascii="Arial" w:hAnsi="Arial" w:cs="Arial"/>
          <w:i/>
          <w:iCs/>
          <w:sz w:val="22"/>
          <w:szCs w:val="22"/>
        </w:rPr>
        <w:t>Patient Health Questionnaire (PHQ-9)</w:t>
      </w:r>
      <w:r w:rsidRPr="00A22F31">
        <w:rPr>
          <w:rFonts w:ascii="Arial" w:hAnsi="Arial" w:cs="Arial"/>
          <w:sz w:val="22"/>
          <w:szCs w:val="22"/>
        </w:rPr>
        <w:t>. Available at: https://patient.info/doctor/mental-health/phq-9 (Accessed: 26 July 2026).</w:t>
      </w:r>
    </w:p>
    <w:p w14:paraId="7B329B01" w14:textId="77777777"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 xml:space="preserve">World Health Organization (2025) </w:t>
      </w:r>
      <w:r w:rsidRPr="00A22F31">
        <w:rPr>
          <w:rFonts w:ascii="Arial" w:hAnsi="Arial" w:cs="Arial"/>
          <w:i/>
          <w:iCs/>
          <w:sz w:val="22"/>
          <w:szCs w:val="22"/>
        </w:rPr>
        <w:t>Depressive disorder (depression) fact sheet</w:t>
      </w:r>
      <w:r w:rsidRPr="00A22F31">
        <w:rPr>
          <w:rFonts w:ascii="Arial" w:hAnsi="Arial" w:cs="Arial"/>
          <w:sz w:val="22"/>
          <w:szCs w:val="22"/>
        </w:rPr>
        <w:t>. Available at: https://www.who.int/news-room/fact-sheets/detail/depression (Accessed: 26 July 2026).</w:t>
      </w:r>
    </w:p>
    <w:p w14:paraId="3FB15C97" w14:textId="610E6FFF" w:rsidR="00A22F31" w:rsidRPr="00A22F31" w:rsidRDefault="00A22F31" w:rsidP="00A22F31">
      <w:pPr>
        <w:spacing w:line="360" w:lineRule="auto"/>
        <w:rPr>
          <w:rFonts w:ascii="Arial" w:hAnsi="Arial" w:cs="Arial"/>
          <w:sz w:val="22"/>
          <w:szCs w:val="22"/>
        </w:rPr>
      </w:pPr>
      <w:r w:rsidRPr="00A22F31">
        <w:rPr>
          <w:rFonts w:ascii="Arial" w:hAnsi="Arial" w:cs="Arial"/>
          <w:sz w:val="22"/>
          <w:szCs w:val="22"/>
        </w:rPr>
        <w:t xml:space="preserve">World Health Organization (2025) </w:t>
      </w:r>
      <w:r w:rsidRPr="00A22F31">
        <w:rPr>
          <w:rFonts w:ascii="Arial" w:hAnsi="Arial" w:cs="Arial"/>
          <w:i/>
          <w:iCs/>
          <w:sz w:val="22"/>
          <w:szCs w:val="22"/>
        </w:rPr>
        <w:t>Depression</w:t>
      </w:r>
      <w:r w:rsidRPr="00A22F31">
        <w:rPr>
          <w:rFonts w:ascii="Arial" w:hAnsi="Arial" w:cs="Arial"/>
          <w:sz w:val="22"/>
          <w:szCs w:val="22"/>
        </w:rPr>
        <w:t>. Available at: https://www.who.int/health-topics/depression/ (Accessed: 26 July 2026).</w:t>
      </w:r>
    </w:p>
    <w:sectPr w:rsidR="00A22F31" w:rsidRPr="00A22F31" w:rsidSect="006E3B7D">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BE2B0" w14:textId="77777777" w:rsidR="00CB70C4" w:rsidRDefault="00CB70C4" w:rsidP="00E44B6E">
      <w:pPr>
        <w:spacing w:after="0" w:line="240" w:lineRule="auto"/>
      </w:pPr>
      <w:r>
        <w:separator/>
      </w:r>
    </w:p>
  </w:endnote>
  <w:endnote w:type="continuationSeparator" w:id="0">
    <w:p w14:paraId="4E841EE1" w14:textId="77777777" w:rsidR="00CB70C4" w:rsidRDefault="00CB70C4" w:rsidP="00E44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6456896"/>
      <w:docPartObj>
        <w:docPartGallery w:val="Page Numbers (Bottom of Page)"/>
        <w:docPartUnique/>
      </w:docPartObj>
    </w:sdtPr>
    <w:sdtEndPr>
      <w:rPr>
        <w:noProof/>
      </w:rPr>
    </w:sdtEndPr>
    <w:sdtContent>
      <w:p w14:paraId="13EB253F" w14:textId="00B65923" w:rsidR="00E44B6E" w:rsidRDefault="00E44B6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E1C6AE" w14:textId="77777777" w:rsidR="00E44B6E" w:rsidRDefault="00E44B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D13D7" w14:textId="77777777" w:rsidR="00CB70C4" w:rsidRDefault="00CB70C4" w:rsidP="00E44B6E">
      <w:pPr>
        <w:spacing w:after="0" w:line="240" w:lineRule="auto"/>
      </w:pPr>
      <w:r>
        <w:separator/>
      </w:r>
    </w:p>
  </w:footnote>
  <w:footnote w:type="continuationSeparator" w:id="0">
    <w:p w14:paraId="47F6DCC6" w14:textId="77777777" w:rsidR="00CB70C4" w:rsidRDefault="00CB70C4" w:rsidP="00E44B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A15010"/>
    <w:multiLevelType w:val="multilevel"/>
    <w:tmpl w:val="690AF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263D91"/>
    <w:multiLevelType w:val="multilevel"/>
    <w:tmpl w:val="4AC01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893523">
    <w:abstractNumId w:val="0"/>
  </w:num>
  <w:num w:numId="2" w16cid:durableId="16893297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F31"/>
    <w:rsid w:val="00087E2B"/>
    <w:rsid w:val="00124465"/>
    <w:rsid w:val="001B6DD7"/>
    <w:rsid w:val="00246ABF"/>
    <w:rsid w:val="00295F3F"/>
    <w:rsid w:val="002B25A2"/>
    <w:rsid w:val="002E0787"/>
    <w:rsid w:val="003A5235"/>
    <w:rsid w:val="003F3944"/>
    <w:rsid w:val="00492F38"/>
    <w:rsid w:val="004B701F"/>
    <w:rsid w:val="00584C72"/>
    <w:rsid w:val="005A416A"/>
    <w:rsid w:val="005B28FC"/>
    <w:rsid w:val="0063382D"/>
    <w:rsid w:val="00640F1A"/>
    <w:rsid w:val="00670522"/>
    <w:rsid w:val="006E3B7D"/>
    <w:rsid w:val="00720CED"/>
    <w:rsid w:val="00736909"/>
    <w:rsid w:val="007850E9"/>
    <w:rsid w:val="0084533A"/>
    <w:rsid w:val="00892D3F"/>
    <w:rsid w:val="008C46F8"/>
    <w:rsid w:val="008E11F6"/>
    <w:rsid w:val="00912337"/>
    <w:rsid w:val="00925236"/>
    <w:rsid w:val="009D5450"/>
    <w:rsid w:val="00A22F31"/>
    <w:rsid w:val="00A903F8"/>
    <w:rsid w:val="00A949DE"/>
    <w:rsid w:val="00AA494F"/>
    <w:rsid w:val="00AD4E70"/>
    <w:rsid w:val="00B046BA"/>
    <w:rsid w:val="00B7094E"/>
    <w:rsid w:val="00BB21FF"/>
    <w:rsid w:val="00C367C1"/>
    <w:rsid w:val="00C860D9"/>
    <w:rsid w:val="00CB70C4"/>
    <w:rsid w:val="00D431A8"/>
    <w:rsid w:val="00E44B6E"/>
    <w:rsid w:val="00E63982"/>
    <w:rsid w:val="00F2144B"/>
    <w:rsid w:val="00FA2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7E709"/>
  <w15:chartTrackingRefBased/>
  <w15:docId w15:val="{50B956AA-9F31-474C-BD71-55F8F6529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2F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2F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2F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2F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2F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2F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2F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2F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2F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F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2F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2F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2F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2F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2F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2F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2F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2F31"/>
    <w:rPr>
      <w:rFonts w:eastAsiaTheme="majorEastAsia" w:cstheme="majorBidi"/>
      <w:color w:val="272727" w:themeColor="text1" w:themeTint="D8"/>
    </w:rPr>
  </w:style>
  <w:style w:type="paragraph" w:styleId="Title">
    <w:name w:val="Title"/>
    <w:basedOn w:val="Normal"/>
    <w:next w:val="Normal"/>
    <w:link w:val="TitleChar"/>
    <w:uiPriority w:val="10"/>
    <w:qFormat/>
    <w:rsid w:val="00A22F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2F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2F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2F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2F31"/>
    <w:pPr>
      <w:spacing w:before="160"/>
      <w:jc w:val="center"/>
    </w:pPr>
    <w:rPr>
      <w:i/>
      <w:iCs/>
      <w:color w:val="404040" w:themeColor="text1" w:themeTint="BF"/>
    </w:rPr>
  </w:style>
  <w:style w:type="character" w:customStyle="1" w:styleId="QuoteChar">
    <w:name w:val="Quote Char"/>
    <w:basedOn w:val="DefaultParagraphFont"/>
    <w:link w:val="Quote"/>
    <w:uiPriority w:val="29"/>
    <w:rsid w:val="00A22F31"/>
    <w:rPr>
      <w:i/>
      <w:iCs/>
      <w:color w:val="404040" w:themeColor="text1" w:themeTint="BF"/>
    </w:rPr>
  </w:style>
  <w:style w:type="paragraph" w:styleId="ListParagraph">
    <w:name w:val="List Paragraph"/>
    <w:basedOn w:val="Normal"/>
    <w:uiPriority w:val="34"/>
    <w:qFormat/>
    <w:rsid w:val="00A22F31"/>
    <w:pPr>
      <w:ind w:left="720"/>
      <w:contextualSpacing/>
    </w:pPr>
  </w:style>
  <w:style w:type="character" w:styleId="IntenseEmphasis">
    <w:name w:val="Intense Emphasis"/>
    <w:basedOn w:val="DefaultParagraphFont"/>
    <w:uiPriority w:val="21"/>
    <w:qFormat/>
    <w:rsid w:val="00A22F31"/>
    <w:rPr>
      <w:i/>
      <w:iCs/>
      <w:color w:val="0F4761" w:themeColor="accent1" w:themeShade="BF"/>
    </w:rPr>
  </w:style>
  <w:style w:type="paragraph" w:styleId="IntenseQuote">
    <w:name w:val="Intense Quote"/>
    <w:basedOn w:val="Normal"/>
    <w:next w:val="Normal"/>
    <w:link w:val="IntenseQuoteChar"/>
    <w:uiPriority w:val="30"/>
    <w:qFormat/>
    <w:rsid w:val="00A22F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2F31"/>
    <w:rPr>
      <w:i/>
      <w:iCs/>
      <w:color w:val="0F4761" w:themeColor="accent1" w:themeShade="BF"/>
    </w:rPr>
  </w:style>
  <w:style w:type="character" w:styleId="IntenseReference">
    <w:name w:val="Intense Reference"/>
    <w:basedOn w:val="DefaultParagraphFont"/>
    <w:uiPriority w:val="32"/>
    <w:qFormat/>
    <w:rsid w:val="00A22F31"/>
    <w:rPr>
      <w:b/>
      <w:bCs/>
      <w:smallCaps/>
      <w:color w:val="0F4761" w:themeColor="accent1" w:themeShade="BF"/>
      <w:spacing w:val="5"/>
    </w:rPr>
  </w:style>
  <w:style w:type="paragraph" w:styleId="NoSpacing">
    <w:name w:val="No Spacing"/>
    <w:link w:val="NoSpacingChar"/>
    <w:uiPriority w:val="1"/>
    <w:qFormat/>
    <w:rsid w:val="006E3B7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E3B7D"/>
    <w:rPr>
      <w:rFonts w:eastAsiaTheme="minorEastAsia"/>
      <w:kern w:val="0"/>
      <w:sz w:val="22"/>
      <w:szCs w:val="22"/>
      <w:lang w:val="en-US"/>
      <w14:ligatures w14:val="none"/>
    </w:rPr>
  </w:style>
  <w:style w:type="paragraph" w:styleId="Header">
    <w:name w:val="header"/>
    <w:basedOn w:val="Normal"/>
    <w:link w:val="HeaderChar"/>
    <w:uiPriority w:val="99"/>
    <w:unhideWhenUsed/>
    <w:rsid w:val="00E44B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B6E"/>
  </w:style>
  <w:style w:type="paragraph" w:styleId="Footer">
    <w:name w:val="footer"/>
    <w:basedOn w:val="Normal"/>
    <w:link w:val="FooterChar"/>
    <w:uiPriority w:val="99"/>
    <w:unhideWhenUsed/>
    <w:rsid w:val="00E44B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B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1795</Words>
  <Characters>10235</Characters>
  <Application>Microsoft Office Word</Application>
  <DocSecurity>0</DocSecurity>
  <Lines>85</Lines>
  <Paragraphs>24</Paragraphs>
  <ScaleCrop>false</ScaleCrop>
  <Company/>
  <LinksUpToDate>false</LinksUpToDate>
  <CharactersWithSpaces>12006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INTR0DUCTION TO PUBLIC HEALTH</dc:title>
  <dc:subject>LCHS4008</dc:subject>
  <dc:creator>Catherine Tambot Catacutan (2530824)</dc:creator>
  <cp:keywords/>
  <dc:description/>
  <cp:lastModifiedBy>Catherine Tambot Catacutan (2530824)</cp:lastModifiedBy>
  <cp:revision>2</cp:revision>
  <dcterms:created xsi:type="dcterms:W3CDTF">2026-08-10T15:26:00Z</dcterms:created>
  <dcterms:modified xsi:type="dcterms:W3CDTF">2026-08-10T15:26:00Z</dcterms:modified>
</cp:coreProperties>
</file>