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3FB0DD" w14:textId="77777777" w:rsidR="002356F0" w:rsidRPr="00377849" w:rsidRDefault="002356F0" w:rsidP="002356F0">
      <w:pPr>
        <w:pStyle w:val="Normal1"/>
        <w:jc w:val="center"/>
      </w:pPr>
      <w:bookmarkStart w:id="0" w:name="_Toc151054159"/>
      <w:r w:rsidRPr="00377849">
        <w:rPr>
          <w:rFonts w:eastAsia="Times New Roman"/>
          <w:noProof/>
        </w:rPr>
        <w:drawing>
          <wp:inline distT="0" distB="0" distL="0" distR="0" wp14:anchorId="6DAC14D2" wp14:editId="7DA7B153">
            <wp:extent cx="3876675" cy="1495425"/>
            <wp:effectExtent l="0" t="0" r="9525" b="9525"/>
            <wp:docPr id="17523374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76675" cy="1495425"/>
                    </a:xfrm>
                    <a:prstGeom prst="rect">
                      <a:avLst/>
                    </a:prstGeom>
                    <a:noFill/>
                    <a:ln>
                      <a:noFill/>
                    </a:ln>
                  </pic:spPr>
                </pic:pic>
              </a:graphicData>
            </a:graphic>
          </wp:inline>
        </w:drawing>
      </w:r>
    </w:p>
    <w:p w14:paraId="7B70E127" w14:textId="77777777" w:rsidR="002356F0" w:rsidRPr="00377849" w:rsidRDefault="002356F0" w:rsidP="002356F0">
      <w:pPr>
        <w:pStyle w:val="Normal1"/>
        <w:rPr>
          <w:rFonts w:eastAsia="Times New Roman"/>
        </w:rPr>
      </w:pPr>
    </w:p>
    <w:p w14:paraId="347A9153" w14:textId="77777777" w:rsidR="002356F0" w:rsidRPr="00377849" w:rsidRDefault="002356F0" w:rsidP="002356F0">
      <w:pPr>
        <w:pStyle w:val="Normal1"/>
        <w:rPr>
          <w:rFonts w:eastAsia="Times New Roman"/>
        </w:rPr>
      </w:pPr>
    </w:p>
    <w:p w14:paraId="5D25F63E" w14:textId="77777777" w:rsidR="002356F0" w:rsidRPr="00377849" w:rsidRDefault="002356F0" w:rsidP="002356F0">
      <w:pPr>
        <w:pStyle w:val="Normal1"/>
        <w:rPr>
          <w:rFonts w:eastAsia="Times New Roman"/>
        </w:rPr>
      </w:pPr>
    </w:p>
    <w:p w14:paraId="1464813E" w14:textId="77777777" w:rsidR="002356F0" w:rsidRPr="00377849" w:rsidRDefault="002356F0" w:rsidP="002356F0">
      <w:pPr>
        <w:pStyle w:val="Normal1"/>
        <w:rPr>
          <w:rFonts w:eastAsia="Times New Roman"/>
        </w:rPr>
      </w:pPr>
    </w:p>
    <w:p w14:paraId="6EBEDD65" w14:textId="77777777" w:rsidR="002356F0" w:rsidRPr="00377849" w:rsidRDefault="002356F0" w:rsidP="002356F0">
      <w:pPr>
        <w:pStyle w:val="Normal1"/>
        <w:jc w:val="center"/>
        <w:rPr>
          <w:rFonts w:eastAsia="Times New Roman"/>
        </w:rPr>
      </w:pPr>
    </w:p>
    <w:p w14:paraId="2B405C89" w14:textId="77777777" w:rsidR="002356F0" w:rsidRPr="006D30CD" w:rsidRDefault="002356F0" w:rsidP="006D30CD">
      <w:pPr>
        <w:pStyle w:val="NoSpacing"/>
        <w:jc w:val="center"/>
        <w:rPr>
          <w:b/>
          <w:bCs/>
          <w:sz w:val="28"/>
          <w:szCs w:val="28"/>
        </w:rPr>
      </w:pPr>
      <w:r w:rsidRPr="006D30CD">
        <w:rPr>
          <w:b/>
          <w:bCs/>
          <w:sz w:val="28"/>
          <w:szCs w:val="28"/>
        </w:rPr>
        <w:t>MASTER OF BUSINESS ADMINISTRATION</w:t>
      </w:r>
    </w:p>
    <w:p w14:paraId="5F2ABC86" w14:textId="77777777" w:rsidR="002356F0" w:rsidRPr="006D30CD" w:rsidRDefault="002356F0" w:rsidP="006D30CD">
      <w:pPr>
        <w:pStyle w:val="NoSpacing"/>
        <w:jc w:val="center"/>
        <w:rPr>
          <w:b/>
          <w:bCs/>
          <w:sz w:val="28"/>
          <w:szCs w:val="28"/>
        </w:rPr>
      </w:pPr>
    </w:p>
    <w:p w14:paraId="058F48D5" w14:textId="25DD8250" w:rsidR="002356F0" w:rsidRPr="006D30CD" w:rsidRDefault="002356F0" w:rsidP="006D30CD">
      <w:pPr>
        <w:pStyle w:val="NoSpacing"/>
        <w:jc w:val="center"/>
        <w:rPr>
          <w:b/>
          <w:bCs/>
          <w:sz w:val="28"/>
          <w:szCs w:val="28"/>
        </w:rPr>
      </w:pPr>
      <w:r w:rsidRPr="006D30CD">
        <w:rPr>
          <w:b/>
          <w:bCs/>
          <w:sz w:val="28"/>
          <w:szCs w:val="28"/>
        </w:rPr>
        <w:t xml:space="preserve">International </w:t>
      </w:r>
      <w:r w:rsidR="00773470">
        <w:rPr>
          <w:b/>
          <w:bCs/>
          <w:sz w:val="28"/>
          <w:szCs w:val="28"/>
        </w:rPr>
        <w:t>Business</w:t>
      </w:r>
    </w:p>
    <w:p w14:paraId="64E9D949" w14:textId="750034AB" w:rsidR="002356F0" w:rsidRPr="006D30CD" w:rsidRDefault="002356F0" w:rsidP="006D30CD">
      <w:pPr>
        <w:pStyle w:val="NoSpacing"/>
        <w:jc w:val="center"/>
        <w:rPr>
          <w:b/>
          <w:bCs/>
          <w:sz w:val="28"/>
          <w:szCs w:val="28"/>
        </w:rPr>
      </w:pPr>
      <w:r w:rsidRPr="006D30CD">
        <w:rPr>
          <w:b/>
          <w:bCs/>
          <w:sz w:val="28"/>
          <w:szCs w:val="28"/>
        </w:rPr>
        <w:t xml:space="preserve">MODULE CODE: </w:t>
      </w:r>
      <w:r w:rsidR="006D30CD" w:rsidRPr="006D30CD">
        <w:rPr>
          <w:b/>
          <w:bCs/>
          <w:sz w:val="28"/>
          <w:szCs w:val="28"/>
        </w:rPr>
        <w:t>LCMB7014</w:t>
      </w:r>
    </w:p>
    <w:p w14:paraId="7A41B16A" w14:textId="46D2D9F2" w:rsidR="002356F0" w:rsidRPr="006D30CD" w:rsidRDefault="002356F0" w:rsidP="006D30CD">
      <w:pPr>
        <w:pStyle w:val="NoSpacing"/>
        <w:jc w:val="center"/>
        <w:rPr>
          <w:b/>
          <w:bCs/>
          <w:sz w:val="28"/>
          <w:szCs w:val="28"/>
        </w:rPr>
      </w:pPr>
      <w:r w:rsidRPr="006D30CD">
        <w:rPr>
          <w:b/>
          <w:bCs/>
          <w:sz w:val="28"/>
          <w:szCs w:val="28"/>
        </w:rPr>
        <w:t xml:space="preserve">ASSIGNMENT TITLE: </w:t>
      </w:r>
      <w:r w:rsidR="006D30CD" w:rsidRPr="006D30CD">
        <w:rPr>
          <w:b/>
          <w:bCs/>
          <w:sz w:val="28"/>
          <w:szCs w:val="28"/>
        </w:rPr>
        <w:t>International Business</w:t>
      </w:r>
    </w:p>
    <w:p w14:paraId="47EF47D5" w14:textId="77777777" w:rsidR="002356F0" w:rsidRPr="006D30CD" w:rsidRDefault="002356F0" w:rsidP="000E22A5">
      <w:pPr>
        <w:pStyle w:val="NoSpacing"/>
        <w:rPr>
          <w:b/>
          <w:bCs/>
          <w:sz w:val="28"/>
          <w:szCs w:val="28"/>
        </w:rPr>
      </w:pPr>
    </w:p>
    <w:p w14:paraId="41A39922" w14:textId="4423DC26" w:rsidR="002356F0" w:rsidRPr="006D30CD" w:rsidRDefault="002356F0" w:rsidP="006D30CD">
      <w:pPr>
        <w:pStyle w:val="NoSpacing"/>
        <w:jc w:val="center"/>
        <w:rPr>
          <w:b/>
          <w:bCs/>
          <w:color w:val="000000"/>
          <w:sz w:val="28"/>
          <w:szCs w:val="28"/>
        </w:rPr>
      </w:pPr>
      <w:r w:rsidRPr="006D30CD">
        <w:rPr>
          <w:b/>
          <w:bCs/>
          <w:color w:val="000000"/>
          <w:sz w:val="28"/>
          <w:szCs w:val="28"/>
        </w:rPr>
        <w:t>Student ID:</w:t>
      </w:r>
      <w:r w:rsidR="006D30CD" w:rsidRPr="006D30CD">
        <w:rPr>
          <w:b/>
          <w:bCs/>
          <w:color w:val="000000"/>
          <w:sz w:val="28"/>
          <w:szCs w:val="28"/>
        </w:rPr>
        <w:t xml:space="preserve"> 2245307</w:t>
      </w:r>
    </w:p>
    <w:p w14:paraId="4FEF5CEA" w14:textId="049F0D9D" w:rsidR="006D30CD" w:rsidRPr="006D30CD" w:rsidRDefault="006D30CD" w:rsidP="006D30CD">
      <w:pPr>
        <w:pStyle w:val="NoSpacing"/>
        <w:jc w:val="center"/>
        <w:rPr>
          <w:b/>
          <w:bCs/>
          <w:sz w:val="28"/>
          <w:szCs w:val="28"/>
        </w:rPr>
      </w:pPr>
      <w:r w:rsidRPr="006D30CD">
        <w:rPr>
          <w:b/>
          <w:bCs/>
          <w:color w:val="000000"/>
          <w:sz w:val="28"/>
          <w:szCs w:val="28"/>
        </w:rPr>
        <w:t>Jitesh Patel</w:t>
      </w:r>
    </w:p>
    <w:p w14:paraId="3C3696A0" w14:textId="67BD84E0" w:rsidR="002356F0" w:rsidRPr="006D30CD" w:rsidRDefault="002356F0" w:rsidP="006D30CD">
      <w:pPr>
        <w:pStyle w:val="NoSpacing"/>
        <w:jc w:val="center"/>
        <w:rPr>
          <w:b/>
          <w:bCs/>
          <w:color w:val="000000"/>
          <w:sz w:val="28"/>
          <w:szCs w:val="28"/>
        </w:rPr>
      </w:pPr>
      <w:r w:rsidRPr="006D30CD">
        <w:rPr>
          <w:b/>
          <w:bCs/>
          <w:color w:val="000000"/>
          <w:sz w:val="28"/>
          <w:szCs w:val="28"/>
        </w:rPr>
        <w:t>SUBMITTED TO:</w:t>
      </w:r>
      <w:r w:rsidRPr="006D30CD">
        <w:rPr>
          <w:b/>
          <w:bCs/>
          <w:sz w:val="28"/>
          <w:szCs w:val="28"/>
        </w:rPr>
        <w:t xml:space="preserve"> </w:t>
      </w:r>
      <w:r w:rsidR="006D30CD" w:rsidRPr="006D30CD">
        <w:rPr>
          <w:b/>
          <w:bCs/>
          <w:sz w:val="28"/>
          <w:szCs w:val="28"/>
        </w:rPr>
        <w:t>Lan Dang</w:t>
      </w:r>
    </w:p>
    <w:p w14:paraId="153D59D6" w14:textId="77777777" w:rsidR="002356F0" w:rsidRDefault="002356F0" w:rsidP="002356F0">
      <w:pPr>
        <w:rPr>
          <w:rFonts w:asciiTheme="majorHAnsi" w:eastAsiaTheme="majorEastAsia" w:hAnsiTheme="majorHAnsi" w:cstheme="majorBidi"/>
          <w:b/>
          <w:bCs/>
          <w:sz w:val="28"/>
          <w:szCs w:val="28"/>
          <w:lang w:val="en-US"/>
        </w:rPr>
      </w:pPr>
      <w:r>
        <w:rPr>
          <w:b/>
          <w:bCs/>
          <w:sz w:val="28"/>
          <w:szCs w:val="28"/>
        </w:rPr>
        <w:br w:type="page"/>
      </w:r>
    </w:p>
    <w:p w14:paraId="6D7333CA" w14:textId="246BC1D3" w:rsidR="00BC44B9" w:rsidRPr="00BC44B9" w:rsidRDefault="00BC44B9" w:rsidP="00BC44B9">
      <w:pPr>
        <w:pStyle w:val="Heading1"/>
      </w:pPr>
      <w:r w:rsidRPr="00BC44B9">
        <w:lastRenderedPageBreak/>
        <w:t>Executive summary</w:t>
      </w:r>
      <w:bookmarkEnd w:id="0"/>
    </w:p>
    <w:p w14:paraId="5FC7846C" w14:textId="7AAF91CB" w:rsidR="00BC44B9" w:rsidRDefault="00BC44B9" w:rsidP="00BC44B9">
      <w:pPr>
        <w:pStyle w:val="Normal1"/>
      </w:pPr>
      <w:r w:rsidRPr="00BC44B9">
        <w:t>Amidst VUCA issues, DHL, a pioneer in global shipping, exhibits adaptive resilience via its internationalization approach. The heliocentric strategy puts DHL in a successful position by striking a balance between responsiveness to local needs and worldwide uniformity. Global growth is facilitated by expenditures in new markets, environmental responsibility, and cutting-edge technology. A client-focused strategy and aggressive risk control help DHL effectively negotiate unpredictability, complexity, and instability. The organization's strategic fit with VUCA variables provides a guide for long-term success in the fast-paced field of global transportation.</w:t>
      </w:r>
    </w:p>
    <w:p w14:paraId="0BB0C02F" w14:textId="16C988D1" w:rsidR="00BC44B9" w:rsidRDefault="00BC44B9">
      <w:pPr>
        <w:rPr>
          <w:rFonts w:ascii="Times New Roman" w:hAnsi="Times New Roman"/>
          <w:sz w:val="24"/>
        </w:rPr>
      </w:pPr>
      <w:r>
        <w:br w:type="page"/>
      </w:r>
    </w:p>
    <w:sdt>
      <w:sdtPr>
        <w:rPr>
          <w:rFonts w:ascii="Arial" w:eastAsia="Arial" w:hAnsi="Arial" w:cs="Arial"/>
          <w:color w:val="auto"/>
          <w:sz w:val="22"/>
          <w:szCs w:val="22"/>
          <w:lang w:val="en"/>
        </w:rPr>
        <w:id w:val="1864473372"/>
        <w:docPartObj>
          <w:docPartGallery w:val="Table of Contents"/>
          <w:docPartUnique/>
        </w:docPartObj>
      </w:sdtPr>
      <w:sdtEndPr>
        <w:rPr>
          <w:b/>
          <w:bCs/>
          <w:noProof/>
        </w:rPr>
      </w:sdtEndPr>
      <w:sdtContent>
        <w:p w14:paraId="3A1CC534" w14:textId="0311B461" w:rsidR="00BC44B9" w:rsidRDefault="00BC44B9">
          <w:pPr>
            <w:pStyle w:val="TOCHeading"/>
          </w:pPr>
          <w:r>
            <w:t>Table of Contents</w:t>
          </w:r>
        </w:p>
        <w:p w14:paraId="79037784" w14:textId="4F3A4787" w:rsidR="00BC44B9" w:rsidRPr="00BC44B9" w:rsidRDefault="00BC44B9" w:rsidP="00BC44B9">
          <w:pPr>
            <w:pStyle w:val="TOC1"/>
            <w:tabs>
              <w:tab w:val="right" w:leader="dot" w:pos="9350"/>
            </w:tabs>
            <w:spacing w:line="360" w:lineRule="auto"/>
            <w:rPr>
              <w:rFonts w:ascii="Times New Roman" w:hAnsi="Times New Roman" w:cs="Times New Roman"/>
              <w:noProof/>
              <w:sz w:val="24"/>
              <w:szCs w:val="24"/>
            </w:rPr>
          </w:pPr>
          <w:r>
            <w:fldChar w:fldCharType="begin"/>
          </w:r>
          <w:r>
            <w:instrText xml:space="preserve"> TOC \o "1-3" \h \z \u </w:instrText>
          </w:r>
          <w:r>
            <w:fldChar w:fldCharType="separate"/>
          </w:r>
          <w:hyperlink w:anchor="_Toc151054159" w:history="1">
            <w:r w:rsidRPr="00BC44B9">
              <w:rPr>
                <w:rStyle w:val="Hyperlink"/>
                <w:rFonts w:ascii="Times New Roman" w:hAnsi="Times New Roman" w:cs="Times New Roman"/>
                <w:noProof/>
                <w:sz w:val="24"/>
                <w:szCs w:val="24"/>
              </w:rPr>
              <w:t>Executive summary</w:t>
            </w:r>
            <w:r w:rsidRPr="00BC44B9">
              <w:rPr>
                <w:rFonts w:ascii="Times New Roman" w:hAnsi="Times New Roman" w:cs="Times New Roman"/>
                <w:noProof/>
                <w:webHidden/>
                <w:sz w:val="24"/>
                <w:szCs w:val="24"/>
              </w:rPr>
              <w:tab/>
            </w:r>
            <w:r w:rsidRPr="00BC44B9">
              <w:rPr>
                <w:rFonts w:ascii="Times New Roman" w:hAnsi="Times New Roman" w:cs="Times New Roman"/>
                <w:noProof/>
                <w:webHidden/>
                <w:sz w:val="24"/>
                <w:szCs w:val="24"/>
              </w:rPr>
              <w:fldChar w:fldCharType="begin"/>
            </w:r>
            <w:r w:rsidRPr="00BC44B9">
              <w:rPr>
                <w:rFonts w:ascii="Times New Roman" w:hAnsi="Times New Roman" w:cs="Times New Roman"/>
                <w:noProof/>
                <w:webHidden/>
                <w:sz w:val="24"/>
                <w:szCs w:val="24"/>
              </w:rPr>
              <w:instrText xml:space="preserve"> PAGEREF _Toc151054159 \h </w:instrText>
            </w:r>
            <w:r w:rsidRPr="00BC44B9">
              <w:rPr>
                <w:rFonts w:ascii="Times New Roman" w:hAnsi="Times New Roman" w:cs="Times New Roman"/>
                <w:noProof/>
                <w:webHidden/>
                <w:sz w:val="24"/>
                <w:szCs w:val="24"/>
              </w:rPr>
            </w:r>
            <w:r w:rsidRPr="00BC44B9">
              <w:rPr>
                <w:rFonts w:ascii="Times New Roman" w:hAnsi="Times New Roman" w:cs="Times New Roman"/>
                <w:noProof/>
                <w:webHidden/>
                <w:sz w:val="24"/>
                <w:szCs w:val="24"/>
              </w:rPr>
              <w:fldChar w:fldCharType="separate"/>
            </w:r>
            <w:r w:rsidRPr="00BC44B9">
              <w:rPr>
                <w:rFonts w:ascii="Times New Roman" w:hAnsi="Times New Roman" w:cs="Times New Roman"/>
                <w:noProof/>
                <w:webHidden/>
                <w:sz w:val="24"/>
                <w:szCs w:val="24"/>
              </w:rPr>
              <w:t>2</w:t>
            </w:r>
            <w:r w:rsidRPr="00BC44B9">
              <w:rPr>
                <w:rFonts w:ascii="Times New Roman" w:hAnsi="Times New Roman" w:cs="Times New Roman"/>
                <w:noProof/>
                <w:webHidden/>
                <w:sz w:val="24"/>
                <w:szCs w:val="24"/>
              </w:rPr>
              <w:fldChar w:fldCharType="end"/>
            </w:r>
          </w:hyperlink>
        </w:p>
        <w:p w14:paraId="150CF49F" w14:textId="6378BC1D" w:rsidR="00BC44B9" w:rsidRPr="00BC44B9" w:rsidRDefault="00000000" w:rsidP="00BC44B9">
          <w:pPr>
            <w:pStyle w:val="TOC1"/>
            <w:tabs>
              <w:tab w:val="right" w:leader="dot" w:pos="9350"/>
            </w:tabs>
            <w:spacing w:line="360" w:lineRule="auto"/>
            <w:rPr>
              <w:rFonts w:ascii="Times New Roman" w:hAnsi="Times New Roman" w:cs="Times New Roman"/>
              <w:noProof/>
              <w:sz w:val="24"/>
              <w:szCs w:val="24"/>
            </w:rPr>
          </w:pPr>
          <w:hyperlink w:anchor="_Toc151054160" w:history="1">
            <w:r w:rsidR="00BC44B9" w:rsidRPr="00BC44B9">
              <w:rPr>
                <w:rStyle w:val="Hyperlink"/>
                <w:rFonts w:ascii="Times New Roman" w:hAnsi="Times New Roman" w:cs="Times New Roman"/>
                <w:noProof/>
                <w:sz w:val="24"/>
                <w:szCs w:val="24"/>
              </w:rPr>
              <w:t>Introduction</w:t>
            </w:r>
            <w:r w:rsidR="00BC44B9" w:rsidRPr="00BC44B9">
              <w:rPr>
                <w:rFonts w:ascii="Times New Roman" w:hAnsi="Times New Roman" w:cs="Times New Roman"/>
                <w:noProof/>
                <w:webHidden/>
                <w:sz w:val="24"/>
                <w:szCs w:val="24"/>
              </w:rPr>
              <w:tab/>
            </w:r>
            <w:r w:rsidR="00BC44B9" w:rsidRPr="00BC44B9">
              <w:rPr>
                <w:rFonts w:ascii="Times New Roman" w:hAnsi="Times New Roman" w:cs="Times New Roman"/>
                <w:noProof/>
                <w:webHidden/>
                <w:sz w:val="24"/>
                <w:szCs w:val="24"/>
              </w:rPr>
              <w:fldChar w:fldCharType="begin"/>
            </w:r>
            <w:r w:rsidR="00BC44B9" w:rsidRPr="00BC44B9">
              <w:rPr>
                <w:rFonts w:ascii="Times New Roman" w:hAnsi="Times New Roman" w:cs="Times New Roman"/>
                <w:noProof/>
                <w:webHidden/>
                <w:sz w:val="24"/>
                <w:szCs w:val="24"/>
              </w:rPr>
              <w:instrText xml:space="preserve"> PAGEREF _Toc151054160 \h </w:instrText>
            </w:r>
            <w:r w:rsidR="00BC44B9" w:rsidRPr="00BC44B9">
              <w:rPr>
                <w:rFonts w:ascii="Times New Roman" w:hAnsi="Times New Roman" w:cs="Times New Roman"/>
                <w:noProof/>
                <w:webHidden/>
                <w:sz w:val="24"/>
                <w:szCs w:val="24"/>
              </w:rPr>
            </w:r>
            <w:r w:rsidR="00BC44B9" w:rsidRPr="00BC44B9">
              <w:rPr>
                <w:rFonts w:ascii="Times New Roman" w:hAnsi="Times New Roman" w:cs="Times New Roman"/>
                <w:noProof/>
                <w:webHidden/>
                <w:sz w:val="24"/>
                <w:szCs w:val="24"/>
              </w:rPr>
              <w:fldChar w:fldCharType="separate"/>
            </w:r>
            <w:r w:rsidR="00BC44B9" w:rsidRPr="00BC44B9">
              <w:rPr>
                <w:rFonts w:ascii="Times New Roman" w:hAnsi="Times New Roman" w:cs="Times New Roman"/>
                <w:noProof/>
                <w:webHidden/>
                <w:sz w:val="24"/>
                <w:szCs w:val="24"/>
              </w:rPr>
              <w:t>4</w:t>
            </w:r>
            <w:r w:rsidR="00BC44B9" w:rsidRPr="00BC44B9">
              <w:rPr>
                <w:rFonts w:ascii="Times New Roman" w:hAnsi="Times New Roman" w:cs="Times New Roman"/>
                <w:noProof/>
                <w:webHidden/>
                <w:sz w:val="24"/>
                <w:szCs w:val="24"/>
              </w:rPr>
              <w:fldChar w:fldCharType="end"/>
            </w:r>
          </w:hyperlink>
        </w:p>
        <w:p w14:paraId="2D11405E" w14:textId="6FB41133" w:rsidR="00BC44B9" w:rsidRPr="00BC44B9" w:rsidRDefault="00000000" w:rsidP="00BC44B9">
          <w:pPr>
            <w:pStyle w:val="TOC1"/>
            <w:tabs>
              <w:tab w:val="right" w:leader="dot" w:pos="9350"/>
            </w:tabs>
            <w:spacing w:line="360" w:lineRule="auto"/>
            <w:rPr>
              <w:rFonts w:ascii="Times New Roman" w:hAnsi="Times New Roman" w:cs="Times New Roman"/>
              <w:noProof/>
              <w:sz w:val="24"/>
              <w:szCs w:val="24"/>
            </w:rPr>
          </w:pPr>
          <w:hyperlink w:anchor="_Toc151054161" w:history="1">
            <w:r w:rsidR="00BC44B9" w:rsidRPr="00BC44B9">
              <w:rPr>
                <w:rStyle w:val="Hyperlink"/>
                <w:rFonts w:ascii="Times New Roman" w:hAnsi="Times New Roman" w:cs="Times New Roman"/>
                <w:noProof/>
                <w:sz w:val="24"/>
                <w:szCs w:val="24"/>
              </w:rPr>
              <w:t>Company background</w:t>
            </w:r>
            <w:r w:rsidR="00BC44B9" w:rsidRPr="00BC44B9">
              <w:rPr>
                <w:rFonts w:ascii="Times New Roman" w:hAnsi="Times New Roman" w:cs="Times New Roman"/>
                <w:noProof/>
                <w:webHidden/>
                <w:sz w:val="24"/>
                <w:szCs w:val="24"/>
              </w:rPr>
              <w:tab/>
            </w:r>
            <w:r w:rsidR="00BC44B9" w:rsidRPr="00BC44B9">
              <w:rPr>
                <w:rFonts w:ascii="Times New Roman" w:hAnsi="Times New Roman" w:cs="Times New Roman"/>
                <w:noProof/>
                <w:webHidden/>
                <w:sz w:val="24"/>
                <w:szCs w:val="24"/>
              </w:rPr>
              <w:fldChar w:fldCharType="begin"/>
            </w:r>
            <w:r w:rsidR="00BC44B9" w:rsidRPr="00BC44B9">
              <w:rPr>
                <w:rFonts w:ascii="Times New Roman" w:hAnsi="Times New Roman" w:cs="Times New Roman"/>
                <w:noProof/>
                <w:webHidden/>
                <w:sz w:val="24"/>
                <w:szCs w:val="24"/>
              </w:rPr>
              <w:instrText xml:space="preserve"> PAGEREF _Toc151054161 \h </w:instrText>
            </w:r>
            <w:r w:rsidR="00BC44B9" w:rsidRPr="00BC44B9">
              <w:rPr>
                <w:rFonts w:ascii="Times New Roman" w:hAnsi="Times New Roman" w:cs="Times New Roman"/>
                <w:noProof/>
                <w:webHidden/>
                <w:sz w:val="24"/>
                <w:szCs w:val="24"/>
              </w:rPr>
            </w:r>
            <w:r w:rsidR="00BC44B9" w:rsidRPr="00BC44B9">
              <w:rPr>
                <w:rFonts w:ascii="Times New Roman" w:hAnsi="Times New Roman" w:cs="Times New Roman"/>
                <w:noProof/>
                <w:webHidden/>
                <w:sz w:val="24"/>
                <w:szCs w:val="24"/>
              </w:rPr>
              <w:fldChar w:fldCharType="separate"/>
            </w:r>
            <w:r w:rsidR="00BC44B9" w:rsidRPr="00BC44B9">
              <w:rPr>
                <w:rFonts w:ascii="Times New Roman" w:hAnsi="Times New Roman" w:cs="Times New Roman"/>
                <w:noProof/>
                <w:webHidden/>
                <w:sz w:val="24"/>
                <w:szCs w:val="24"/>
              </w:rPr>
              <w:t>4</w:t>
            </w:r>
            <w:r w:rsidR="00BC44B9" w:rsidRPr="00BC44B9">
              <w:rPr>
                <w:rFonts w:ascii="Times New Roman" w:hAnsi="Times New Roman" w:cs="Times New Roman"/>
                <w:noProof/>
                <w:webHidden/>
                <w:sz w:val="24"/>
                <w:szCs w:val="24"/>
              </w:rPr>
              <w:fldChar w:fldCharType="end"/>
            </w:r>
          </w:hyperlink>
        </w:p>
        <w:p w14:paraId="09DF305E" w14:textId="2E197981" w:rsidR="00BC44B9" w:rsidRPr="00BC44B9" w:rsidRDefault="00000000" w:rsidP="00BC44B9">
          <w:pPr>
            <w:pStyle w:val="TOC1"/>
            <w:tabs>
              <w:tab w:val="right" w:leader="dot" w:pos="9350"/>
            </w:tabs>
            <w:spacing w:line="360" w:lineRule="auto"/>
            <w:rPr>
              <w:rFonts w:ascii="Times New Roman" w:hAnsi="Times New Roman" w:cs="Times New Roman"/>
              <w:noProof/>
              <w:sz w:val="24"/>
              <w:szCs w:val="24"/>
            </w:rPr>
          </w:pPr>
          <w:hyperlink w:anchor="_Toc151054162" w:history="1">
            <w:r w:rsidR="00BC44B9" w:rsidRPr="00BC44B9">
              <w:rPr>
                <w:rStyle w:val="Hyperlink"/>
                <w:rFonts w:ascii="Times New Roman" w:hAnsi="Times New Roman" w:cs="Times New Roman"/>
                <w:noProof/>
                <w:sz w:val="24"/>
                <w:szCs w:val="24"/>
              </w:rPr>
              <w:t>Internationalization Strategies of DHL</w:t>
            </w:r>
            <w:r w:rsidR="00BC44B9" w:rsidRPr="00BC44B9">
              <w:rPr>
                <w:rFonts w:ascii="Times New Roman" w:hAnsi="Times New Roman" w:cs="Times New Roman"/>
                <w:noProof/>
                <w:webHidden/>
                <w:sz w:val="24"/>
                <w:szCs w:val="24"/>
              </w:rPr>
              <w:tab/>
            </w:r>
            <w:r w:rsidR="00BC44B9" w:rsidRPr="00BC44B9">
              <w:rPr>
                <w:rFonts w:ascii="Times New Roman" w:hAnsi="Times New Roman" w:cs="Times New Roman"/>
                <w:noProof/>
                <w:webHidden/>
                <w:sz w:val="24"/>
                <w:szCs w:val="24"/>
              </w:rPr>
              <w:fldChar w:fldCharType="begin"/>
            </w:r>
            <w:r w:rsidR="00BC44B9" w:rsidRPr="00BC44B9">
              <w:rPr>
                <w:rFonts w:ascii="Times New Roman" w:hAnsi="Times New Roman" w:cs="Times New Roman"/>
                <w:noProof/>
                <w:webHidden/>
                <w:sz w:val="24"/>
                <w:szCs w:val="24"/>
              </w:rPr>
              <w:instrText xml:space="preserve"> PAGEREF _Toc151054162 \h </w:instrText>
            </w:r>
            <w:r w:rsidR="00BC44B9" w:rsidRPr="00BC44B9">
              <w:rPr>
                <w:rFonts w:ascii="Times New Roman" w:hAnsi="Times New Roman" w:cs="Times New Roman"/>
                <w:noProof/>
                <w:webHidden/>
                <w:sz w:val="24"/>
                <w:szCs w:val="24"/>
              </w:rPr>
            </w:r>
            <w:r w:rsidR="00BC44B9" w:rsidRPr="00BC44B9">
              <w:rPr>
                <w:rFonts w:ascii="Times New Roman" w:hAnsi="Times New Roman" w:cs="Times New Roman"/>
                <w:noProof/>
                <w:webHidden/>
                <w:sz w:val="24"/>
                <w:szCs w:val="24"/>
              </w:rPr>
              <w:fldChar w:fldCharType="separate"/>
            </w:r>
            <w:r w:rsidR="00BC44B9" w:rsidRPr="00BC44B9">
              <w:rPr>
                <w:rFonts w:ascii="Times New Roman" w:hAnsi="Times New Roman" w:cs="Times New Roman"/>
                <w:noProof/>
                <w:webHidden/>
                <w:sz w:val="24"/>
                <w:szCs w:val="24"/>
              </w:rPr>
              <w:t>6</w:t>
            </w:r>
            <w:r w:rsidR="00BC44B9" w:rsidRPr="00BC44B9">
              <w:rPr>
                <w:rFonts w:ascii="Times New Roman" w:hAnsi="Times New Roman" w:cs="Times New Roman"/>
                <w:noProof/>
                <w:webHidden/>
                <w:sz w:val="24"/>
                <w:szCs w:val="24"/>
              </w:rPr>
              <w:fldChar w:fldCharType="end"/>
            </w:r>
          </w:hyperlink>
        </w:p>
        <w:p w14:paraId="524F2DEF" w14:textId="1E553128" w:rsidR="00BC44B9" w:rsidRPr="00BC44B9" w:rsidRDefault="00000000" w:rsidP="00BC44B9">
          <w:pPr>
            <w:pStyle w:val="TOC1"/>
            <w:tabs>
              <w:tab w:val="right" w:leader="dot" w:pos="9350"/>
            </w:tabs>
            <w:spacing w:line="360" w:lineRule="auto"/>
            <w:rPr>
              <w:rFonts w:ascii="Times New Roman" w:hAnsi="Times New Roman" w:cs="Times New Roman"/>
              <w:noProof/>
              <w:sz w:val="24"/>
              <w:szCs w:val="24"/>
            </w:rPr>
          </w:pPr>
          <w:hyperlink w:anchor="_Toc151054163" w:history="1">
            <w:r w:rsidR="00BC44B9" w:rsidRPr="00BC44B9">
              <w:rPr>
                <w:rStyle w:val="Hyperlink"/>
                <w:rFonts w:ascii="Times New Roman" w:hAnsi="Times New Roman" w:cs="Times New Roman"/>
                <w:noProof/>
                <w:sz w:val="24"/>
                <w:szCs w:val="24"/>
              </w:rPr>
              <w:t>DHL’s Internationalization Approach</w:t>
            </w:r>
            <w:r w:rsidR="00BC44B9" w:rsidRPr="00BC44B9">
              <w:rPr>
                <w:rFonts w:ascii="Times New Roman" w:hAnsi="Times New Roman" w:cs="Times New Roman"/>
                <w:noProof/>
                <w:webHidden/>
                <w:sz w:val="24"/>
                <w:szCs w:val="24"/>
              </w:rPr>
              <w:tab/>
            </w:r>
            <w:r w:rsidR="00BC44B9" w:rsidRPr="00BC44B9">
              <w:rPr>
                <w:rFonts w:ascii="Times New Roman" w:hAnsi="Times New Roman" w:cs="Times New Roman"/>
                <w:noProof/>
                <w:webHidden/>
                <w:sz w:val="24"/>
                <w:szCs w:val="24"/>
              </w:rPr>
              <w:fldChar w:fldCharType="begin"/>
            </w:r>
            <w:r w:rsidR="00BC44B9" w:rsidRPr="00BC44B9">
              <w:rPr>
                <w:rFonts w:ascii="Times New Roman" w:hAnsi="Times New Roman" w:cs="Times New Roman"/>
                <w:noProof/>
                <w:webHidden/>
                <w:sz w:val="24"/>
                <w:szCs w:val="24"/>
              </w:rPr>
              <w:instrText xml:space="preserve"> PAGEREF _Toc151054163 \h </w:instrText>
            </w:r>
            <w:r w:rsidR="00BC44B9" w:rsidRPr="00BC44B9">
              <w:rPr>
                <w:rFonts w:ascii="Times New Roman" w:hAnsi="Times New Roman" w:cs="Times New Roman"/>
                <w:noProof/>
                <w:webHidden/>
                <w:sz w:val="24"/>
                <w:szCs w:val="24"/>
              </w:rPr>
            </w:r>
            <w:r w:rsidR="00BC44B9" w:rsidRPr="00BC44B9">
              <w:rPr>
                <w:rFonts w:ascii="Times New Roman" w:hAnsi="Times New Roman" w:cs="Times New Roman"/>
                <w:noProof/>
                <w:webHidden/>
                <w:sz w:val="24"/>
                <w:szCs w:val="24"/>
              </w:rPr>
              <w:fldChar w:fldCharType="separate"/>
            </w:r>
            <w:r w:rsidR="00BC44B9" w:rsidRPr="00BC44B9">
              <w:rPr>
                <w:rFonts w:ascii="Times New Roman" w:hAnsi="Times New Roman" w:cs="Times New Roman"/>
                <w:noProof/>
                <w:webHidden/>
                <w:sz w:val="24"/>
                <w:szCs w:val="24"/>
              </w:rPr>
              <w:t>8</w:t>
            </w:r>
            <w:r w:rsidR="00BC44B9" w:rsidRPr="00BC44B9">
              <w:rPr>
                <w:rFonts w:ascii="Times New Roman" w:hAnsi="Times New Roman" w:cs="Times New Roman"/>
                <w:noProof/>
                <w:webHidden/>
                <w:sz w:val="24"/>
                <w:szCs w:val="24"/>
              </w:rPr>
              <w:fldChar w:fldCharType="end"/>
            </w:r>
          </w:hyperlink>
        </w:p>
        <w:p w14:paraId="42A214F9" w14:textId="5C498C25" w:rsidR="00BC44B9" w:rsidRPr="00BC44B9" w:rsidRDefault="00000000" w:rsidP="00BC44B9">
          <w:pPr>
            <w:pStyle w:val="TOC1"/>
            <w:tabs>
              <w:tab w:val="right" w:leader="dot" w:pos="9350"/>
            </w:tabs>
            <w:spacing w:line="360" w:lineRule="auto"/>
            <w:rPr>
              <w:rFonts w:ascii="Times New Roman" w:hAnsi="Times New Roman" w:cs="Times New Roman"/>
              <w:noProof/>
              <w:sz w:val="24"/>
              <w:szCs w:val="24"/>
            </w:rPr>
          </w:pPr>
          <w:hyperlink w:anchor="_Toc151054164" w:history="1">
            <w:r w:rsidR="00BC44B9" w:rsidRPr="00BC44B9">
              <w:rPr>
                <w:rStyle w:val="Hyperlink"/>
                <w:rFonts w:ascii="Times New Roman" w:hAnsi="Times New Roman" w:cs="Times New Roman"/>
                <w:noProof/>
                <w:sz w:val="24"/>
                <w:szCs w:val="24"/>
              </w:rPr>
              <w:t>VUCA Analysis of DHL</w:t>
            </w:r>
            <w:r w:rsidR="00BC44B9" w:rsidRPr="00BC44B9">
              <w:rPr>
                <w:rFonts w:ascii="Times New Roman" w:hAnsi="Times New Roman" w:cs="Times New Roman"/>
                <w:noProof/>
                <w:webHidden/>
                <w:sz w:val="24"/>
                <w:szCs w:val="24"/>
              </w:rPr>
              <w:tab/>
            </w:r>
            <w:r w:rsidR="00BC44B9" w:rsidRPr="00BC44B9">
              <w:rPr>
                <w:rFonts w:ascii="Times New Roman" w:hAnsi="Times New Roman" w:cs="Times New Roman"/>
                <w:noProof/>
                <w:webHidden/>
                <w:sz w:val="24"/>
                <w:szCs w:val="24"/>
              </w:rPr>
              <w:fldChar w:fldCharType="begin"/>
            </w:r>
            <w:r w:rsidR="00BC44B9" w:rsidRPr="00BC44B9">
              <w:rPr>
                <w:rFonts w:ascii="Times New Roman" w:hAnsi="Times New Roman" w:cs="Times New Roman"/>
                <w:noProof/>
                <w:webHidden/>
                <w:sz w:val="24"/>
                <w:szCs w:val="24"/>
              </w:rPr>
              <w:instrText xml:space="preserve"> PAGEREF _Toc151054164 \h </w:instrText>
            </w:r>
            <w:r w:rsidR="00BC44B9" w:rsidRPr="00BC44B9">
              <w:rPr>
                <w:rFonts w:ascii="Times New Roman" w:hAnsi="Times New Roman" w:cs="Times New Roman"/>
                <w:noProof/>
                <w:webHidden/>
                <w:sz w:val="24"/>
                <w:szCs w:val="24"/>
              </w:rPr>
            </w:r>
            <w:r w:rsidR="00BC44B9" w:rsidRPr="00BC44B9">
              <w:rPr>
                <w:rFonts w:ascii="Times New Roman" w:hAnsi="Times New Roman" w:cs="Times New Roman"/>
                <w:noProof/>
                <w:webHidden/>
                <w:sz w:val="24"/>
                <w:szCs w:val="24"/>
              </w:rPr>
              <w:fldChar w:fldCharType="separate"/>
            </w:r>
            <w:r w:rsidR="00BC44B9" w:rsidRPr="00BC44B9">
              <w:rPr>
                <w:rFonts w:ascii="Times New Roman" w:hAnsi="Times New Roman" w:cs="Times New Roman"/>
                <w:noProof/>
                <w:webHidden/>
                <w:sz w:val="24"/>
                <w:szCs w:val="24"/>
              </w:rPr>
              <w:t>10</w:t>
            </w:r>
            <w:r w:rsidR="00BC44B9" w:rsidRPr="00BC44B9">
              <w:rPr>
                <w:rFonts w:ascii="Times New Roman" w:hAnsi="Times New Roman" w:cs="Times New Roman"/>
                <w:noProof/>
                <w:webHidden/>
                <w:sz w:val="24"/>
                <w:szCs w:val="24"/>
              </w:rPr>
              <w:fldChar w:fldCharType="end"/>
            </w:r>
          </w:hyperlink>
        </w:p>
        <w:p w14:paraId="5F0B648E" w14:textId="4AC94D05" w:rsidR="00BC44B9" w:rsidRPr="00BC44B9" w:rsidRDefault="00000000" w:rsidP="00BC44B9">
          <w:pPr>
            <w:pStyle w:val="TOC1"/>
            <w:tabs>
              <w:tab w:val="right" w:leader="dot" w:pos="9350"/>
            </w:tabs>
            <w:spacing w:line="360" w:lineRule="auto"/>
            <w:rPr>
              <w:rFonts w:ascii="Times New Roman" w:hAnsi="Times New Roman" w:cs="Times New Roman"/>
              <w:noProof/>
              <w:sz w:val="24"/>
              <w:szCs w:val="24"/>
            </w:rPr>
          </w:pPr>
          <w:hyperlink w:anchor="_Toc151054165" w:history="1">
            <w:r w:rsidR="00BC44B9" w:rsidRPr="00BC44B9">
              <w:rPr>
                <w:rStyle w:val="Hyperlink"/>
                <w:rFonts w:ascii="Times New Roman" w:hAnsi="Times New Roman" w:cs="Times New Roman"/>
                <w:noProof/>
                <w:sz w:val="24"/>
                <w:szCs w:val="24"/>
              </w:rPr>
              <w:t>Contextual factors and internationalisation strategy integration: Adaptation of the VUCA analysis to DHL's planned internationalisation strategy</w:t>
            </w:r>
            <w:r w:rsidR="00BC44B9" w:rsidRPr="00BC44B9">
              <w:rPr>
                <w:rFonts w:ascii="Times New Roman" w:hAnsi="Times New Roman" w:cs="Times New Roman"/>
                <w:noProof/>
                <w:webHidden/>
                <w:sz w:val="24"/>
                <w:szCs w:val="24"/>
              </w:rPr>
              <w:tab/>
            </w:r>
            <w:r w:rsidR="00BC44B9" w:rsidRPr="00BC44B9">
              <w:rPr>
                <w:rFonts w:ascii="Times New Roman" w:hAnsi="Times New Roman" w:cs="Times New Roman"/>
                <w:noProof/>
                <w:webHidden/>
                <w:sz w:val="24"/>
                <w:szCs w:val="24"/>
              </w:rPr>
              <w:fldChar w:fldCharType="begin"/>
            </w:r>
            <w:r w:rsidR="00BC44B9" w:rsidRPr="00BC44B9">
              <w:rPr>
                <w:rFonts w:ascii="Times New Roman" w:hAnsi="Times New Roman" w:cs="Times New Roman"/>
                <w:noProof/>
                <w:webHidden/>
                <w:sz w:val="24"/>
                <w:szCs w:val="24"/>
              </w:rPr>
              <w:instrText xml:space="preserve"> PAGEREF _Toc151054165 \h </w:instrText>
            </w:r>
            <w:r w:rsidR="00BC44B9" w:rsidRPr="00BC44B9">
              <w:rPr>
                <w:rFonts w:ascii="Times New Roman" w:hAnsi="Times New Roman" w:cs="Times New Roman"/>
                <w:noProof/>
                <w:webHidden/>
                <w:sz w:val="24"/>
                <w:szCs w:val="24"/>
              </w:rPr>
            </w:r>
            <w:r w:rsidR="00BC44B9" w:rsidRPr="00BC44B9">
              <w:rPr>
                <w:rFonts w:ascii="Times New Roman" w:hAnsi="Times New Roman" w:cs="Times New Roman"/>
                <w:noProof/>
                <w:webHidden/>
                <w:sz w:val="24"/>
                <w:szCs w:val="24"/>
              </w:rPr>
              <w:fldChar w:fldCharType="separate"/>
            </w:r>
            <w:r w:rsidR="00BC44B9" w:rsidRPr="00BC44B9">
              <w:rPr>
                <w:rFonts w:ascii="Times New Roman" w:hAnsi="Times New Roman" w:cs="Times New Roman"/>
                <w:noProof/>
                <w:webHidden/>
                <w:sz w:val="24"/>
                <w:szCs w:val="24"/>
              </w:rPr>
              <w:t>15</w:t>
            </w:r>
            <w:r w:rsidR="00BC44B9" w:rsidRPr="00BC44B9">
              <w:rPr>
                <w:rFonts w:ascii="Times New Roman" w:hAnsi="Times New Roman" w:cs="Times New Roman"/>
                <w:noProof/>
                <w:webHidden/>
                <w:sz w:val="24"/>
                <w:szCs w:val="24"/>
              </w:rPr>
              <w:fldChar w:fldCharType="end"/>
            </w:r>
          </w:hyperlink>
        </w:p>
        <w:p w14:paraId="531D7C18" w14:textId="41358414" w:rsidR="00BC44B9" w:rsidRPr="00BC44B9" w:rsidRDefault="00000000" w:rsidP="00BC44B9">
          <w:pPr>
            <w:pStyle w:val="TOC1"/>
            <w:tabs>
              <w:tab w:val="right" w:leader="dot" w:pos="9350"/>
            </w:tabs>
            <w:spacing w:line="360" w:lineRule="auto"/>
            <w:rPr>
              <w:rFonts w:ascii="Times New Roman" w:hAnsi="Times New Roman" w:cs="Times New Roman"/>
              <w:noProof/>
              <w:sz w:val="24"/>
              <w:szCs w:val="24"/>
            </w:rPr>
          </w:pPr>
          <w:hyperlink w:anchor="_Toc151054166" w:history="1">
            <w:r w:rsidR="00BC44B9" w:rsidRPr="00BC44B9">
              <w:rPr>
                <w:rStyle w:val="Hyperlink"/>
                <w:rFonts w:ascii="Times New Roman" w:hAnsi="Times New Roman" w:cs="Times New Roman"/>
                <w:noProof/>
                <w:sz w:val="24"/>
                <w:szCs w:val="24"/>
              </w:rPr>
              <w:t>Recommendations for DHL</w:t>
            </w:r>
            <w:r w:rsidR="00BC44B9" w:rsidRPr="00BC44B9">
              <w:rPr>
                <w:rFonts w:ascii="Times New Roman" w:hAnsi="Times New Roman" w:cs="Times New Roman"/>
                <w:noProof/>
                <w:webHidden/>
                <w:sz w:val="24"/>
                <w:szCs w:val="24"/>
              </w:rPr>
              <w:tab/>
            </w:r>
            <w:r w:rsidR="00BC44B9" w:rsidRPr="00BC44B9">
              <w:rPr>
                <w:rFonts w:ascii="Times New Roman" w:hAnsi="Times New Roman" w:cs="Times New Roman"/>
                <w:noProof/>
                <w:webHidden/>
                <w:sz w:val="24"/>
                <w:szCs w:val="24"/>
              </w:rPr>
              <w:fldChar w:fldCharType="begin"/>
            </w:r>
            <w:r w:rsidR="00BC44B9" w:rsidRPr="00BC44B9">
              <w:rPr>
                <w:rFonts w:ascii="Times New Roman" w:hAnsi="Times New Roman" w:cs="Times New Roman"/>
                <w:noProof/>
                <w:webHidden/>
                <w:sz w:val="24"/>
                <w:szCs w:val="24"/>
              </w:rPr>
              <w:instrText xml:space="preserve"> PAGEREF _Toc151054166 \h </w:instrText>
            </w:r>
            <w:r w:rsidR="00BC44B9" w:rsidRPr="00BC44B9">
              <w:rPr>
                <w:rFonts w:ascii="Times New Roman" w:hAnsi="Times New Roman" w:cs="Times New Roman"/>
                <w:noProof/>
                <w:webHidden/>
                <w:sz w:val="24"/>
                <w:szCs w:val="24"/>
              </w:rPr>
            </w:r>
            <w:r w:rsidR="00BC44B9" w:rsidRPr="00BC44B9">
              <w:rPr>
                <w:rFonts w:ascii="Times New Roman" w:hAnsi="Times New Roman" w:cs="Times New Roman"/>
                <w:noProof/>
                <w:webHidden/>
                <w:sz w:val="24"/>
                <w:szCs w:val="24"/>
              </w:rPr>
              <w:fldChar w:fldCharType="separate"/>
            </w:r>
            <w:r w:rsidR="00BC44B9" w:rsidRPr="00BC44B9">
              <w:rPr>
                <w:rFonts w:ascii="Times New Roman" w:hAnsi="Times New Roman" w:cs="Times New Roman"/>
                <w:noProof/>
                <w:webHidden/>
                <w:sz w:val="24"/>
                <w:szCs w:val="24"/>
              </w:rPr>
              <w:t>16</w:t>
            </w:r>
            <w:r w:rsidR="00BC44B9" w:rsidRPr="00BC44B9">
              <w:rPr>
                <w:rFonts w:ascii="Times New Roman" w:hAnsi="Times New Roman" w:cs="Times New Roman"/>
                <w:noProof/>
                <w:webHidden/>
                <w:sz w:val="24"/>
                <w:szCs w:val="24"/>
              </w:rPr>
              <w:fldChar w:fldCharType="end"/>
            </w:r>
          </w:hyperlink>
        </w:p>
        <w:p w14:paraId="2D2E7CC3" w14:textId="04605784" w:rsidR="00BC44B9" w:rsidRPr="00BC44B9" w:rsidRDefault="00000000" w:rsidP="00BC44B9">
          <w:pPr>
            <w:pStyle w:val="TOC1"/>
            <w:tabs>
              <w:tab w:val="right" w:leader="dot" w:pos="9350"/>
            </w:tabs>
            <w:spacing w:line="360" w:lineRule="auto"/>
            <w:rPr>
              <w:rFonts w:ascii="Times New Roman" w:hAnsi="Times New Roman" w:cs="Times New Roman"/>
              <w:noProof/>
              <w:sz w:val="24"/>
              <w:szCs w:val="24"/>
            </w:rPr>
          </w:pPr>
          <w:hyperlink w:anchor="_Toc151054167" w:history="1">
            <w:r w:rsidR="00BC44B9" w:rsidRPr="00BC44B9">
              <w:rPr>
                <w:rStyle w:val="Hyperlink"/>
                <w:rFonts w:ascii="Times New Roman" w:hAnsi="Times New Roman" w:cs="Times New Roman"/>
                <w:noProof/>
                <w:sz w:val="24"/>
                <w:szCs w:val="24"/>
              </w:rPr>
              <w:t>Conclusion</w:t>
            </w:r>
            <w:r w:rsidR="00BC44B9" w:rsidRPr="00BC44B9">
              <w:rPr>
                <w:rFonts w:ascii="Times New Roman" w:hAnsi="Times New Roman" w:cs="Times New Roman"/>
                <w:noProof/>
                <w:webHidden/>
                <w:sz w:val="24"/>
                <w:szCs w:val="24"/>
              </w:rPr>
              <w:tab/>
            </w:r>
            <w:r w:rsidR="00BC44B9" w:rsidRPr="00BC44B9">
              <w:rPr>
                <w:rFonts w:ascii="Times New Roman" w:hAnsi="Times New Roman" w:cs="Times New Roman"/>
                <w:noProof/>
                <w:webHidden/>
                <w:sz w:val="24"/>
                <w:szCs w:val="24"/>
              </w:rPr>
              <w:fldChar w:fldCharType="begin"/>
            </w:r>
            <w:r w:rsidR="00BC44B9" w:rsidRPr="00BC44B9">
              <w:rPr>
                <w:rFonts w:ascii="Times New Roman" w:hAnsi="Times New Roman" w:cs="Times New Roman"/>
                <w:noProof/>
                <w:webHidden/>
                <w:sz w:val="24"/>
                <w:szCs w:val="24"/>
              </w:rPr>
              <w:instrText xml:space="preserve"> PAGEREF _Toc151054167 \h </w:instrText>
            </w:r>
            <w:r w:rsidR="00BC44B9" w:rsidRPr="00BC44B9">
              <w:rPr>
                <w:rFonts w:ascii="Times New Roman" w:hAnsi="Times New Roman" w:cs="Times New Roman"/>
                <w:noProof/>
                <w:webHidden/>
                <w:sz w:val="24"/>
                <w:szCs w:val="24"/>
              </w:rPr>
            </w:r>
            <w:r w:rsidR="00BC44B9" w:rsidRPr="00BC44B9">
              <w:rPr>
                <w:rFonts w:ascii="Times New Roman" w:hAnsi="Times New Roman" w:cs="Times New Roman"/>
                <w:noProof/>
                <w:webHidden/>
                <w:sz w:val="24"/>
                <w:szCs w:val="24"/>
              </w:rPr>
              <w:fldChar w:fldCharType="separate"/>
            </w:r>
            <w:r w:rsidR="00BC44B9" w:rsidRPr="00BC44B9">
              <w:rPr>
                <w:rFonts w:ascii="Times New Roman" w:hAnsi="Times New Roman" w:cs="Times New Roman"/>
                <w:noProof/>
                <w:webHidden/>
                <w:sz w:val="24"/>
                <w:szCs w:val="24"/>
              </w:rPr>
              <w:t>18</w:t>
            </w:r>
            <w:r w:rsidR="00BC44B9" w:rsidRPr="00BC44B9">
              <w:rPr>
                <w:rFonts w:ascii="Times New Roman" w:hAnsi="Times New Roman" w:cs="Times New Roman"/>
                <w:noProof/>
                <w:webHidden/>
                <w:sz w:val="24"/>
                <w:szCs w:val="24"/>
              </w:rPr>
              <w:fldChar w:fldCharType="end"/>
            </w:r>
          </w:hyperlink>
        </w:p>
        <w:p w14:paraId="6B7508B9" w14:textId="4D89C347" w:rsidR="00BC44B9" w:rsidRDefault="00000000" w:rsidP="00BC44B9">
          <w:pPr>
            <w:pStyle w:val="TOC1"/>
            <w:tabs>
              <w:tab w:val="right" w:leader="dot" w:pos="9350"/>
            </w:tabs>
            <w:spacing w:line="360" w:lineRule="auto"/>
            <w:rPr>
              <w:noProof/>
            </w:rPr>
          </w:pPr>
          <w:hyperlink w:anchor="_Toc151054168" w:history="1">
            <w:r w:rsidR="00BC44B9" w:rsidRPr="00BC44B9">
              <w:rPr>
                <w:rStyle w:val="Hyperlink"/>
                <w:rFonts w:ascii="Times New Roman" w:hAnsi="Times New Roman" w:cs="Times New Roman"/>
                <w:noProof/>
                <w:sz w:val="24"/>
                <w:szCs w:val="24"/>
              </w:rPr>
              <w:t>Reference</w:t>
            </w:r>
            <w:r w:rsidR="00BC44B9" w:rsidRPr="00BC44B9">
              <w:rPr>
                <w:rFonts w:ascii="Times New Roman" w:hAnsi="Times New Roman" w:cs="Times New Roman"/>
                <w:noProof/>
                <w:webHidden/>
                <w:sz w:val="24"/>
                <w:szCs w:val="24"/>
              </w:rPr>
              <w:tab/>
            </w:r>
            <w:r w:rsidR="00BC44B9" w:rsidRPr="00BC44B9">
              <w:rPr>
                <w:rFonts w:ascii="Times New Roman" w:hAnsi="Times New Roman" w:cs="Times New Roman"/>
                <w:noProof/>
                <w:webHidden/>
                <w:sz w:val="24"/>
                <w:szCs w:val="24"/>
              </w:rPr>
              <w:fldChar w:fldCharType="begin"/>
            </w:r>
            <w:r w:rsidR="00BC44B9" w:rsidRPr="00BC44B9">
              <w:rPr>
                <w:rFonts w:ascii="Times New Roman" w:hAnsi="Times New Roman" w:cs="Times New Roman"/>
                <w:noProof/>
                <w:webHidden/>
                <w:sz w:val="24"/>
                <w:szCs w:val="24"/>
              </w:rPr>
              <w:instrText xml:space="preserve"> PAGEREF _Toc151054168 \h </w:instrText>
            </w:r>
            <w:r w:rsidR="00BC44B9" w:rsidRPr="00BC44B9">
              <w:rPr>
                <w:rFonts w:ascii="Times New Roman" w:hAnsi="Times New Roman" w:cs="Times New Roman"/>
                <w:noProof/>
                <w:webHidden/>
                <w:sz w:val="24"/>
                <w:szCs w:val="24"/>
              </w:rPr>
            </w:r>
            <w:r w:rsidR="00BC44B9" w:rsidRPr="00BC44B9">
              <w:rPr>
                <w:rFonts w:ascii="Times New Roman" w:hAnsi="Times New Roman" w:cs="Times New Roman"/>
                <w:noProof/>
                <w:webHidden/>
                <w:sz w:val="24"/>
                <w:szCs w:val="24"/>
              </w:rPr>
              <w:fldChar w:fldCharType="separate"/>
            </w:r>
            <w:r w:rsidR="00BC44B9" w:rsidRPr="00BC44B9">
              <w:rPr>
                <w:rFonts w:ascii="Times New Roman" w:hAnsi="Times New Roman" w:cs="Times New Roman"/>
                <w:noProof/>
                <w:webHidden/>
                <w:sz w:val="24"/>
                <w:szCs w:val="24"/>
              </w:rPr>
              <w:t>20</w:t>
            </w:r>
            <w:r w:rsidR="00BC44B9" w:rsidRPr="00BC44B9">
              <w:rPr>
                <w:rFonts w:ascii="Times New Roman" w:hAnsi="Times New Roman" w:cs="Times New Roman"/>
                <w:noProof/>
                <w:webHidden/>
                <w:sz w:val="24"/>
                <w:szCs w:val="24"/>
              </w:rPr>
              <w:fldChar w:fldCharType="end"/>
            </w:r>
          </w:hyperlink>
        </w:p>
        <w:p w14:paraId="7CC6283D" w14:textId="3915595A" w:rsidR="00BC44B9" w:rsidRDefault="00BC44B9">
          <w:r>
            <w:rPr>
              <w:b/>
              <w:bCs/>
              <w:noProof/>
            </w:rPr>
            <w:fldChar w:fldCharType="end"/>
          </w:r>
        </w:p>
      </w:sdtContent>
    </w:sdt>
    <w:p w14:paraId="4C92872D" w14:textId="77777777" w:rsidR="00BC44B9" w:rsidRDefault="00BC44B9" w:rsidP="00BC44B9">
      <w:pPr>
        <w:pStyle w:val="Normal1"/>
      </w:pPr>
    </w:p>
    <w:p w14:paraId="39097621" w14:textId="77777777" w:rsidR="00BC44B9" w:rsidRPr="00BC44B9" w:rsidRDefault="00BC44B9" w:rsidP="00BC44B9">
      <w:pPr>
        <w:pStyle w:val="Normal1"/>
      </w:pPr>
    </w:p>
    <w:p w14:paraId="360A11F6" w14:textId="77777777" w:rsidR="00E56A16" w:rsidRDefault="00000000" w:rsidP="003E6BAC">
      <w:pPr>
        <w:pStyle w:val="Normal1"/>
        <w:spacing w:line="360" w:lineRule="auto"/>
      </w:pPr>
      <w:r>
        <w:br w:type="page"/>
      </w:r>
    </w:p>
    <w:p w14:paraId="3B5FDC1D" w14:textId="77777777" w:rsidR="00E56A16" w:rsidRDefault="00000000" w:rsidP="003E6BAC">
      <w:pPr>
        <w:pStyle w:val="Heading1"/>
        <w:spacing w:line="360" w:lineRule="auto"/>
      </w:pPr>
      <w:bookmarkStart w:id="1" w:name="_8rzz4w2sig3b" w:colFirst="0" w:colLast="0"/>
      <w:bookmarkStart w:id="2" w:name="_Toc151054160"/>
      <w:bookmarkEnd w:id="1"/>
      <w:r>
        <w:lastRenderedPageBreak/>
        <w:t>Introduction</w:t>
      </w:r>
      <w:bookmarkEnd w:id="2"/>
    </w:p>
    <w:p w14:paraId="678C24E4" w14:textId="77777777" w:rsidR="00E56A16" w:rsidRDefault="00000000" w:rsidP="003E6BAC">
      <w:pPr>
        <w:pStyle w:val="Normal1"/>
        <w:spacing w:line="360" w:lineRule="auto"/>
      </w:pPr>
      <w:r>
        <w:t>The evaluation of DHL's internationalisation strategy within the context of VUCA offers a thorough investigation of how a worldwide expedited shipping and logistical giant handles the difficulties of a constantly changing global environment.</w:t>
      </w:r>
    </w:p>
    <w:p w14:paraId="06702F4D" w14:textId="7E8151A9" w:rsidR="00E56A16" w:rsidRDefault="00000000" w:rsidP="003E6BAC">
      <w:pPr>
        <w:pStyle w:val="Normal1"/>
        <w:spacing w:line="360" w:lineRule="auto"/>
      </w:pPr>
      <w:r>
        <w:t>The ongoing advancement of a heliocentric strategy of DHL, which strikes a balance between the demand for local adaption and the requirement for internationalisation, has defined the company's progress in the international marketplace. This tactic becomes more pertinent amid VUCA difficulties. This evaluation explores how DHL has successfully incorporated contextual elements found in the VUCA analysis into its selected internationalisation approach. It investigates how VUCA affects the formulation and execution of DHL's strategic plans. DHL is a well-known multinational company (MNE) that specialises in fast delivery services including logistics. DHL, which was founded in the USA in 1969, is growing into one of the biggest and most renowned logistics organisations in the world, serving over 260 nations and territories</w:t>
      </w:r>
      <w:r w:rsidR="003E6BAC">
        <w:t xml:space="preserve"> (</w:t>
      </w:r>
      <w:r w:rsidR="003E6BAC" w:rsidRPr="003E6BAC">
        <w:rPr>
          <w:color w:val="222222"/>
          <w:szCs w:val="24"/>
          <w:highlight w:val="white"/>
        </w:rPr>
        <w:t>Dhl.com, 2023</w:t>
      </w:r>
      <w:r w:rsidR="003E6BAC">
        <w:rPr>
          <w:color w:val="222222"/>
          <w:szCs w:val="24"/>
        </w:rPr>
        <w:t>)</w:t>
      </w:r>
      <w:r>
        <w:t>. The business's past and process of internationalisation have influenced its extraordinary success on the world market (</w:t>
      </w:r>
      <w:r>
        <w:rPr>
          <w:color w:val="222222"/>
          <w:sz w:val="20"/>
          <w:szCs w:val="20"/>
          <w:highlight w:val="white"/>
        </w:rPr>
        <w:t>Dhl.com, 2023)</w:t>
      </w:r>
      <w:r>
        <w:t>. The internationalisation strategy of DHL is evidence of both its agility and tenacity in negotiating a rapidly evolving worldwide transportation market. Appreciation of how this market leader has used a geocentric strategy to deal with intricate and evolving surroundings enables an increased comprehension of the challenging equilibrium that exists among consistency worldwide and regional adaptability.</w:t>
      </w:r>
    </w:p>
    <w:p w14:paraId="18D342BD" w14:textId="77777777" w:rsidR="00E56A16" w:rsidRDefault="00000000" w:rsidP="003E6BAC">
      <w:pPr>
        <w:pStyle w:val="Normal1"/>
        <w:spacing w:line="360" w:lineRule="auto"/>
      </w:pPr>
      <w:r>
        <w:t>This evaluation will go into great detail about the plans, programmes, and financial commitments that have helped DHL succeed in the face of marketplace volatility, deal with unpredictability in an anticipatory way, deconstruct the logistical industry's inherent difficulty and lessen ambiguity via a dedication to innovative technology. Additionally, it will clarify.</w:t>
      </w:r>
    </w:p>
    <w:p w14:paraId="7BB4151D" w14:textId="77777777" w:rsidR="00E56A16" w:rsidRDefault="00E56A16" w:rsidP="003E6BAC">
      <w:pPr>
        <w:pStyle w:val="Normal1"/>
        <w:spacing w:line="360" w:lineRule="auto"/>
      </w:pPr>
    </w:p>
    <w:p w14:paraId="469AEC2D" w14:textId="77777777" w:rsidR="00E56A16" w:rsidRDefault="00000000" w:rsidP="003E6BAC">
      <w:pPr>
        <w:pStyle w:val="Heading1"/>
        <w:spacing w:line="360" w:lineRule="auto"/>
      </w:pPr>
      <w:bookmarkStart w:id="3" w:name="_7lyjhnadw6nl" w:colFirst="0" w:colLast="0"/>
      <w:bookmarkStart w:id="4" w:name="_Toc151054161"/>
      <w:bookmarkEnd w:id="3"/>
      <w:r>
        <w:t>Company background</w:t>
      </w:r>
      <w:bookmarkEnd w:id="4"/>
    </w:p>
    <w:p w14:paraId="406350E4" w14:textId="7199D0B6" w:rsidR="00E56A16" w:rsidRDefault="00000000" w:rsidP="003E6BAC">
      <w:pPr>
        <w:pStyle w:val="Normal1"/>
        <w:spacing w:line="360" w:lineRule="auto"/>
      </w:pPr>
      <w:r>
        <w:t>Adrian Dalsey, Larry Hillblom as well and Robert Lynn, 3 American businessmen, formed DHL to establish a quicker and more dependable worldwide delivery system. They established "DHL" as the trademark, which stands for their first and last names</w:t>
      </w:r>
      <w:r w:rsidR="003E6BAC">
        <w:t xml:space="preserve"> (</w:t>
      </w:r>
      <w:r w:rsidR="003E6BAC" w:rsidRPr="003E6BAC">
        <w:rPr>
          <w:color w:val="222222"/>
          <w:szCs w:val="24"/>
          <w:highlight w:val="white"/>
        </w:rPr>
        <w:t>Dhl.com, 2023</w:t>
      </w:r>
      <w:r w:rsidR="003E6BAC">
        <w:rPr>
          <w:color w:val="222222"/>
          <w:szCs w:val="24"/>
        </w:rPr>
        <w:t>)</w:t>
      </w:r>
      <w:r>
        <w:t xml:space="preserve">. To meet the rising need for effective international shipping, the firm began by providing quick paper transportation </w:t>
      </w:r>
      <w:r>
        <w:lastRenderedPageBreak/>
        <w:t xml:space="preserve">from San Francisco &amp; Honolulu.DHL began to provide its services on various continents in the 1970s, including a noteworthy debut in Europe. </w:t>
      </w:r>
    </w:p>
    <w:p w14:paraId="3D230CCD" w14:textId="77777777" w:rsidR="00E56A16" w:rsidRDefault="00000000" w:rsidP="003E6BAC">
      <w:pPr>
        <w:pStyle w:val="Normal1"/>
        <w:spacing w:line="360" w:lineRule="auto"/>
        <w:jc w:val="center"/>
      </w:pPr>
      <w:r>
        <w:rPr>
          <w:noProof/>
        </w:rPr>
        <w:drawing>
          <wp:inline distT="114300" distB="114300" distL="114300" distR="114300" wp14:anchorId="7144794C" wp14:editId="6AEE4B66">
            <wp:extent cx="4557713" cy="2563713"/>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8"/>
                    <a:stretch>
                      <a:fillRect/>
                    </a:stretch>
                  </pic:blipFill>
                  <pic:spPr>
                    <a:xfrm>
                      <a:off x="0" y="0"/>
                      <a:ext cx="4557713" cy="2563713"/>
                    </a:xfrm>
                    <a:prstGeom prst="rect">
                      <a:avLst/>
                    </a:prstGeom>
                  </pic:spPr>
                </pic:pic>
              </a:graphicData>
            </a:graphic>
          </wp:inline>
        </w:drawing>
      </w:r>
    </w:p>
    <w:p w14:paraId="04AEE360" w14:textId="77777777" w:rsidR="00E56A16" w:rsidRDefault="00000000" w:rsidP="003E6BAC">
      <w:pPr>
        <w:pStyle w:val="Normal1"/>
        <w:spacing w:line="360" w:lineRule="auto"/>
        <w:jc w:val="center"/>
        <w:rPr>
          <w:b/>
        </w:rPr>
      </w:pPr>
      <w:r>
        <w:rPr>
          <w:b/>
        </w:rPr>
        <w:t>Figure 1: DHL logo</w:t>
      </w:r>
    </w:p>
    <w:p w14:paraId="4455979E" w14:textId="5C0B9DE4" w:rsidR="00E56A16" w:rsidRDefault="00000000" w:rsidP="003E6BAC">
      <w:pPr>
        <w:pStyle w:val="Normal1"/>
        <w:spacing w:line="360" w:lineRule="auto"/>
        <w:jc w:val="center"/>
      </w:pPr>
      <w:r>
        <w:t xml:space="preserve">(Source: </w:t>
      </w:r>
      <w:r w:rsidR="003E6BAC" w:rsidRPr="003E6BAC">
        <w:rPr>
          <w:color w:val="222222"/>
          <w:szCs w:val="24"/>
          <w:highlight w:val="white"/>
        </w:rPr>
        <w:t>Dhl.com, 2023</w:t>
      </w:r>
      <w:r>
        <w:t>)</w:t>
      </w:r>
    </w:p>
    <w:p w14:paraId="22A655A7" w14:textId="77777777" w:rsidR="00E56A16" w:rsidRDefault="00000000" w:rsidP="003E6BAC">
      <w:pPr>
        <w:pStyle w:val="Normal1"/>
        <w:spacing w:line="360" w:lineRule="auto"/>
      </w:pPr>
      <w:r>
        <w:t>The business established a name for itself as a leader in cutting-edge logistics approaches, being the first worldwide air express carrier to cover the Middle East &amp; the Far East, for example. As the first international logistics business to start business in China, DHL made history in the 1980s. In the decades that followed, this growth persisted, firmly establishing its foothold in Asia, Africa &amp; Latin America. Strategic alliances, purchases, and ongoing innovation have been hallmarks of DHL's globalization process (</w:t>
      </w:r>
      <w:r w:rsidRPr="003E6BAC">
        <w:rPr>
          <w:color w:val="222222"/>
          <w:szCs w:val="24"/>
          <w:highlight w:val="white"/>
        </w:rPr>
        <w:t>Dhl.com, 2023</w:t>
      </w:r>
      <w:r>
        <w:rPr>
          <w:color w:val="222222"/>
          <w:sz w:val="20"/>
          <w:szCs w:val="20"/>
          <w:highlight w:val="white"/>
        </w:rPr>
        <w:t>)</w:t>
      </w:r>
      <w:r>
        <w:t>. The 1998 merger of DHL with the massive German logistics company Deutsche Post was crucial to the company's international growth. To build an authoritative local presence and meet the expectations of each host country, DHL's development plan also includes collaborations with regional courier firms. DHL was able to effectively adapt to the varied global terrain by tailoring its services to local needs. The US, where DHL was first established, is where it is headquartered (</w:t>
      </w:r>
      <w:r>
        <w:rPr>
          <w:color w:val="222222"/>
          <w:sz w:val="20"/>
          <w:szCs w:val="20"/>
          <w:highlight w:val="white"/>
        </w:rPr>
        <w:t>Wamba and Queiroz, 2020)</w:t>
      </w:r>
      <w:r>
        <w:t xml:space="preserve">. Due to numerous acquisitions &amp; mergers throughout the years, the film business's ownership organisation changed, and it finally joined the German multinational Deutsche Post DHL Group. The organization's current facilities are in Germany's Cologne. Over 260 nations and territories are covered by DHL's large country-of-origin services. Its extensive network of logistical hubs, distribution centres, and transportation facilities makes up its worldwide presence. To provide a wide variety of offerings, such as </w:t>
      </w:r>
      <w:r>
        <w:lastRenderedPageBreak/>
        <w:t>worldwide express delivery, shipping, contract transportation, &amp; e-commerce solutions, DHL has solidified connections with regional businesses and organisations.</w:t>
      </w:r>
    </w:p>
    <w:p w14:paraId="6230A58F" w14:textId="77777777" w:rsidR="00E56A16" w:rsidRDefault="00000000" w:rsidP="003E6BAC">
      <w:pPr>
        <w:pStyle w:val="Heading1"/>
        <w:spacing w:line="360" w:lineRule="auto"/>
      </w:pPr>
      <w:bookmarkStart w:id="5" w:name="_gzme79l5cmq3" w:colFirst="0" w:colLast="0"/>
      <w:bookmarkStart w:id="6" w:name="_Toc151054162"/>
      <w:bookmarkEnd w:id="5"/>
      <w:r>
        <w:t>Internationalization Strategies of DHL</w:t>
      </w:r>
      <w:bookmarkEnd w:id="6"/>
    </w:p>
    <w:p w14:paraId="7F4C3A22" w14:textId="77777777" w:rsidR="00E56A16" w:rsidRDefault="00000000" w:rsidP="003E6BAC">
      <w:pPr>
        <w:pStyle w:val="Normal1"/>
        <w:spacing w:line="360" w:lineRule="auto"/>
      </w:pPr>
      <w:r>
        <w:t xml:space="preserve">Like many multinational corporations (MNEs), DHL has used a variety of internationalisation tactics, each with its unique traits and features. These strategies include geocentric, ethnocentric &amp; polycentric viewpoints, all of which have various effects on the globalisation process. </w:t>
      </w:r>
    </w:p>
    <w:p w14:paraId="2A5F2CBA" w14:textId="77777777" w:rsidR="00E56A16" w:rsidRDefault="00E56A16" w:rsidP="003E6BAC">
      <w:pPr>
        <w:pStyle w:val="Normal1"/>
        <w:spacing w:line="360" w:lineRule="auto"/>
      </w:pPr>
    </w:p>
    <w:p w14:paraId="2043B782" w14:textId="77777777" w:rsidR="00E56A16" w:rsidRDefault="00000000" w:rsidP="003E6BAC">
      <w:pPr>
        <w:pStyle w:val="Normal1"/>
        <w:spacing w:line="360" w:lineRule="auto"/>
        <w:rPr>
          <w:b/>
        </w:rPr>
      </w:pPr>
      <w:r>
        <w:rPr>
          <w:b/>
        </w:rPr>
        <w:t>1. Ethnocentric Internationalization strategy::</w:t>
      </w:r>
    </w:p>
    <w:p w14:paraId="60E3CB32" w14:textId="77777777" w:rsidR="00E56A16" w:rsidRDefault="00000000" w:rsidP="003E6BAC">
      <w:pPr>
        <w:pStyle w:val="Normal1"/>
        <w:spacing w:line="360" w:lineRule="auto"/>
        <w:rPr>
          <w:b/>
          <w:i/>
        </w:rPr>
      </w:pPr>
      <w:r>
        <w:rPr>
          <w:b/>
          <w:i/>
        </w:rPr>
        <w:t xml:space="preserve">Features and characteristics: </w:t>
      </w:r>
    </w:p>
    <w:p w14:paraId="1DF71642" w14:textId="77777777" w:rsidR="00E56A16" w:rsidRDefault="00000000" w:rsidP="003E6BAC">
      <w:pPr>
        <w:pStyle w:val="Normal1"/>
        <w:spacing w:line="360" w:lineRule="auto"/>
      </w:pPr>
      <w:r>
        <w:t>This tactic entails concentrating leadership and choice-making in the home nation (in the example of DHL, this may be Germany or the United States).</w:t>
      </w:r>
    </w:p>
    <w:p w14:paraId="2B1D9454" w14:textId="77777777" w:rsidR="00E56A16" w:rsidRDefault="00000000" w:rsidP="003E6BAC">
      <w:pPr>
        <w:pStyle w:val="Normal1"/>
        <w:spacing w:line="360" w:lineRule="auto"/>
      </w:pPr>
      <w:r>
        <w:t>With a significant emphasis on upholding the organization's fundamental culture and practices, key roles are frequently held by foreign nationals from their native country.</w:t>
      </w:r>
    </w:p>
    <w:p w14:paraId="28D036C1" w14:textId="77777777" w:rsidR="00E56A16" w:rsidRDefault="00000000" w:rsidP="003E6BAC">
      <w:pPr>
        <w:pStyle w:val="Normal1"/>
        <w:spacing w:line="360" w:lineRule="auto"/>
      </w:pPr>
      <w:r>
        <w:t>Local subsidiaries frequently have a restricted amount of independence and are required to follow the directives of the headquarters.</w:t>
      </w:r>
    </w:p>
    <w:p w14:paraId="56D15497" w14:textId="77777777" w:rsidR="00E56A16" w:rsidRDefault="00000000" w:rsidP="003E6BAC">
      <w:pPr>
        <w:pStyle w:val="Normal1"/>
        <w:spacing w:line="360" w:lineRule="auto"/>
      </w:pPr>
      <w:r>
        <w:rPr>
          <w:b/>
          <w:i/>
        </w:rPr>
        <w:t>Consequences for Worldwide Expansion</w:t>
      </w:r>
    </w:p>
    <w:p w14:paraId="37A713D3" w14:textId="77777777" w:rsidR="00E56A16" w:rsidRDefault="00000000" w:rsidP="003E6BAC">
      <w:pPr>
        <w:pStyle w:val="Normal1"/>
        <w:spacing w:line="360" w:lineRule="auto"/>
      </w:pPr>
      <w:r>
        <w:t>Ethnocentrism can assist the business in projecting a unified worldwide image while upholding its trademark and operational guidelines.</w:t>
      </w:r>
    </w:p>
    <w:p w14:paraId="1FB05FDE" w14:textId="77777777" w:rsidR="00E56A16" w:rsidRDefault="00000000" w:rsidP="003E6BAC">
      <w:pPr>
        <w:pStyle w:val="Normal1"/>
        <w:spacing w:line="360" w:lineRule="auto"/>
      </w:pPr>
      <w:r>
        <w:t>However, it could make it more difficult for the company to adjust to regional market circumstances and cultural quirks, which might hurt its capacity to compete.</w:t>
      </w:r>
    </w:p>
    <w:p w14:paraId="4C5A95CC" w14:textId="77777777" w:rsidR="00E56A16" w:rsidRDefault="00E56A16" w:rsidP="003E6BAC">
      <w:pPr>
        <w:pStyle w:val="Normal1"/>
        <w:spacing w:line="360" w:lineRule="auto"/>
      </w:pPr>
    </w:p>
    <w:p w14:paraId="4A319E42" w14:textId="77777777" w:rsidR="00E56A16" w:rsidRDefault="00000000" w:rsidP="003E6BAC">
      <w:pPr>
        <w:pStyle w:val="Normal1"/>
        <w:spacing w:line="360" w:lineRule="auto"/>
        <w:rPr>
          <w:b/>
        </w:rPr>
      </w:pPr>
      <w:r>
        <w:rPr>
          <w:b/>
        </w:rPr>
        <w:t>2. Polycentric Internationalisation strategy</w:t>
      </w:r>
    </w:p>
    <w:p w14:paraId="6C911A13" w14:textId="77777777" w:rsidR="00E56A16" w:rsidRDefault="00000000" w:rsidP="003E6BAC">
      <w:pPr>
        <w:pStyle w:val="Normal1"/>
        <w:spacing w:line="360" w:lineRule="auto"/>
        <w:rPr>
          <w:b/>
          <w:i/>
        </w:rPr>
      </w:pPr>
      <w:r>
        <w:rPr>
          <w:b/>
          <w:i/>
        </w:rPr>
        <w:t>Features and characteristics:</w:t>
      </w:r>
    </w:p>
    <w:p w14:paraId="15A22B6A" w14:textId="77777777" w:rsidR="00E56A16" w:rsidRDefault="00000000" w:rsidP="003E6BAC">
      <w:pPr>
        <w:pStyle w:val="Normal1"/>
        <w:spacing w:line="360" w:lineRule="auto"/>
      </w:pPr>
      <w:r>
        <w:t xml:space="preserve">This tactic entails giving host nation entities substantial discretion in managing their businesses by decentralising decision-making to regions. </w:t>
      </w:r>
    </w:p>
    <w:p w14:paraId="09683330" w14:textId="77777777" w:rsidR="00E56A16" w:rsidRDefault="00000000" w:rsidP="003E6BAC">
      <w:pPr>
        <w:pStyle w:val="Normal1"/>
        <w:spacing w:line="360" w:lineRule="auto"/>
      </w:pPr>
      <w:r>
        <w:t>To meet the demands of a particular market, regional executives are frequently employed to fill important positions, and local goods, services, and advertising strategies are created.</w:t>
      </w:r>
    </w:p>
    <w:p w14:paraId="7D807C52" w14:textId="77777777" w:rsidR="00E56A16" w:rsidRDefault="00000000" w:rsidP="003E6BAC">
      <w:pPr>
        <w:pStyle w:val="Normal1"/>
        <w:spacing w:line="360" w:lineRule="auto"/>
      </w:pPr>
      <w:r>
        <w:rPr>
          <w:b/>
          <w:i/>
        </w:rPr>
        <w:t>Consequences for Worldwide Expansion</w:t>
      </w:r>
    </w:p>
    <w:p w14:paraId="452E455B" w14:textId="77777777" w:rsidR="00E56A16" w:rsidRDefault="00000000" w:rsidP="003E6BAC">
      <w:pPr>
        <w:pStyle w:val="Normal1"/>
        <w:spacing w:line="360" w:lineRule="auto"/>
      </w:pPr>
      <w:r>
        <w:t>Polycentric tactics can increase sensitivity to regional customer tastes and market adoption.</w:t>
      </w:r>
    </w:p>
    <w:p w14:paraId="1B279FBC" w14:textId="77777777" w:rsidR="00E56A16" w:rsidRDefault="00000000" w:rsidP="003E6BAC">
      <w:pPr>
        <w:pStyle w:val="Normal1"/>
        <w:spacing w:line="360" w:lineRule="auto"/>
      </w:pPr>
      <w:r>
        <w:lastRenderedPageBreak/>
        <w:t>They might, however, cause inefficiencies as a consequence of function redundancy across several subsidiaries and obstruct the worldwide melding of activities (</w:t>
      </w:r>
      <w:r>
        <w:rPr>
          <w:color w:val="222222"/>
          <w:sz w:val="20"/>
          <w:szCs w:val="20"/>
          <w:highlight w:val="white"/>
        </w:rPr>
        <w:t>Ruan, 2021)</w:t>
      </w:r>
      <w:r>
        <w:t>.</w:t>
      </w:r>
    </w:p>
    <w:p w14:paraId="5A27A372" w14:textId="77777777" w:rsidR="00E56A16" w:rsidRDefault="00E56A16" w:rsidP="003E6BAC">
      <w:pPr>
        <w:pStyle w:val="Normal1"/>
        <w:spacing w:line="360" w:lineRule="auto"/>
      </w:pPr>
    </w:p>
    <w:p w14:paraId="3DB63670" w14:textId="77777777" w:rsidR="00E56A16" w:rsidRDefault="00000000" w:rsidP="003E6BAC">
      <w:pPr>
        <w:pStyle w:val="Normal1"/>
        <w:spacing w:line="360" w:lineRule="auto"/>
        <w:rPr>
          <w:b/>
        </w:rPr>
      </w:pPr>
      <w:r>
        <w:rPr>
          <w:b/>
        </w:rPr>
        <w:t xml:space="preserve">3. Geocentric Internationalisation strategy </w:t>
      </w:r>
    </w:p>
    <w:p w14:paraId="1253415B" w14:textId="77777777" w:rsidR="00E56A16" w:rsidRDefault="00E56A16" w:rsidP="003E6BAC">
      <w:pPr>
        <w:pStyle w:val="Normal1"/>
        <w:spacing w:line="360" w:lineRule="auto"/>
      </w:pPr>
    </w:p>
    <w:p w14:paraId="1EFEEB4B" w14:textId="77777777" w:rsidR="00E56A16" w:rsidRDefault="00000000" w:rsidP="003E6BAC">
      <w:pPr>
        <w:pStyle w:val="Normal1"/>
        <w:spacing w:line="360" w:lineRule="auto"/>
        <w:rPr>
          <w:b/>
          <w:i/>
        </w:rPr>
      </w:pPr>
      <w:r>
        <w:rPr>
          <w:b/>
          <w:i/>
        </w:rPr>
        <w:t>Features and Characteristics:</w:t>
      </w:r>
    </w:p>
    <w:p w14:paraId="34956EAB" w14:textId="77777777" w:rsidR="00E56A16" w:rsidRDefault="00E56A16" w:rsidP="003E6BAC">
      <w:pPr>
        <w:pStyle w:val="Normal1"/>
        <w:spacing w:line="360" w:lineRule="auto"/>
      </w:pPr>
    </w:p>
    <w:p w14:paraId="63C36877" w14:textId="77777777" w:rsidR="00E56A16" w:rsidRDefault="00000000" w:rsidP="003E6BAC">
      <w:pPr>
        <w:pStyle w:val="Normal1"/>
        <w:spacing w:line="360" w:lineRule="auto"/>
      </w:pPr>
      <w:r>
        <w:t>Ethnocentrism and multi-centrism are both present in a geocentric perspective. By choosing the most qualified management, irrespective of the country, and by implementing standardized and flexible global practices, it aims to strike a balance between the best of both worlds.</w:t>
      </w:r>
    </w:p>
    <w:p w14:paraId="5A8B8EF8" w14:textId="77777777" w:rsidR="00E56A16" w:rsidRDefault="00000000" w:rsidP="003E6BAC">
      <w:pPr>
        <w:pStyle w:val="Normal1"/>
        <w:spacing w:line="360" w:lineRule="auto"/>
        <w:rPr>
          <w:b/>
        </w:rPr>
      </w:pPr>
      <w:r>
        <w:rPr>
          <w:b/>
        </w:rPr>
        <w:t>Consequences for Worldwide Growth:</w:t>
      </w:r>
    </w:p>
    <w:p w14:paraId="36F8B5F5" w14:textId="77777777" w:rsidR="00E56A16" w:rsidRDefault="00000000" w:rsidP="003E6BAC">
      <w:pPr>
        <w:pStyle w:val="Normal1"/>
        <w:spacing w:line="360" w:lineRule="auto"/>
      </w:pPr>
      <w:r>
        <w:t>Striking a balance between global uniformity and local adaptability is the goal of geocentric tactics. Utilizing the benefits of both local and global views, exchanging best practices, and effective globalization are all made possible by this method (</w:t>
      </w:r>
      <w:r>
        <w:rPr>
          <w:color w:val="222222"/>
          <w:sz w:val="20"/>
          <w:szCs w:val="20"/>
          <w:highlight w:val="white"/>
        </w:rPr>
        <w:t>Ruan, 2021)</w:t>
      </w:r>
      <w:r>
        <w:t xml:space="preserve">. </w:t>
      </w:r>
    </w:p>
    <w:p w14:paraId="7E694720" w14:textId="77777777" w:rsidR="00E56A16" w:rsidRDefault="00E56A16" w:rsidP="003E6BAC">
      <w:pPr>
        <w:pStyle w:val="Normal1"/>
        <w:spacing w:line="360" w:lineRule="auto"/>
        <w:rPr>
          <w:b/>
        </w:rPr>
      </w:pPr>
    </w:p>
    <w:p w14:paraId="27DA8FA3" w14:textId="77777777" w:rsidR="00E56A16" w:rsidRDefault="00000000" w:rsidP="003E6BAC">
      <w:pPr>
        <w:pStyle w:val="Normal1"/>
        <w:spacing w:line="360" w:lineRule="auto"/>
        <w:rPr>
          <w:b/>
        </w:rPr>
      </w:pPr>
      <w:r>
        <w:rPr>
          <w:b/>
        </w:rPr>
        <w:t>Contrast &amp; Comparison</w:t>
      </w:r>
    </w:p>
    <w:p w14:paraId="06C5212E" w14:textId="77777777" w:rsidR="00E56A16" w:rsidRDefault="00000000" w:rsidP="003E6BAC">
      <w:pPr>
        <w:pStyle w:val="Normal1"/>
        <w:spacing w:line="360" w:lineRule="auto"/>
      </w:pPr>
      <w:r>
        <w:t>Polycentrism places a greater emphasis on regional independence and reactivity whereas ethnocentrism is more centralized and concerned with upholding a worldwide brand image.</w:t>
      </w:r>
    </w:p>
    <w:p w14:paraId="5396A7B1" w14:textId="77777777" w:rsidR="00E56A16" w:rsidRDefault="00000000" w:rsidP="003E6BAC">
      <w:pPr>
        <w:pStyle w:val="Normal1"/>
        <w:spacing w:line="360" w:lineRule="auto"/>
      </w:pPr>
      <w:r>
        <w:t>Geocentrism aims to strike a medium ground between global and local concerns, which frequently leads to higher effectiveness in operations and flexibility. The internationalization approach that DHL chooses may change based on certain markets and business sectors. While it might use ethnocentric tactics to retain a unified brand identity, it might also use polycentrism to adjust to various local transportation and storage constraints. In many situations, DHL's geocentric strategy may provide the most adaptable and well-balanced option for its attempts to expand globally, enabling the corporation to take advantage of its worldwide network while effectively tackling regional market variances. DHL's internationalization plans ultimately depend on the rigorous and context-dependent decision to choose the most effective strategy for every market it services (</w:t>
      </w:r>
      <w:r>
        <w:rPr>
          <w:color w:val="222222"/>
          <w:sz w:val="20"/>
          <w:szCs w:val="20"/>
          <w:highlight w:val="white"/>
        </w:rPr>
        <w:t>Ruan, 2021)</w:t>
      </w:r>
      <w:r>
        <w:t>.</w:t>
      </w:r>
    </w:p>
    <w:p w14:paraId="55AC242A" w14:textId="77777777" w:rsidR="00E56A16" w:rsidRDefault="00000000" w:rsidP="003E6BAC">
      <w:pPr>
        <w:pStyle w:val="Heading1"/>
        <w:spacing w:line="360" w:lineRule="auto"/>
      </w:pPr>
      <w:bookmarkStart w:id="7" w:name="_qt057ao99ksc" w:colFirst="0" w:colLast="0"/>
      <w:bookmarkStart w:id="8" w:name="_Toc151054163"/>
      <w:bookmarkEnd w:id="7"/>
      <w:r>
        <w:lastRenderedPageBreak/>
        <w:t>DHL’s Internationalization Approach</w:t>
      </w:r>
      <w:bookmarkEnd w:id="8"/>
    </w:p>
    <w:p w14:paraId="47F44A8E" w14:textId="77777777" w:rsidR="00E56A16" w:rsidRDefault="00000000" w:rsidP="003E6BAC">
      <w:pPr>
        <w:pStyle w:val="Normal1"/>
        <w:spacing w:line="360" w:lineRule="auto"/>
      </w:pPr>
      <w:r>
        <w:t xml:space="preserve">As a supplier of worldwide logistics and rapid delivery solutions, DHL largely adopts a geocentric strategy. This strategy is distinguished by an equal point of view that takes into account both local response and globalization. </w:t>
      </w:r>
    </w:p>
    <w:p w14:paraId="01DD07A0" w14:textId="77777777" w:rsidR="00E56A16" w:rsidRDefault="00000000" w:rsidP="003E6BAC">
      <w:pPr>
        <w:pStyle w:val="Normal1"/>
        <w:spacing w:line="360" w:lineRule="auto"/>
        <w:rPr>
          <w:b/>
        </w:rPr>
      </w:pPr>
      <w:r>
        <w:rPr>
          <w:b/>
        </w:rPr>
        <w:t>Geocentric approach evidence:</w:t>
      </w:r>
    </w:p>
    <w:p w14:paraId="177A3708" w14:textId="77777777" w:rsidR="00E56A16" w:rsidRDefault="00000000" w:rsidP="003E6BAC">
      <w:pPr>
        <w:pStyle w:val="Normal1"/>
        <w:spacing w:line="360" w:lineRule="auto"/>
      </w:pPr>
      <w:r>
        <w:t>DHL's internationalisation strategy within its SBU for shipping services beyond its nation of origin, Germany, to its host country, Canada, is evidence of its proficiency on a worldwide scale. The plan of action is based on the business' geocentric approach, which strikes an equilibrium between local adaptation and internationalisation, rendering it extremely flexible to different markets, especially Canada. Recognising the distinct logistics and transportation requirements of Canada, DHL entered the Canadian market. Canada is a difficult marketplace to manage because of its huge geographic area, diversified population, and tight economic links to the US. Yet, DHL's methodology shows that it is committed to comprehending local circumstances. By making investments in a network of distribution centres, railways, and logistics hubs throughout Canada as well, the corporation has created a strong presence there. DHL can provide effective shipping solutions that meet the various requirements of Canadian companies and consumers thanks to these regional locations (</w:t>
      </w:r>
      <w:r>
        <w:rPr>
          <w:color w:val="222222"/>
          <w:sz w:val="20"/>
          <w:szCs w:val="20"/>
          <w:highlight w:val="white"/>
        </w:rPr>
        <w:t>Shao et al. 2021)</w:t>
      </w:r>
      <w:r>
        <w:t>.</w:t>
      </w:r>
    </w:p>
    <w:p w14:paraId="469DE056" w14:textId="77777777" w:rsidR="00E56A16" w:rsidRDefault="00E56A16" w:rsidP="003E6BAC">
      <w:pPr>
        <w:pStyle w:val="Normal1"/>
        <w:spacing w:line="360" w:lineRule="auto"/>
      </w:pPr>
    </w:p>
    <w:p w14:paraId="31B41717" w14:textId="77777777" w:rsidR="00E56A16" w:rsidRDefault="00000000" w:rsidP="003E6BAC">
      <w:pPr>
        <w:pStyle w:val="Normal1"/>
        <w:spacing w:line="360" w:lineRule="auto"/>
      </w:pPr>
      <w:r>
        <w:t>In Canada, DHL's geocentric strategy also entails close collaborations with regional courier firms and organisations. Through partnerships with local businesses, DHL can provide a variety of shipping options that are specifically suited to the needs of Canadian clients. This strategy fosters confidence and compassion within the host nation while also ensuring local response. DHL also understands the need to customise its shipping solutions to adhere to Canadian regulations and cultural procedures. An excellent illustration of DHL's geocentric strategy is its internationalisation plan for shipping goods from Germany to Canada, which successfully strikes a balance between local adaptability and global uniformity. The firm's investments in local alliances, facilities and compliance with laws demonstrate its dedication to comprehending and meeting the specific requirements of the Canadian marketplace. DHL's approach shows both its capacity to grow and perform in the international transport and logistics sector as well as its flexibility to adapt to a variety of host country situations (</w:t>
      </w:r>
      <w:r>
        <w:rPr>
          <w:color w:val="222222"/>
          <w:sz w:val="20"/>
          <w:szCs w:val="20"/>
          <w:highlight w:val="white"/>
        </w:rPr>
        <w:t>Ruan, 2021)</w:t>
      </w:r>
      <w:r>
        <w:t>.</w:t>
      </w:r>
    </w:p>
    <w:p w14:paraId="64E68AA5" w14:textId="77777777" w:rsidR="00E56A16" w:rsidRDefault="00E56A16" w:rsidP="003E6BAC">
      <w:pPr>
        <w:pStyle w:val="Normal1"/>
        <w:spacing w:line="360" w:lineRule="auto"/>
      </w:pPr>
    </w:p>
    <w:p w14:paraId="7B61CC1B" w14:textId="77777777" w:rsidR="00E56A16" w:rsidRDefault="00000000" w:rsidP="003E6BAC">
      <w:pPr>
        <w:pStyle w:val="Normal1"/>
        <w:spacing w:line="360" w:lineRule="auto"/>
      </w:pPr>
      <w:r>
        <w:lastRenderedPageBreak/>
        <w:t>Geocentric thinking is demonstrated by DHL's large worldwide network, which operates in over 260 nations and territories. This substantial presence reveals its dedication to world integration.</w:t>
      </w:r>
    </w:p>
    <w:p w14:paraId="71E024C9" w14:textId="77777777" w:rsidR="00E56A16" w:rsidRDefault="00000000" w:rsidP="003E6BAC">
      <w:pPr>
        <w:pStyle w:val="Normal1"/>
        <w:spacing w:line="360" w:lineRule="auto"/>
      </w:pPr>
      <w:r>
        <w:t>Due to its geocentric strategy to select the best managers and employees regardless of country, DHL has an employee pool with talent spanning many different nations.</w:t>
      </w:r>
    </w:p>
    <w:p w14:paraId="3EF03253" w14:textId="77777777" w:rsidR="00E56A16" w:rsidRDefault="00000000" w:rsidP="003E6BAC">
      <w:pPr>
        <w:pStyle w:val="Normal1"/>
        <w:spacing w:line="360" w:lineRule="auto"/>
      </w:pPr>
      <w:r>
        <w:t>DHL's services are adapted to the demands of the regional marketplace, with a focus on meeting the particular logistical and transportation requirements of different geographical areas. This demonstrates the business' dedication to local response.</w:t>
      </w:r>
    </w:p>
    <w:p w14:paraId="1FC76502" w14:textId="77777777" w:rsidR="00E56A16" w:rsidRDefault="00000000" w:rsidP="003E6BAC">
      <w:pPr>
        <w:pStyle w:val="Normal1"/>
        <w:spacing w:line="360" w:lineRule="auto"/>
      </w:pPr>
      <w:r>
        <w:t xml:space="preserve">While DHL customizes its offerings to meet regional needs, it also adheres to international norms to preserve a constant level of excellence and brand recognition in many countries. This uniform yet flexible method fits with geocentrism. In general, DHL's geocentric approach is ideally equipped to meet the numerous possibilities and problems posed by the international logistics sector. It gives the business the ability to accept internationalization, tap into local knowledge, and provide standardized yet adaptable logistics remedies, allowing it to keep an upper hand in the international marketplace. </w:t>
      </w:r>
    </w:p>
    <w:p w14:paraId="3F7AC2D0" w14:textId="77777777" w:rsidR="00E56A16" w:rsidRDefault="00E56A16" w:rsidP="003E6BAC">
      <w:pPr>
        <w:pStyle w:val="Normal1"/>
        <w:spacing w:line="360" w:lineRule="auto"/>
      </w:pPr>
    </w:p>
    <w:p w14:paraId="63906B2B" w14:textId="77777777" w:rsidR="00E56A16" w:rsidRDefault="00000000" w:rsidP="003E6BAC">
      <w:pPr>
        <w:pStyle w:val="Normal1"/>
        <w:spacing w:line="360" w:lineRule="auto"/>
        <w:rPr>
          <w:b/>
        </w:rPr>
      </w:pPr>
      <w:r>
        <w:rPr>
          <w:b/>
        </w:rPr>
        <w:t>Factors:</w:t>
      </w:r>
    </w:p>
    <w:p w14:paraId="366C4702" w14:textId="77777777" w:rsidR="00E56A16" w:rsidRDefault="00000000" w:rsidP="003E6BAC">
      <w:pPr>
        <w:pStyle w:val="Normal1"/>
        <w:spacing w:line="360" w:lineRule="auto"/>
      </w:pPr>
      <w:r>
        <w:t>The logistics sector is quite complex, with various regulatory standards and client demands in many nations. DHL can effectively adapt to its various markets thanks to its geocentric philosophy. Other multinational logistics corporations like UPS and FedEx are fierce rivals of DHL. To stand out in each area, DHL must strike a balance between local adaptability and global uniformity. The Deutsche Post DHL Group, the parent business of DHL, is based in Germany  (</w:t>
      </w:r>
      <w:r>
        <w:rPr>
          <w:color w:val="222222"/>
          <w:sz w:val="20"/>
          <w:szCs w:val="20"/>
          <w:highlight w:val="white"/>
        </w:rPr>
        <w:t>Wamba and Queiroz, 2020)</w:t>
      </w:r>
      <w:r>
        <w:t xml:space="preserve">. It does, however, understand the value of cross-border integration and makes use of its worldwide network to offer seamless logistical services. This bolsters its geocentric viewpoint.  Clients frequently request specialized services in the logistics sector to match their unique demands. DHL can successfully address these expectations while retaining a strong worldwide reputation because of its geocentric strategy. In the transportation and storage sector, following local laws is essential. DHL can collaborate closely with regional leaders and adjust to modifications in regulations thanks to its geocentric strategy without sacrificing international requirements. DHL's success in the fiercely competitive and rapidly evolving logistics sector is largely a result of its geocentric internationalization approach. It aims to strike a balance between </w:t>
      </w:r>
      <w:r>
        <w:lastRenderedPageBreak/>
        <w:t>global uniformity and local adaptability while acknowledging the complexity and diversity of global marketplaces (</w:t>
      </w:r>
      <w:r>
        <w:rPr>
          <w:color w:val="222222"/>
          <w:sz w:val="20"/>
          <w:szCs w:val="20"/>
          <w:highlight w:val="white"/>
        </w:rPr>
        <w:t>Wamba and Queiroz, 2020)</w:t>
      </w:r>
      <w:r>
        <w:t>.</w:t>
      </w:r>
    </w:p>
    <w:p w14:paraId="72ECF143" w14:textId="77777777" w:rsidR="00E56A16" w:rsidRDefault="00000000" w:rsidP="003E6BAC">
      <w:pPr>
        <w:pStyle w:val="Normal1"/>
        <w:spacing w:line="360" w:lineRule="auto"/>
      </w:pPr>
      <w:r>
        <w:t>DHL's geocentric strategy is affected by several elements, particularly the intrinsic variety of the global logistics industry. Every nation has its problems and possibilities, thus DHL must modify its offerings to fit the demands of the local market. Additionally, the varied demands of clients in the logistics industry sometimes call for tailored solutions. Due to DHL's geographically focused strategy, it can efficiently address these expectations, which improves client satisfaction and retention. The logistics sector also places a high priority on complying with regulations. Local laws and criteria might differ greatly from one nation to the next. Due to its geocentric approach, DHL can collaborate directly with municipalities, handle complicated legislative situations, and alter course when necessary without sacrificing its global norms and practices.</w:t>
      </w:r>
    </w:p>
    <w:p w14:paraId="06F099DE" w14:textId="77777777" w:rsidR="00E56A16" w:rsidRDefault="00000000" w:rsidP="003E6BAC">
      <w:pPr>
        <w:pStyle w:val="Normal1"/>
        <w:spacing w:line="360" w:lineRule="auto"/>
      </w:pPr>
      <w:r>
        <w:t>Additionally, DHL competes with competitors like UPS &amp; FedEx on a worldwide level, operating in an extremely competitive field. The geocentric strategy enables DHL to stand out by providing a blend of global requirements and local adjustments, allowing it to cater to particular regions while retaining a strong worldwide brand presence.</w:t>
      </w:r>
    </w:p>
    <w:p w14:paraId="574B9D4F" w14:textId="77777777" w:rsidR="00E56A16" w:rsidRDefault="00000000" w:rsidP="003E6BAC">
      <w:pPr>
        <w:pStyle w:val="Heading1"/>
        <w:spacing w:line="360" w:lineRule="auto"/>
      </w:pPr>
      <w:bookmarkStart w:id="9" w:name="_vqvhoa3l0ly2" w:colFirst="0" w:colLast="0"/>
      <w:bookmarkStart w:id="10" w:name="_Toc151054164"/>
      <w:bookmarkEnd w:id="9"/>
      <w:r>
        <w:t>VUCA Analysis of DHL</w:t>
      </w:r>
      <w:bookmarkEnd w:id="10"/>
    </w:p>
    <w:p w14:paraId="0ADEBA5E" w14:textId="77777777" w:rsidR="00E56A16" w:rsidRDefault="00000000" w:rsidP="003E6BAC">
      <w:pPr>
        <w:pStyle w:val="Normal1"/>
        <w:spacing w:line="360" w:lineRule="auto"/>
      </w:pPr>
      <w:r>
        <w:t>Due to the worldwide nature of the transportation and expedited shipping industries, DHL functions in an extremely VUCA (Volatility, Uncertainty, Complexity &amp; Ambiguity) setting. To preserve its edge over others and guarantee the efficient operation of its international operations, the firm must constantly manage and adjust to these hurdles.</w:t>
      </w:r>
    </w:p>
    <w:p w14:paraId="1DA05362" w14:textId="77777777" w:rsidR="00E56A16" w:rsidRDefault="00000000" w:rsidP="003E6BAC">
      <w:pPr>
        <w:pStyle w:val="Normal1"/>
        <w:spacing w:line="360" w:lineRule="auto"/>
        <w:jc w:val="center"/>
      </w:pPr>
      <w:r>
        <w:rPr>
          <w:noProof/>
        </w:rPr>
        <w:lastRenderedPageBreak/>
        <w:drawing>
          <wp:inline distT="114300" distB="114300" distL="114300" distR="114300" wp14:anchorId="52CF6C62" wp14:editId="7A7DCDD4">
            <wp:extent cx="3881438" cy="3128787"/>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9"/>
                    <a:stretch>
                      <a:fillRect/>
                    </a:stretch>
                  </pic:blipFill>
                  <pic:spPr>
                    <a:xfrm>
                      <a:off x="0" y="0"/>
                      <a:ext cx="3881438" cy="3128787"/>
                    </a:xfrm>
                    <a:prstGeom prst="rect">
                      <a:avLst/>
                    </a:prstGeom>
                  </pic:spPr>
                </pic:pic>
              </a:graphicData>
            </a:graphic>
          </wp:inline>
        </w:drawing>
      </w:r>
    </w:p>
    <w:p w14:paraId="2AABA906" w14:textId="77777777" w:rsidR="00E56A16" w:rsidRDefault="00000000" w:rsidP="003E6BAC">
      <w:pPr>
        <w:pStyle w:val="Normal1"/>
        <w:spacing w:line="360" w:lineRule="auto"/>
        <w:jc w:val="center"/>
        <w:rPr>
          <w:b/>
        </w:rPr>
      </w:pPr>
      <w:r>
        <w:rPr>
          <w:b/>
        </w:rPr>
        <w:t>Figure 2: VUCA analysis</w:t>
      </w:r>
    </w:p>
    <w:p w14:paraId="16801D87" w14:textId="77777777" w:rsidR="00E56A16" w:rsidRDefault="00000000" w:rsidP="003E6BAC">
      <w:pPr>
        <w:pStyle w:val="Normal1"/>
        <w:spacing w:line="360" w:lineRule="auto"/>
        <w:jc w:val="center"/>
      </w:pPr>
      <w:r>
        <w:t>(Source:</w:t>
      </w:r>
      <w:r>
        <w:rPr>
          <w:color w:val="222222"/>
          <w:sz w:val="20"/>
          <w:szCs w:val="20"/>
          <w:highlight w:val="white"/>
        </w:rPr>
        <w:t xml:space="preserve"> Craighead et al. 2020</w:t>
      </w:r>
      <w:r>
        <w:t>)</w:t>
      </w:r>
    </w:p>
    <w:p w14:paraId="4BF98F6C" w14:textId="77777777" w:rsidR="00E56A16" w:rsidRDefault="00000000" w:rsidP="003E6BAC">
      <w:pPr>
        <w:pStyle w:val="Normal1"/>
        <w:spacing w:line="360" w:lineRule="auto"/>
      </w:pPr>
      <w:r>
        <w:rPr>
          <w:b/>
        </w:rPr>
        <w:t>Volatility</w:t>
      </w:r>
      <w:r>
        <w:t xml:space="preserve">: </w:t>
      </w:r>
    </w:p>
    <w:p w14:paraId="3FFFF1BC" w14:textId="77777777" w:rsidR="00E56A16" w:rsidRDefault="00000000" w:rsidP="003E6BAC">
      <w:pPr>
        <w:pStyle w:val="Normal1"/>
        <w:spacing w:line="360" w:lineRule="auto"/>
      </w:pPr>
      <w:r>
        <w:t xml:space="preserve">Impact: Demand from the market, fuel costs, international events (such as emergencies and financial disasters), and new technology all have a quick impact on the logistics sector. </w:t>
      </w:r>
    </w:p>
    <w:p w14:paraId="58E9886C" w14:textId="77777777" w:rsidR="00E56A16" w:rsidRDefault="00000000" w:rsidP="003E6BAC">
      <w:pPr>
        <w:pStyle w:val="Normal1"/>
        <w:spacing w:line="360" w:lineRule="auto"/>
      </w:pPr>
      <w:r>
        <w:t>Due to the worldwide nature of the transportation and expedited shipping industries, DHL functions in an extremely VUCA setting. To preserve its edge over others and guarantee the efficient operation of its international operations, the firm must constantly manage and adjust to these hurdles. To control market volatility, DHL has effective risk management procedures in place. It keeps an eye on geopolitical developments, fuel price swings, and economic trends to prepare for any shifts that might affect how it does business (</w:t>
      </w:r>
      <w:r>
        <w:rPr>
          <w:color w:val="222222"/>
          <w:sz w:val="20"/>
          <w:szCs w:val="20"/>
          <w:highlight w:val="white"/>
        </w:rPr>
        <w:t>Altman and Bastian, 2019)</w:t>
      </w:r>
      <w:r>
        <w:t>.</w:t>
      </w:r>
    </w:p>
    <w:p w14:paraId="122369E2" w14:textId="77777777" w:rsidR="00E56A16" w:rsidRDefault="00000000" w:rsidP="003E6BAC">
      <w:pPr>
        <w:pStyle w:val="Normal1"/>
        <w:spacing w:line="360" w:lineRule="auto"/>
      </w:pPr>
      <w:r>
        <w:t>DHL uses variable pricing techniques that enable it to modify shipping costs in response to market circumstances. With such versatility, even in uncertain financial markets, the business may continue to operate profitably and satisfy client requests. To stay current with market developments, DHL makes investments in cutting-edge technology like real-time monitoring and data analytics. These tools provide the business with the ability to plan routes more efficiently, anticipate problems, and make data-driven choices (</w:t>
      </w:r>
      <w:r>
        <w:rPr>
          <w:color w:val="222222"/>
          <w:sz w:val="20"/>
          <w:szCs w:val="20"/>
          <w:highlight w:val="white"/>
        </w:rPr>
        <w:t>Altman and Bastian, 2020)</w:t>
      </w:r>
      <w:r>
        <w:t xml:space="preserve">. DHL places a strong emphasis on creating robust supply networks that can survive interruptions. Transportation diversification and contingency planning lessen the adverse effects of volatility on the </w:t>
      </w:r>
      <w:r>
        <w:lastRenderedPageBreak/>
        <w:t>transportation system. DHL takes a proactive approach to addressing recent developments and new technology. To keep ahead of possible interruptions and take advantage of new possibilities, it constantly analyzes geopolitical developments and technological improvements.</w:t>
      </w:r>
    </w:p>
    <w:p w14:paraId="73A1C3FD" w14:textId="77777777" w:rsidR="00E56A16" w:rsidRDefault="00000000" w:rsidP="003E6BAC">
      <w:pPr>
        <w:pStyle w:val="Normal1"/>
        <w:spacing w:line="360" w:lineRule="auto"/>
      </w:pPr>
      <w:r>
        <w:t>For DHL, volatility offers both possibilities and problems. Because of its versatility and dedication to using technological advances, risk mitigation, and robust supply chains to maintain uninterrupted operations and client fulfilment in a constantly shifting worldwide transportation scene, the firm has been able to traverse this turbulence.</w:t>
      </w:r>
    </w:p>
    <w:p w14:paraId="1FE8A64A" w14:textId="77777777" w:rsidR="00E56A16" w:rsidRDefault="00E56A16" w:rsidP="003E6BAC">
      <w:pPr>
        <w:pStyle w:val="Normal1"/>
        <w:spacing w:line="360" w:lineRule="auto"/>
      </w:pPr>
    </w:p>
    <w:p w14:paraId="3B403595" w14:textId="77777777" w:rsidR="00E56A16" w:rsidRDefault="00000000" w:rsidP="003E6BAC">
      <w:pPr>
        <w:pStyle w:val="Normal1"/>
        <w:spacing w:line="360" w:lineRule="auto"/>
        <w:rPr>
          <w:b/>
        </w:rPr>
      </w:pPr>
      <w:r>
        <w:rPr>
          <w:b/>
        </w:rPr>
        <w:t>Uncertainty:</w:t>
      </w:r>
    </w:p>
    <w:p w14:paraId="295460A9" w14:textId="77777777" w:rsidR="00E56A16" w:rsidRDefault="00000000" w:rsidP="003E6BAC">
      <w:pPr>
        <w:pStyle w:val="Normal1"/>
        <w:spacing w:line="360" w:lineRule="auto"/>
      </w:pPr>
      <w:r>
        <w:t>Impact: Demand from the market, fuel costs, international events (such as emergencies and financial disasters), and new technology all have a quick impact on the logistics sector. To deal with uncertainty, DHL fosters an innovative and adaptable culture. To foresee effects on supply chain activities, it closely monitors political developments like trade conflicts and modifications to immigration legislation. DHL is able to keep ahead of any interruptions because of its proactive approach. Considering the extremely rapidly changing and erratic character of the sector, uncertainty is a crucial element that adversely impacts DHL, a worldwide transportation and expedited shipping organisation (</w:t>
      </w:r>
      <w:r>
        <w:rPr>
          <w:color w:val="222222"/>
          <w:sz w:val="20"/>
          <w:szCs w:val="20"/>
          <w:highlight w:val="white"/>
        </w:rPr>
        <w:t>Craighead et al. 2020)</w:t>
      </w:r>
      <w:r>
        <w:t>. Uncertainty is the absence of unpredictability and visibility in a variety of business-related factors, such as regulatory adjustments, changes in consumer behaviour, and unexpected geopolitical occurrences. The logistics sector is governed by an extensive number of laws, including national variations in safety, commerce, and customs laws. Governments frequently alter these laws, and the imposition of such legislation may put DHL in a very difficult position. It's crucial to adhere to these modifications and comprehend how they affect logistical operations. The preferences and actions of customers change over time. Modern technology, market movements, and shifting economic situations all have an impact on customer expectations. DHL must be ready to respond to changes in customer tastes and modify its services to satisfy shifting needs. It might be difficult to predict what clients will desire in the years to come (</w:t>
      </w:r>
      <w:r>
        <w:rPr>
          <w:color w:val="222222"/>
          <w:sz w:val="20"/>
          <w:szCs w:val="20"/>
          <w:highlight w:val="white"/>
        </w:rPr>
        <w:t>Shao et al. 2019)</w:t>
      </w:r>
      <w:r>
        <w:t>. International transport operations may be impacted by political unrest and trade conflicts. Global political unpredictability can result in adjustments to trade contracts, taxes, and limitations on borders, thus it is crucial for DHL to regularly watch developments in geopolitics which can have an impact on its business.</w:t>
      </w:r>
    </w:p>
    <w:p w14:paraId="250CEA78" w14:textId="77777777" w:rsidR="00E56A16" w:rsidRDefault="00E56A16" w:rsidP="003E6BAC">
      <w:pPr>
        <w:pStyle w:val="Normal1"/>
        <w:spacing w:line="360" w:lineRule="auto"/>
        <w:rPr>
          <w:b/>
        </w:rPr>
      </w:pPr>
    </w:p>
    <w:p w14:paraId="7B8BC479" w14:textId="77777777" w:rsidR="00E56A16" w:rsidRDefault="00000000" w:rsidP="003E6BAC">
      <w:pPr>
        <w:pStyle w:val="Normal1"/>
        <w:spacing w:line="360" w:lineRule="auto"/>
      </w:pPr>
      <w:r>
        <w:rPr>
          <w:b/>
        </w:rPr>
        <w:lastRenderedPageBreak/>
        <w:t>Complacency:</w:t>
      </w:r>
    </w:p>
    <w:p w14:paraId="3BFD4FB7" w14:textId="77777777" w:rsidR="00E56A16" w:rsidRDefault="00000000" w:rsidP="003E6BAC">
      <w:pPr>
        <w:pStyle w:val="Normal1"/>
        <w:spacing w:line="360" w:lineRule="auto"/>
      </w:pPr>
      <w:r>
        <w:t>With extensive supply networks, multiple players, and complicated customs and regulatory regulations in several nations, the transportation industry is intrinsically complicated.</w:t>
      </w:r>
    </w:p>
    <w:p w14:paraId="7FE7FFC2" w14:textId="77777777" w:rsidR="00E56A16" w:rsidRDefault="00000000" w:rsidP="003E6BAC">
      <w:pPr>
        <w:pStyle w:val="Normal1"/>
        <w:spacing w:line="360" w:lineRule="auto"/>
      </w:pPr>
      <w:r>
        <w:t>DHL's Reaction: Despite adjusting to local complexity, DHL's worldwide reach needs a high degree of cooperation and standardization. The business makes investments in digitization and technology to simplify processes and guarantee adherence to local laws, making the complex logistical situation a bit easier to handle. Handling VUCA difficulties: DHL uses a variety of tactics and skills to overcome VUCA difficulties. DHL makes major investments in digitization and technology to simplify company processes and increase efficiency. For instance, Internet of Things (IoT) sensors and equipment can monitor and track deliveries in real time, giving shippers greater insight and management. DHL upholds international norms and practices while taking into account regional customs and interests. The organisation can streamline processes and guarantee continuity in customer service thanks to this harmony between standardisation and flexibility (</w:t>
      </w:r>
      <w:r>
        <w:rPr>
          <w:color w:val="222222"/>
          <w:sz w:val="20"/>
          <w:szCs w:val="20"/>
          <w:highlight w:val="white"/>
        </w:rPr>
        <w:t>Attaran, 2020)</w:t>
      </w:r>
      <w:r>
        <w:t>.</w:t>
      </w:r>
    </w:p>
    <w:p w14:paraId="024BC558" w14:textId="77777777" w:rsidR="00E56A16" w:rsidRDefault="00E56A16" w:rsidP="003E6BAC">
      <w:pPr>
        <w:pStyle w:val="Normal1"/>
        <w:spacing w:line="360" w:lineRule="auto"/>
      </w:pPr>
    </w:p>
    <w:p w14:paraId="2FDE6ADB" w14:textId="77777777" w:rsidR="00E56A16" w:rsidRDefault="00000000" w:rsidP="003E6BAC">
      <w:pPr>
        <w:pStyle w:val="Normal1"/>
        <w:spacing w:line="360" w:lineRule="auto"/>
        <w:rPr>
          <w:b/>
        </w:rPr>
      </w:pPr>
      <w:r>
        <w:rPr>
          <w:b/>
        </w:rPr>
        <w:t xml:space="preserve">Ambiguity: </w:t>
      </w:r>
    </w:p>
    <w:p w14:paraId="02B61BA5" w14:textId="77777777" w:rsidR="00E56A16" w:rsidRDefault="00000000" w:rsidP="003E6BAC">
      <w:pPr>
        <w:pStyle w:val="Normal1"/>
        <w:spacing w:line="360" w:lineRule="auto"/>
      </w:pPr>
      <w:r>
        <w:t xml:space="preserve">DHL's geocentric strategy enables it to strike a balance between local adaptability and internationalization. It allows the business to function effectively in many areas while upholding international norms. DHL consistently makes investments in advances in technology and creativity to improve openness, clear up confusion, and expedite business processes. It includes robotic warehouse infrastructure, IoT gadgets for real-time monitoring, data analysis and artificial intelligence for decision-making. </w:t>
      </w:r>
    </w:p>
    <w:p w14:paraId="1F4F4962" w14:textId="77777777" w:rsidR="00E56A16" w:rsidRDefault="00E56A16" w:rsidP="003E6BAC">
      <w:pPr>
        <w:pStyle w:val="Normal1"/>
        <w:spacing w:line="360" w:lineRule="auto"/>
      </w:pPr>
    </w:p>
    <w:p w14:paraId="3FBEF02C" w14:textId="77777777" w:rsidR="00E56A16" w:rsidRDefault="00000000" w:rsidP="003E6BAC">
      <w:pPr>
        <w:pStyle w:val="Normal1"/>
        <w:spacing w:line="360" w:lineRule="auto"/>
        <w:rPr>
          <w:b/>
        </w:rPr>
      </w:pPr>
      <w:r>
        <w:rPr>
          <w:b/>
        </w:rPr>
        <w:t>Navigating VUCA challenges:</w:t>
      </w:r>
    </w:p>
    <w:p w14:paraId="1B10A1FA" w14:textId="77777777" w:rsidR="00E56A16" w:rsidRDefault="00000000" w:rsidP="003E6BAC">
      <w:pPr>
        <w:pStyle w:val="Normal1"/>
        <w:spacing w:line="360" w:lineRule="auto"/>
      </w:pPr>
      <w:r>
        <w:t xml:space="preserve">To foresee and minimize any downtime, DHL takes a preventive approach to risk administration by routinely analyzing worldwide occurrences &amp; market trends. </w:t>
      </w:r>
    </w:p>
    <w:p w14:paraId="6822AD10" w14:textId="77777777" w:rsidR="00E56A16" w:rsidRDefault="00000000" w:rsidP="003E6BAC">
      <w:pPr>
        <w:pStyle w:val="Normal1"/>
        <w:spacing w:line="360" w:lineRule="auto"/>
      </w:pPr>
      <w:r>
        <w:t>Building robust supply chains which can survive interruptions is a key emphasis for DHL. This entails creating backup plans for major logistical activities, diversifying the transportation network, and assuring resilience. Due to DHL's focus on the needs of its clients, it can stay adaptable and receptive to changing client needs, lowering uncertainty and raising satisfaction among clients.</w:t>
      </w:r>
    </w:p>
    <w:p w14:paraId="15563653" w14:textId="77777777" w:rsidR="00E56A16" w:rsidRDefault="00000000" w:rsidP="003E6BAC">
      <w:pPr>
        <w:pStyle w:val="Normal1"/>
        <w:spacing w:line="360" w:lineRule="auto"/>
      </w:pPr>
      <w:r>
        <w:rPr>
          <w:b/>
          <w:i/>
        </w:rPr>
        <w:lastRenderedPageBreak/>
        <w:t>Strategy Initiatives</w:t>
      </w:r>
      <w:r>
        <w:t>: To address VUCA concerns, DHL has developed several long-term plans and proactive methods.</w:t>
      </w:r>
    </w:p>
    <w:p w14:paraId="276EDD21" w14:textId="77777777" w:rsidR="00E56A16" w:rsidRDefault="00000000" w:rsidP="003E6BAC">
      <w:pPr>
        <w:pStyle w:val="Normal1"/>
        <w:spacing w:line="360" w:lineRule="auto"/>
      </w:pPr>
      <w:r>
        <w:t>To gain insight into new trends, client demands, and possible changes, DHL carries out significant research on the market. This data enables the business to make wise choices and modify its offerings as necessary. DHL concentrates on creating robust supply chains. It also entails broadening transport channels to lessen reliance on one mode for travel and maintaining backup in crucial logistical processes to prevent downtime in the event of unanticipated incidents (</w:t>
      </w:r>
      <w:r>
        <w:rPr>
          <w:color w:val="222222"/>
          <w:sz w:val="20"/>
          <w:szCs w:val="20"/>
          <w:highlight w:val="white"/>
        </w:rPr>
        <w:t>Baliyan et al. 2022)</w:t>
      </w:r>
      <w:r>
        <w:t>.</w:t>
      </w:r>
    </w:p>
    <w:p w14:paraId="6325FFB2" w14:textId="77777777" w:rsidR="00E56A16" w:rsidRDefault="00000000" w:rsidP="003E6BAC">
      <w:pPr>
        <w:pStyle w:val="Normal1"/>
        <w:spacing w:line="360" w:lineRule="auto"/>
      </w:pPr>
      <w:r>
        <w:t>Due to its broad worldwide network, DHL has the benefit of being flexible and adaptable. DHL can swiftly adapt to market developments and interruptions by utilizing local infrastructure and experience because it operates in more than 260 nations and regions.</w:t>
      </w:r>
    </w:p>
    <w:p w14:paraId="43CF3F28" w14:textId="77777777" w:rsidR="00E56A16" w:rsidRDefault="00E56A16" w:rsidP="003E6BAC">
      <w:pPr>
        <w:pStyle w:val="Normal1"/>
        <w:spacing w:line="360" w:lineRule="auto"/>
      </w:pPr>
    </w:p>
    <w:p w14:paraId="00B6C62A" w14:textId="77777777" w:rsidR="00E56A16" w:rsidRDefault="00000000" w:rsidP="003E6BAC">
      <w:pPr>
        <w:pStyle w:val="Normal1"/>
        <w:spacing w:line="360" w:lineRule="auto"/>
      </w:pPr>
      <w:r>
        <w:rPr>
          <w:b/>
          <w:i/>
        </w:rPr>
        <w:t xml:space="preserve">Technological Investments: </w:t>
      </w:r>
      <w:r>
        <w:t>DHL makes regular investments in advances in technology and creativity to improve processes, increase openness, and remove uncertainty. For example, DHL uses IoT devices to track deliveries in real-time. By tracking the movement and condition of shipments, the business is able to give consumers and DHL's operating teams precise, up-to-date information. DHL uses analysis of information and machine learning to arrive at data-driven choices. This involves forecasting supply chain problems, optimizing paths, and finding ways to cut costs. Automation storage systems increase productivity and decrease reliance on labor. These technologies make it possible to deliver orders more quickly, precisely, and with better control over inventories (</w:t>
      </w:r>
      <w:r>
        <w:rPr>
          <w:color w:val="222222"/>
          <w:sz w:val="20"/>
          <w:szCs w:val="20"/>
          <w:highlight w:val="white"/>
        </w:rPr>
        <w:t>Attaran, 2020)</w:t>
      </w:r>
      <w:r>
        <w:t>.</w:t>
      </w:r>
    </w:p>
    <w:p w14:paraId="7EDCEA8F" w14:textId="77777777" w:rsidR="00E56A16" w:rsidRDefault="00E56A16" w:rsidP="003E6BAC">
      <w:pPr>
        <w:pStyle w:val="Normal1"/>
        <w:spacing w:line="360" w:lineRule="auto"/>
      </w:pPr>
    </w:p>
    <w:p w14:paraId="7C1F5DB8" w14:textId="77777777" w:rsidR="00E56A16" w:rsidRDefault="00000000" w:rsidP="003E6BAC">
      <w:pPr>
        <w:pStyle w:val="Normal1"/>
        <w:spacing w:line="360" w:lineRule="auto"/>
      </w:pPr>
      <w:r>
        <w:rPr>
          <w:b/>
          <w:i/>
        </w:rPr>
        <w:t xml:space="preserve">Risk Management: </w:t>
      </w:r>
      <w:r>
        <w:t>DHL takes a proactive posture to follow political developments, financial upheavals, and changes in regulation globally. DHL's security measures are vital for managing turbulence and unpredictability. This enables the business to plan for probable effects on the supply chain and predict them. DHL creates backup plans for various contingencies so that the company can respond quickly to interruptions. These strategies can entail moving crucial assets, engaging backup supplies, and rerouting deliveries (</w:t>
      </w:r>
      <w:r>
        <w:rPr>
          <w:color w:val="222222"/>
          <w:sz w:val="20"/>
          <w:szCs w:val="20"/>
          <w:highlight w:val="white"/>
        </w:rPr>
        <w:t>Altman and Bastian, 2020)</w:t>
      </w:r>
      <w:r>
        <w:t>.</w:t>
      </w:r>
    </w:p>
    <w:p w14:paraId="5A5B4544" w14:textId="77777777" w:rsidR="00E56A16" w:rsidRDefault="00E56A16" w:rsidP="003E6BAC">
      <w:pPr>
        <w:pStyle w:val="Normal1"/>
        <w:spacing w:line="360" w:lineRule="auto"/>
      </w:pPr>
    </w:p>
    <w:p w14:paraId="7A7D316B" w14:textId="77777777" w:rsidR="00E56A16" w:rsidRDefault="00000000" w:rsidP="003E6BAC">
      <w:pPr>
        <w:pStyle w:val="Normal1"/>
        <w:spacing w:line="360" w:lineRule="auto"/>
      </w:pPr>
      <w:r>
        <w:rPr>
          <w:b/>
          <w:i/>
        </w:rPr>
        <w:t>Client-Centric Method:</w:t>
      </w:r>
      <w:r>
        <w:t xml:space="preserve"> DHL has an intense client focus that improves its capacity to respond to changing client expectations and lessens uncertainty. DHL works directly with clients in order to </w:t>
      </w:r>
      <w:r>
        <w:lastRenderedPageBreak/>
        <w:t>provide customized services. It keeps an open mind to criticism, allowing it to modify its offerings to suit changing client demands and tastes.</w:t>
      </w:r>
    </w:p>
    <w:p w14:paraId="2FDDCF68" w14:textId="77777777" w:rsidR="00E56A16" w:rsidRDefault="00000000" w:rsidP="003E6BAC">
      <w:pPr>
        <w:pStyle w:val="Normal1"/>
        <w:spacing w:line="360" w:lineRule="auto"/>
      </w:pPr>
      <w:r>
        <w:t xml:space="preserve"> DHL keeps lines of contact open with its clients and gives customers real-time updates on the progress of their deliveries. For both DHL's personnel and its clients, this openness fosters confidence and eliminates uncertainty. </w:t>
      </w:r>
    </w:p>
    <w:p w14:paraId="6B6A943B" w14:textId="77777777" w:rsidR="00E56A16" w:rsidRDefault="00000000" w:rsidP="003E6BAC">
      <w:pPr>
        <w:pStyle w:val="Heading1"/>
        <w:spacing w:line="360" w:lineRule="auto"/>
      </w:pPr>
      <w:bookmarkStart w:id="11" w:name="_h9hbd6s5i8y" w:colFirst="0" w:colLast="0"/>
      <w:bookmarkStart w:id="12" w:name="_Toc151054165"/>
      <w:bookmarkEnd w:id="11"/>
      <w:r>
        <w:t>Contextual factors and internationalisation strategy integration: Adaptation of the VUCA analysis to DHL's planned internationalisation strategy</w:t>
      </w:r>
      <w:bookmarkEnd w:id="12"/>
    </w:p>
    <w:p w14:paraId="72C59843" w14:textId="77777777" w:rsidR="00E56A16" w:rsidRDefault="00E56A16" w:rsidP="003E6BAC">
      <w:pPr>
        <w:pStyle w:val="Normal1"/>
        <w:spacing w:line="360" w:lineRule="auto"/>
      </w:pPr>
    </w:p>
    <w:p w14:paraId="216F33DC" w14:textId="77777777" w:rsidR="00E56A16" w:rsidRDefault="00000000" w:rsidP="003E6BAC">
      <w:pPr>
        <w:pStyle w:val="Normal1"/>
        <w:spacing w:line="360" w:lineRule="auto"/>
      </w:pPr>
      <w:r>
        <w:t xml:space="preserve">Understanding how the firm's strategy has been impacted and affected by the issues given by VUCA analysis and the integration of contextual elements from the VUCA study with the UPS selected geocentric internationalization plan offers valuable insights. </w:t>
      </w:r>
    </w:p>
    <w:p w14:paraId="42253997" w14:textId="77777777" w:rsidR="00E56A16" w:rsidRDefault="00E56A16" w:rsidP="003E6BAC">
      <w:pPr>
        <w:pStyle w:val="Normal1"/>
        <w:spacing w:line="360" w:lineRule="auto"/>
      </w:pPr>
    </w:p>
    <w:p w14:paraId="291F3850" w14:textId="77777777" w:rsidR="00E56A16" w:rsidRDefault="00000000" w:rsidP="003E6BAC">
      <w:pPr>
        <w:pStyle w:val="Normal1"/>
        <w:spacing w:line="360" w:lineRule="auto"/>
      </w:pPr>
      <w:r>
        <w:rPr>
          <w:b/>
        </w:rPr>
        <w:t>Volatility</w:t>
      </w:r>
      <w:r>
        <w:t>: DHL needs to have an adaptable and flexible internationalisation plan due to the sector's volatility, which is caused by changes in the marketplace, world events, and economic downturns. DHL's geographically focused strategy enables the flexibility needed to adapt to quick changes. The firm is able to quickly respond to market turbulence because it achieves a balance among global norms and local adjustments.</w:t>
      </w:r>
    </w:p>
    <w:p w14:paraId="2DC02277" w14:textId="77777777" w:rsidR="00E56A16" w:rsidRDefault="00000000" w:rsidP="003E6BAC">
      <w:pPr>
        <w:pStyle w:val="Normal1"/>
        <w:spacing w:line="360" w:lineRule="auto"/>
      </w:pPr>
      <w:r>
        <w:t>For example, DHL's continuous surveillance and information analytics systems assist the business in monitoring and reacting to unexpected market occurrences, fuel price changes, and market adjustments. This technical expenditure is a crucial component of DHL's geocentric approach and enables it to continue operating efficiently and satisfy customers even under challenging circumstances.</w:t>
      </w:r>
    </w:p>
    <w:p w14:paraId="3EF6FB0F" w14:textId="77777777" w:rsidR="00E56A16" w:rsidRDefault="00E56A16" w:rsidP="003E6BAC">
      <w:pPr>
        <w:pStyle w:val="Normal1"/>
        <w:spacing w:line="360" w:lineRule="auto"/>
      </w:pPr>
    </w:p>
    <w:p w14:paraId="240A4166" w14:textId="77777777" w:rsidR="00E56A16" w:rsidRDefault="00000000" w:rsidP="003E6BAC">
      <w:pPr>
        <w:pStyle w:val="Normal1"/>
        <w:spacing w:line="360" w:lineRule="auto"/>
      </w:pPr>
      <w:r>
        <w:rPr>
          <w:b/>
        </w:rPr>
        <w:t>Uncertainty:</w:t>
      </w:r>
      <w:r>
        <w:t xml:space="preserve"> Unexpected occurrences including legislative modifications, alterations in consumer behavior, and international events might cause worry. DHL's geocentric strategy succeeds in this setting by promoting an upbeat attitude. The plan is created to track developments and foresee them, to make sure the business is ready to deal with inevitability.</w:t>
      </w:r>
    </w:p>
    <w:p w14:paraId="387B9C74" w14:textId="77777777" w:rsidR="00E56A16" w:rsidRDefault="00000000" w:rsidP="003E6BAC">
      <w:pPr>
        <w:pStyle w:val="Normal1"/>
        <w:spacing w:line="360" w:lineRule="auto"/>
      </w:pPr>
      <w:r>
        <w:t xml:space="preserve">DHL uses its global presence to closely monitor developments in geography and regulatory shifts in order to anticipate any downtime. The organisation is better able to handle changes in customer </w:t>
      </w:r>
      <w:r>
        <w:lastRenderedPageBreak/>
        <w:t>demands and behaviour while guaranteeing compliance with regulations by having presence in several nations as well as comprehending their unique situations (</w:t>
      </w:r>
      <w:r>
        <w:rPr>
          <w:color w:val="222222"/>
          <w:sz w:val="20"/>
          <w:szCs w:val="20"/>
          <w:highlight w:val="white"/>
        </w:rPr>
        <w:t>DeWeerdt et al. 2022)</w:t>
      </w:r>
      <w:r>
        <w:t>.</w:t>
      </w:r>
    </w:p>
    <w:p w14:paraId="792DE308" w14:textId="77777777" w:rsidR="00E56A16" w:rsidRDefault="00E56A16" w:rsidP="003E6BAC">
      <w:pPr>
        <w:pStyle w:val="Normal1"/>
        <w:spacing w:line="360" w:lineRule="auto"/>
      </w:pPr>
    </w:p>
    <w:p w14:paraId="706BA263" w14:textId="77777777" w:rsidR="00E56A16" w:rsidRDefault="00000000" w:rsidP="003E6BAC">
      <w:pPr>
        <w:pStyle w:val="Normal1"/>
        <w:spacing w:line="360" w:lineRule="auto"/>
      </w:pPr>
      <w:r>
        <w:rPr>
          <w:b/>
        </w:rPr>
        <w:t>Complexity</w:t>
      </w:r>
      <w:r>
        <w:t xml:space="preserve">: Due to extensive supply networks, many interested parties, and complex immigration and regulation regulations in a number of nations, the logistics industry is inherently complex. In addition to appreciating the advantages of synchronization and standardization while adjusting to local idiosyncrasies, DHL's heliocentric approach recognises this level of detail. To simplify its processes, the corporation makes major investments in technology and digitization. This involves using robotics, AI as well as Internet of Things (IoT) devices to streamline procedures, lessen the involved nature of supply shackles, and guarantee adherence to regional laws. </w:t>
      </w:r>
    </w:p>
    <w:p w14:paraId="6C41B329" w14:textId="77777777" w:rsidR="00E56A16" w:rsidRDefault="00000000" w:rsidP="003E6BAC">
      <w:pPr>
        <w:pStyle w:val="Normal1"/>
        <w:spacing w:line="360" w:lineRule="auto"/>
      </w:pPr>
      <w:r>
        <w:rPr>
          <w:b/>
        </w:rPr>
        <w:t xml:space="preserve">Ambiguity: </w:t>
      </w:r>
      <w:r>
        <w:t>Ambiguity is frequently caused by a lack of understanding in new technology and upcoming developments. With a dedication to development and a concentration on cutting-edge technology, DHL's geocentric strategy eliminates uncertainty. DHL avoids unpredictability by actively adopting technology like driverless transporters, unmanned aircraft, or cryptocurrencies by putting themselves in the cutting edge of sector development.</w:t>
      </w:r>
    </w:p>
    <w:p w14:paraId="2F832E32" w14:textId="77777777" w:rsidR="00E56A16" w:rsidRDefault="00E56A16" w:rsidP="003E6BAC">
      <w:pPr>
        <w:pStyle w:val="Normal1"/>
        <w:spacing w:line="360" w:lineRule="auto"/>
      </w:pPr>
    </w:p>
    <w:p w14:paraId="56900935" w14:textId="77777777" w:rsidR="00E56A16" w:rsidRDefault="00000000" w:rsidP="003E6BAC">
      <w:pPr>
        <w:pStyle w:val="Normal1"/>
        <w:spacing w:line="360" w:lineRule="auto"/>
      </w:pPr>
      <w:r>
        <w:t>Additionally, by maintaining constant contact with client needs and comments, DHL's client-centric strategy reduces uncertainty. The organization not only satisfies consumer demands but additionally reduces the confusion and confusion associated with changing consumer tastes by modifying its solutions and offerings according to feedback from customers. A dynamic and flexible strategy is produced by combining these contextual aspects with DHL's geocentric internationalization approach (</w:t>
      </w:r>
      <w:r>
        <w:rPr>
          <w:color w:val="222222"/>
          <w:sz w:val="20"/>
          <w:szCs w:val="20"/>
          <w:highlight w:val="white"/>
        </w:rPr>
        <w:t>Richey et al. 2010)</w:t>
      </w:r>
      <w:r>
        <w:t>. A strategy solution to the VUCA climate where it works is DHL's capacity to strike a balance between global uniformity and regional adaptability. This strategy enables DHL to successfully confront the obstacles of the transportation and logistics sector, guaranteeing the efficient operation of its foreign subsidiaries while preserving its dominant position in the worldwide marketplace. DHL can do this by leveraging its extensive global system, expenditures in technological advances, handling risks, and client focus.</w:t>
      </w:r>
    </w:p>
    <w:p w14:paraId="6EBE164F" w14:textId="77777777" w:rsidR="00E56A16" w:rsidRDefault="00000000" w:rsidP="003E6BAC">
      <w:pPr>
        <w:pStyle w:val="Heading1"/>
        <w:spacing w:line="360" w:lineRule="auto"/>
      </w:pPr>
      <w:bookmarkStart w:id="13" w:name="_814sq9axu7k1" w:colFirst="0" w:colLast="0"/>
      <w:bookmarkStart w:id="14" w:name="_Toc151054166"/>
      <w:bookmarkEnd w:id="13"/>
      <w:r>
        <w:t>Recommendations for DHL</w:t>
      </w:r>
      <w:bookmarkEnd w:id="14"/>
    </w:p>
    <w:p w14:paraId="0D6ACFA9" w14:textId="77777777" w:rsidR="00E56A16" w:rsidRDefault="00000000" w:rsidP="003E6BAC">
      <w:pPr>
        <w:pStyle w:val="Normal1"/>
        <w:spacing w:line="360" w:lineRule="auto"/>
      </w:pPr>
      <w:r>
        <w:t xml:space="preserve">In order to accelerate its international development and meet the evolving demands and standards of the transportation business, DHL must continue to invest in cutting-edge technology. To </w:t>
      </w:r>
      <w:r>
        <w:lastRenderedPageBreak/>
        <w:t>improve activities, scheduling routes, and proactive upkeep, artificial intelligence (AI), machine learning (ML), and information analytics should be used. In order to secure the integrity and openness of the entire supply chain and to foster confidence among partners and consumers, blockchain technology may also be deployed. Greater awareness and oversight can result from real-time tracking and surveillance of deliveries provided by IoT devices or sensors. In particular for last-mile services, the deployment of autonomous couriers and drones can greatly increase velocity of delivery and lower operating costs. By making such technical expenditures, DHL will continue to lead the way in innovation within the industry and maintain its position as a leader in the sector's logistics market (</w:t>
      </w:r>
      <w:r>
        <w:rPr>
          <w:color w:val="222222"/>
          <w:sz w:val="20"/>
          <w:szCs w:val="20"/>
          <w:highlight w:val="white"/>
        </w:rPr>
        <w:t>DeWeerdt et al. 2022)</w:t>
      </w:r>
      <w:r>
        <w:t>.</w:t>
      </w:r>
    </w:p>
    <w:p w14:paraId="55AD3CB7" w14:textId="77777777" w:rsidR="00E56A16" w:rsidRDefault="00000000" w:rsidP="003E6BAC">
      <w:pPr>
        <w:pStyle w:val="Normal1"/>
        <w:spacing w:line="360" w:lineRule="auto"/>
      </w:pPr>
      <w:r>
        <w:t>In the logistics sector, sustainability is a crucial aspect that is only become more important. DHL ought to put more effort into solidifying its dedication to ecologically responsible behaviour. To lessen its environmental impact, this involves employing more electric or low-emission delivery cars. DHL may also modify routes to reduce emissions of carbon and use of fuel. The business should investigate renewable energy options like solar or hydrogen electrical systems for sustaining its activities. Staying abreast of growing sustainability norms and laws will need tight coordination with authorities and collaboration with conservation organisations. Adopting sustainability additionally demonstrates good corporate citizenship but also gives businesses a competitive edge in an environment where consumers place a growing premium on eco-friendly practices.</w:t>
      </w:r>
    </w:p>
    <w:p w14:paraId="71FF2CC4" w14:textId="77777777" w:rsidR="00E56A16" w:rsidRDefault="00000000" w:rsidP="003E6BAC">
      <w:pPr>
        <w:pStyle w:val="Normal1"/>
        <w:spacing w:line="360" w:lineRule="auto"/>
      </w:pPr>
      <w:r>
        <w:t>With an emphasis on developing areas, DHL ought to continue to keep up its worldwide development. The potential for expansion in places including Southeast Asia, America &amp; Africa is enormous. DHL should forge significant local alliances in order to meet the particular problems of these areas (</w:t>
      </w:r>
      <w:r>
        <w:rPr>
          <w:color w:val="222222"/>
          <w:sz w:val="20"/>
          <w:szCs w:val="20"/>
          <w:highlight w:val="white"/>
        </w:rPr>
        <w:t>Dhl.com, 2023)</w:t>
      </w:r>
      <w:r>
        <w:t>. DHL may be able to successfully manage the challenges of these locations by collaborating with reputable local logistics businesses and utilising their experience. Additionally, by supporting local workforce growth, the business will have a team that is aware and competent enough to meet the expectations of each region. DHL can further establish its footprint and profit from the flourishing economy and rising demand for transportation services in those nations by carefully extending into these new markets.</w:t>
      </w:r>
    </w:p>
    <w:p w14:paraId="656557CF" w14:textId="77777777" w:rsidR="00E56A16" w:rsidRDefault="00000000" w:rsidP="003E6BAC">
      <w:pPr>
        <w:pStyle w:val="Normal1"/>
        <w:spacing w:line="360" w:lineRule="auto"/>
      </w:pPr>
      <w:r>
        <w:t xml:space="preserve">Data security &amp; privacy are crucial in the digital era. Protecting confidential data for both its own business operations and those of its clients must be a top priority for DHL. To defend against cyber attacks, efficient safety measures are required, such as firewalls, intrusion detection devices, and </w:t>
      </w:r>
      <w:r>
        <w:lastRenderedPageBreak/>
        <w:t xml:space="preserve">frequent evaluations of vulnerabilities. Additionally, thorough personnel training is required to reduce the dangers connected to phishing assaults. The GDPR and other growing data privacy laws must be complied with in order to avoid facing harsh fines. To make sure that client information is kept securely, periodic audits and inspections of data handling practices should be carried out. </w:t>
      </w:r>
    </w:p>
    <w:p w14:paraId="7BE67CBB" w14:textId="77777777" w:rsidR="00E56A16" w:rsidRDefault="00000000" w:rsidP="003E6BAC">
      <w:pPr>
        <w:pStyle w:val="Normal1"/>
        <w:spacing w:line="360" w:lineRule="auto"/>
      </w:pPr>
      <w:r>
        <w:t>The COVID-19 pandemic and other recent worldwide crises have brought to light the significance of the resilience of supply chains. DHL should keep making investments in resilient supply chain methods to deal with unpredictability and confusion. In order to maintain business operations during times of unforeseen interruptions, emergency plans that account for diverse situations, such as epidemics, natural catastrophes, or crises of power, should be built. Changing vendors and means of transport can lessen reliance on one route and alleviate supply chain constraints. In order to quickly respond to shifting conditions, DHL also needs to improve its ties with its vendors and consumers. Additionally, using AI and statistical analysis to identify supply chain interruptions might enhance choices under ambiguous circumstances (</w:t>
      </w:r>
      <w:r>
        <w:rPr>
          <w:color w:val="222222"/>
          <w:sz w:val="20"/>
          <w:szCs w:val="20"/>
          <w:highlight w:val="white"/>
        </w:rPr>
        <w:t>Richey et al. 2010)</w:t>
      </w:r>
      <w:r>
        <w:t xml:space="preserve">. </w:t>
      </w:r>
    </w:p>
    <w:p w14:paraId="544C1EA6" w14:textId="77777777" w:rsidR="00E56A16" w:rsidRDefault="00000000" w:rsidP="003E6BAC">
      <w:pPr>
        <w:pStyle w:val="Normal1"/>
        <w:spacing w:line="360" w:lineRule="auto"/>
      </w:pPr>
      <w:r>
        <w:t>DHL will be able to preserve uninterrupted operations and lessen the effects of interruptions on its clients by enhancing the adaptability of its worldwide supply network.</w:t>
      </w:r>
    </w:p>
    <w:p w14:paraId="0740A4F1" w14:textId="77777777" w:rsidR="00E56A16" w:rsidRDefault="00000000" w:rsidP="003E6BAC">
      <w:pPr>
        <w:pStyle w:val="Normal1"/>
        <w:spacing w:line="360" w:lineRule="auto"/>
      </w:pPr>
      <w:r>
        <w:t>Future internationalisation efforts by DHL should focus on adopting cutting-edge technology, environmentally friendly logistics methods, market development in new regions, strict confidentiality and security of data regulations, and enhancing the robustness of the world's supply chains. The popularity and achievement of DHL in the international market will be sustained by these tactics, which are well-suited to solve the intricate and shifting difficulties facing the logistics sector.</w:t>
      </w:r>
    </w:p>
    <w:p w14:paraId="560474D6" w14:textId="77777777" w:rsidR="00E56A16" w:rsidRDefault="00000000" w:rsidP="003E6BAC">
      <w:pPr>
        <w:pStyle w:val="Heading1"/>
        <w:spacing w:line="360" w:lineRule="auto"/>
      </w:pPr>
      <w:bookmarkStart w:id="15" w:name="_cjp5ci7wemp" w:colFirst="0" w:colLast="0"/>
      <w:bookmarkStart w:id="16" w:name="_Toc151054167"/>
      <w:bookmarkEnd w:id="15"/>
      <w:r>
        <w:t>Conclusion</w:t>
      </w:r>
      <w:bookmarkEnd w:id="16"/>
    </w:p>
    <w:p w14:paraId="040313EE" w14:textId="77777777" w:rsidR="00E56A16" w:rsidRDefault="00000000" w:rsidP="003E6BAC">
      <w:pPr>
        <w:pStyle w:val="Normal1"/>
        <w:spacing w:line="360" w:lineRule="auto"/>
      </w:pPr>
      <w:r>
        <w:t xml:space="preserve">As a result, DHL has grown into a formidable global logistics force with a distinguished internationalisation trajectory. Due to its dedication to creativity, strategic alliances, and agility, the firm has been able to offer complete logistical and fast delivery services in a variety of host nations, which makes it a significant participant in the global economy. The various character of the logistics sector, the need for international competition, the significance of global integrating, &amp; the obligation to satisfy client demands and legal obligations all have an impact on DHL's geocentric strategy. DHL is able to strike a balance between global uniformity and local </w:t>
      </w:r>
      <w:r>
        <w:lastRenderedPageBreak/>
        <w:t>adaptability thanks to this strategy, which is crucial in a field where transportation solutions need to be simultaneously standardized and adaptable in order to succeed on the international stage.</w:t>
      </w:r>
    </w:p>
    <w:p w14:paraId="0520514E" w14:textId="77777777" w:rsidR="00E56A16" w:rsidRDefault="00000000" w:rsidP="003E6BAC">
      <w:pPr>
        <w:pStyle w:val="Normal1"/>
        <w:spacing w:line="360" w:lineRule="auto"/>
      </w:pPr>
      <w:r>
        <w:t>Combining strategic vision, technical innovation, handling risks, and a client-first approach, DHL is able to tackle VUCA issues. These strategies not only help DHL manage the constantly changing logistics world, but also put the firm in an advantageous position to prosper amid volatility, unpredictability, difficulty, and contradiction while assuring the efficient operation of its international operations (</w:t>
      </w:r>
      <w:r>
        <w:rPr>
          <w:color w:val="222222"/>
          <w:sz w:val="20"/>
          <w:szCs w:val="20"/>
          <w:highlight w:val="white"/>
        </w:rPr>
        <w:t>Baliyan et al. 2022)</w:t>
      </w:r>
      <w:r>
        <w:t>.</w:t>
      </w:r>
    </w:p>
    <w:p w14:paraId="43DBC785" w14:textId="77777777" w:rsidR="00E56A16" w:rsidRDefault="00000000" w:rsidP="003E6BAC">
      <w:pPr>
        <w:pStyle w:val="Normal1"/>
        <w:spacing w:line="360" w:lineRule="auto"/>
      </w:pPr>
      <w:r>
        <w:t>This evaluation of DHL's internationalisation approach and its compatibility with the VUCA setting has highlighted the firm's exceptional resilience and flexibility in the worldwide expedited shipping and logistics sector. DHL has established itself as an outstanding example of demonstrating how to not only exist but also prosper in a fast shifting global environment as it manages a complicated equilibrium of VUCA.</w:t>
      </w:r>
    </w:p>
    <w:p w14:paraId="61821D45" w14:textId="77777777" w:rsidR="00E56A16" w:rsidRDefault="00000000" w:rsidP="003E6BAC">
      <w:pPr>
        <w:pStyle w:val="Normal1"/>
        <w:spacing w:line="360" w:lineRule="auto"/>
      </w:pPr>
      <w:r>
        <w:t xml:space="preserve">As a clever reaction to the VUCA variables, DHL's strategy decision to adopt a geocentric strategy, combining global uniformity with regional adaptability, has proven effective. It is impressive how well the corporation has been able to incorporate contextual issues like volatile markets, ambiguity, and intricacy into its strategy. </w:t>
      </w:r>
    </w:p>
    <w:p w14:paraId="57A9C5BE" w14:textId="77777777" w:rsidR="00E56A16" w:rsidRDefault="00000000" w:rsidP="003E6BAC">
      <w:pPr>
        <w:pStyle w:val="Normal1"/>
        <w:spacing w:line="360" w:lineRule="auto"/>
      </w:pPr>
      <w:r>
        <w:br w:type="page"/>
      </w:r>
    </w:p>
    <w:p w14:paraId="2713F685" w14:textId="77777777" w:rsidR="00E56A16" w:rsidRDefault="00000000" w:rsidP="003E6BAC">
      <w:pPr>
        <w:pStyle w:val="Heading1"/>
        <w:spacing w:line="360" w:lineRule="auto"/>
      </w:pPr>
      <w:bookmarkStart w:id="17" w:name="_ol2t48sc1ixy" w:colFirst="0" w:colLast="0"/>
      <w:bookmarkStart w:id="18" w:name="_Toc151054168"/>
      <w:bookmarkEnd w:id="17"/>
      <w:r>
        <w:lastRenderedPageBreak/>
        <w:t>Reference</w:t>
      </w:r>
      <w:bookmarkEnd w:id="18"/>
    </w:p>
    <w:p w14:paraId="7784844B" w14:textId="77777777" w:rsidR="003E6BAC" w:rsidRPr="003E6BAC" w:rsidRDefault="003E6BAC" w:rsidP="003E6BAC">
      <w:pPr>
        <w:pStyle w:val="Normal1"/>
        <w:rPr>
          <w:highlight w:val="white"/>
        </w:rPr>
      </w:pPr>
      <w:r w:rsidRPr="003E6BAC">
        <w:rPr>
          <w:highlight w:val="white"/>
        </w:rPr>
        <w:t>Altman, S.A. and Bastian, P., 2019. DHL Global connectedness index. Mapping the Current State of Global Flows. 2019 Update.</w:t>
      </w:r>
    </w:p>
    <w:p w14:paraId="31D432A6" w14:textId="77777777" w:rsidR="003E6BAC" w:rsidRPr="003E6BAC" w:rsidRDefault="003E6BAC" w:rsidP="003E6BAC">
      <w:pPr>
        <w:pStyle w:val="Normal1"/>
        <w:rPr>
          <w:highlight w:val="white"/>
        </w:rPr>
      </w:pPr>
      <w:r w:rsidRPr="003E6BAC">
        <w:rPr>
          <w:highlight w:val="white"/>
        </w:rPr>
        <w:t>Altman, S.A. and Bastian, P., 2020. DHL Global Connectedness Index 2020. The State of Globalization in a Distancing World. November.</w:t>
      </w:r>
    </w:p>
    <w:p w14:paraId="34A7D875" w14:textId="77777777" w:rsidR="003E6BAC" w:rsidRPr="003E6BAC" w:rsidRDefault="003E6BAC" w:rsidP="003E6BAC">
      <w:pPr>
        <w:pStyle w:val="Normal1"/>
        <w:rPr>
          <w:highlight w:val="white"/>
        </w:rPr>
      </w:pPr>
      <w:r w:rsidRPr="003E6BAC">
        <w:rPr>
          <w:highlight w:val="white"/>
        </w:rPr>
        <w:t>Amler, M.J., Analysis of a particular logistics systems: DHL case.</w:t>
      </w:r>
    </w:p>
    <w:p w14:paraId="2627C54A" w14:textId="77777777" w:rsidR="003E6BAC" w:rsidRPr="003E6BAC" w:rsidRDefault="003E6BAC" w:rsidP="003E6BAC">
      <w:pPr>
        <w:pStyle w:val="Normal1"/>
        <w:rPr>
          <w:highlight w:val="white"/>
        </w:rPr>
      </w:pPr>
      <w:r w:rsidRPr="003E6BAC">
        <w:rPr>
          <w:highlight w:val="white"/>
        </w:rPr>
        <w:t>Attaran, M., 2020, July. Digital technology enablers and their implications for supply chain management. In Supply Chain Forum: An International Journal (Vol. 21, No. 3, pp. 158-172). Taylor &amp; Francis.</w:t>
      </w:r>
    </w:p>
    <w:p w14:paraId="5EC877FB" w14:textId="77777777" w:rsidR="003E6BAC" w:rsidRPr="003E6BAC" w:rsidRDefault="003E6BAC" w:rsidP="003E6BAC">
      <w:pPr>
        <w:pStyle w:val="Normal1"/>
        <w:rPr>
          <w:highlight w:val="white"/>
        </w:rPr>
      </w:pPr>
      <w:r w:rsidRPr="003E6BAC">
        <w:rPr>
          <w:highlight w:val="white"/>
        </w:rPr>
        <w:t>Baliyan, M., Gupta, S., Yinjin, J.L., Kee, D.M.H., Habsah, I.L.B.A., Zetian, H., Ke, H. and Aggarwal, J., 2022. Impact of COVID-19 pandemic on DHL delivery service. International Journal of Tourism and Hospitality in Asia Pasific (IJTHAP), 5(1), pp.75-86.</w:t>
      </w:r>
    </w:p>
    <w:p w14:paraId="4BAFB8B1" w14:textId="77777777" w:rsidR="003E6BAC" w:rsidRPr="003E6BAC" w:rsidRDefault="003E6BAC" w:rsidP="003E6BAC">
      <w:pPr>
        <w:pStyle w:val="Normal1"/>
        <w:rPr>
          <w:highlight w:val="white"/>
        </w:rPr>
      </w:pPr>
      <w:r w:rsidRPr="003E6BAC">
        <w:rPr>
          <w:highlight w:val="white"/>
        </w:rPr>
        <w:t>Bingzhang, L. and Zirianov, V., 2021. Blockchain in agricultural supply chain management. In E3S Web of Conferences (Vol. 273, p. 08029). EDP Sciences.</w:t>
      </w:r>
    </w:p>
    <w:p w14:paraId="2F4D3658" w14:textId="77777777" w:rsidR="003E6BAC" w:rsidRPr="003E6BAC" w:rsidRDefault="003E6BAC" w:rsidP="003E6BAC">
      <w:pPr>
        <w:pStyle w:val="Normal1"/>
        <w:rPr>
          <w:highlight w:val="white"/>
        </w:rPr>
      </w:pPr>
      <w:r w:rsidRPr="003E6BAC">
        <w:rPr>
          <w:highlight w:val="white"/>
        </w:rPr>
        <w:t>Craighead, C.W., Ketchen Jr, D.J. and Darby, J.L., 2020. Pandemics and supply chain management research: toward a theoretical toolbox. Decision Sciences, 51(4), pp.838-866.</w:t>
      </w:r>
    </w:p>
    <w:p w14:paraId="402A91DB" w14:textId="77777777" w:rsidR="003E6BAC" w:rsidRPr="003E6BAC" w:rsidRDefault="003E6BAC" w:rsidP="003E6BAC">
      <w:pPr>
        <w:pStyle w:val="Normal1"/>
        <w:rPr>
          <w:highlight w:val="white"/>
        </w:rPr>
      </w:pPr>
      <w:r w:rsidRPr="003E6BAC">
        <w:rPr>
          <w:highlight w:val="white"/>
        </w:rPr>
        <w:t>de Vinck, H., Coeurderoy, R. and Lejeune, C., The impact of distance in an organisation, the decision of re-locating an activity. An analysis with the DHL Connectedness Index and the Cage framework.</w:t>
      </w:r>
    </w:p>
    <w:p w14:paraId="3C2A47C4" w14:textId="77777777" w:rsidR="003E6BAC" w:rsidRPr="003E6BAC" w:rsidRDefault="003E6BAC" w:rsidP="003E6BAC">
      <w:pPr>
        <w:pStyle w:val="Normal1"/>
        <w:rPr>
          <w:highlight w:val="white"/>
        </w:rPr>
      </w:pPr>
      <w:r w:rsidRPr="003E6BAC">
        <w:rPr>
          <w:highlight w:val="white"/>
        </w:rPr>
        <w:t>DeWeerdt, T., Dargusch, P. and Hill, G., 2022. A Case Study of How DHL Practices Carbon Management. Advances in Environmental and Engineering Research, 3(1), pp.1-19.</w:t>
      </w:r>
    </w:p>
    <w:p w14:paraId="3D0FEF70" w14:textId="77777777" w:rsidR="003E6BAC" w:rsidRPr="003E6BAC" w:rsidRDefault="003E6BAC" w:rsidP="003E6BAC">
      <w:pPr>
        <w:pStyle w:val="Normal1"/>
        <w:rPr>
          <w:highlight w:val="white"/>
        </w:rPr>
      </w:pPr>
      <w:r w:rsidRPr="003E6BAC">
        <w:rPr>
          <w:highlight w:val="white"/>
        </w:rPr>
        <w:t>Dhl.com (2023), Available at: https://www.dhl.com/</w:t>
      </w:r>
    </w:p>
    <w:p w14:paraId="27616F3C" w14:textId="77777777" w:rsidR="003E6BAC" w:rsidRPr="003E6BAC" w:rsidRDefault="003E6BAC" w:rsidP="003E6BAC">
      <w:pPr>
        <w:pStyle w:val="Normal1"/>
        <w:rPr>
          <w:highlight w:val="white"/>
        </w:rPr>
      </w:pPr>
      <w:r w:rsidRPr="003E6BAC">
        <w:rPr>
          <w:highlight w:val="white"/>
        </w:rPr>
        <w:t>Houlihan, J.B., 1985. International supply chain management. International Journal of Physical Distribution &amp; Materials Management, 15(1), pp.22-38.</w:t>
      </w:r>
    </w:p>
    <w:p w14:paraId="5FF51894" w14:textId="77777777" w:rsidR="003E6BAC" w:rsidRPr="003E6BAC" w:rsidRDefault="003E6BAC" w:rsidP="003E6BAC">
      <w:pPr>
        <w:pStyle w:val="Normal1"/>
        <w:rPr>
          <w:highlight w:val="white"/>
        </w:rPr>
      </w:pPr>
      <w:r w:rsidRPr="003E6BAC">
        <w:rPr>
          <w:highlight w:val="white"/>
        </w:rPr>
        <w:lastRenderedPageBreak/>
        <w:t>Jamil, W.N.S., 2019. Impact of Internal and External Factors Roa The Performance in Logistic Industry: A Case in Dhl.</w:t>
      </w:r>
    </w:p>
    <w:p w14:paraId="58BCC00E" w14:textId="77777777" w:rsidR="003E6BAC" w:rsidRPr="003E6BAC" w:rsidRDefault="003E6BAC" w:rsidP="003E6BAC">
      <w:pPr>
        <w:pStyle w:val="Normal1"/>
        <w:rPr>
          <w:highlight w:val="white"/>
        </w:rPr>
      </w:pPr>
      <w:r w:rsidRPr="003E6BAC">
        <w:rPr>
          <w:highlight w:val="white"/>
        </w:rPr>
        <w:t>Janvier-James, A.M., 2012. A new introduction to supply chains and supply chain management: Definitions and theories perspective. International Business Research, 5(1), pp.194-207.</w:t>
      </w:r>
    </w:p>
    <w:p w14:paraId="5C20AE34" w14:textId="77777777" w:rsidR="003E6BAC" w:rsidRPr="003E6BAC" w:rsidRDefault="003E6BAC" w:rsidP="003E6BAC">
      <w:pPr>
        <w:pStyle w:val="Normal1"/>
        <w:rPr>
          <w:highlight w:val="white"/>
        </w:rPr>
      </w:pPr>
      <w:r w:rsidRPr="003E6BAC">
        <w:rPr>
          <w:highlight w:val="white"/>
        </w:rPr>
        <w:t>Jinyue, Y.A.N.G., 2023. THE IMPLEMENTATION OF CORPORATE SOCIAL RESPONSIBILITY (CSR) BY DHL AND SF-EXPRESS: A COMPARATIVE ANALYSIS IN GERMANY AND CHINA. Humanities and Social Sciences, 30(3), pp.185-200.</w:t>
      </w:r>
    </w:p>
    <w:p w14:paraId="6CC7E7EA" w14:textId="77777777" w:rsidR="003E6BAC" w:rsidRPr="003E6BAC" w:rsidRDefault="003E6BAC" w:rsidP="003E6BAC">
      <w:pPr>
        <w:pStyle w:val="Normal1"/>
        <w:rPr>
          <w:highlight w:val="white"/>
        </w:rPr>
      </w:pPr>
      <w:r w:rsidRPr="003E6BAC">
        <w:rPr>
          <w:highlight w:val="white"/>
        </w:rPr>
        <w:t>McMaster, M., Nettleton, C., Tom, C., Xu, B., Cao, C. and Qiao, P., 2020. Risk management: Rethinking fashion supply chain management for multinational corporations in light of the COVID-19 outbreak. Journal of Risk and Financial Management, 13(8), p.173.</w:t>
      </w:r>
    </w:p>
    <w:p w14:paraId="4C18F2D8" w14:textId="77777777" w:rsidR="003E6BAC" w:rsidRPr="003E6BAC" w:rsidRDefault="003E6BAC" w:rsidP="003E6BAC">
      <w:pPr>
        <w:pStyle w:val="Normal1"/>
        <w:rPr>
          <w:highlight w:val="white"/>
        </w:rPr>
      </w:pPr>
      <w:r w:rsidRPr="003E6BAC">
        <w:rPr>
          <w:highlight w:val="white"/>
        </w:rPr>
        <w:t>Richey Jr, R.G., Roath, A.S., Whipple, J.M. and Fawcett, S.E., 2010. Exploring a governance theory of supply chain management: barriers and facilitators to integration. Journal of business logistics, 31(1), pp.237-256.</w:t>
      </w:r>
    </w:p>
    <w:p w14:paraId="7429259A" w14:textId="77777777" w:rsidR="003E6BAC" w:rsidRPr="003E6BAC" w:rsidRDefault="003E6BAC" w:rsidP="003E6BAC">
      <w:pPr>
        <w:pStyle w:val="Normal1"/>
        <w:rPr>
          <w:highlight w:val="white"/>
        </w:rPr>
      </w:pPr>
      <w:r w:rsidRPr="003E6BAC">
        <w:rPr>
          <w:highlight w:val="white"/>
        </w:rPr>
        <w:t>Ruan, Z., 2021. Analysis of Covid-19's influence on international logistics enterprises and its countermeasures a case study of DGF.</w:t>
      </w:r>
    </w:p>
    <w:p w14:paraId="69947CAE" w14:textId="77777777" w:rsidR="003E6BAC" w:rsidRPr="003E6BAC" w:rsidRDefault="003E6BAC" w:rsidP="003E6BAC">
      <w:pPr>
        <w:pStyle w:val="Normal1"/>
        <w:rPr>
          <w:highlight w:val="white"/>
        </w:rPr>
      </w:pPr>
      <w:r w:rsidRPr="003E6BAC">
        <w:rPr>
          <w:highlight w:val="white"/>
        </w:rPr>
        <w:t>Seasafira, E., Ricardianto, P., Setiawan, E.B., Maimunah, S. and Abidin, Z., Evaluation of Operational Performance and the use of e-Business Technology for the Implementation of Supply Chain Management which has an Impact on Customer Loyalty at PT. DHL Global Forwarding Indonesia.</w:t>
      </w:r>
    </w:p>
    <w:p w14:paraId="0080033F" w14:textId="77777777" w:rsidR="003E6BAC" w:rsidRPr="003E6BAC" w:rsidRDefault="003E6BAC" w:rsidP="003E6BAC">
      <w:pPr>
        <w:pStyle w:val="Normal1"/>
        <w:rPr>
          <w:highlight w:val="white"/>
        </w:rPr>
      </w:pPr>
      <w:r w:rsidRPr="003E6BAC">
        <w:rPr>
          <w:highlight w:val="white"/>
        </w:rPr>
        <w:t>Shao, X.F., Liu, W., Li, Y., Chaudhry, H.R. and Yue, X.G., 2021. Multistage implementation framework for smart supply chain management under industry 4.0. Technological Forecasting and Social Change, 162, p.120354.</w:t>
      </w:r>
    </w:p>
    <w:p w14:paraId="4A0927CE" w14:textId="77777777" w:rsidR="003E6BAC" w:rsidRPr="003E6BAC" w:rsidRDefault="003E6BAC" w:rsidP="003E6BAC">
      <w:pPr>
        <w:pStyle w:val="Normal1"/>
        <w:rPr>
          <w:highlight w:val="white"/>
        </w:rPr>
      </w:pPr>
      <w:r w:rsidRPr="003E6BAC">
        <w:rPr>
          <w:highlight w:val="white"/>
        </w:rPr>
        <w:lastRenderedPageBreak/>
        <w:t>Tayur, S., Ganeshan, R. and Magazine, M. eds., 2012. Quantitative models for supply chain management (Vol. 17). Springer Science &amp; Business Media.</w:t>
      </w:r>
    </w:p>
    <w:p w14:paraId="5C48F236" w14:textId="77777777" w:rsidR="003E6BAC" w:rsidRPr="003E6BAC" w:rsidRDefault="003E6BAC" w:rsidP="003E6BAC">
      <w:pPr>
        <w:pStyle w:val="Normal1"/>
        <w:rPr>
          <w:highlight w:val="white"/>
        </w:rPr>
      </w:pPr>
      <w:r w:rsidRPr="003E6BAC">
        <w:rPr>
          <w:highlight w:val="white"/>
        </w:rPr>
        <w:t>Wamba, S.F. and Queiroz, M.M., 2020. Blockchain in the operations and supply chain management: Benefits, challenges and future research opportunities. International Journal of Information Management, 52, p.102064.</w:t>
      </w:r>
    </w:p>
    <w:p w14:paraId="7580E7E4" w14:textId="77777777" w:rsidR="003E6BAC" w:rsidRPr="003E6BAC" w:rsidRDefault="003E6BAC" w:rsidP="003E6BAC">
      <w:pPr>
        <w:pStyle w:val="Normal1"/>
        <w:rPr>
          <w:highlight w:val="white"/>
        </w:rPr>
      </w:pPr>
      <w:r w:rsidRPr="003E6BAC">
        <w:rPr>
          <w:highlight w:val="white"/>
        </w:rPr>
        <w:t>Wieland, A., Bals, L., Mol, M.J. and Handfield, R.B., 2020. Overcoming blind spots in global sourcing research: Exploiting the cross-sections between supply chain management and international business. Journal of International Management, 26(1), p.100709.</w:t>
      </w:r>
    </w:p>
    <w:p w14:paraId="71389269" w14:textId="77777777" w:rsidR="00E56A16" w:rsidRDefault="00E56A16" w:rsidP="003E6BAC">
      <w:pPr>
        <w:pStyle w:val="Normal1"/>
        <w:spacing w:line="360" w:lineRule="auto"/>
        <w:rPr>
          <w:color w:val="222222"/>
          <w:sz w:val="20"/>
          <w:szCs w:val="20"/>
          <w:highlight w:val="white"/>
        </w:rPr>
      </w:pPr>
    </w:p>
    <w:p w14:paraId="2255CA8C" w14:textId="77777777" w:rsidR="00E56A16" w:rsidRDefault="00E56A16" w:rsidP="003E6BAC">
      <w:pPr>
        <w:pStyle w:val="Normal1"/>
        <w:spacing w:line="360" w:lineRule="auto"/>
      </w:pPr>
    </w:p>
    <w:p w14:paraId="50480ED6" w14:textId="77777777" w:rsidR="00E56A16" w:rsidRDefault="00E56A16" w:rsidP="003E6BAC">
      <w:pPr>
        <w:pStyle w:val="Normal1"/>
        <w:spacing w:line="360" w:lineRule="auto"/>
      </w:pPr>
    </w:p>
    <w:p w14:paraId="776E077F" w14:textId="77777777" w:rsidR="00E56A16" w:rsidRDefault="00E56A16" w:rsidP="003E6BAC">
      <w:pPr>
        <w:pStyle w:val="Normal1"/>
        <w:spacing w:line="360" w:lineRule="auto"/>
      </w:pPr>
    </w:p>
    <w:p w14:paraId="53229895" w14:textId="77777777" w:rsidR="00E56A16" w:rsidRDefault="00E56A16" w:rsidP="003E6BAC">
      <w:pPr>
        <w:pStyle w:val="Normal1"/>
        <w:spacing w:line="360" w:lineRule="auto"/>
      </w:pPr>
    </w:p>
    <w:sectPr w:rsidR="00E56A16" w:rsidSect="003E6BAC">
      <w:footerReference w:type="defaul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815627" w14:textId="77777777" w:rsidR="00015A09" w:rsidRDefault="00015A09">
      <w:pPr>
        <w:spacing w:line="240" w:lineRule="auto"/>
      </w:pPr>
      <w:r>
        <w:separator/>
      </w:r>
    </w:p>
  </w:endnote>
  <w:endnote w:type="continuationSeparator" w:id="0">
    <w:p w14:paraId="01250B3A" w14:textId="77777777" w:rsidR="00015A09" w:rsidRDefault="00015A0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3540018"/>
      <w:docPartObj>
        <w:docPartGallery w:val="Page Numbers (Bottom of Page)"/>
        <w:docPartUnique/>
      </w:docPartObj>
    </w:sdtPr>
    <w:sdtEndPr>
      <w:rPr>
        <w:noProof/>
      </w:rPr>
    </w:sdtEndPr>
    <w:sdtContent>
      <w:p w14:paraId="1729FDBD" w14:textId="0640DD84" w:rsidR="003E6BAC" w:rsidRDefault="003E6BA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05A4070" w14:textId="77777777" w:rsidR="003E6BAC" w:rsidRDefault="003E6B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D7A509" w14:textId="77777777" w:rsidR="00015A09" w:rsidRDefault="00015A09">
      <w:pPr>
        <w:spacing w:line="240" w:lineRule="auto"/>
      </w:pPr>
      <w:r>
        <w:separator/>
      </w:r>
    </w:p>
  </w:footnote>
  <w:footnote w:type="continuationSeparator" w:id="0">
    <w:p w14:paraId="1DEC9551" w14:textId="77777777" w:rsidR="00015A09" w:rsidRDefault="00015A0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6A16"/>
    <w:rsid w:val="00015A09"/>
    <w:rsid w:val="000E22A5"/>
    <w:rsid w:val="002356F0"/>
    <w:rsid w:val="0026682E"/>
    <w:rsid w:val="003E6BAC"/>
    <w:rsid w:val="006D30CD"/>
    <w:rsid w:val="00773470"/>
    <w:rsid w:val="009F73A6"/>
    <w:rsid w:val="00BC44B9"/>
    <w:rsid w:val="00D01A3C"/>
    <w:rsid w:val="00E56A16"/>
    <w:rsid w:val="00EC6A4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49F521"/>
  <w15:docId w15:val="{B3357739-CE4C-4666-986E-68E9932E7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3E6BAC"/>
    <w:pPr>
      <w:keepNext/>
      <w:keepLines/>
      <w:spacing w:before="400" w:after="120"/>
      <w:outlineLvl w:val="0"/>
    </w:pPr>
    <w:rPr>
      <w:b/>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Cs w:val="24"/>
    </w:rPr>
  </w:style>
  <w:style w:type="paragraph" w:styleId="Heading5">
    <w:name w:val="heading 5"/>
    <w:basedOn w:val="Normal1"/>
    <w:next w:val="Normal1"/>
    <w:pPr>
      <w:keepNext/>
      <w:keepLines/>
      <w:spacing w:before="240" w:after="80"/>
      <w:outlineLvl w:val="4"/>
    </w:pPr>
    <w:rPr>
      <w:color w:val="666666"/>
      <w:sz w:val="22"/>
    </w:rPr>
  </w:style>
  <w:style w:type="paragraph" w:styleId="Heading6">
    <w:name w:val="heading 6"/>
    <w:basedOn w:val="Normal1"/>
    <w:next w:val="Normal1"/>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3E6BAC"/>
    <w:pPr>
      <w:spacing w:line="480" w:lineRule="auto"/>
      <w:jc w:val="both"/>
    </w:pPr>
    <w:rPr>
      <w:rFonts w:ascii="Times New Roman" w:hAnsi="Times New Roman"/>
      <w:sz w:val="24"/>
    </w:rPr>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rFonts w:ascii="Arial" w:hAnsi="Arial"/>
      <w:color w:val="666666"/>
      <w:sz w:val="30"/>
      <w:szCs w:val="30"/>
    </w:rPr>
  </w:style>
  <w:style w:type="paragraph" w:styleId="Header">
    <w:name w:val="header"/>
    <w:basedOn w:val="Normal"/>
    <w:link w:val="HeaderChar"/>
    <w:uiPriority w:val="99"/>
    <w:unhideWhenUsed/>
    <w:rsid w:val="003E6BAC"/>
    <w:pPr>
      <w:tabs>
        <w:tab w:val="center" w:pos="4513"/>
        <w:tab w:val="right" w:pos="9026"/>
      </w:tabs>
      <w:spacing w:line="240" w:lineRule="auto"/>
    </w:pPr>
  </w:style>
  <w:style w:type="character" w:customStyle="1" w:styleId="HeaderChar">
    <w:name w:val="Header Char"/>
    <w:basedOn w:val="DefaultParagraphFont"/>
    <w:link w:val="Header"/>
    <w:uiPriority w:val="99"/>
    <w:rsid w:val="003E6BAC"/>
  </w:style>
  <w:style w:type="paragraph" w:styleId="Footer">
    <w:name w:val="footer"/>
    <w:basedOn w:val="Normal"/>
    <w:link w:val="FooterChar"/>
    <w:uiPriority w:val="99"/>
    <w:unhideWhenUsed/>
    <w:rsid w:val="003E6BAC"/>
    <w:pPr>
      <w:tabs>
        <w:tab w:val="center" w:pos="4513"/>
        <w:tab w:val="right" w:pos="9026"/>
      </w:tabs>
      <w:spacing w:line="240" w:lineRule="auto"/>
    </w:pPr>
  </w:style>
  <w:style w:type="character" w:customStyle="1" w:styleId="FooterChar">
    <w:name w:val="Footer Char"/>
    <w:basedOn w:val="DefaultParagraphFont"/>
    <w:link w:val="Footer"/>
    <w:uiPriority w:val="99"/>
    <w:rsid w:val="003E6BAC"/>
  </w:style>
  <w:style w:type="paragraph" w:styleId="TOCHeading">
    <w:name w:val="TOC Heading"/>
    <w:basedOn w:val="Heading1"/>
    <w:next w:val="Normal"/>
    <w:uiPriority w:val="39"/>
    <w:unhideWhenUsed/>
    <w:qFormat/>
    <w:rsid w:val="00BC44B9"/>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BC44B9"/>
    <w:pPr>
      <w:spacing w:after="100"/>
    </w:pPr>
  </w:style>
  <w:style w:type="character" w:styleId="Hyperlink">
    <w:name w:val="Hyperlink"/>
    <w:basedOn w:val="DefaultParagraphFont"/>
    <w:uiPriority w:val="99"/>
    <w:unhideWhenUsed/>
    <w:rsid w:val="00BC44B9"/>
    <w:rPr>
      <w:color w:val="0000FF" w:themeColor="hyperlink"/>
      <w:u w:val="single"/>
    </w:rPr>
  </w:style>
  <w:style w:type="paragraph" w:styleId="NormalWeb">
    <w:name w:val="Normal (Web)"/>
    <w:basedOn w:val="Normal"/>
    <w:uiPriority w:val="99"/>
    <w:unhideWhenUsed/>
    <w:rsid w:val="002356F0"/>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NoSpacing">
    <w:name w:val="No Spacing"/>
    <w:uiPriority w:val="1"/>
    <w:qFormat/>
    <w:rsid w:val="006D30CD"/>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BA04D4-0F57-4F54-A437-267B2A3228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22</Pages>
  <Words>6096</Words>
  <Characters>34750</Characters>
  <Application>Microsoft Office Word</Application>
  <DocSecurity>0</DocSecurity>
  <Lines>289</Lines>
  <Paragraphs>81</Paragraphs>
  <ScaleCrop>false</ScaleCrop>
  <Company/>
  <LinksUpToDate>false</LinksUpToDate>
  <CharactersWithSpaces>40765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Abhishek Chauhan</cp:lastModifiedBy>
  <cp:revision>9</cp:revision>
  <dcterms:created xsi:type="dcterms:W3CDTF">2023-10-24T16:44:00Z</dcterms:created>
  <dcterms:modified xsi:type="dcterms:W3CDTF">2023-11-17T14:00:00Z</dcterms:modified>
</cp:coreProperties>
</file>