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7D994E" w14:textId="7CB3F32F" w:rsidR="006A4CD0" w:rsidRPr="004B641A" w:rsidRDefault="004B641A" w:rsidP="006A4CD0">
      <w:pPr>
        <w:jc w:val="center"/>
        <w:rPr>
          <w:rFonts w:asciiTheme="minorBidi" w:hAnsiTheme="minorBidi"/>
          <w:b/>
          <w:bCs/>
          <w:sz w:val="28"/>
          <w:szCs w:val="28"/>
          <w:u w:val="single"/>
        </w:rPr>
      </w:pPr>
      <w:r w:rsidRPr="004B641A">
        <w:rPr>
          <w:rFonts w:asciiTheme="minorBidi" w:hAnsiTheme="minorBidi"/>
          <w:b/>
          <w:bCs/>
          <w:sz w:val="28"/>
          <w:szCs w:val="28"/>
          <w:u w:val="single"/>
        </w:rPr>
        <w:t>Title</w:t>
      </w:r>
    </w:p>
    <w:p w14:paraId="31C16E49" w14:textId="64B0B438" w:rsidR="004B641A" w:rsidRDefault="004B641A" w:rsidP="006A4CD0">
      <w:pPr>
        <w:jc w:val="center"/>
        <w:rPr>
          <w:rFonts w:asciiTheme="minorBidi" w:hAnsiTheme="minorBidi"/>
          <w:b/>
          <w:bCs/>
        </w:rPr>
      </w:pPr>
    </w:p>
    <w:p w14:paraId="69FEB00B" w14:textId="77777777" w:rsidR="004B641A" w:rsidRPr="00F233FC" w:rsidRDefault="004B641A" w:rsidP="006A4CD0">
      <w:pPr>
        <w:jc w:val="center"/>
        <w:rPr>
          <w:rFonts w:asciiTheme="minorBidi" w:hAnsiTheme="minorBidi"/>
          <w:b/>
          <w:bCs/>
        </w:rPr>
      </w:pPr>
    </w:p>
    <w:p w14:paraId="4A6EF657" w14:textId="77777777" w:rsidR="006A4CD0" w:rsidRPr="00F233FC" w:rsidRDefault="006A4CD0" w:rsidP="006A4CD0">
      <w:pPr>
        <w:rPr>
          <w:rFonts w:asciiTheme="minorBidi" w:hAnsiTheme="minorBidi"/>
          <w:sz w:val="22"/>
          <w:szCs w:val="22"/>
        </w:rPr>
      </w:pPr>
      <w:r w:rsidRPr="00F233FC">
        <w:rPr>
          <w:rFonts w:asciiTheme="minorBidi" w:hAnsiTheme="minorBidi"/>
          <w:b/>
          <w:bCs/>
          <w:sz w:val="22"/>
          <w:szCs w:val="22"/>
        </w:rPr>
        <w:t xml:space="preserve">Student Name: </w:t>
      </w:r>
      <w:r w:rsidRPr="00F233FC">
        <w:rPr>
          <w:rFonts w:asciiTheme="minorBidi" w:hAnsiTheme="minorBidi"/>
          <w:sz w:val="22"/>
          <w:szCs w:val="22"/>
        </w:rPr>
        <w:t>Iram Shahzad</w:t>
      </w:r>
    </w:p>
    <w:p w14:paraId="1DED3981" w14:textId="1FA9105D" w:rsidR="006A4CD0" w:rsidRPr="00F233FC" w:rsidRDefault="006A4CD0" w:rsidP="006A4CD0">
      <w:pPr>
        <w:rPr>
          <w:rFonts w:asciiTheme="minorBidi" w:hAnsiTheme="minorBidi"/>
          <w:sz w:val="22"/>
          <w:szCs w:val="22"/>
        </w:rPr>
      </w:pPr>
      <w:r w:rsidRPr="00F233FC">
        <w:rPr>
          <w:rFonts w:asciiTheme="minorBidi" w:hAnsiTheme="minorBidi"/>
          <w:b/>
          <w:bCs/>
          <w:sz w:val="22"/>
          <w:szCs w:val="22"/>
        </w:rPr>
        <w:t xml:space="preserve">Student Number: </w:t>
      </w:r>
      <w:r w:rsidRPr="00F233FC">
        <w:rPr>
          <w:rFonts w:asciiTheme="minorBidi" w:hAnsiTheme="minorBidi"/>
          <w:sz w:val="22"/>
          <w:szCs w:val="22"/>
        </w:rPr>
        <w:t>2421622</w:t>
      </w:r>
    </w:p>
    <w:p w14:paraId="33E588D7" w14:textId="0CF0DBEC" w:rsidR="006A4CD0" w:rsidRPr="00F233FC" w:rsidRDefault="006A4CD0" w:rsidP="006A4CD0">
      <w:pPr>
        <w:rPr>
          <w:rFonts w:asciiTheme="minorBidi" w:eastAsia="Times New Roman" w:hAnsiTheme="minorBidi"/>
          <w:b/>
          <w:sz w:val="22"/>
          <w:szCs w:val="22"/>
          <w:lang w:eastAsia="en-GB"/>
        </w:rPr>
      </w:pPr>
      <w:r w:rsidRPr="00F233FC">
        <w:rPr>
          <w:rFonts w:asciiTheme="minorBidi" w:hAnsiTheme="minorBidi"/>
          <w:b/>
          <w:bCs/>
          <w:sz w:val="22"/>
          <w:szCs w:val="22"/>
        </w:rPr>
        <w:t xml:space="preserve">Programme: </w:t>
      </w:r>
      <w:r w:rsidRPr="00F233FC">
        <w:rPr>
          <w:rFonts w:asciiTheme="minorBidi" w:eastAsia="Times New Roman" w:hAnsiTheme="minorBidi"/>
          <w:bCs/>
          <w:sz w:val="22"/>
          <w:szCs w:val="22"/>
          <w:lang w:eastAsia="en-GB"/>
        </w:rPr>
        <w:t>BA (Hons) Leadership and Management Skills for the Workplace</w:t>
      </w:r>
    </w:p>
    <w:p w14:paraId="0F31A589" w14:textId="4E13BE76" w:rsidR="006A4CD0" w:rsidRPr="00F233FC" w:rsidRDefault="006A4CD0" w:rsidP="006A4CD0">
      <w:pPr>
        <w:rPr>
          <w:rFonts w:asciiTheme="minorBidi" w:hAnsiTheme="minorBidi"/>
          <w:b/>
          <w:bCs/>
          <w:sz w:val="22"/>
          <w:szCs w:val="22"/>
        </w:rPr>
      </w:pPr>
      <w:r w:rsidRPr="00F233FC">
        <w:rPr>
          <w:rFonts w:asciiTheme="minorBidi" w:hAnsiTheme="minorBidi"/>
          <w:b/>
          <w:bCs/>
          <w:sz w:val="22"/>
          <w:szCs w:val="22"/>
        </w:rPr>
        <w:t xml:space="preserve">Module: </w:t>
      </w:r>
      <w:r w:rsidRPr="00F233FC">
        <w:rPr>
          <w:rFonts w:asciiTheme="minorBidi" w:eastAsia="Times New Roman" w:hAnsiTheme="minorBidi"/>
          <w:sz w:val="22"/>
          <w:szCs w:val="22"/>
          <w:lang w:eastAsia="en-GB"/>
        </w:rPr>
        <w:t>Developing and Managing Individuals and Teams</w:t>
      </w:r>
    </w:p>
    <w:p w14:paraId="30C3DD42" w14:textId="4A302910" w:rsidR="006A4CD0" w:rsidRPr="00F233FC" w:rsidRDefault="006A4CD0" w:rsidP="006A4CD0">
      <w:pPr>
        <w:rPr>
          <w:rFonts w:asciiTheme="minorBidi" w:hAnsiTheme="minorBidi"/>
          <w:sz w:val="22"/>
          <w:szCs w:val="22"/>
        </w:rPr>
      </w:pPr>
      <w:r w:rsidRPr="00F233FC">
        <w:rPr>
          <w:rFonts w:asciiTheme="minorBidi" w:hAnsiTheme="minorBidi"/>
          <w:b/>
          <w:bCs/>
          <w:sz w:val="22"/>
          <w:szCs w:val="22"/>
        </w:rPr>
        <w:t>Module Cod</w:t>
      </w:r>
      <w:r w:rsidR="006C00FC" w:rsidRPr="00F233FC">
        <w:rPr>
          <w:rFonts w:asciiTheme="minorBidi" w:hAnsiTheme="minorBidi"/>
          <w:b/>
          <w:bCs/>
          <w:sz w:val="22"/>
          <w:szCs w:val="22"/>
        </w:rPr>
        <w:t>e</w:t>
      </w:r>
      <w:r w:rsidR="0060592A" w:rsidRPr="00F233FC">
        <w:rPr>
          <w:rFonts w:asciiTheme="minorBidi" w:hAnsiTheme="minorBidi"/>
          <w:b/>
          <w:bCs/>
          <w:sz w:val="22"/>
          <w:szCs w:val="22"/>
        </w:rPr>
        <w:t xml:space="preserve">:  </w:t>
      </w:r>
      <w:r w:rsidRPr="00F233FC">
        <w:rPr>
          <w:rFonts w:asciiTheme="minorBidi" w:hAnsiTheme="minorBidi"/>
          <w:sz w:val="22"/>
          <w:szCs w:val="22"/>
        </w:rPr>
        <w:t xml:space="preserve">LCLM5002 </w:t>
      </w:r>
    </w:p>
    <w:p w14:paraId="650C0D2F" w14:textId="75C6AEF3" w:rsidR="006A4CD0" w:rsidRPr="00F233FC" w:rsidRDefault="006A4CD0" w:rsidP="006A4CD0">
      <w:pPr>
        <w:rPr>
          <w:rFonts w:asciiTheme="minorBidi" w:hAnsiTheme="minorBidi"/>
          <w:b/>
          <w:bCs/>
          <w:sz w:val="22"/>
          <w:szCs w:val="22"/>
        </w:rPr>
      </w:pPr>
      <w:r w:rsidRPr="00F233FC">
        <w:rPr>
          <w:rFonts w:asciiTheme="minorBidi" w:hAnsiTheme="minorBidi"/>
          <w:b/>
          <w:bCs/>
          <w:sz w:val="22"/>
          <w:szCs w:val="22"/>
        </w:rPr>
        <w:t xml:space="preserve">Assignment Title: </w:t>
      </w:r>
      <w:r w:rsidRPr="00F233FC">
        <w:rPr>
          <w:rFonts w:asciiTheme="minorBidi" w:hAnsiTheme="minorBidi"/>
          <w:sz w:val="22"/>
          <w:szCs w:val="22"/>
        </w:rPr>
        <w:t>Component 2- Individual report</w:t>
      </w:r>
      <w:r w:rsidRPr="00F233FC">
        <w:rPr>
          <w:rFonts w:asciiTheme="minorBidi" w:hAnsiTheme="minorBidi"/>
          <w:b/>
          <w:bCs/>
          <w:sz w:val="22"/>
          <w:szCs w:val="22"/>
        </w:rPr>
        <w:t xml:space="preserve">  </w:t>
      </w:r>
    </w:p>
    <w:p w14:paraId="6D229020" w14:textId="77777777" w:rsidR="006A4CD0" w:rsidRPr="00F233FC" w:rsidRDefault="006A4CD0" w:rsidP="006A4CD0">
      <w:pPr>
        <w:spacing w:before="120" w:after="120" w:line="240" w:lineRule="auto"/>
        <w:jc w:val="both"/>
        <w:rPr>
          <w:rFonts w:asciiTheme="minorBidi" w:eastAsia="Times New Roman" w:hAnsiTheme="minorBidi"/>
          <w:sz w:val="22"/>
          <w:szCs w:val="22"/>
          <w:lang w:eastAsia="en-GB"/>
        </w:rPr>
      </w:pPr>
      <w:r w:rsidRPr="00F233FC">
        <w:rPr>
          <w:rFonts w:asciiTheme="minorBidi" w:hAnsiTheme="minorBidi"/>
          <w:b/>
          <w:bCs/>
          <w:sz w:val="22"/>
          <w:szCs w:val="22"/>
        </w:rPr>
        <w:t xml:space="preserve">Lecturer Name: </w:t>
      </w:r>
      <w:r w:rsidRPr="00F233FC">
        <w:rPr>
          <w:rFonts w:asciiTheme="minorBidi" w:eastAsia="Times New Roman" w:hAnsiTheme="minorBidi"/>
          <w:sz w:val="22"/>
          <w:szCs w:val="22"/>
          <w:lang w:eastAsia="en-GB"/>
        </w:rPr>
        <w:t xml:space="preserve">Doreen </w:t>
      </w:r>
      <w:proofErr w:type="spellStart"/>
      <w:r w:rsidRPr="00F233FC">
        <w:rPr>
          <w:rFonts w:asciiTheme="minorBidi" w:eastAsia="Times New Roman" w:hAnsiTheme="minorBidi"/>
          <w:sz w:val="22"/>
          <w:szCs w:val="22"/>
          <w:lang w:eastAsia="en-GB"/>
        </w:rPr>
        <w:t>Nyaa</w:t>
      </w:r>
      <w:proofErr w:type="spellEnd"/>
      <w:r w:rsidRPr="00F233FC">
        <w:rPr>
          <w:rFonts w:asciiTheme="minorBidi" w:eastAsia="Times New Roman" w:hAnsiTheme="minorBidi"/>
          <w:sz w:val="22"/>
          <w:szCs w:val="22"/>
          <w:lang w:eastAsia="en-GB"/>
        </w:rPr>
        <w:t xml:space="preserve"> </w:t>
      </w:r>
      <w:proofErr w:type="spellStart"/>
      <w:r w:rsidRPr="00F233FC">
        <w:rPr>
          <w:rFonts w:asciiTheme="minorBidi" w:eastAsia="Times New Roman" w:hAnsiTheme="minorBidi"/>
          <w:sz w:val="22"/>
          <w:szCs w:val="22"/>
          <w:lang w:eastAsia="en-GB"/>
        </w:rPr>
        <w:t>Amundam</w:t>
      </w:r>
      <w:proofErr w:type="spellEnd"/>
    </w:p>
    <w:p w14:paraId="1A62A69C" w14:textId="0BBC8025" w:rsidR="006A4CD0" w:rsidRDefault="006A4CD0" w:rsidP="006A4CD0">
      <w:pPr>
        <w:spacing w:before="120" w:after="120"/>
        <w:jc w:val="both"/>
        <w:rPr>
          <w:rFonts w:asciiTheme="minorBidi" w:hAnsiTheme="minorBidi"/>
          <w:b/>
          <w:sz w:val="22"/>
          <w:szCs w:val="22"/>
        </w:rPr>
      </w:pPr>
    </w:p>
    <w:p w14:paraId="5698B009" w14:textId="3AA624D5" w:rsidR="004B641A" w:rsidRDefault="004B641A" w:rsidP="006A4CD0">
      <w:pPr>
        <w:spacing w:before="120" w:after="120"/>
        <w:jc w:val="both"/>
        <w:rPr>
          <w:rFonts w:asciiTheme="minorBidi" w:hAnsiTheme="minorBidi"/>
          <w:b/>
          <w:sz w:val="22"/>
          <w:szCs w:val="22"/>
        </w:rPr>
      </w:pPr>
    </w:p>
    <w:p w14:paraId="12DFD7DF" w14:textId="30694D58" w:rsidR="004B641A" w:rsidRDefault="004B641A" w:rsidP="006A4CD0">
      <w:pPr>
        <w:spacing w:before="120" w:after="120"/>
        <w:jc w:val="both"/>
        <w:rPr>
          <w:rFonts w:asciiTheme="minorBidi" w:hAnsiTheme="minorBidi"/>
          <w:b/>
          <w:sz w:val="22"/>
          <w:szCs w:val="22"/>
        </w:rPr>
      </w:pPr>
    </w:p>
    <w:p w14:paraId="52C8FFCF" w14:textId="040A960C" w:rsidR="004B641A" w:rsidRDefault="004B641A" w:rsidP="006A4CD0">
      <w:pPr>
        <w:spacing w:before="120" w:after="120"/>
        <w:jc w:val="both"/>
        <w:rPr>
          <w:rFonts w:asciiTheme="minorBidi" w:hAnsiTheme="minorBidi"/>
          <w:b/>
          <w:sz w:val="22"/>
          <w:szCs w:val="22"/>
        </w:rPr>
      </w:pPr>
    </w:p>
    <w:p w14:paraId="252B08C7" w14:textId="7EFC7987" w:rsidR="004B641A" w:rsidRDefault="004B641A" w:rsidP="006A4CD0">
      <w:pPr>
        <w:spacing w:before="120" w:after="120"/>
        <w:jc w:val="both"/>
        <w:rPr>
          <w:rFonts w:asciiTheme="minorBidi" w:hAnsiTheme="minorBidi"/>
          <w:b/>
          <w:sz w:val="22"/>
          <w:szCs w:val="22"/>
        </w:rPr>
      </w:pPr>
    </w:p>
    <w:p w14:paraId="36CF3BEF" w14:textId="473B1E75" w:rsidR="004B641A" w:rsidRDefault="004B641A" w:rsidP="006A4CD0">
      <w:pPr>
        <w:spacing w:before="120" w:after="120"/>
        <w:jc w:val="both"/>
        <w:rPr>
          <w:rFonts w:asciiTheme="minorBidi" w:hAnsiTheme="minorBidi"/>
          <w:b/>
          <w:sz w:val="22"/>
          <w:szCs w:val="22"/>
        </w:rPr>
      </w:pPr>
    </w:p>
    <w:p w14:paraId="420C5827" w14:textId="6E9EAE5A" w:rsidR="004B641A" w:rsidRDefault="004B641A" w:rsidP="006A4CD0">
      <w:pPr>
        <w:spacing w:before="120" w:after="120"/>
        <w:jc w:val="both"/>
        <w:rPr>
          <w:rFonts w:asciiTheme="minorBidi" w:hAnsiTheme="minorBidi"/>
          <w:b/>
          <w:sz w:val="22"/>
          <w:szCs w:val="22"/>
        </w:rPr>
      </w:pPr>
    </w:p>
    <w:p w14:paraId="589398E5" w14:textId="315D801B" w:rsidR="004B641A" w:rsidRDefault="004B641A" w:rsidP="006A4CD0">
      <w:pPr>
        <w:spacing w:before="120" w:after="120"/>
        <w:jc w:val="both"/>
        <w:rPr>
          <w:rFonts w:asciiTheme="minorBidi" w:hAnsiTheme="minorBidi"/>
          <w:b/>
          <w:sz w:val="22"/>
          <w:szCs w:val="22"/>
        </w:rPr>
      </w:pPr>
    </w:p>
    <w:p w14:paraId="6B084966" w14:textId="37F4B3BC" w:rsidR="004B641A" w:rsidRDefault="004B641A" w:rsidP="006A4CD0">
      <w:pPr>
        <w:spacing w:before="120" w:after="120"/>
        <w:jc w:val="both"/>
        <w:rPr>
          <w:rFonts w:asciiTheme="minorBidi" w:hAnsiTheme="minorBidi"/>
          <w:b/>
          <w:sz w:val="22"/>
          <w:szCs w:val="22"/>
        </w:rPr>
      </w:pPr>
    </w:p>
    <w:p w14:paraId="419FF981" w14:textId="3133AB45" w:rsidR="004B641A" w:rsidRDefault="004B641A" w:rsidP="006A4CD0">
      <w:pPr>
        <w:spacing w:before="120" w:after="120"/>
        <w:jc w:val="both"/>
        <w:rPr>
          <w:rFonts w:asciiTheme="minorBidi" w:hAnsiTheme="minorBidi"/>
          <w:b/>
          <w:sz w:val="22"/>
          <w:szCs w:val="22"/>
        </w:rPr>
      </w:pPr>
    </w:p>
    <w:p w14:paraId="263E5501" w14:textId="404FC029" w:rsidR="004B641A" w:rsidRDefault="004B641A" w:rsidP="006A4CD0">
      <w:pPr>
        <w:spacing w:before="120" w:after="120"/>
        <w:jc w:val="both"/>
        <w:rPr>
          <w:rFonts w:asciiTheme="minorBidi" w:hAnsiTheme="minorBidi"/>
          <w:b/>
          <w:sz w:val="22"/>
          <w:szCs w:val="22"/>
        </w:rPr>
      </w:pPr>
    </w:p>
    <w:p w14:paraId="4E8BB298" w14:textId="604F58EB" w:rsidR="004B641A" w:rsidRDefault="004B641A" w:rsidP="006A4CD0">
      <w:pPr>
        <w:spacing w:before="120" w:after="120"/>
        <w:jc w:val="both"/>
        <w:rPr>
          <w:rFonts w:asciiTheme="minorBidi" w:hAnsiTheme="minorBidi"/>
          <w:b/>
          <w:sz w:val="22"/>
          <w:szCs w:val="22"/>
        </w:rPr>
      </w:pPr>
    </w:p>
    <w:p w14:paraId="5F131832" w14:textId="7A94146C" w:rsidR="004B641A" w:rsidRDefault="004B641A" w:rsidP="006A4CD0">
      <w:pPr>
        <w:spacing w:before="120" w:after="120"/>
        <w:jc w:val="both"/>
        <w:rPr>
          <w:rFonts w:asciiTheme="minorBidi" w:hAnsiTheme="minorBidi"/>
          <w:b/>
          <w:sz w:val="22"/>
          <w:szCs w:val="22"/>
        </w:rPr>
      </w:pPr>
    </w:p>
    <w:p w14:paraId="1DE06068" w14:textId="43DF4248" w:rsidR="004B641A" w:rsidRDefault="004B641A" w:rsidP="006A4CD0">
      <w:pPr>
        <w:spacing w:before="120" w:after="120"/>
        <w:jc w:val="both"/>
        <w:rPr>
          <w:rFonts w:asciiTheme="minorBidi" w:hAnsiTheme="minorBidi"/>
          <w:b/>
          <w:sz w:val="22"/>
          <w:szCs w:val="22"/>
        </w:rPr>
      </w:pPr>
    </w:p>
    <w:p w14:paraId="66FEAF74" w14:textId="539DD32D" w:rsidR="004B641A" w:rsidRDefault="004B641A" w:rsidP="006A4CD0">
      <w:pPr>
        <w:spacing w:before="120" w:after="120"/>
        <w:jc w:val="both"/>
        <w:rPr>
          <w:rFonts w:asciiTheme="minorBidi" w:hAnsiTheme="minorBidi"/>
          <w:b/>
          <w:sz w:val="22"/>
          <w:szCs w:val="22"/>
        </w:rPr>
      </w:pPr>
    </w:p>
    <w:p w14:paraId="68BB3D9C" w14:textId="723788D3" w:rsidR="004B641A" w:rsidRDefault="004B641A" w:rsidP="006A4CD0">
      <w:pPr>
        <w:spacing w:before="120" w:after="120"/>
        <w:jc w:val="both"/>
        <w:rPr>
          <w:rFonts w:asciiTheme="minorBidi" w:hAnsiTheme="minorBidi"/>
          <w:b/>
          <w:sz w:val="22"/>
          <w:szCs w:val="22"/>
        </w:rPr>
      </w:pPr>
    </w:p>
    <w:p w14:paraId="5788E9DB" w14:textId="3A806348" w:rsidR="004B641A" w:rsidRDefault="004B641A" w:rsidP="006A4CD0">
      <w:pPr>
        <w:spacing w:before="120" w:after="120"/>
        <w:jc w:val="both"/>
        <w:rPr>
          <w:rFonts w:asciiTheme="minorBidi" w:hAnsiTheme="minorBidi"/>
          <w:b/>
          <w:sz w:val="22"/>
          <w:szCs w:val="22"/>
        </w:rPr>
      </w:pPr>
    </w:p>
    <w:p w14:paraId="6A6D8A22" w14:textId="07593769" w:rsidR="004B641A" w:rsidRDefault="004B641A" w:rsidP="006A4CD0">
      <w:pPr>
        <w:spacing w:before="120" w:after="120"/>
        <w:jc w:val="both"/>
        <w:rPr>
          <w:rFonts w:asciiTheme="minorBidi" w:hAnsiTheme="minorBidi"/>
          <w:b/>
          <w:sz w:val="22"/>
          <w:szCs w:val="22"/>
        </w:rPr>
      </w:pPr>
    </w:p>
    <w:p w14:paraId="04AF70B2" w14:textId="5982FCF5" w:rsidR="004B641A" w:rsidRDefault="004B641A" w:rsidP="006A4CD0">
      <w:pPr>
        <w:spacing w:before="120" w:after="120"/>
        <w:jc w:val="both"/>
        <w:rPr>
          <w:rFonts w:asciiTheme="minorBidi" w:hAnsiTheme="minorBidi"/>
          <w:b/>
          <w:sz w:val="22"/>
          <w:szCs w:val="22"/>
        </w:rPr>
      </w:pPr>
    </w:p>
    <w:p w14:paraId="112F27DC" w14:textId="5918E921" w:rsidR="004B641A" w:rsidRDefault="004B641A" w:rsidP="006A4CD0">
      <w:pPr>
        <w:spacing w:before="120" w:after="120"/>
        <w:jc w:val="both"/>
        <w:rPr>
          <w:rFonts w:asciiTheme="minorBidi" w:hAnsiTheme="minorBidi"/>
          <w:b/>
          <w:sz w:val="22"/>
          <w:szCs w:val="22"/>
        </w:rPr>
      </w:pPr>
    </w:p>
    <w:p w14:paraId="2BB47866" w14:textId="49A81F66" w:rsidR="004B641A" w:rsidRDefault="004B641A" w:rsidP="006A4CD0">
      <w:pPr>
        <w:spacing w:before="120" w:after="120"/>
        <w:jc w:val="both"/>
        <w:rPr>
          <w:rFonts w:asciiTheme="minorBidi" w:hAnsiTheme="minorBidi"/>
          <w:b/>
          <w:sz w:val="22"/>
          <w:szCs w:val="22"/>
        </w:rPr>
      </w:pPr>
    </w:p>
    <w:p w14:paraId="51C95782" w14:textId="77777777" w:rsidR="004B641A" w:rsidRPr="00F233FC" w:rsidRDefault="004B641A" w:rsidP="006A4CD0">
      <w:pPr>
        <w:spacing w:before="120" w:after="120"/>
        <w:jc w:val="both"/>
        <w:rPr>
          <w:rFonts w:asciiTheme="minorBidi" w:hAnsiTheme="minorBidi"/>
          <w:b/>
          <w:sz w:val="22"/>
          <w:szCs w:val="22"/>
        </w:rPr>
      </w:pPr>
    </w:p>
    <w:p w14:paraId="1BA9BF89" w14:textId="77777777" w:rsidR="00F17123" w:rsidRPr="00F233FC" w:rsidRDefault="00F17123" w:rsidP="00F17123">
      <w:pPr>
        <w:spacing w:before="120" w:after="120"/>
        <w:jc w:val="both"/>
        <w:rPr>
          <w:rFonts w:asciiTheme="minorBidi" w:hAnsiTheme="minorBidi"/>
          <w:b/>
          <w:sz w:val="28"/>
          <w:szCs w:val="28"/>
          <w:u w:val="single"/>
        </w:rPr>
      </w:pPr>
      <w:r w:rsidRPr="00F233FC">
        <w:rPr>
          <w:rFonts w:asciiTheme="minorBidi" w:hAnsiTheme="minorBidi"/>
          <w:b/>
          <w:sz w:val="28"/>
          <w:szCs w:val="28"/>
          <w:u w:val="single"/>
        </w:rPr>
        <w:lastRenderedPageBreak/>
        <w:t>Individual Report by HR Practitioner on TESCO PLC</w:t>
      </w:r>
    </w:p>
    <w:p w14:paraId="3371382C" w14:textId="5A25AFED" w:rsidR="00F17123" w:rsidRPr="00F233FC" w:rsidRDefault="00F17123" w:rsidP="00F17123">
      <w:pPr>
        <w:spacing w:before="120" w:after="120"/>
        <w:jc w:val="both"/>
        <w:rPr>
          <w:rFonts w:asciiTheme="minorBidi" w:eastAsia="Times New Roman" w:hAnsiTheme="minorBidi"/>
          <w:b/>
          <w:bCs/>
          <w:kern w:val="36"/>
          <w:sz w:val="28"/>
          <w:szCs w:val="28"/>
          <w:u w:val="single"/>
          <w:lang w:eastAsia="en-GB"/>
        </w:rPr>
      </w:pPr>
      <w:r w:rsidRPr="000777AA">
        <w:rPr>
          <w:rFonts w:asciiTheme="minorBidi" w:eastAsia="Times New Roman" w:hAnsiTheme="minorBidi"/>
          <w:b/>
          <w:bCs/>
          <w:kern w:val="36"/>
          <w:sz w:val="28"/>
          <w:szCs w:val="28"/>
          <w:u w:val="single"/>
          <w:lang w:eastAsia="en-GB"/>
        </w:rPr>
        <w:t>Human Resource Challenges and Contemporary HR Practices</w:t>
      </w:r>
    </w:p>
    <w:p w14:paraId="19857912" w14:textId="77777777" w:rsidR="00F17123" w:rsidRPr="00F233FC" w:rsidRDefault="00F17123" w:rsidP="00F17123">
      <w:pPr>
        <w:spacing w:before="120" w:after="120"/>
        <w:jc w:val="both"/>
        <w:rPr>
          <w:rFonts w:asciiTheme="minorBidi" w:hAnsiTheme="minorBidi"/>
          <w:b/>
          <w:sz w:val="28"/>
          <w:szCs w:val="28"/>
        </w:rPr>
      </w:pPr>
    </w:p>
    <w:p w14:paraId="47CADAE9" w14:textId="77777777" w:rsidR="00EF71EB" w:rsidRDefault="00F17123" w:rsidP="00EF71EB">
      <w:pPr>
        <w:spacing w:before="120" w:after="120"/>
        <w:jc w:val="both"/>
        <w:rPr>
          <w:rFonts w:asciiTheme="minorBidi" w:hAnsiTheme="minorBidi"/>
          <w:b/>
          <w:sz w:val="28"/>
          <w:szCs w:val="28"/>
        </w:rPr>
      </w:pPr>
      <w:r w:rsidRPr="00F233FC">
        <w:rPr>
          <w:rFonts w:asciiTheme="minorBidi" w:hAnsiTheme="minorBidi"/>
          <w:b/>
          <w:sz w:val="28"/>
          <w:szCs w:val="28"/>
        </w:rPr>
        <w:t>Introduction</w:t>
      </w:r>
    </w:p>
    <w:p w14:paraId="4A6B697E" w14:textId="565CF90A" w:rsidR="00EF71EB" w:rsidRPr="00EF71EB" w:rsidRDefault="00EF71EB" w:rsidP="003A65CC">
      <w:pPr>
        <w:spacing w:before="120" w:after="120" w:line="360" w:lineRule="auto"/>
        <w:jc w:val="both"/>
        <w:rPr>
          <w:rFonts w:asciiTheme="minorBidi" w:hAnsiTheme="minorBidi"/>
          <w:b/>
          <w:sz w:val="28"/>
          <w:szCs w:val="28"/>
        </w:rPr>
      </w:pPr>
      <w:r w:rsidRPr="00EF71EB">
        <w:rPr>
          <w:rFonts w:asciiTheme="minorBidi" w:hAnsiTheme="minorBidi"/>
          <w:sz w:val="22"/>
          <w:szCs w:val="22"/>
        </w:rPr>
        <w:t>Human Resource Management (HRM) plays an important role in helping organisations manage employees effectively and respond to changes in the business environment. In recent years, organisations have faced increasing pressure to adapt to technological developments, changing workforce expectations and growing demands for equality and fairness in the workplace. These changes require HR departments to develop effective strategies that ensure employees remain productive, engaged and motivated.</w:t>
      </w:r>
    </w:p>
    <w:p w14:paraId="15BAE3EA" w14:textId="5F96C162" w:rsidR="00EF71EB" w:rsidRPr="00EF71EB" w:rsidRDefault="00EF71EB" w:rsidP="003A65CC">
      <w:pPr>
        <w:pStyle w:val="NormalWeb"/>
        <w:spacing w:line="360" w:lineRule="auto"/>
        <w:rPr>
          <w:rFonts w:asciiTheme="minorBidi" w:hAnsiTheme="minorBidi" w:cstheme="minorBidi"/>
          <w:sz w:val="22"/>
          <w:szCs w:val="22"/>
        </w:rPr>
      </w:pPr>
      <w:r w:rsidRPr="00EF71EB">
        <w:rPr>
          <w:rStyle w:val="whitespace-normal"/>
          <w:rFonts w:asciiTheme="minorBidi" w:hAnsiTheme="minorBidi" w:cstheme="minorBidi"/>
          <w:sz w:val="22"/>
          <w:szCs w:val="22"/>
        </w:rPr>
        <w:t>Tesco PLC</w:t>
      </w:r>
      <w:r w:rsidRPr="00EF71EB">
        <w:rPr>
          <w:rFonts w:asciiTheme="minorBidi" w:hAnsiTheme="minorBidi" w:cstheme="minorBidi"/>
          <w:sz w:val="22"/>
          <w:szCs w:val="22"/>
        </w:rPr>
        <w:t xml:space="preserve"> is one of the </w:t>
      </w:r>
      <w:r w:rsidR="00D0627E">
        <w:rPr>
          <w:rFonts w:asciiTheme="minorBidi" w:hAnsiTheme="minorBidi" w:cstheme="minorBidi"/>
          <w:sz w:val="22"/>
          <w:szCs w:val="22"/>
        </w:rPr>
        <w:t>major</w:t>
      </w:r>
      <w:r w:rsidR="00A2305F">
        <w:rPr>
          <w:rFonts w:asciiTheme="minorBidi" w:hAnsiTheme="minorBidi" w:cstheme="minorBidi"/>
          <w:sz w:val="22"/>
          <w:szCs w:val="22"/>
        </w:rPr>
        <w:t xml:space="preserve"> </w:t>
      </w:r>
      <w:r w:rsidRPr="00EF71EB">
        <w:rPr>
          <w:rFonts w:asciiTheme="minorBidi" w:hAnsiTheme="minorBidi" w:cstheme="minorBidi"/>
          <w:sz w:val="22"/>
          <w:szCs w:val="22"/>
        </w:rPr>
        <w:t>retail organisations in the United Kingdom, operating thousands of stores and employing a large and diverse workforce. Due to the highly competitive nature of the retail sector, the company must ensure that its HR strategies support organisational efficiency and long-term sustainability. HR professionals within Tesco therefore need to address key challenges such as technological advancement, talent acquisition and retention, and diversity, equity and inclusion (DEI).</w:t>
      </w:r>
    </w:p>
    <w:p w14:paraId="3DC63304" w14:textId="77777777" w:rsidR="00EF71EB" w:rsidRPr="00EF71EB" w:rsidRDefault="00EF71EB" w:rsidP="003A65CC">
      <w:pPr>
        <w:pStyle w:val="NormalWeb"/>
        <w:spacing w:line="360" w:lineRule="auto"/>
        <w:rPr>
          <w:rFonts w:asciiTheme="minorBidi" w:hAnsiTheme="minorBidi" w:cstheme="minorBidi"/>
          <w:sz w:val="22"/>
          <w:szCs w:val="22"/>
        </w:rPr>
      </w:pPr>
      <w:r w:rsidRPr="00EF71EB">
        <w:rPr>
          <w:rFonts w:asciiTheme="minorBidi" w:hAnsiTheme="minorBidi" w:cstheme="minorBidi"/>
          <w:sz w:val="22"/>
          <w:szCs w:val="22"/>
        </w:rPr>
        <w:t>This report examines these challenges and evaluates contemporary HR practices that can help organisations respond effectively while ensuring successful implementation by departmental managers.</w:t>
      </w:r>
    </w:p>
    <w:p w14:paraId="527570E0" w14:textId="2442DDBC" w:rsidR="00422036" w:rsidRPr="00F233FC" w:rsidRDefault="0060592A" w:rsidP="00422036">
      <w:pPr>
        <w:spacing w:before="120" w:after="120"/>
        <w:jc w:val="both"/>
        <w:rPr>
          <w:rFonts w:asciiTheme="minorBidi" w:hAnsiTheme="minorBidi"/>
          <w:b/>
          <w:sz w:val="28"/>
          <w:szCs w:val="28"/>
        </w:rPr>
      </w:pPr>
      <w:r w:rsidRPr="00F233FC">
        <w:rPr>
          <w:rFonts w:asciiTheme="minorBidi" w:eastAsia="Times New Roman" w:hAnsiTheme="minorBidi"/>
          <w:b/>
          <w:bCs/>
          <w:kern w:val="36"/>
          <w:sz w:val="28"/>
          <w:szCs w:val="28"/>
          <w:lang w:eastAsia="en-GB"/>
        </w:rPr>
        <w:t xml:space="preserve">1. </w:t>
      </w:r>
      <w:r w:rsidR="00422036" w:rsidRPr="000777AA">
        <w:rPr>
          <w:rFonts w:asciiTheme="minorBidi" w:eastAsia="Times New Roman" w:hAnsiTheme="minorBidi"/>
          <w:b/>
          <w:bCs/>
          <w:kern w:val="36"/>
          <w:sz w:val="28"/>
          <w:szCs w:val="28"/>
          <w:lang w:eastAsia="en-GB"/>
        </w:rPr>
        <w:t>Factors Affecting Human Resource Management</w:t>
      </w:r>
    </w:p>
    <w:p w14:paraId="6A1956AC" w14:textId="40F75B84" w:rsidR="00422036" w:rsidRPr="00F233FC" w:rsidRDefault="00422036" w:rsidP="00422036">
      <w:pPr>
        <w:spacing w:before="120" w:after="120"/>
        <w:jc w:val="both"/>
        <w:rPr>
          <w:rFonts w:asciiTheme="minorBidi" w:hAnsiTheme="minorBidi"/>
          <w:b/>
          <w:sz w:val="28"/>
          <w:szCs w:val="28"/>
        </w:rPr>
      </w:pPr>
      <w:r w:rsidRPr="000777AA">
        <w:rPr>
          <w:rFonts w:asciiTheme="minorBidi" w:eastAsia="Times New Roman" w:hAnsiTheme="minorBidi"/>
          <w:b/>
          <w:bCs/>
          <w:sz w:val="22"/>
          <w:szCs w:val="22"/>
          <w:lang w:eastAsia="en-GB"/>
        </w:rPr>
        <w:t>Technological Advancement</w:t>
      </w:r>
    </w:p>
    <w:p w14:paraId="04F8A325" w14:textId="1FB52BC2" w:rsidR="00422036" w:rsidRPr="000777AA" w:rsidRDefault="004D23A2" w:rsidP="003A65CC">
      <w:pPr>
        <w:spacing w:before="100" w:beforeAutospacing="1" w:after="100" w:afterAutospacing="1" w:line="360" w:lineRule="auto"/>
        <w:rPr>
          <w:rFonts w:asciiTheme="minorBidi" w:eastAsia="Times New Roman" w:hAnsiTheme="minorBidi"/>
          <w:sz w:val="22"/>
          <w:szCs w:val="22"/>
          <w:lang w:eastAsia="en-GB"/>
        </w:rPr>
      </w:pPr>
      <w:r w:rsidRPr="003A65CC">
        <w:rPr>
          <w:rFonts w:asciiTheme="minorBidi" w:hAnsiTheme="minorBidi"/>
          <w:sz w:val="22"/>
          <w:szCs w:val="22"/>
        </w:rPr>
        <w:t xml:space="preserve">In recent years, digital technologies have changed how organisations </w:t>
      </w:r>
      <w:r w:rsidR="000C0B50" w:rsidRPr="003A65CC">
        <w:rPr>
          <w:rFonts w:asciiTheme="minorBidi" w:hAnsiTheme="minorBidi"/>
          <w:sz w:val="22"/>
          <w:szCs w:val="22"/>
        </w:rPr>
        <w:t>a</w:t>
      </w:r>
      <w:r w:rsidRPr="003A65CC">
        <w:rPr>
          <w:rFonts w:asciiTheme="minorBidi" w:hAnsiTheme="minorBidi"/>
          <w:sz w:val="22"/>
          <w:szCs w:val="22"/>
        </w:rPr>
        <w:t>r</w:t>
      </w:r>
      <w:r w:rsidR="000C0B50" w:rsidRPr="003A65CC">
        <w:rPr>
          <w:rFonts w:asciiTheme="minorBidi" w:hAnsiTheme="minorBidi"/>
          <w:sz w:val="22"/>
          <w:szCs w:val="22"/>
        </w:rPr>
        <w:t>range</w:t>
      </w:r>
      <w:r w:rsidRPr="003A65CC">
        <w:rPr>
          <w:rFonts w:asciiTheme="minorBidi" w:hAnsiTheme="minorBidi"/>
          <w:sz w:val="22"/>
          <w:szCs w:val="22"/>
        </w:rPr>
        <w:t xml:space="preserve"> their work processes and manage employees.</w:t>
      </w:r>
      <w:r w:rsidR="00A53E1D" w:rsidRPr="00F233FC">
        <w:rPr>
          <w:rFonts w:asciiTheme="minorBidi" w:hAnsiTheme="minorBidi"/>
        </w:rPr>
        <w:t xml:space="preserve"> </w:t>
      </w:r>
      <w:r w:rsidR="00422036" w:rsidRPr="000777AA">
        <w:rPr>
          <w:rFonts w:asciiTheme="minorBidi" w:eastAsia="Times New Roman" w:hAnsiTheme="minorBidi"/>
          <w:sz w:val="22"/>
          <w:szCs w:val="22"/>
          <w:lang w:eastAsia="en-GB"/>
        </w:rPr>
        <w:t>Digital tools, automation and data-driven systems are increasingly used to improve efficiency and productivity in the workplace. For retail organisations such as Tesco PLC, technology plays a vital role in areas such as inventory management, online retail services, digital payment systems and customer relationship management.</w:t>
      </w:r>
    </w:p>
    <w:p w14:paraId="51978859" w14:textId="21F8BC0D" w:rsidR="00422036" w:rsidRPr="000777AA" w:rsidRDefault="00422036" w:rsidP="003A65CC">
      <w:pPr>
        <w:spacing w:before="100" w:beforeAutospacing="1" w:after="100" w:afterAutospacing="1" w:line="360" w:lineRule="auto"/>
        <w:rPr>
          <w:rFonts w:asciiTheme="minorBidi" w:eastAsia="Times New Roman" w:hAnsiTheme="minorBidi"/>
          <w:sz w:val="22"/>
          <w:szCs w:val="22"/>
          <w:lang w:eastAsia="en-GB"/>
        </w:rPr>
      </w:pPr>
      <w:r w:rsidRPr="000777AA">
        <w:rPr>
          <w:rFonts w:asciiTheme="minorBidi" w:eastAsia="Times New Roman" w:hAnsiTheme="minorBidi"/>
          <w:sz w:val="22"/>
          <w:szCs w:val="22"/>
          <w:lang w:eastAsia="en-GB"/>
        </w:rPr>
        <w:t xml:space="preserve">However, the introduction of new technologies also creates challenges for HR departments. </w:t>
      </w:r>
      <w:r w:rsidR="00E604F4" w:rsidRPr="00F233FC">
        <w:rPr>
          <w:rFonts w:asciiTheme="minorBidi" w:hAnsiTheme="minorBidi"/>
          <w:sz w:val="22"/>
          <w:szCs w:val="22"/>
        </w:rPr>
        <w:t xml:space="preserve">In my view, organisations that fail to invest in employee digital skills may struggle to fully benefit from technological innovation. </w:t>
      </w:r>
      <w:r w:rsidRPr="000777AA">
        <w:rPr>
          <w:rFonts w:asciiTheme="minorBidi" w:eastAsia="Times New Roman" w:hAnsiTheme="minorBidi"/>
          <w:sz w:val="22"/>
          <w:szCs w:val="22"/>
          <w:lang w:eastAsia="en-GB"/>
        </w:rPr>
        <w:t xml:space="preserve">Employees must develop the necessary digital skills to effectively use modern systems and tools. If employees are not adequately trained, technological innovation may lead to lower productivity and increased frustration within the </w:t>
      </w:r>
      <w:r w:rsidRPr="000777AA">
        <w:rPr>
          <w:rFonts w:asciiTheme="minorBidi" w:eastAsia="Times New Roman" w:hAnsiTheme="minorBidi"/>
          <w:sz w:val="22"/>
          <w:szCs w:val="22"/>
          <w:lang w:eastAsia="en-GB"/>
        </w:rPr>
        <w:lastRenderedPageBreak/>
        <w:t>workforce. Therefore, HR departments must focus on providing continuous training and development programmes that help employees adapt to technological change (Noe, 2020).</w:t>
      </w:r>
    </w:p>
    <w:p w14:paraId="2191D09C" w14:textId="1AE6652C" w:rsidR="004B641A" w:rsidRPr="00F233FC" w:rsidRDefault="00422036" w:rsidP="003A65CC">
      <w:pPr>
        <w:spacing w:before="100" w:beforeAutospacing="1" w:after="100" w:afterAutospacing="1" w:line="360" w:lineRule="auto"/>
        <w:rPr>
          <w:rFonts w:asciiTheme="minorBidi" w:eastAsia="Times New Roman" w:hAnsiTheme="minorBidi"/>
          <w:sz w:val="22"/>
          <w:szCs w:val="22"/>
          <w:lang w:eastAsia="en-GB"/>
        </w:rPr>
      </w:pPr>
      <w:r w:rsidRPr="000777AA">
        <w:rPr>
          <w:rFonts w:asciiTheme="minorBidi" w:eastAsia="Times New Roman" w:hAnsiTheme="minorBidi"/>
          <w:sz w:val="22"/>
          <w:szCs w:val="22"/>
          <w:lang w:eastAsia="en-GB"/>
        </w:rPr>
        <w:t>Another important factor is employee resistance to change. Some employees may feel uncomfortable learning new technologies or fear that automation could replace their roles. HR professionals must therefore implement effective change management strategies and communicate the benefits of technological innovation to employees. By supporting employees through training and clear communication, organisations can ensure that technological advancement improves rather than disrupts organisational performance.</w:t>
      </w:r>
    </w:p>
    <w:p w14:paraId="00742232" w14:textId="472C6557" w:rsidR="00422036" w:rsidRPr="000777AA" w:rsidRDefault="00422036" w:rsidP="003A65CC">
      <w:pPr>
        <w:spacing w:before="100" w:beforeAutospacing="1" w:after="100" w:afterAutospacing="1" w:line="360" w:lineRule="auto"/>
        <w:rPr>
          <w:rFonts w:asciiTheme="minorBidi" w:eastAsia="Times New Roman" w:hAnsiTheme="minorBidi"/>
          <w:sz w:val="22"/>
          <w:szCs w:val="22"/>
          <w:lang w:eastAsia="en-GB"/>
        </w:rPr>
      </w:pPr>
      <w:r w:rsidRPr="000777AA">
        <w:rPr>
          <w:rFonts w:asciiTheme="minorBidi" w:eastAsia="Times New Roman" w:hAnsiTheme="minorBidi"/>
          <w:b/>
          <w:bCs/>
          <w:sz w:val="22"/>
          <w:szCs w:val="22"/>
          <w:lang w:eastAsia="en-GB"/>
        </w:rPr>
        <w:t>Talent Acquisition and Retention</w:t>
      </w:r>
    </w:p>
    <w:p w14:paraId="136F4A0C" w14:textId="032C883E" w:rsidR="0060592A" w:rsidRPr="000777AA" w:rsidRDefault="00266E0F" w:rsidP="003A65CC">
      <w:pPr>
        <w:spacing w:before="100" w:beforeAutospacing="1" w:after="100" w:afterAutospacing="1" w:line="360" w:lineRule="auto"/>
        <w:rPr>
          <w:rFonts w:asciiTheme="minorBidi" w:eastAsia="Times New Roman" w:hAnsiTheme="minorBidi"/>
          <w:sz w:val="22"/>
          <w:szCs w:val="22"/>
          <w:lang w:eastAsia="en-GB"/>
        </w:rPr>
      </w:pPr>
      <w:r w:rsidRPr="000C0B50">
        <w:rPr>
          <w:rFonts w:asciiTheme="minorBidi" w:hAnsiTheme="minorBidi"/>
          <w:sz w:val="22"/>
          <w:szCs w:val="22"/>
        </w:rPr>
        <w:t>Many organisations now struggle not only to attract skilled employees but also to keep them engaged and committed over the long term.</w:t>
      </w:r>
      <w:r w:rsidR="007433D2" w:rsidRPr="00F233FC">
        <w:rPr>
          <w:rFonts w:asciiTheme="minorBidi" w:hAnsiTheme="minorBidi"/>
        </w:rPr>
        <w:t xml:space="preserve"> </w:t>
      </w:r>
      <w:r w:rsidR="0060592A" w:rsidRPr="000777AA">
        <w:rPr>
          <w:rFonts w:asciiTheme="minorBidi" w:eastAsia="Times New Roman" w:hAnsiTheme="minorBidi"/>
          <w:sz w:val="22"/>
          <w:szCs w:val="22"/>
          <w:lang w:eastAsia="en-GB"/>
        </w:rPr>
        <w:t>Competition for skilled workers has increased in recent years, and employees now place greater importance on factors such as work</w:t>
      </w:r>
      <w:r w:rsidR="000C0B50">
        <w:rPr>
          <w:rFonts w:asciiTheme="minorBidi" w:eastAsia="Times New Roman" w:hAnsiTheme="minorBidi"/>
          <w:sz w:val="22"/>
          <w:szCs w:val="22"/>
          <w:lang w:eastAsia="en-GB"/>
        </w:rPr>
        <w:t xml:space="preserve"> </w:t>
      </w:r>
      <w:r w:rsidR="0060592A" w:rsidRPr="000777AA">
        <w:rPr>
          <w:rFonts w:asciiTheme="minorBidi" w:eastAsia="Times New Roman" w:hAnsiTheme="minorBidi"/>
          <w:sz w:val="22"/>
          <w:szCs w:val="22"/>
          <w:lang w:eastAsia="en-GB"/>
        </w:rPr>
        <w:t>life balance, career development opportunities and workplace culture.</w:t>
      </w:r>
    </w:p>
    <w:p w14:paraId="2F7863C9" w14:textId="5A1BB8B1" w:rsidR="0060592A" w:rsidRPr="000777AA" w:rsidRDefault="0060592A" w:rsidP="003A65CC">
      <w:pPr>
        <w:spacing w:before="100" w:beforeAutospacing="1" w:after="100" w:afterAutospacing="1" w:line="360" w:lineRule="auto"/>
        <w:rPr>
          <w:rFonts w:asciiTheme="minorBidi" w:eastAsia="Times New Roman" w:hAnsiTheme="minorBidi"/>
          <w:sz w:val="22"/>
          <w:szCs w:val="22"/>
          <w:lang w:eastAsia="en-GB"/>
        </w:rPr>
      </w:pPr>
      <w:r w:rsidRPr="000777AA">
        <w:rPr>
          <w:rFonts w:asciiTheme="minorBidi" w:eastAsia="Times New Roman" w:hAnsiTheme="minorBidi"/>
          <w:sz w:val="22"/>
          <w:szCs w:val="22"/>
          <w:lang w:eastAsia="en-GB"/>
        </w:rPr>
        <w:t>For Tesco PLC, talent acquisition involves recruiting individuals who possess the skills, motivation and customer</w:t>
      </w:r>
      <w:r w:rsidR="000C0B50">
        <w:rPr>
          <w:rFonts w:asciiTheme="minorBidi" w:eastAsia="Times New Roman" w:hAnsiTheme="minorBidi"/>
          <w:sz w:val="22"/>
          <w:szCs w:val="22"/>
          <w:lang w:eastAsia="en-GB"/>
        </w:rPr>
        <w:t xml:space="preserve"> </w:t>
      </w:r>
      <w:r w:rsidRPr="000777AA">
        <w:rPr>
          <w:rFonts w:asciiTheme="minorBidi" w:eastAsia="Times New Roman" w:hAnsiTheme="minorBidi"/>
          <w:sz w:val="22"/>
          <w:szCs w:val="22"/>
          <w:lang w:eastAsia="en-GB"/>
        </w:rPr>
        <w:t>service orientation required in the retail industry. HR departments must design effective recruitment strategies to attract suitable candidates. These strategies may include online recruitment platforms, employer branding and structured selection processes.</w:t>
      </w:r>
    </w:p>
    <w:p w14:paraId="3898DD0D" w14:textId="77777777" w:rsidR="0060592A" w:rsidRPr="000777AA" w:rsidRDefault="0060592A" w:rsidP="003A65CC">
      <w:pPr>
        <w:spacing w:before="100" w:beforeAutospacing="1" w:after="100" w:afterAutospacing="1" w:line="360" w:lineRule="auto"/>
        <w:rPr>
          <w:rFonts w:asciiTheme="minorBidi" w:eastAsia="Times New Roman" w:hAnsiTheme="minorBidi"/>
          <w:sz w:val="22"/>
          <w:szCs w:val="22"/>
          <w:lang w:eastAsia="en-GB"/>
        </w:rPr>
      </w:pPr>
      <w:r w:rsidRPr="000777AA">
        <w:rPr>
          <w:rFonts w:asciiTheme="minorBidi" w:eastAsia="Times New Roman" w:hAnsiTheme="minorBidi"/>
          <w:sz w:val="22"/>
          <w:szCs w:val="22"/>
          <w:lang w:eastAsia="en-GB"/>
        </w:rPr>
        <w:t>Retention is equally important because high employee turnover can negatively affect organisational performance. Recruiting and training new employees requires time and financial resources, which makes it important for organisations to retain experienced staff. According to Armstrong and Taylor (2023), organisations can improve employee retention by providing opportunities for career development, recognising employee contributions and creating a positive work environment.</w:t>
      </w:r>
    </w:p>
    <w:p w14:paraId="19D101B3" w14:textId="77777777" w:rsidR="0060592A" w:rsidRPr="00F233FC" w:rsidRDefault="0060592A" w:rsidP="003A65CC">
      <w:pPr>
        <w:spacing w:before="100" w:beforeAutospacing="1" w:after="100" w:afterAutospacing="1" w:line="360" w:lineRule="auto"/>
        <w:rPr>
          <w:rFonts w:asciiTheme="minorBidi" w:eastAsia="Times New Roman" w:hAnsiTheme="minorBidi"/>
          <w:sz w:val="22"/>
          <w:szCs w:val="22"/>
          <w:lang w:eastAsia="en-GB"/>
        </w:rPr>
      </w:pPr>
      <w:r w:rsidRPr="000777AA">
        <w:rPr>
          <w:rFonts w:asciiTheme="minorBidi" w:eastAsia="Times New Roman" w:hAnsiTheme="minorBidi"/>
          <w:sz w:val="22"/>
          <w:szCs w:val="22"/>
          <w:lang w:eastAsia="en-GB"/>
        </w:rPr>
        <w:t>In large retail organisations, maintaining employee engagement across different locations can be challenging. Employees may feel less connected to the organisation if communication and management support are limited. Therefore, HR departments must develop strategies that strengthen employee engagement, encourage career progression and support employee wellbeing.</w:t>
      </w:r>
    </w:p>
    <w:p w14:paraId="6145E633" w14:textId="77777777" w:rsidR="003A65CC" w:rsidRDefault="003A65CC" w:rsidP="003A65CC">
      <w:pPr>
        <w:spacing w:before="100" w:beforeAutospacing="1" w:after="100" w:afterAutospacing="1" w:line="360" w:lineRule="auto"/>
        <w:rPr>
          <w:rFonts w:asciiTheme="minorBidi" w:eastAsia="Times New Roman" w:hAnsiTheme="minorBidi"/>
          <w:b/>
          <w:bCs/>
          <w:sz w:val="22"/>
          <w:szCs w:val="22"/>
          <w:lang w:eastAsia="en-GB"/>
        </w:rPr>
      </w:pPr>
    </w:p>
    <w:p w14:paraId="151AB3D8" w14:textId="77777777" w:rsidR="003A65CC" w:rsidRDefault="003A65CC" w:rsidP="003A65CC">
      <w:pPr>
        <w:spacing w:before="100" w:beforeAutospacing="1" w:after="100" w:afterAutospacing="1" w:line="360" w:lineRule="auto"/>
        <w:rPr>
          <w:rFonts w:asciiTheme="minorBidi" w:eastAsia="Times New Roman" w:hAnsiTheme="minorBidi"/>
          <w:b/>
          <w:bCs/>
          <w:sz w:val="22"/>
          <w:szCs w:val="22"/>
          <w:lang w:eastAsia="en-GB"/>
        </w:rPr>
      </w:pPr>
    </w:p>
    <w:p w14:paraId="35E453CA" w14:textId="519D282A" w:rsidR="0060592A" w:rsidRPr="00F233FC" w:rsidRDefault="0060592A" w:rsidP="003A65CC">
      <w:pPr>
        <w:spacing w:before="100" w:beforeAutospacing="1" w:after="100" w:afterAutospacing="1" w:line="360" w:lineRule="auto"/>
        <w:rPr>
          <w:rFonts w:asciiTheme="minorBidi" w:eastAsia="Times New Roman" w:hAnsiTheme="minorBidi"/>
          <w:sz w:val="22"/>
          <w:szCs w:val="22"/>
          <w:lang w:eastAsia="en-GB"/>
        </w:rPr>
      </w:pPr>
      <w:r w:rsidRPr="000777AA">
        <w:rPr>
          <w:rFonts w:asciiTheme="minorBidi" w:eastAsia="Times New Roman" w:hAnsiTheme="minorBidi"/>
          <w:b/>
          <w:bCs/>
          <w:sz w:val="22"/>
          <w:szCs w:val="22"/>
          <w:lang w:eastAsia="en-GB"/>
        </w:rPr>
        <w:lastRenderedPageBreak/>
        <w:t>Diversity, Equity and Inclusion (DEI)</w:t>
      </w:r>
    </w:p>
    <w:p w14:paraId="4820CA82" w14:textId="70B9B35B" w:rsidR="0060592A" w:rsidRPr="000777AA" w:rsidRDefault="005D6756" w:rsidP="003A65CC">
      <w:pPr>
        <w:spacing w:before="100" w:beforeAutospacing="1" w:after="100" w:afterAutospacing="1" w:line="360" w:lineRule="auto"/>
        <w:rPr>
          <w:rFonts w:asciiTheme="minorBidi" w:eastAsia="Times New Roman" w:hAnsiTheme="minorBidi"/>
          <w:sz w:val="22"/>
          <w:szCs w:val="22"/>
          <w:lang w:eastAsia="en-GB"/>
        </w:rPr>
      </w:pPr>
      <w:r w:rsidRPr="000C0B50">
        <w:rPr>
          <w:rFonts w:asciiTheme="minorBidi" w:hAnsiTheme="minorBidi"/>
          <w:sz w:val="22"/>
          <w:szCs w:val="22"/>
        </w:rPr>
        <w:t>Creating a fair and inclusive workplace has become a key focus for organisations that want to support employees from different backgrounds.</w:t>
      </w:r>
      <w:r w:rsidR="00B52FEE" w:rsidRPr="00F233FC">
        <w:rPr>
          <w:rFonts w:asciiTheme="minorBidi" w:hAnsiTheme="minorBidi"/>
        </w:rPr>
        <w:t xml:space="preserve"> </w:t>
      </w:r>
      <w:r w:rsidR="0060592A" w:rsidRPr="000777AA">
        <w:rPr>
          <w:rFonts w:asciiTheme="minorBidi" w:eastAsia="Times New Roman" w:hAnsiTheme="minorBidi"/>
          <w:sz w:val="22"/>
          <w:szCs w:val="22"/>
          <w:lang w:eastAsia="en-GB"/>
        </w:rPr>
        <w:t>A diverse workforce includes individuals from different cultural backgrounds, genders, ages, abilities and experiences. Promoting equality and fairness within the workplace can improve organisational performance and employee satisfaction.</w:t>
      </w:r>
    </w:p>
    <w:p w14:paraId="2D05A8E8" w14:textId="77777777" w:rsidR="0060592A" w:rsidRPr="000777AA" w:rsidRDefault="0060592A" w:rsidP="003A65CC">
      <w:pPr>
        <w:spacing w:before="100" w:beforeAutospacing="1" w:after="100" w:afterAutospacing="1" w:line="360" w:lineRule="auto"/>
        <w:rPr>
          <w:rFonts w:asciiTheme="minorBidi" w:eastAsia="Times New Roman" w:hAnsiTheme="minorBidi"/>
          <w:sz w:val="22"/>
          <w:szCs w:val="22"/>
          <w:lang w:eastAsia="en-GB"/>
        </w:rPr>
      </w:pPr>
      <w:r w:rsidRPr="000777AA">
        <w:rPr>
          <w:rFonts w:asciiTheme="minorBidi" w:eastAsia="Times New Roman" w:hAnsiTheme="minorBidi"/>
          <w:sz w:val="22"/>
          <w:szCs w:val="22"/>
          <w:lang w:eastAsia="en-GB"/>
        </w:rPr>
        <w:t>For organisations such as Tesco PLC, managing a diverse workforce requires HR departments to create policies that promote equal opportunities and prevent discrimination. Diversity can also provide organisations with new perspectives, innovative ideas and improved decision-making. Research suggests that inclusive organisations often experience higher levels of employee engagement and productivity (CIPD, 2023).</w:t>
      </w:r>
    </w:p>
    <w:p w14:paraId="4D2D914A" w14:textId="77777777" w:rsidR="0060592A" w:rsidRPr="000777AA" w:rsidRDefault="0060592A" w:rsidP="003A65CC">
      <w:pPr>
        <w:spacing w:before="100" w:beforeAutospacing="1" w:after="100" w:afterAutospacing="1" w:line="360" w:lineRule="auto"/>
        <w:rPr>
          <w:rFonts w:asciiTheme="minorBidi" w:eastAsia="Times New Roman" w:hAnsiTheme="minorBidi"/>
          <w:sz w:val="22"/>
          <w:szCs w:val="22"/>
          <w:lang w:eastAsia="en-GB"/>
        </w:rPr>
      </w:pPr>
      <w:r w:rsidRPr="000777AA">
        <w:rPr>
          <w:rFonts w:asciiTheme="minorBidi" w:eastAsia="Times New Roman" w:hAnsiTheme="minorBidi"/>
          <w:sz w:val="22"/>
          <w:szCs w:val="22"/>
          <w:lang w:eastAsia="en-GB"/>
        </w:rPr>
        <w:t>However, implementing effective DEI initiatives can be challenging. Simply introducing policies is not enough to create an inclusive workplace culture. Employees and managers must understand and actively support diversity initiatives in their daily interactions. HR departments must therefore provide training programmes that raise awareness about equality and inclusion.</w:t>
      </w:r>
    </w:p>
    <w:p w14:paraId="3BC053A9" w14:textId="3C721E1D" w:rsidR="004B641A" w:rsidRPr="000777AA" w:rsidRDefault="0060592A" w:rsidP="003A65CC">
      <w:pPr>
        <w:spacing w:before="100" w:beforeAutospacing="1" w:after="100" w:afterAutospacing="1" w:line="360" w:lineRule="auto"/>
        <w:rPr>
          <w:rFonts w:asciiTheme="minorBidi" w:eastAsia="Times New Roman" w:hAnsiTheme="minorBidi"/>
          <w:sz w:val="22"/>
          <w:szCs w:val="22"/>
          <w:lang w:eastAsia="en-GB"/>
        </w:rPr>
      </w:pPr>
      <w:r w:rsidRPr="000777AA">
        <w:rPr>
          <w:rFonts w:asciiTheme="minorBidi" w:eastAsia="Times New Roman" w:hAnsiTheme="minorBidi"/>
          <w:sz w:val="22"/>
          <w:szCs w:val="22"/>
          <w:lang w:eastAsia="en-GB"/>
        </w:rPr>
        <w:t>When diversity initiatives are supported by leadership and integrated into organisational practices, they can contribute significantly to improved organisational performance and employee wellbeing.</w:t>
      </w:r>
    </w:p>
    <w:p w14:paraId="22C8E244" w14:textId="751C858E" w:rsidR="00214172" w:rsidRPr="00F233FC" w:rsidRDefault="0060592A">
      <w:pPr>
        <w:rPr>
          <w:rFonts w:asciiTheme="minorBidi" w:eastAsia="Times New Roman" w:hAnsiTheme="minorBidi"/>
          <w:b/>
          <w:bCs/>
          <w:kern w:val="36"/>
          <w:sz w:val="28"/>
          <w:szCs w:val="28"/>
          <w:lang w:eastAsia="en-GB"/>
        </w:rPr>
      </w:pPr>
      <w:r w:rsidRPr="00F233FC">
        <w:rPr>
          <w:rFonts w:asciiTheme="minorBidi" w:eastAsia="Times New Roman" w:hAnsiTheme="minorBidi"/>
          <w:b/>
          <w:bCs/>
          <w:kern w:val="36"/>
          <w:sz w:val="28"/>
          <w:szCs w:val="28"/>
          <w:lang w:eastAsia="en-GB"/>
        </w:rPr>
        <w:t xml:space="preserve">2. </w:t>
      </w:r>
      <w:r w:rsidRPr="000777AA">
        <w:rPr>
          <w:rFonts w:asciiTheme="minorBidi" w:eastAsia="Times New Roman" w:hAnsiTheme="minorBidi"/>
          <w:b/>
          <w:bCs/>
          <w:kern w:val="36"/>
          <w:sz w:val="28"/>
          <w:szCs w:val="28"/>
          <w:lang w:eastAsia="en-GB"/>
        </w:rPr>
        <w:t>Contemporary HR Practices to Address These Factors</w:t>
      </w:r>
    </w:p>
    <w:p w14:paraId="0DCC41E4" w14:textId="3AECC3F2" w:rsidR="00EA0D69" w:rsidRPr="00DC6482" w:rsidRDefault="0060592A" w:rsidP="003A65CC">
      <w:pPr>
        <w:spacing w:before="100" w:beforeAutospacing="1" w:after="100" w:afterAutospacing="1" w:line="360" w:lineRule="auto"/>
        <w:rPr>
          <w:rFonts w:asciiTheme="minorBidi" w:eastAsia="Times New Roman" w:hAnsiTheme="minorBidi"/>
          <w:sz w:val="22"/>
          <w:szCs w:val="22"/>
          <w:lang w:eastAsia="en-GB"/>
        </w:rPr>
      </w:pPr>
      <w:r w:rsidRPr="000777AA">
        <w:rPr>
          <w:rFonts w:asciiTheme="minorBidi" w:eastAsia="Times New Roman" w:hAnsiTheme="minorBidi"/>
          <w:sz w:val="22"/>
          <w:szCs w:val="22"/>
          <w:lang w:eastAsia="en-GB"/>
        </w:rPr>
        <w:t>To address the challenges discussed above, organisations are increasingly adopting contemporary HR practices that focus on employee development, engagement and organisational culture.</w:t>
      </w:r>
      <w:r w:rsidR="00535E40" w:rsidRPr="00DC6482">
        <w:rPr>
          <w:rFonts w:asciiTheme="minorBidi" w:eastAsia="Times New Roman" w:hAnsiTheme="minorBidi"/>
          <w:sz w:val="22"/>
          <w:szCs w:val="22"/>
          <w:lang w:eastAsia="en-GB"/>
        </w:rPr>
        <w:t xml:space="preserve"> </w:t>
      </w:r>
      <w:r w:rsidR="004B02D1" w:rsidRPr="00DC6482">
        <w:rPr>
          <w:rFonts w:asciiTheme="minorBidi" w:hAnsiTheme="minorBidi"/>
          <w:sz w:val="22"/>
          <w:szCs w:val="22"/>
        </w:rPr>
        <w:t xml:space="preserve">These practices help organisations remain competitive while also improving employee satisfaction and performance. For large retail organisations such as </w:t>
      </w:r>
      <w:r w:rsidR="004B02D1" w:rsidRPr="00DC6482">
        <w:rPr>
          <w:rStyle w:val="whitespace-normal"/>
          <w:rFonts w:asciiTheme="minorBidi" w:hAnsiTheme="minorBidi"/>
          <w:sz w:val="22"/>
          <w:szCs w:val="22"/>
        </w:rPr>
        <w:t>Tesco</w:t>
      </w:r>
      <w:r w:rsidR="004B02D1" w:rsidRPr="00DC6482">
        <w:rPr>
          <w:rFonts w:asciiTheme="minorBidi" w:hAnsiTheme="minorBidi"/>
          <w:sz w:val="22"/>
          <w:szCs w:val="22"/>
        </w:rPr>
        <w:t>, effective HR strategies are essential to address technological changes, attract talented employees and promote diversity within the workforce.</w:t>
      </w:r>
    </w:p>
    <w:p w14:paraId="23E5BCE0" w14:textId="62EBDEB9" w:rsidR="00EA0D69" w:rsidRPr="00EA0D69" w:rsidRDefault="00EA0D69" w:rsidP="003A65CC">
      <w:pPr>
        <w:spacing w:before="100" w:beforeAutospacing="1" w:after="100" w:afterAutospacing="1" w:line="360" w:lineRule="auto"/>
        <w:rPr>
          <w:rFonts w:asciiTheme="minorBidi" w:eastAsia="Times New Roman" w:hAnsiTheme="minorBidi"/>
          <w:sz w:val="22"/>
          <w:szCs w:val="22"/>
          <w:lang w:eastAsia="en-GB"/>
        </w:rPr>
      </w:pPr>
      <w:r w:rsidRPr="00EA0D69">
        <w:rPr>
          <w:rFonts w:asciiTheme="minorBidi" w:eastAsia="Times New Roman" w:hAnsiTheme="minorBidi"/>
          <w:b/>
          <w:bCs/>
          <w:sz w:val="22"/>
          <w:szCs w:val="22"/>
          <w:lang w:val="en-GB" w:eastAsia="en-GB"/>
        </w:rPr>
        <w:t>Digital Learning and Development</w:t>
      </w:r>
    </w:p>
    <w:p w14:paraId="3F8BAA67" w14:textId="77777777" w:rsidR="00EA0D69" w:rsidRPr="00EA0D69" w:rsidRDefault="00EA0D69" w:rsidP="003A65CC">
      <w:pPr>
        <w:spacing w:before="100" w:beforeAutospacing="1" w:after="100" w:afterAutospacing="1" w:line="360" w:lineRule="auto"/>
        <w:rPr>
          <w:rFonts w:asciiTheme="minorBidi" w:eastAsia="Times New Roman" w:hAnsiTheme="minorBidi"/>
          <w:sz w:val="22"/>
          <w:szCs w:val="22"/>
          <w:lang w:val="en-GB" w:eastAsia="en-GB"/>
        </w:rPr>
      </w:pPr>
      <w:r w:rsidRPr="00EA0D69">
        <w:rPr>
          <w:rFonts w:asciiTheme="minorBidi" w:eastAsia="Times New Roman" w:hAnsiTheme="minorBidi"/>
          <w:sz w:val="22"/>
          <w:szCs w:val="22"/>
          <w:lang w:val="en-GB" w:eastAsia="en-GB"/>
        </w:rPr>
        <w:t xml:space="preserve">One important contemporary HR practice is the use of digital learning and development programmes. Technological advancements continue to reshape workplaces, meaning employees must regularly update their skills in order to remain productive. Organisations can </w:t>
      </w:r>
      <w:r w:rsidRPr="00EA0D69">
        <w:rPr>
          <w:rFonts w:asciiTheme="minorBidi" w:eastAsia="Times New Roman" w:hAnsiTheme="minorBidi"/>
          <w:sz w:val="22"/>
          <w:szCs w:val="22"/>
          <w:lang w:val="en-GB" w:eastAsia="en-GB"/>
        </w:rPr>
        <w:lastRenderedPageBreak/>
        <w:t>implement online learning platforms, virtual training sessions and digital training resources that allow employees to access learning materials whenever needed.</w:t>
      </w:r>
    </w:p>
    <w:p w14:paraId="6C1500C4" w14:textId="7C0B044E" w:rsidR="00EA0D69" w:rsidRPr="00EA0D69" w:rsidRDefault="00EA0D69" w:rsidP="003A65CC">
      <w:pPr>
        <w:spacing w:before="100" w:beforeAutospacing="1" w:after="100" w:afterAutospacing="1" w:line="360" w:lineRule="auto"/>
        <w:rPr>
          <w:rFonts w:asciiTheme="minorBidi" w:eastAsia="Times New Roman" w:hAnsiTheme="minorBidi"/>
          <w:sz w:val="22"/>
          <w:szCs w:val="22"/>
          <w:lang w:val="en-GB" w:eastAsia="en-GB"/>
        </w:rPr>
      </w:pPr>
      <w:r w:rsidRPr="00EA0D69">
        <w:rPr>
          <w:rFonts w:asciiTheme="minorBidi" w:eastAsia="Times New Roman" w:hAnsiTheme="minorBidi"/>
          <w:sz w:val="22"/>
          <w:szCs w:val="22"/>
          <w:lang w:val="en-GB" w:eastAsia="en-GB"/>
        </w:rPr>
        <w:t>Continuous learning helps employees develop the knowledge required to use modern workplace technologies effectively. According to Noe (2020), training and development programmes improve employee performance and support organisational productivity</w:t>
      </w:r>
      <w:r w:rsidR="00B647D7">
        <w:rPr>
          <w:rFonts w:asciiTheme="minorBidi" w:eastAsia="Times New Roman" w:hAnsiTheme="minorBidi"/>
          <w:sz w:val="22"/>
          <w:szCs w:val="22"/>
          <w:lang w:val="en-GB" w:eastAsia="en-GB"/>
        </w:rPr>
        <w:t>.</w:t>
      </w:r>
      <w:r w:rsidRPr="00EA0D69">
        <w:rPr>
          <w:rFonts w:asciiTheme="minorBidi" w:eastAsia="Times New Roman" w:hAnsiTheme="minorBidi"/>
          <w:sz w:val="22"/>
          <w:szCs w:val="22"/>
          <w:lang w:val="en-GB" w:eastAsia="en-GB"/>
        </w:rPr>
        <w:t xml:space="preserve"> Tesco PLC can introduce digital learning systems that enable employees to complete training modules remotely and at their own pace.</w:t>
      </w:r>
    </w:p>
    <w:p w14:paraId="523588BF" w14:textId="77777777" w:rsidR="00A73283" w:rsidRDefault="00EA0D69" w:rsidP="003A65CC">
      <w:pPr>
        <w:spacing w:before="100" w:beforeAutospacing="1" w:after="100" w:afterAutospacing="1" w:line="360" w:lineRule="auto"/>
        <w:rPr>
          <w:rFonts w:asciiTheme="minorBidi" w:eastAsia="Times New Roman" w:hAnsiTheme="minorBidi"/>
          <w:sz w:val="22"/>
          <w:szCs w:val="22"/>
          <w:lang w:val="en-GB" w:eastAsia="en-GB"/>
        </w:rPr>
      </w:pPr>
      <w:r w:rsidRPr="00EA0D69">
        <w:rPr>
          <w:rFonts w:asciiTheme="minorBidi" w:eastAsia="Times New Roman" w:hAnsiTheme="minorBidi"/>
          <w:sz w:val="22"/>
          <w:szCs w:val="22"/>
          <w:lang w:val="en-GB" w:eastAsia="en-GB"/>
        </w:rPr>
        <w:t>However, digital learning initiatives are not always successful if employees are not motivated to participate. Therefore, managers must encourage employees to engage in continuous learning and ensure that training opportunities are effectively integrated into everyday work activities.</w:t>
      </w:r>
    </w:p>
    <w:p w14:paraId="4E453308" w14:textId="039A5182" w:rsidR="005E70FC" w:rsidRPr="00DC6482" w:rsidRDefault="005E70FC" w:rsidP="003A65CC">
      <w:pPr>
        <w:spacing w:before="100" w:beforeAutospacing="1" w:after="100" w:afterAutospacing="1" w:line="360" w:lineRule="auto"/>
        <w:rPr>
          <w:rFonts w:asciiTheme="minorBidi" w:eastAsia="Times New Roman" w:hAnsiTheme="minorBidi"/>
          <w:sz w:val="22"/>
          <w:szCs w:val="22"/>
          <w:lang w:val="en-GB" w:eastAsia="en-GB"/>
        </w:rPr>
      </w:pPr>
      <w:r w:rsidRPr="00A73283">
        <w:rPr>
          <w:rFonts w:asciiTheme="minorBidi" w:hAnsiTheme="minorBidi"/>
          <w:b/>
          <w:bCs/>
          <w:sz w:val="22"/>
          <w:szCs w:val="22"/>
        </w:rPr>
        <w:t>Strategic</w:t>
      </w:r>
      <w:r w:rsidRPr="00DC6482">
        <w:rPr>
          <w:rFonts w:asciiTheme="minorBidi" w:hAnsiTheme="minorBidi"/>
          <w:sz w:val="22"/>
          <w:szCs w:val="22"/>
        </w:rPr>
        <w:t xml:space="preserve"> </w:t>
      </w:r>
      <w:r w:rsidRPr="00A73283">
        <w:rPr>
          <w:rFonts w:asciiTheme="minorBidi" w:hAnsiTheme="minorBidi"/>
          <w:b/>
          <w:bCs/>
          <w:sz w:val="22"/>
          <w:szCs w:val="22"/>
        </w:rPr>
        <w:t>Talent</w:t>
      </w:r>
      <w:r w:rsidRPr="00DC6482">
        <w:rPr>
          <w:rFonts w:asciiTheme="minorBidi" w:hAnsiTheme="minorBidi"/>
          <w:sz w:val="22"/>
          <w:szCs w:val="22"/>
        </w:rPr>
        <w:t xml:space="preserve"> </w:t>
      </w:r>
      <w:r w:rsidRPr="00A73283">
        <w:rPr>
          <w:rFonts w:asciiTheme="minorBidi" w:hAnsiTheme="minorBidi"/>
          <w:b/>
          <w:bCs/>
          <w:sz w:val="22"/>
          <w:szCs w:val="22"/>
        </w:rPr>
        <w:t>Management</w:t>
      </w:r>
    </w:p>
    <w:p w14:paraId="4FC38BA7" w14:textId="77777777" w:rsidR="005E70FC" w:rsidRPr="00DC6482" w:rsidRDefault="005E70FC" w:rsidP="003A65CC">
      <w:pPr>
        <w:pStyle w:val="NormalWeb"/>
        <w:spacing w:line="360" w:lineRule="auto"/>
        <w:rPr>
          <w:rFonts w:asciiTheme="minorBidi" w:hAnsiTheme="minorBidi" w:cstheme="minorBidi"/>
          <w:sz w:val="22"/>
          <w:szCs w:val="22"/>
        </w:rPr>
      </w:pPr>
      <w:r w:rsidRPr="00DC6482">
        <w:rPr>
          <w:rFonts w:asciiTheme="minorBidi" w:hAnsiTheme="minorBidi" w:cstheme="minorBidi"/>
          <w:sz w:val="22"/>
          <w:szCs w:val="22"/>
        </w:rPr>
        <w:t>Another contemporary HR practice is strategic talent management. Talent management focuses on identifying, developing and retaining employees who have the potential to contribute significantly to organisational success. Many organisations implement mentoring programmes, career development opportunities and performance management systems to support employee growth.</w:t>
      </w:r>
    </w:p>
    <w:p w14:paraId="1BD16607" w14:textId="77777777" w:rsidR="005E70FC" w:rsidRPr="00DC6482" w:rsidRDefault="005E70FC" w:rsidP="003A65CC">
      <w:pPr>
        <w:pStyle w:val="NormalWeb"/>
        <w:spacing w:line="360" w:lineRule="auto"/>
        <w:rPr>
          <w:rFonts w:asciiTheme="minorBidi" w:hAnsiTheme="minorBidi" w:cstheme="minorBidi"/>
          <w:sz w:val="22"/>
          <w:szCs w:val="22"/>
        </w:rPr>
      </w:pPr>
      <w:r w:rsidRPr="00DC6482">
        <w:rPr>
          <w:rFonts w:asciiTheme="minorBidi" w:hAnsiTheme="minorBidi" w:cstheme="minorBidi"/>
          <w:sz w:val="22"/>
          <w:szCs w:val="22"/>
        </w:rPr>
        <w:t xml:space="preserve">According to Armstrong and Taylor (2023), organisations that invest in talent management are more likely to retain skilled employees and improve organisational performance. In organisations such as </w:t>
      </w:r>
      <w:r w:rsidRPr="00DC6482">
        <w:rPr>
          <w:rStyle w:val="whitespace-normal"/>
          <w:rFonts w:asciiTheme="minorBidi" w:hAnsiTheme="minorBidi" w:cstheme="minorBidi"/>
          <w:sz w:val="22"/>
          <w:szCs w:val="22"/>
        </w:rPr>
        <w:t>Tesco PLC</w:t>
      </w:r>
      <w:r w:rsidRPr="00DC6482">
        <w:rPr>
          <w:rFonts w:asciiTheme="minorBidi" w:hAnsiTheme="minorBidi" w:cstheme="minorBidi"/>
          <w:sz w:val="22"/>
          <w:szCs w:val="22"/>
        </w:rPr>
        <w:t>, HR departments may identify high-performing employees and provide leadership development programmes or internal promotion opportunities.</w:t>
      </w:r>
    </w:p>
    <w:p w14:paraId="31B6DB35" w14:textId="77777777" w:rsidR="00CD7348" w:rsidRDefault="005E70FC" w:rsidP="003A65CC">
      <w:pPr>
        <w:pStyle w:val="NormalWeb"/>
        <w:spacing w:line="360" w:lineRule="auto"/>
        <w:rPr>
          <w:rFonts w:asciiTheme="minorBidi" w:hAnsiTheme="minorBidi" w:cstheme="minorBidi"/>
          <w:sz w:val="22"/>
          <w:szCs w:val="22"/>
        </w:rPr>
      </w:pPr>
      <w:r w:rsidRPr="00DC6482">
        <w:rPr>
          <w:rFonts w:asciiTheme="minorBidi" w:hAnsiTheme="minorBidi" w:cstheme="minorBidi"/>
          <w:sz w:val="22"/>
          <w:szCs w:val="22"/>
        </w:rPr>
        <w:t>These practices can increase employee motivation and job satisfaction because employees feel that their contributions are recognised and valued. However, talent management programmes can sometimes create perceptions of inequality if only a small number of employees receive development opportunities. HR departments must therefore ensure that career development opportunities are available to a wider group of employees to maintain fairness and transparency.</w:t>
      </w:r>
    </w:p>
    <w:p w14:paraId="2263AFB5" w14:textId="041EEEAB" w:rsidR="00821956" w:rsidRPr="00DC6482" w:rsidRDefault="00821956" w:rsidP="003A65CC">
      <w:pPr>
        <w:pStyle w:val="NormalWeb"/>
        <w:spacing w:line="360" w:lineRule="auto"/>
        <w:rPr>
          <w:rFonts w:asciiTheme="minorBidi" w:hAnsiTheme="minorBidi" w:cstheme="minorBidi"/>
          <w:sz w:val="22"/>
          <w:szCs w:val="22"/>
        </w:rPr>
      </w:pPr>
      <w:r w:rsidRPr="00CD7348">
        <w:rPr>
          <w:rFonts w:asciiTheme="minorBidi" w:hAnsiTheme="minorBidi" w:cstheme="minorBidi"/>
          <w:b/>
          <w:bCs/>
          <w:sz w:val="22"/>
          <w:szCs w:val="22"/>
        </w:rPr>
        <w:t>Flexible</w:t>
      </w:r>
      <w:r w:rsidRPr="00DC6482">
        <w:rPr>
          <w:rFonts w:asciiTheme="minorBidi" w:hAnsiTheme="minorBidi" w:cstheme="minorBidi"/>
          <w:sz w:val="22"/>
          <w:szCs w:val="22"/>
        </w:rPr>
        <w:t xml:space="preserve"> </w:t>
      </w:r>
      <w:r w:rsidRPr="00CD7348">
        <w:rPr>
          <w:rFonts w:asciiTheme="minorBidi" w:hAnsiTheme="minorBidi" w:cstheme="minorBidi"/>
          <w:b/>
          <w:bCs/>
          <w:sz w:val="22"/>
          <w:szCs w:val="22"/>
        </w:rPr>
        <w:t>Working</w:t>
      </w:r>
      <w:r w:rsidRPr="00DC6482">
        <w:rPr>
          <w:rFonts w:asciiTheme="minorBidi" w:hAnsiTheme="minorBidi" w:cstheme="minorBidi"/>
          <w:sz w:val="22"/>
          <w:szCs w:val="22"/>
        </w:rPr>
        <w:t xml:space="preserve"> </w:t>
      </w:r>
      <w:r w:rsidRPr="00CD7348">
        <w:rPr>
          <w:rFonts w:asciiTheme="minorBidi" w:hAnsiTheme="minorBidi" w:cstheme="minorBidi"/>
          <w:b/>
          <w:bCs/>
          <w:sz w:val="22"/>
          <w:szCs w:val="22"/>
        </w:rPr>
        <w:t>Practices</w:t>
      </w:r>
    </w:p>
    <w:p w14:paraId="65587A32" w14:textId="1D4BB640" w:rsidR="00821956" w:rsidRPr="00DC6482" w:rsidRDefault="00821956" w:rsidP="003A65CC">
      <w:pPr>
        <w:pStyle w:val="NormalWeb"/>
        <w:spacing w:line="360" w:lineRule="auto"/>
        <w:rPr>
          <w:rFonts w:asciiTheme="minorBidi" w:hAnsiTheme="minorBidi" w:cstheme="minorBidi"/>
          <w:sz w:val="22"/>
          <w:szCs w:val="22"/>
        </w:rPr>
      </w:pPr>
      <w:r w:rsidRPr="00DC6482">
        <w:rPr>
          <w:rFonts w:asciiTheme="minorBidi" w:hAnsiTheme="minorBidi" w:cstheme="minorBidi"/>
          <w:sz w:val="22"/>
          <w:szCs w:val="22"/>
        </w:rPr>
        <w:t>Flexible working arrangements have also become an important HR practice in modern organisations. Flexible schedules, remote working options and work</w:t>
      </w:r>
      <w:r w:rsidR="00662EF0">
        <w:rPr>
          <w:rFonts w:asciiTheme="minorBidi" w:hAnsiTheme="minorBidi" w:cstheme="minorBidi"/>
          <w:sz w:val="22"/>
          <w:szCs w:val="22"/>
        </w:rPr>
        <w:t>-</w:t>
      </w:r>
      <w:r w:rsidRPr="00DC6482">
        <w:rPr>
          <w:rFonts w:asciiTheme="minorBidi" w:hAnsiTheme="minorBidi" w:cstheme="minorBidi"/>
          <w:sz w:val="22"/>
          <w:szCs w:val="22"/>
        </w:rPr>
        <w:t>life balance initiatives allow employees to better manage their personal and professional responsibilities.</w:t>
      </w:r>
    </w:p>
    <w:p w14:paraId="0E54C4A5" w14:textId="77777777" w:rsidR="00821956" w:rsidRPr="00DC6482" w:rsidRDefault="00821956" w:rsidP="003A65CC">
      <w:pPr>
        <w:pStyle w:val="NormalWeb"/>
        <w:spacing w:line="360" w:lineRule="auto"/>
        <w:rPr>
          <w:rFonts w:asciiTheme="minorBidi" w:hAnsiTheme="minorBidi" w:cstheme="minorBidi"/>
          <w:sz w:val="22"/>
          <w:szCs w:val="22"/>
        </w:rPr>
      </w:pPr>
      <w:r w:rsidRPr="00DC6482">
        <w:rPr>
          <w:rFonts w:asciiTheme="minorBidi" w:hAnsiTheme="minorBidi" w:cstheme="minorBidi"/>
          <w:sz w:val="22"/>
          <w:szCs w:val="22"/>
        </w:rPr>
        <w:lastRenderedPageBreak/>
        <w:t>Research suggests that flexible working arrangements can improve employee satisfaction, engagement and productivity (CIPD, 2024). Employees who feel that their wellbeing is supported are more likely to remain committed to the organisation and perform effectively.</w:t>
      </w:r>
    </w:p>
    <w:p w14:paraId="4D449C61" w14:textId="1BB68B0C" w:rsidR="00BC1A0C" w:rsidRDefault="00821956" w:rsidP="003A65CC">
      <w:pPr>
        <w:pStyle w:val="NormalWeb"/>
        <w:spacing w:line="360" w:lineRule="auto"/>
        <w:rPr>
          <w:rFonts w:asciiTheme="minorBidi" w:hAnsiTheme="minorBidi" w:cstheme="minorBidi"/>
          <w:sz w:val="22"/>
          <w:szCs w:val="22"/>
        </w:rPr>
      </w:pPr>
      <w:r w:rsidRPr="00DC6482">
        <w:rPr>
          <w:rFonts w:asciiTheme="minorBidi" w:hAnsiTheme="minorBidi" w:cstheme="minorBidi"/>
          <w:sz w:val="22"/>
          <w:szCs w:val="22"/>
        </w:rPr>
        <w:t xml:space="preserve">However, implementing flexible working practices can be more difficult in retail organisations where employees are required to work in physical store environments. </w:t>
      </w:r>
      <w:r w:rsidRPr="00DC6482">
        <w:rPr>
          <w:rStyle w:val="whitespace-normal"/>
          <w:rFonts w:asciiTheme="minorBidi" w:hAnsiTheme="minorBidi" w:cstheme="minorBidi"/>
          <w:sz w:val="22"/>
          <w:szCs w:val="22"/>
        </w:rPr>
        <w:t>Tesco PLC</w:t>
      </w:r>
      <w:r w:rsidRPr="00DC6482">
        <w:rPr>
          <w:rFonts w:asciiTheme="minorBidi" w:hAnsiTheme="minorBidi" w:cstheme="minorBidi"/>
          <w:sz w:val="22"/>
          <w:szCs w:val="22"/>
        </w:rPr>
        <w:t xml:space="preserve"> </w:t>
      </w:r>
      <w:r w:rsidR="00B647D7">
        <w:rPr>
          <w:rFonts w:asciiTheme="minorBidi" w:hAnsiTheme="minorBidi" w:cstheme="minorBidi"/>
          <w:sz w:val="22"/>
          <w:szCs w:val="22"/>
        </w:rPr>
        <w:t xml:space="preserve">has </w:t>
      </w:r>
      <w:r w:rsidRPr="00DC6482">
        <w:rPr>
          <w:rFonts w:asciiTheme="minorBidi" w:hAnsiTheme="minorBidi" w:cstheme="minorBidi"/>
          <w:sz w:val="22"/>
          <w:szCs w:val="22"/>
        </w:rPr>
        <w:t>therefore develop</w:t>
      </w:r>
      <w:r w:rsidR="00B647D7">
        <w:rPr>
          <w:rFonts w:asciiTheme="minorBidi" w:hAnsiTheme="minorBidi" w:cstheme="minorBidi"/>
          <w:sz w:val="22"/>
          <w:szCs w:val="22"/>
        </w:rPr>
        <w:t>ed</w:t>
      </w:r>
      <w:r w:rsidRPr="00DC6482">
        <w:rPr>
          <w:rFonts w:asciiTheme="minorBidi" w:hAnsiTheme="minorBidi" w:cstheme="minorBidi"/>
          <w:sz w:val="22"/>
          <w:szCs w:val="22"/>
        </w:rPr>
        <w:t xml:space="preserve"> flexible shift patterns </w:t>
      </w:r>
      <w:r w:rsidR="00B647D7">
        <w:rPr>
          <w:rFonts w:asciiTheme="minorBidi" w:hAnsiTheme="minorBidi" w:cstheme="minorBidi"/>
          <w:sz w:val="22"/>
          <w:szCs w:val="22"/>
        </w:rPr>
        <w:t>and</w:t>
      </w:r>
      <w:r w:rsidRPr="00DC6482">
        <w:rPr>
          <w:rFonts w:asciiTheme="minorBidi" w:hAnsiTheme="minorBidi" w:cstheme="minorBidi"/>
          <w:sz w:val="22"/>
          <w:szCs w:val="22"/>
        </w:rPr>
        <w:t xml:space="preserve"> part-time working arrangements that support employee wellbeing while maintaining operational efficiency.</w:t>
      </w:r>
    </w:p>
    <w:p w14:paraId="00AC9AA6" w14:textId="031810AE" w:rsidR="00821956" w:rsidRPr="00673224" w:rsidRDefault="00821956" w:rsidP="003A65CC">
      <w:pPr>
        <w:pStyle w:val="NormalWeb"/>
        <w:spacing w:line="360" w:lineRule="auto"/>
        <w:rPr>
          <w:rFonts w:asciiTheme="minorBidi" w:hAnsiTheme="minorBidi" w:cstheme="minorBidi"/>
          <w:b/>
          <w:bCs/>
          <w:sz w:val="22"/>
          <w:szCs w:val="22"/>
        </w:rPr>
      </w:pPr>
      <w:r w:rsidRPr="00673224">
        <w:rPr>
          <w:rFonts w:asciiTheme="minorBidi" w:hAnsiTheme="minorBidi" w:cstheme="minorBidi"/>
          <w:b/>
          <w:bCs/>
          <w:sz w:val="22"/>
          <w:szCs w:val="22"/>
        </w:rPr>
        <w:t>Diversity, Equity and Inclusion Practices</w:t>
      </w:r>
    </w:p>
    <w:p w14:paraId="78B59583" w14:textId="77777777" w:rsidR="00821956" w:rsidRPr="00DC6482" w:rsidRDefault="00821956" w:rsidP="003A65CC">
      <w:pPr>
        <w:pStyle w:val="NormalWeb"/>
        <w:spacing w:line="360" w:lineRule="auto"/>
        <w:rPr>
          <w:rFonts w:asciiTheme="minorBidi" w:hAnsiTheme="minorBidi" w:cstheme="minorBidi"/>
          <w:sz w:val="22"/>
          <w:szCs w:val="22"/>
        </w:rPr>
      </w:pPr>
      <w:r w:rsidRPr="00DC6482">
        <w:rPr>
          <w:rFonts w:asciiTheme="minorBidi" w:hAnsiTheme="minorBidi" w:cstheme="minorBidi"/>
          <w:sz w:val="22"/>
          <w:szCs w:val="22"/>
        </w:rPr>
        <w:t>Many organisations are also implementing HR practices that promote diversity, equity and inclusion in the workplace. These practices may include diversity training, inclusive recruitment strategies and employee networks that support individuals from different backgrounds.</w:t>
      </w:r>
    </w:p>
    <w:p w14:paraId="6935C02B" w14:textId="77777777" w:rsidR="00821956" w:rsidRPr="00DC6482" w:rsidRDefault="00821956" w:rsidP="003A65CC">
      <w:pPr>
        <w:pStyle w:val="NormalWeb"/>
        <w:spacing w:line="360" w:lineRule="auto"/>
        <w:rPr>
          <w:rFonts w:asciiTheme="minorBidi" w:hAnsiTheme="minorBidi" w:cstheme="minorBidi"/>
          <w:sz w:val="22"/>
          <w:szCs w:val="22"/>
        </w:rPr>
      </w:pPr>
      <w:r w:rsidRPr="00DC6482">
        <w:rPr>
          <w:rFonts w:asciiTheme="minorBidi" w:hAnsiTheme="minorBidi" w:cstheme="minorBidi"/>
          <w:sz w:val="22"/>
          <w:szCs w:val="22"/>
        </w:rPr>
        <w:t>Inclusive HR policies help create a workplace culture where employees feel respected and valued. According to CIPD (2023), organisations that promote diversity and inclusion often experience higher levels of employee engagement and collaboration.</w:t>
      </w:r>
    </w:p>
    <w:p w14:paraId="78B45C14" w14:textId="77777777" w:rsidR="00673224" w:rsidRDefault="00821956" w:rsidP="003A65CC">
      <w:pPr>
        <w:pStyle w:val="NormalWeb"/>
        <w:spacing w:line="360" w:lineRule="auto"/>
        <w:rPr>
          <w:rFonts w:asciiTheme="minorBidi" w:hAnsiTheme="minorBidi" w:cstheme="minorBidi"/>
          <w:sz w:val="22"/>
          <w:szCs w:val="22"/>
        </w:rPr>
      </w:pPr>
      <w:r w:rsidRPr="00DC6482">
        <w:rPr>
          <w:rFonts w:asciiTheme="minorBidi" w:hAnsiTheme="minorBidi" w:cstheme="minorBidi"/>
          <w:sz w:val="22"/>
          <w:szCs w:val="22"/>
        </w:rPr>
        <w:t xml:space="preserve">For organisations with large and diverse workforces such as </w:t>
      </w:r>
      <w:r w:rsidRPr="00DC6482">
        <w:rPr>
          <w:rStyle w:val="whitespace-normal"/>
          <w:rFonts w:asciiTheme="minorBidi" w:hAnsiTheme="minorBidi" w:cstheme="minorBidi"/>
          <w:sz w:val="22"/>
          <w:szCs w:val="22"/>
        </w:rPr>
        <w:t>Tesco PLC</w:t>
      </w:r>
      <w:r w:rsidRPr="00DC6482">
        <w:rPr>
          <w:rFonts w:asciiTheme="minorBidi" w:hAnsiTheme="minorBidi" w:cstheme="minorBidi"/>
          <w:sz w:val="22"/>
          <w:szCs w:val="22"/>
        </w:rPr>
        <w:t>, inclusive HR practices also support compliance with equality legislation and promote fair treatment of employees. However, simply introducing policies is not enough. Managers and employees must actively support inclusive behaviours in everyday workplace interactions to ensure that diversity initiatives are effective.</w:t>
      </w:r>
    </w:p>
    <w:p w14:paraId="1CACF84A" w14:textId="6DF8B13D" w:rsidR="00DC6482" w:rsidRPr="00673224" w:rsidRDefault="00DC6482" w:rsidP="003A65CC">
      <w:pPr>
        <w:pStyle w:val="NormalWeb"/>
        <w:spacing w:line="360" w:lineRule="auto"/>
        <w:rPr>
          <w:rFonts w:asciiTheme="minorBidi" w:hAnsiTheme="minorBidi" w:cstheme="minorBidi"/>
          <w:b/>
          <w:bCs/>
          <w:sz w:val="22"/>
          <w:szCs w:val="22"/>
        </w:rPr>
      </w:pPr>
      <w:r w:rsidRPr="00673224">
        <w:rPr>
          <w:rFonts w:asciiTheme="minorBidi" w:hAnsiTheme="minorBidi" w:cstheme="minorBidi"/>
          <w:b/>
          <w:bCs/>
          <w:sz w:val="22"/>
          <w:szCs w:val="22"/>
        </w:rPr>
        <w:t>Summary</w:t>
      </w:r>
    </w:p>
    <w:p w14:paraId="52660064" w14:textId="77777777" w:rsidR="004E19CE" w:rsidRDefault="00DC6482" w:rsidP="003A65CC">
      <w:pPr>
        <w:pStyle w:val="NormalWeb"/>
        <w:spacing w:line="360" w:lineRule="auto"/>
        <w:rPr>
          <w:rFonts w:asciiTheme="minorBidi" w:hAnsiTheme="minorBidi" w:cstheme="minorBidi"/>
          <w:sz w:val="22"/>
          <w:szCs w:val="22"/>
        </w:rPr>
      </w:pPr>
      <w:r w:rsidRPr="00DC6482">
        <w:rPr>
          <w:rFonts w:asciiTheme="minorBidi" w:hAnsiTheme="minorBidi" w:cstheme="minorBidi"/>
          <w:sz w:val="22"/>
          <w:szCs w:val="22"/>
        </w:rPr>
        <w:t xml:space="preserve">Overall, contemporary HR practices focus on improving employee development, engagement and organisational culture. Practices such as digital learning, talent management, flexible working and diversity initiatives help organisations adapt to technological change, attract skilled employees and create inclusive workplaces. </w:t>
      </w:r>
    </w:p>
    <w:p w14:paraId="1729745D" w14:textId="34B629BF" w:rsidR="004E19CE" w:rsidRDefault="004E19CE" w:rsidP="00E373E9">
      <w:pPr>
        <w:pStyle w:val="NormalWeb"/>
        <w:rPr>
          <w:rFonts w:asciiTheme="minorBidi" w:hAnsiTheme="minorBidi" w:cstheme="minorBidi"/>
          <w:sz w:val="22"/>
          <w:szCs w:val="22"/>
        </w:rPr>
      </w:pPr>
    </w:p>
    <w:p w14:paraId="4B6C49FF" w14:textId="145F8BAA" w:rsidR="003A65CC" w:rsidRDefault="003A65CC" w:rsidP="00E373E9">
      <w:pPr>
        <w:pStyle w:val="NormalWeb"/>
        <w:rPr>
          <w:rFonts w:asciiTheme="minorBidi" w:hAnsiTheme="minorBidi" w:cstheme="minorBidi"/>
          <w:sz w:val="22"/>
          <w:szCs w:val="22"/>
        </w:rPr>
      </w:pPr>
    </w:p>
    <w:p w14:paraId="307DABEF" w14:textId="77777777" w:rsidR="003A65CC" w:rsidRDefault="003A65CC" w:rsidP="00E373E9">
      <w:pPr>
        <w:pStyle w:val="NormalWeb"/>
        <w:rPr>
          <w:rFonts w:asciiTheme="minorBidi" w:hAnsiTheme="minorBidi" w:cstheme="minorBidi"/>
          <w:sz w:val="22"/>
          <w:szCs w:val="22"/>
        </w:rPr>
      </w:pPr>
    </w:p>
    <w:p w14:paraId="1E49C67F" w14:textId="2E29DDA9" w:rsidR="000A5719" w:rsidRPr="002E097F" w:rsidRDefault="000A5719" w:rsidP="00E373E9">
      <w:pPr>
        <w:pStyle w:val="NormalWeb"/>
        <w:rPr>
          <w:rFonts w:asciiTheme="minorBidi" w:hAnsiTheme="minorBidi" w:cstheme="minorBidi"/>
          <w:b/>
          <w:bCs/>
          <w:sz w:val="28"/>
          <w:szCs w:val="28"/>
        </w:rPr>
      </w:pPr>
      <w:r w:rsidRPr="002E097F">
        <w:rPr>
          <w:rFonts w:asciiTheme="minorBidi" w:hAnsiTheme="minorBidi" w:cstheme="minorBidi"/>
          <w:b/>
          <w:bCs/>
          <w:sz w:val="28"/>
          <w:szCs w:val="28"/>
        </w:rPr>
        <w:lastRenderedPageBreak/>
        <w:t>3. Critical Evaluation of How Departmental Managers Can Ensure Urgent Implementation of Contemporary HR Practices</w:t>
      </w:r>
    </w:p>
    <w:p w14:paraId="325B3EEE" w14:textId="77777777" w:rsidR="00A23AAF" w:rsidRDefault="00796D61" w:rsidP="003A65CC">
      <w:pPr>
        <w:pStyle w:val="NormalWeb"/>
        <w:spacing w:line="360" w:lineRule="auto"/>
        <w:rPr>
          <w:rFonts w:ascii="Arial" w:hAnsi="Arial" w:cs="Arial"/>
          <w:sz w:val="22"/>
          <w:szCs w:val="22"/>
        </w:rPr>
      </w:pPr>
      <w:r w:rsidRPr="00796D61">
        <w:rPr>
          <w:rFonts w:ascii="Arial" w:hAnsi="Arial" w:cs="Arial"/>
          <w:sz w:val="22"/>
          <w:szCs w:val="22"/>
        </w:rPr>
        <w:t xml:space="preserve">Departmental managers play a crucial role in ensuring that HR policies and strategies are effectively implemented within organisations. While HR departments design policies and programmes, managers are responsible for applying these initiatives in everyday workplace practices. In organisations such as </w:t>
      </w:r>
      <w:r w:rsidRPr="00796D61">
        <w:rPr>
          <w:rStyle w:val="whitespace-normal"/>
          <w:rFonts w:ascii="Arial" w:hAnsi="Arial" w:cs="Arial"/>
          <w:sz w:val="22"/>
          <w:szCs w:val="22"/>
        </w:rPr>
        <w:t>Tesco PLC</w:t>
      </w:r>
      <w:r w:rsidRPr="00796D61">
        <w:rPr>
          <w:rFonts w:ascii="Arial" w:hAnsi="Arial" w:cs="Arial"/>
          <w:sz w:val="22"/>
          <w:szCs w:val="22"/>
        </w:rPr>
        <w:t>, departmental managers must act quickly and effectively to ensure that contemporary HR practices such as digital training, talent management and diversity initiatives are implemented across teams.</w:t>
      </w:r>
    </w:p>
    <w:p w14:paraId="37124417" w14:textId="290EA84C" w:rsidR="00796D61" w:rsidRPr="00A23AAF" w:rsidRDefault="00796D61" w:rsidP="003A65CC">
      <w:pPr>
        <w:pStyle w:val="NormalWeb"/>
        <w:spacing w:line="360" w:lineRule="auto"/>
        <w:rPr>
          <w:rFonts w:ascii="Arial" w:hAnsi="Arial" w:cs="Arial"/>
          <w:b/>
          <w:bCs/>
          <w:sz w:val="22"/>
          <w:szCs w:val="22"/>
        </w:rPr>
      </w:pPr>
      <w:r w:rsidRPr="00A23AAF">
        <w:rPr>
          <w:rFonts w:ascii="Arial" w:hAnsi="Arial" w:cs="Arial"/>
          <w:b/>
          <w:bCs/>
          <w:sz w:val="22"/>
          <w:szCs w:val="22"/>
        </w:rPr>
        <w:t>Leadership and Communication</w:t>
      </w:r>
    </w:p>
    <w:p w14:paraId="52CB0716" w14:textId="77777777" w:rsidR="00796D61" w:rsidRPr="00796D61" w:rsidRDefault="00796D61" w:rsidP="003A65CC">
      <w:pPr>
        <w:pStyle w:val="NormalWeb"/>
        <w:spacing w:line="360" w:lineRule="auto"/>
        <w:rPr>
          <w:rFonts w:ascii="Arial" w:hAnsi="Arial" w:cs="Arial"/>
          <w:sz w:val="22"/>
          <w:szCs w:val="22"/>
        </w:rPr>
      </w:pPr>
      <w:r w:rsidRPr="00796D61">
        <w:rPr>
          <w:rFonts w:ascii="Arial" w:hAnsi="Arial" w:cs="Arial"/>
          <w:sz w:val="22"/>
          <w:szCs w:val="22"/>
        </w:rPr>
        <w:t>One of the key ways managers can ensure effective implementation is through strong leadership and clear communication. Managers must explain the purpose and benefits of HR initiatives so employees understand why these practices are necessary. When employees understand organisational goals, they are more likely to support initiatives such as training programmes or diversity policies.</w:t>
      </w:r>
    </w:p>
    <w:p w14:paraId="55494744" w14:textId="77777777" w:rsidR="00A23AAF" w:rsidRDefault="00796D61" w:rsidP="003A65CC">
      <w:pPr>
        <w:pStyle w:val="NormalWeb"/>
        <w:spacing w:line="360" w:lineRule="auto"/>
        <w:rPr>
          <w:rFonts w:ascii="Arial" w:hAnsi="Arial" w:cs="Arial"/>
          <w:sz w:val="22"/>
          <w:szCs w:val="22"/>
        </w:rPr>
      </w:pPr>
      <w:r w:rsidRPr="00796D61">
        <w:rPr>
          <w:rFonts w:ascii="Arial" w:hAnsi="Arial" w:cs="Arial"/>
          <w:sz w:val="22"/>
          <w:szCs w:val="22"/>
        </w:rPr>
        <w:t>According to Armstrong and Taylor (2023), effective leadership plays an important role in implementing HR strategies successfully. Managers should communicate regularly with employees about organisational changes and encourage feedback from staff. In addition, managers must demonstrate commitment to these practices through their behaviour. For example, when managers actively support training programmes and inclusive behaviours, employees are more likely to adopt these practices themselves</w:t>
      </w:r>
      <w:r w:rsidR="00A23AAF">
        <w:rPr>
          <w:rFonts w:ascii="Arial" w:hAnsi="Arial" w:cs="Arial"/>
          <w:sz w:val="22"/>
          <w:szCs w:val="22"/>
        </w:rPr>
        <w:t>.</w:t>
      </w:r>
    </w:p>
    <w:p w14:paraId="76F8AC12" w14:textId="2A749372" w:rsidR="00796D61" w:rsidRPr="00A23AAF" w:rsidRDefault="00796D61" w:rsidP="003A65CC">
      <w:pPr>
        <w:pStyle w:val="NormalWeb"/>
        <w:spacing w:line="360" w:lineRule="auto"/>
        <w:rPr>
          <w:rFonts w:ascii="Arial" w:hAnsi="Arial" w:cs="Arial"/>
          <w:b/>
          <w:bCs/>
          <w:sz w:val="22"/>
          <w:szCs w:val="22"/>
        </w:rPr>
      </w:pPr>
      <w:r w:rsidRPr="00A23AAF">
        <w:rPr>
          <w:rFonts w:ascii="Arial" w:hAnsi="Arial" w:cs="Arial"/>
          <w:b/>
          <w:bCs/>
          <w:sz w:val="22"/>
          <w:szCs w:val="22"/>
        </w:rPr>
        <w:t>Supporting Employee Development</w:t>
      </w:r>
    </w:p>
    <w:p w14:paraId="3CEE1F3B" w14:textId="77777777" w:rsidR="00796D61" w:rsidRPr="00796D61" w:rsidRDefault="00796D61" w:rsidP="003A65CC">
      <w:pPr>
        <w:pStyle w:val="NormalWeb"/>
        <w:spacing w:line="360" w:lineRule="auto"/>
        <w:rPr>
          <w:rFonts w:ascii="Arial" w:hAnsi="Arial" w:cs="Arial"/>
          <w:sz w:val="22"/>
          <w:szCs w:val="22"/>
        </w:rPr>
      </w:pPr>
      <w:r w:rsidRPr="00796D61">
        <w:rPr>
          <w:rFonts w:ascii="Arial" w:hAnsi="Arial" w:cs="Arial"/>
          <w:sz w:val="22"/>
          <w:szCs w:val="22"/>
        </w:rPr>
        <w:t>Managers also play an important role in supporting employee learning and development. When organisations introduce digital learning platforms or training programmes, managers must encourage participation and ensure employees have sufficient time and resources to complete training activities.</w:t>
      </w:r>
    </w:p>
    <w:p w14:paraId="1630FB78" w14:textId="1082C862" w:rsidR="00796D61" w:rsidRPr="00796D61" w:rsidRDefault="005F57A7" w:rsidP="003A65CC">
      <w:pPr>
        <w:pStyle w:val="NormalWeb"/>
        <w:spacing w:line="360" w:lineRule="auto"/>
        <w:rPr>
          <w:rFonts w:ascii="Arial" w:hAnsi="Arial" w:cs="Arial"/>
          <w:sz w:val="22"/>
          <w:szCs w:val="22"/>
        </w:rPr>
      </w:pPr>
      <w:r>
        <w:rPr>
          <w:rFonts w:ascii="Arial" w:hAnsi="Arial" w:cs="Arial"/>
          <w:sz w:val="22"/>
          <w:szCs w:val="22"/>
        </w:rPr>
        <w:t xml:space="preserve">At </w:t>
      </w:r>
      <w:r w:rsidR="00796D61" w:rsidRPr="00796D61">
        <w:rPr>
          <w:rStyle w:val="whitespace-normal"/>
          <w:rFonts w:ascii="Arial" w:hAnsi="Arial" w:cs="Arial"/>
          <w:sz w:val="22"/>
          <w:szCs w:val="22"/>
        </w:rPr>
        <w:t>Tesco PLC</w:t>
      </w:r>
      <w:r w:rsidR="00796D61" w:rsidRPr="00796D61">
        <w:rPr>
          <w:rFonts w:ascii="Arial" w:hAnsi="Arial" w:cs="Arial"/>
          <w:sz w:val="22"/>
          <w:szCs w:val="22"/>
        </w:rPr>
        <w:t>, managers may adjust work schedules so employees can attend training sessions or complete online learning modules. According to Noe (2020), managers who actively support employee development contribute to improved workplace performance and skill development.</w:t>
      </w:r>
    </w:p>
    <w:p w14:paraId="3B1B837A" w14:textId="77777777" w:rsidR="00280CEC" w:rsidRDefault="00796D61" w:rsidP="003A65CC">
      <w:pPr>
        <w:pStyle w:val="NormalWeb"/>
        <w:spacing w:line="360" w:lineRule="auto"/>
        <w:rPr>
          <w:rFonts w:ascii="Arial" w:hAnsi="Arial" w:cs="Arial"/>
          <w:sz w:val="22"/>
          <w:szCs w:val="22"/>
        </w:rPr>
      </w:pPr>
      <w:r w:rsidRPr="00796D61">
        <w:rPr>
          <w:rFonts w:ascii="Arial" w:hAnsi="Arial" w:cs="Arial"/>
          <w:sz w:val="22"/>
          <w:szCs w:val="22"/>
        </w:rPr>
        <w:t xml:space="preserve">However, challenges can occur when managers focus mainly on short-term operational targets instead of long-term employee development. If training is treated as a low priority, </w:t>
      </w:r>
      <w:r w:rsidRPr="00796D61">
        <w:rPr>
          <w:rFonts w:ascii="Arial" w:hAnsi="Arial" w:cs="Arial"/>
          <w:sz w:val="22"/>
          <w:szCs w:val="22"/>
        </w:rPr>
        <w:lastRenderedPageBreak/>
        <w:t>employees may not fully engage with learning opportunities. Therefore, organisations must ensure that managers understand the strategic importance of employee development.</w:t>
      </w:r>
    </w:p>
    <w:p w14:paraId="5F3DBB56" w14:textId="198C6C18" w:rsidR="00796D61" w:rsidRPr="00280CEC" w:rsidRDefault="00796D61" w:rsidP="003A65CC">
      <w:pPr>
        <w:pStyle w:val="NormalWeb"/>
        <w:spacing w:line="360" w:lineRule="auto"/>
        <w:rPr>
          <w:rFonts w:ascii="Arial" w:hAnsi="Arial" w:cs="Arial"/>
          <w:b/>
          <w:bCs/>
          <w:sz w:val="22"/>
          <w:szCs w:val="22"/>
        </w:rPr>
      </w:pPr>
      <w:r w:rsidRPr="00280CEC">
        <w:rPr>
          <w:rFonts w:ascii="Arial" w:hAnsi="Arial" w:cs="Arial"/>
          <w:b/>
          <w:bCs/>
          <w:sz w:val="22"/>
          <w:szCs w:val="22"/>
        </w:rPr>
        <w:t>Promoting Inclusive Workplace Culture</w:t>
      </w:r>
    </w:p>
    <w:p w14:paraId="5E48C482" w14:textId="77777777" w:rsidR="00796D61" w:rsidRPr="00796D61" w:rsidRDefault="00796D61" w:rsidP="003A65CC">
      <w:pPr>
        <w:pStyle w:val="NormalWeb"/>
        <w:spacing w:line="360" w:lineRule="auto"/>
        <w:rPr>
          <w:rFonts w:ascii="Arial" w:hAnsi="Arial" w:cs="Arial"/>
          <w:sz w:val="22"/>
          <w:szCs w:val="22"/>
        </w:rPr>
      </w:pPr>
      <w:r w:rsidRPr="00796D61">
        <w:rPr>
          <w:rFonts w:ascii="Arial" w:hAnsi="Arial" w:cs="Arial"/>
          <w:sz w:val="22"/>
          <w:szCs w:val="22"/>
        </w:rPr>
        <w:t>Departmental managers also have significant influence in promoting diversity, equity and inclusion within their teams. Inclusive leadership involves treating employees fairly, respecting different perspectives and ensuring equal opportunities for all staff members. Managers should encourage collaboration among employees from different backgrounds and address behaviour that may lead to discrimination or exclusion.</w:t>
      </w:r>
    </w:p>
    <w:p w14:paraId="11E04BAD" w14:textId="5C5652E2" w:rsidR="005F57A7" w:rsidRDefault="00796D61" w:rsidP="003A65CC">
      <w:pPr>
        <w:pStyle w:val="NormalWeb"/>
        <w:spacing w:line="360" w:lineRule="auto"/>
        <w:rPr>
          <w:rFonts w:ascii="Arial" w:hAnsi="Arial" w:cs="Arial"/>
          <w:sz w:val="22"/>
          <w:szCs w:val="22"/>
        </w:rPr>
      </w:pPr>
      <w:r w:rsidRPr="00796D61">
        <w:rPr>
          <w:rFonts w:ascii="Arial" w:hAnsi="Arial" w:cs="Arial"/>
          <w:sz w:val="22"/>
          <w:szCs w:val="22"/>
        </w:rPr>
        <w:t xml:space="preserve">Research suggests that inclusive leadership can improve employee engagement and organisational performance (CIPD, 2023). </w:t>
      </w:r>
      <w:r w:rsidR="005F57A7">
        <w:rPr>
          <w:rFonts w:ascii="Arial" w:hAnsi="Arial" w:cs="Arial"/>
          <w:sz w:val="22"/>
          <w:szCs w:val="22"/>
        </w:rPr>
        <w:t xml:space="preserve">At TESCO PLC, </w:t>
      </w:r>
      <w:r w:rsidRPr="00796D61">
        <w:rPr>
          <w:rFonts w:ascii="Arial" w:hAnsi="Arial" w:cs="Arial"/>
          <w:sz w:val="22"/>
          <w:szCs w:val="22"/>
        </w:rPr>
        <w:t xml:space="preserve">with diverse workforces, managers must ensure that inclusion policies are reflected in daily interactions and decision-making processes. However, implementing diversity initiatives can be challenging if managers lack training or awareness about inclusive leadership. </w:t>
      </w:r>
      <w:r w:rsidR="005F57A7">
        <w:rPr>
          <w:rFonts w:ascii="Arial" w:hAnsi="Arial" w:cs="Arial"/>
          <w:sz w:val="22"/>
          <w:szCs w:val="22"/>
        </w:rPr>
        <w:t>TESCO PLC</w:t>
      </w:r>
      <w:r w:rsidRPr="00796D61">
        <w:rPr>
          <w:rFonts w:ascii="Arial" w:hAnsi="Arial" w:cs="Arial"/>
          <w:sz w:val="22"/>
          <w:szCs w:val="22"/>
        </w:rPr>
        <w:t xml:space="preserve"> should therefore provide leadership training programmes that help managers develop the skills needed to manage diverse teams effectively.</w:t>
      </w:r>
    </w:p>
    <w:p w14:paraId="3E4502B8" w14:textId="23459D46" w:rsidR="00796D61" w:rsidRPr="00280CEC" w:rsidRDefault="00796D61" w:rsidP="003A65CC">
      <w:pPr>
        <w:pStyle w:val="NormalWeb"/>
        <w:spacing w:line="360" w:lineRule="auto"/>
        <w:rPr>
          <w:rFonts w:ascii="Arial" w:hAnsi="Arial" w:cs="Arial"/>
          <w:b/>
          <w:bCs/>
          <w:sz w:val="22"/>
          <w:szCs w:val="22"/>
        </w:rPr>
      </w:pPr>
      <w:r w:rsidRPr="00280CEC">
        <w:rPr>
          <w:rFonts w:ascii="Arial" w:hAnsi="Arial" w:cs="Arial"/>
          <w:b/>
          <w:bCs/>
          <w:sz w:val="22"/>
          <w:szCs w:val="22"/>
        </w:rPr>
        <w:t>Monitoring and Accountability</w:t>
      </w:r>
    </w:p>
    <w:p w14:paraId="7886221C" w14:textId="77777777" w:rsidR="00796D61" w:rsidRPr="00796D61" w:rsidRDefault="00796D61" w:rsidP="003A65CC">
      <w:pPr>
        <w:pStyle w:val="NormalWeb"/>
        <w:spacing w:line="360" w:lineRule="auto"/>
        <w:rPr>
          <w:rFonts w:ascii="Arial" w:hAnsi="Arial" w:cs="Arial"/>
          <w:sz w:val="22"/>
          <w:szCs w:val="22"/>
        </w:rPr>
      </w:pPr>
      <w:r w:rsidRPr="00796D61">
        <w:rPr>
          <w:rFonts w:ascii="Arial" w:hAnsi="Arial" w:cs="Arial"/>
          <w:sz w:val="22"/>
          <w:szCs w:val="22"/>
        </w:rPr>
        <w:t>Another important responsibility of departmental managers is monitoring the effectiveness of HR initiatives. Managers should review employee performance, training participation and workplace engagement to determine whether HR practices are achieving their intended outcomes. Performance management systems and employee feedback mechanisms can help managers assess the effectiveness of HR strategies.</w:t>
      </w:r>
    </w:p>
    <w:p w14:paraId="0E863EF6" w14:textId="77777777" w:rsidR="004B621E" w:rsidRDefault="00796D61" w:rsidP="003A65CC">
      <w:pPr>
        <w:pStyle w:val="NormalWeb"/>
        <w:spacing w:line="360" w:lineRule="auto"/>
        <w:rPr>
          <w:rFonts w:ascii="Arial" w:hAnsi="Arial" w:cs="Arial"/>
          <w:sz w:val="22"/>
          <w:szCs w:val="22"/>
        </w:rPr>
      </w:pPr>
      <w:r w:rsidRPr="00796D61">
        <w:rPr>
          <w:rFonts w:ascii="Arial" w:hAnsi="Arial" w:cs="Arial"/>
          <w:sz w:val="22"/>
          <w:szCs w:val="22"/>
        </w:rPr>
        <w:t>Managers should also be held accountable for implementing HR policies within their departments. According to Boxall and Purcell (2016), linking HR objectives with managerial performance evaluations can encourage managers to prioritise HR initiatives. Without accountability, some managers may delay implementation due to operational pressures or competing priorities.</w:t>
      </w:r>
    </w:p>
    <w:p w14:paraId="0281E406" w14:textId="674CF600" w:rsidR="00796D61" w:rsidRPr="004B621E" w:rsidRDefault="00796D61" w:rsidP="003A65CC">
      <w:pPr>
        <w:pStyle w:val="NormalWeb"/>
        <w:spacing w:line="360" w:lineRule="auto"/>
        <w:rPr>
          <w:rFonts w:ascii="Arial" w:hAnsi="Arial" w:cs="Arial"/>
          <w:b/>
          <w:bCs/>
          <w:sz w:val="22"/>
          <w:szCs w:val="22"/>
        </w:rPr>
      </w:pPr>
      <w:r w:rsidRPr="004B621E">
        <w:rPr>
          <w:rFonts w:ascii="Arial" w:hAnsi="Arial" w:cs="Arial"/>
          <w:b/>
          <w:bCs/>
          <w:sz w:val="22"/>
          <w:szCs w:val="22"/>
        </w:rPr>
        <w:t>Overall Evaluation</w:t>
      </w:r>
    </w:p>
    <w:p w14:paraId="4C157885" w14:textId="18E4599D" w:rsidR="00796D61" w:rsidRPr="00796D61" w:rsidRDefault="00796D61" w:rsidP="003A65CC">
      <w:pPr>
        <w:pStyle w:val="NormalWeb"/>
        <w:spacing w:line="360" w:lineRule="auto"/>
        <w:rPr>
          <w:rFonts w:ascii="Arial" w:hAnsi="Arial" w:cs="Arial"/>
          <w:sz w:val="22"/>
          <w:szCs w:val="22"/>
        </w:rPr>
      </w:pPr>
      <w:r w:rsidRPr="00796D61">
        <w:rPr>
          <w:rFonts w:ascii="Arial" w:hAnsi="Arial" w:cs="Arial"/>
          <w:sz w:val="22"/>
          <w:szCs w:val="22"/>
        </w:rPr>
        <w:t xml:space="preserve">Overall, departmental managers are essential in ensuring that contemporary HR practices are implemented effectively. </w:t>
      </w:r>
      <w:r w:rsidR="005F57A7">
        <w:rPr>
          <w:rFonts w:ascii="Arial" w:hAnsi="Arial" w:cs="Arial"/>
          <w:sz w:val="22"/>
          <w:szCs w:val="22"/>
        </w:rPr>
        <w:t>At TESCO, t</w:t>
      </w:r>
      <w:r w:rsidRPr="00796D61">
        <w:rPr>
          <w:rFonts w:ascii="Arial" w:hAnsi="Arial" w:cs="Arial"/>
          <w:sz w:val="22"/>
          <w:szCs w:val="22"/>
        </w:rPr>
        <w:t xml:space="preserve">hrough strong leadership, support for employee development, promotion of inclusive cultures and continuous monitoring, managers can translate HR policies into practical workplace actions. However, successful implementation </w:t>
      </w:r>
      <w:r w:rsidRPr="00796D61">
        <w:rPr>
          <w:rFonts w:ascii="Arial" w:hAnsi="Arial" w:cs="Arial"/>
          <w:sz w:val="22"/>
          <w:szCs w:val="22"/>
        </w:rPr>
        <w:lastRenderedPageBreak/>
        <w:t>also requires adequate managerial training and organisational support to ensure that HR initiatives are prioritised across all departments.</w:t>
      </w:r>
    </w:p>
    <w:p w14:paraId="23146C8A" w14:textId="0BC7BB2F" w:rsidR="00E604F4" w:rsidRPr="00F233FC" w:rsidRDefault="00E604F4" w:rsidP="003A65CC">
      <w:pPr>
        <w:spacing w:before="100" w:beforeAutospacing="1" w:after="100" w:afterAutospacing="1" w:line="360" w:lineRule="auto"/>
        <w:rPr>
          <w:rFonts w:asciiTheme="minorBidi" w:eastAsia="Times New Roman" w:hAnsiTheme="minorBidi"/>
          <w:b/>
          <w:bCs/>
          <w:kern w:val="36"/>
          <w:sz w:val="28"/>
          <w:szCs w:val="28"/>
          <w:lang w:eastAsia="en-GB"/>
        </w:rPr>
      </w:pPr>
      <w:r w:rsidRPr="000777AA">
        <w:rPr>
          <w:rFonts w:asciiTheme="minorBidi" w:eastAsia="Times New Roman" w:hAnsiTheme="minorBidi"/>
          <w:b/>
          <w:bCs/>
          <w:kern w:val="36"/>
          <w:sz w:val="28"/>
          <w:szCs w:val="28"/>
          <w:lang w:eastAsia="en-GB"/>
        </w:rPr>
        <w:t>Conclusion</w:t>
      </w:r>
    </w:p>
    <w:p w14:paraId="7B463074" w14:textId="36870B81" w:rsidR="00E604F4" w:rsidRPr="000777AA" w:rsidRDefault="00E604F4" w:rsidP="003A65CC">
      <w:pPr>
        <w:spacing w:before="100" w:beforeAutospacing="1" w:after="100" w:afterAutospacing="1" w:line="360" w:lineRule="auto"/>
        <w:rPr>
          <w:rFonts w:asciiTheme="minorBidi" w:eastAsia="Times New Roman" w:hAnsiTheme="minorBidi"/>
          <w:sz w:val="22"/>
          <w:szCs w:val="22"/>
          <w:lang w:eastAsia="en-GB"/>
        </w:rPr>
      </w:pPr>
      <w:r w:rsidRPr="000777AA">
        <w:rPr>
          <w:rFonts w:asciiTheme="minorBidi" w:eastAsia="Times New Roman" w:hAnsiTheme="minorBidi"/>
          <w:sz w:val="22"/>
          <w:szCs w:val="22"/>
          <w:lang w:eastAsia="en-GB"/>
        </w:rPr>
        <w:t xml:space="preserve">In conclusion, modern organisations face significant </w:t>
      </w:r>
      <w:r w:rsidR="004512B9">
        <w:rPr>
          <w:rFonts w:asciiTheme="minorBidi" w:eastAsia="Times New Roman" w:hAnsiTheme="minorBidi"/>
          <w:sz w:val="22"/>
          <w:szCs w:val="22"/>
          <w:lang w:eastAsia="en-GB"/>
        </w:rPr>
        <w:t>HR</w:t>
      </w:r>
      <w:r w:rsidRPr="000777AA">
        <w:rPr>
          <w:rFonts w:asciiTheme="minorBidi" w:eastAsia="Times New Roman" w:hAnsiTheme="minorBidi"/>
          <w:sz w:val="22"/>
          <w:szCs w:val="22"/>
          <w:lang w:eastAsia="en-GB"/>
        </w:rPr>
        <w:t xml:space="preserve"> challenges that require effective management strategies. For organisations such as Tesco PLC, adapting to technological advancements, attracting and retaining talented employees and promoting diversity, equity and inclusion are essential for maintaining competitiveness and organisational performance.</w:t>
      </w:r>
    </w:p>
    <w:p w14:paraId="4EBDC05C" w14:textId="77777777" w:rsidR="00E604F4" w:rsidRPr="000777AA" w:rsidRDefault="00E604F4" w:rsidP="003A65CC">
      <w:pPr>
        <w:spacing w:before="100" w:beforeAutospacing="1" w:after="100" w:afterAutospacing="1" w:line="360" w:lineRule="auto"/>
        <w:rPr>
          <w:rFonts w:asciiTheme="minorBidi" w:eastAsia="Times New Roman" w:hAnsiTheme="minorBidi"/>
          <w:sz w:val="22"/>
          <w:szCs w:val="22"/>
          <w:lang w:eastAsia="en-GB"/>
        </w:rPr>
      </w:pPr>
      <w:r w:rsidRPr="000777AA">
        <w:rPr>
          <w:rFonts w:asciiTheme="minorBidi" w:eastAsia="Times New Roman" w:hAnsiTheme="minorBidi"/>
          <w:sz w:val="22"/>
          <w:szCs w:val="22"/>
          <w:lang w:eastAsia="en-GB"/>
        </w:rPr>
        <w:t>Technological development requires employees to continuously update their skills, while talent management strategies are necessary to attract and retain a motivated workforce. In addition, diversity and inclusion initiatives play an important role in creating a fair and supportive workplace environment.</w:t>
      </w:r>
    </w:p>
    <w:p w14:paraId="35FAFDA9" w14:textId="533B6AE2" w:rsidR="00E604F4" w:rsidRPr="00BE2692" w:rsidRDefault="00E604F4" w:rsidP="003A65CC">
      <w:pPr>
        <w:spacing w:before="100" w:beforeAutospacing="1" w:after="100" w:afterAutospacing="1" w:line="360" w:lineRule="auto"/>
        <w:rPr>
          <w:rFonts w:asciiTheme="minorBidi" w:eastAsia="Times New Roman" w:hAnsiTheme="minorBidi"/>
          <w:sz w:val="22"/>
          <w:szCs w:val="22"/>
          <w:lang w:eastAsia="en-GB"/>
        </w:rPr>
      </w:pPr>
      <w:r w:rsidRPr="000777AA">
        <w:rPr>
          <w:rFonts w:asciiTheme="minorBidi" w:eastAsia="Times New Roman" w:hAnsiTheme="minorBidi"/>
          <w:sz w:val="22"/>
          <w:szCs w:val="22"/>
          <w:lang w:eastAsia="en-GB"/>
        </w:rPr>
        <w:t>Although HR departments are responsible for designing policies and strategies, departmental managers play a key role in ensuring these practices are successfully implemented within the organisation.</w:t>
      </w:r>
    </w:p>
    <w:p w14:paraId="66C732A5" w14:textId="0DD0EAF9" w:rsidR="00E604F4" w:rsidRPr="000777AA" w:rsidRDefault="00E604F4" w:rsidP="003A65CC">
      <w:pPr>
        <w:spacing w:before="100" w:beforeAutospacing="1" w:after="100" w:afterAutospacing="1" w:line="360" w:lineRule="auto"/>
        <w:rPr>
          <w:rFonts w:asciiTheme="minorBidi" w:eastAsia="Times New Roman" w:hAnsiTheme="minorBidi"/>
          <w:b/>
          <w:bCs/>
          <w:kern w:val="36"/>
          <w:sz w:val="28"/>
          <w:szCs w:val="28"/>
          <w:lang w:eastAsia="en-GB"/>
        </w:rPr>
      </w:pPr>
      <w:r w:rsidRPr="000777AA">
        <w:rPr>
          <w:rFonts w:asciiTheme="minorBidi" w:eastAsia="Times New Roman" w:hAnsiTheme="minorBidi"/>
          <w:b/>
          <w:bCs/>
          <w:kern w:val="36"/>
          <w:sz w:val="28"/>
          <w:szCs w:val="28"/>
          <w:lang w:eastAsia="en-GB"/>
        </w:rPr>
        <w:t>Recommendations</w:t>
      </w:r>
    </w:p>
    <w:p w14:paraId="02EECC8C" w14:textId="77777777" w:rsidR="00E604F4" w:rsidRPr="000777AA" w:rsidRDefault="00E604F4" w:rsidP="003A65CC">
      <w:pPr>
        <w:spacing w:before="100" w:beforeAutospacing="1" w:after="100" w:afterAutospacing="1" w:line="360" w:lineRule="auto"/>
        <w:rPr>
          <w:rFonts w:asciiTheme="minorBidi" w:eastAsia="Times New Roman" w:hAnsiTheme="minorBidi"/>
          <w:sz w:val="22"/>
          <w:szCs w:val="22"/>
          <w:lang w:eastAsia="en-GB"/>
        </w:rPr>
      </w:pPr>
      <w:r w:rsidRPr="000777AA">
        <w:rPr>
          <w:rFonts w:asciiTheme="minorBidi" w:eastAsia="Times New Roman" w:hAnsiTheme="minorBidi"/>
          <w:sz w:val="22"/>
          <w:szCs w:val="22"/>
          <w:lang w:eastAsia="en-GB"/>
        </w:rPr>
        <w:t>• Tesco PLC should continue investing in digital training programmes to help employees adapt to technological changes.</w:t>
      </w:r>
    </w:p>
    <w:p w14:paraId="1E29B9DA" w14:textId="77777777" w:rsidR="00E604F4" w:rsidRPr="000777AA" w:rsidRDefault="00E604F4" w:rsidP="003A65CC">
      <w:pPr>
        <w:spacing w:before="100" w:beforeAutospacing="1" w:after="100" w:afterAutospacing="1" w:line="360" w:lineRule="auto"/>
        <w:rPr>
          <w:rFonts w:asciiTheme="minorBidi" w:eastAsia="Times New Roman" w:hAnsiTheme="minorBidi"/>
          <w:sz w:val="22"/>
          <w:szCs w:val="22"/>
          <w:lang w:eastAsia="en-GB"/>
        </w:rPr>
      </w:pPr>
      <w:r w:rsidRPr="000777AA">
        <w:rPr>
          <w:rFonts w:asciiTheme="minorBidi" w:eastAsia="Times New Roman" w:hAnsiTheme="minorBidi"/>
          <w:sz w:val="22"/>
          <w:szCs w:val="22"/>
          <w:lang w:eastAsia="en-GB"/>
        </w:rPr>
        <w:t>• The organisation should strengthen career development and employee engagement initiatives to improve talent retention.</w:t>
      </w:r>
    </w:p>
    <w:p w14:paraId="41CBB35E" w14:textId="77777777" w:rsidR="00E604F4" w:rsidRPr="000777AA" w:rsidRDefault="00E604F4" w:rsidP="003A65CC">
      <w:pPr>
        <w:spacing w:before="100" w:beforeAutospacing="1" w:after="100" w:afterAutospacing="1" w:line="360" w:lineRule="auto"/>
        <w:rPr>
          <w:rFonts w:asciiTheme="minorBidi" w:eastAsia="Times New Roman" w:hAnsiTheme="minorBidi"/>
          <w:sz w:val="22"/>
          <w:szCs w:val="22"/>
          <w:lang w:eastAsia="en-GB"/>
        </w:rPr>
      </w:pPr>
      <w:r w:rsidRPr="000777AA">
        <w:rPr>
          <w:rFonts w:asciiTheme="minorBidi" w:eastAsia="Times New Roman" w:hAnsiTheme="minorBidi"/>
          <w:sz w:val="22"/>
          <w:szCs w:val="22"/>
          <w:lang w:eastAsia="en-GB"/>
        </w:rPr>
        <w:t>• Departmental managers should receive training in inclusive leadership to support the effective implementation of diversity, equity and inclusion policies.</w:t>
      </w:r>
    </w:p>
    <w:p w14:paraId="588C9B84" w14:textId="76B695CB" w:rsidR="00E604F4" w:rsidRDefault="00E604F4" w:rsidP="003A65CC">
      <w:pPr>
        <w:spacing w:before="100" w:beforeAutospacing="1" w:after="100" w:afterAutospacing="1" w:line="360" w:lineRule="auto"/>
        <w:rPr>
          <w:rFonts w:asciiTheme="minorBidi" w:eastAsia="Times New Roman" w:hAnsiTheme="minorBidi"/>
          <w:sz w:val="22"/>
          <w:szCs w:val="22"/>
          <w:lang w:eastAsia="en-GB"/>
        </w:rPr>
      </w:pPr>
      <w:r w:rsidRPr="000777AA">
        <w:rPr>
          <w:rFonts w:asciiTheme="minorBidi" w:eastAsia="Times New Roman" w:hAnsiTheme="minorBidi"/>
          <w:sz w:val="22"/>
          <w:szCs w:val="22"/>
          <w:lang w:eastAsia="en-GB"/>
        </w:rPr>
        <w:t>• Regular monitoring and evaluation of HR practices should be conducted to ensure they remain effective and aligned with organisational goals.</w:t>
      </w:r>
    </w:p>
    <w:p w14:paraId="559D89F3" w14:textId="17C21D33" w:rsidR="004B641A" w:rsidRDefault="004B641A" w:rsidP="003A65CC">
      <w:pPr>
        <w:spacing w:before="100" w:beforeAutospacing="1" w:after="100" w:afterAutospacing="1" w:line="360" w:lineRule="auto"/>
        <w:rPr>
          <w:rFonts w:asciiTheme="minorBidi" w:eastAsia="Times New Roman" w:hAnsiTheme="minorBidi"/>
          <w:sz w:val="22"/>
          <w:szCs w:val="22"/>
          <w:lang w:eastAsia="en-GB"/>
        </w:rPr>
      </w:pPr>
    </w:p>
    <w:p w14:paraId="0CE6F2EA" w14:textId="1301B621" w:rsidR="004B641A" w:rsidRDefault="004B641A" w:rsidP="003A65CC">
      <w:pPr>
        <w:spacing w:before="100" w:beforeAutospacing="1" w:after="100" w:afterAutospacing="1" w:line="360" w:lineRule="auto"/>
        <w:rPr>
          <w:rFonts w:asciiTheme="minorBidi" w:eastAsia="Times New Roman" w:hAnsiTheme="minorBidi"/>
          <w:sz w:val="22"/>
          <w:szCs w:val="22"/>
          <w:lang w:eastAsia="en-GB"/>
        </w:rPr>
      </w:pPr>
    </w:p>
    <w:p w14:paraId="3E127716" w14:textId="77777777" w:rsidR="004B641A" w:rsidRPr="00F233FC" w:rsidRDefault="004B641A" w:rsidP="003A65CC">
      <w:pPr>
        <w:spacing w:before="100" w:beforeAutospacing="1" w:after="100" w:afterAutospacing="1" w:line="360" w:lineRule="auto"/>
        <w:rPr>
          <w:rFonts w:asciiTheme="minorBidi" w:eastAsia="Times New Roman" w:hAnsiTheme="minorBidi"/>
          <w:sz w:val="22"/>
          <w:szCs w:val="22"/>
          <w:lang w:eastAsia="en-GB"/>
        </w:rPr>
      </w:pPr>
    </w:p>
    <w:p w14:paraId="0B33C070" w14:textId="198362A5" w:rsidR="00E604F4" w:rsidRPr="000777AA" w:rsidRDefault="00E604F4" w:rsidP="003A65CC">
      <w:pPr>
        <w:spacing w:before="100" w:beforeAutospacing="1" w:after="100" w:afterAutospacing="1" w:line="360" w:lineRule="auto"/>
        <w:rPr>
          <w:rFonts w:asciiTheme="minorBidi" w:eastAsia="Times New Roman" w:hAnsiTheme="minorBidi"/>
          <w:sz w:val="22"/>
          <w:szCs w:val="22"/>
          <w:lang w:eastAsia="en-GB"/>
        </w:rPr>
      </w:pPr>
      <w:r w:rsidRPr="000777AA">
        <w:rPr>
          <w:rFonts w:asciiTheme="minorBidi" w:eastAsia="Times New Roman" w:hAnsiTheme="minorBidi"/>
          <w:b/>
          <w:bCs/>
          <w:kern w:val="36"/>
          <w:sz w:val="28"/>
          <w:szCs w:val="28"/>
          <w:lang w:eastAsia="en-GB"/>
        </w:rPr>
        <w:lastRenderedPageBreak/>
        <w:t xml:space="preserve">References </w:t>
      </w:r>
    </w:p>
    <w:p w14:paraId="6F2169B2" w14:textId="77777777" w:rsidR="00076545" w:rsidRPr="00F233FC" w:rsidRDefault="00076545" w:rsidP="003A65CC">
      <w:pPr>
        <w:pStyle w:val="NormalWeb"/>
        <w:spacing w:line="360" w:lineRule="auto"/>
        <w:rPr>
          <w:rFonts w:asciiTheme="minorBidi" w:hAnsiTheme="minorBidi" w:cstheme="minorBidi"/>
          <w:sz w:val="22"/>
          <w:szCs w:val="22"/>
        </w:rPr>
      </w:pPr>
      <w:r w:rsidRPr="00F233FC">
        <w:rPr>
          <w:rFonts w:asciiTheme="minorBidi" w:hAnsiTheme="minorBidi" w:cstheme="minorBidi"/>
          <w:sz w:val="22"/>
          <w:szCs w:val="22"/>
        </w:rPr>
        <w:t xml:space="preserve">Armstrong, M. and Taylor, S. (2023) </w:t>
      </w:r>
      <w:r w:rsidRPr="00F233FC">
        <w:rPr>
          <w:rStyle w:val="Emphasis"/>
          <w:rFonts w:asciiTheme="minorBidi" w:hAnsiTheme="minorBidi" w:cstheme="minorBidi"/>
          <w:sz w:val="22"/>
          <w:szCs w:val="22"/>
        </w:rPr>
        <w:t>Armstrong’s Handbook of Human Resource Management Practice.</w:t>
      </w:r>
      <w:r w:rsidRPr="00F233FC">
        <w:rPr>
          <w:rFonts w:asciiTheme="minorBidi" w:hAnsiTheme="minorBidi" w:cstheme="minorBidi"/>
          <w:sz w:val="22"/>
          <w:szCs w:val="22"/>
        </w:rPr>
        <w:t xml:space="preserve"> 16th edn. London: Kogan Page.</w:t>
      </w:r>
    </w:p>
    <w:p w14:paraId="6FE0D05D" w14:textId="77777777" w:rsidR="00076545" w:rsidRPr="00F233FC" w:rsidRDefault="00076545" w:rsidP="003A65CC">
      <w:pPr>
        <w:pStyle w:val="NormalWeb"/>
        <w:spacing w:line="360" w:lineRule="auto"/>
        <w:rPr>
          <w:rFonts w:asciiTheme="minorBidi" w:hAnsiTheme="minorBidi" w:cstheme="minorBidi"/>
          <w:sz w:val="22"/>
          <w:szCs w:val="22"/>
        </w:rPr>
      </w:pPr>
      <w:r w:rsidRPr="00F233FC">
        <w:rPr>
          <w:rFonts w:asciiTheme="minorBidi" w:hAnsiTheme="minorBidi" w:cstheme="minorBidi"/>
          <w:sz w:val="22"/>
          <w:szCs w:val="22"/>
        </w:rPr>
        <w:t xml:space="preserve">Boxall, P. and Purcell, J. (2016) </w:t>
      </w:r>
      <w:r w:rsidRPr="00F233FC">
        <w:rPr>
          <w:rStyle w:val="Emphasis"/>
          <w:rFonts w:asciiTheme="minorBidi" w:hAnsiTheme="minorBidi" w:cstheme="minorBidi"/>
          <w:sz w:val="22"/>
          <w:szCs w:val="22"/>
        </w:rPr>
        <w:t>Strategy and Human Resource Management.</w:t>
      </w:r>
      <w:r w:rsidRPr="00F233FC">
        <w:rPr>
          <w:rFonts w:asciiTheme="minorBidi" w:hAnsiTheme="minorBidi" w:cstheme="minorBidi"/>
          <w:sz w:val="22"/>
          <w:szCs w:val="22"/>
        </w:rPr>
        <w:t xml:space="preserve"> 4th edn. London: Palgrave Macmillan.</w:t>
      </w:r>
    </w:p>
    <w:p w14:paraId="1EA685FC" w14:textId="77777777" w:rsidR="00076545" w:rsidRPr="00F233FC" w:rsidRDefault="00076545" w:rsidP="003A65CC">
      <w:pPr>
        <w:pStyle w:val="NormalWeb"/>
        <w:spacing w:line="360" w:lineRule="auto"/>
        <w:rPr>
          <w:rFonts w:asciiTheme="minorBidi" w:hAnsiTheme="minorBidi" w:cstheme="minorBidi"/>
          <w:sz w:val="22"/>
          <w:szCs w:val="22"/>
        </w:rPr>
      </w:pPr>
      <w:proofErr w:type="spellStart"/>
      <w:r w:rsidRPr="00F233FC">
        <w:rPr>
          <w:rFonts w:asciiTheme="minorBidi" w:hAnsiTheme="minorBidi" w:cstheme="minorBidi"/>
          <w:sz w:val="22"/>
          <w:szCs w:val="22"/>
        </w:rPr>
        <w:t>Breaugh</w:t>
      </w:r>
      <w:proofErr w:type="spellEnd"/>
      <w:r w:rsidRPr="00F233FC">
        <w:rPr>
          <w:rFonts w:asciiTheme="minorBidi" w:hAnsiTheme="minorBidi" w:cstheme="minorBidi"/>
          <w:sz w:val="22"/>
          <w:szCs w:val="22"/>
        </w:rPr>
        <w:t xml:space="preserve">, J. (2017) </w:t>
      </w:r>
      <w:r w:rsidRPr="00F233FC">
        <w:rPr>
          <w:rStyle w:val="Emphasis"/>
          <w:rFonts w:asciiTheme="minorBidi" w:hAnsiTheme="minorBidi" w:cstheme="minorBidi"/>
          <w:sz w:val="22"/>
          <w:szCs w:val="22"/>
        </w:rPr>
        <w:t>Talent Acquisition: A Guide to Understanding and Managing the Recruitment Process.</w:t>
      </w:r>
      <w:r w:rsidRPr="00F233FC">
        <w:rPr>
          <w:rFonts w:asciiTheme="minorBidi" w:hAnsiTheme="minorBidi" w:cstheme="minorBidi"/>
          <w:sz w:val="22"/>
          <w:szCs w:val="22"/>
        </w:rPr>
        <w:t xml:space="preserve"> SHRM Foundation.</w:t>
      </w:r>
    </w:p>
    <w:p w14:paraId="756ED44F" w14:textId="77777777" w:rsidR="00076545" w:rsidRPr="00F233FC" w:rsidRDefault="00076545" w:rsidP="003A65CC">
      <w:pPr>
        <w:pStyle w:val="NormalWeb"/>
        <w:spacing w:line="360" w:lineRule="auto"/>
        <w:rPr>
          <w:rFonts w:asciiTheme="minorBidi" w:hAnsiTheme="minorBidi" w:cstheme="minorBidi"/>
          <w:sz w:val="22"/>
          <w:szCs w:val="22"/>
        </w:rPr>
      </w:pPr>
      <w:r w:rsidRPr="00F233FC">
        <w:rPr>
          <w:rFonts w:asciiTheme="minorBidi" w:hAnsiTheme="minorBidi" w:cstheme="minorBidi"/>
          <w:sz w:val="22"/>
          <w:szCs w:val="22"/>
        </w:rPr>
        <w:t xml:space="preserve">CIPD (2023) </w:t>
      </w:r>
      <w:r w:rsidRPr="00F233FC">
        <w:rPr>
          <w:rStyle w:val="Emphasis"/>
          <w:rFonts w:asciiTheme="minorBidi" w:hAnsiTheme="minorBidi" w:cstheme="minorBidi"/>
          <w:sz w:val="22"/>
          <w:szCs w:val="22"/>
        </w:rPr>
        <w:t>Diversity and Inclusion at Work.</w:t>
      </w:r>
      <w:r w:rsidRPr="00F233FC">
        <w:rPr>
          <w:rFonts w:asciiTheme="minorBidi" w:hAnsiTheme="minorBidi" w:cstheme="minorBidi"/>
          <w:sz w:val="22"/>
          <w:szCs w:val="22"/>
        </w:rPr>
        <w:t xml:space="preserve"> London: Chartered Institute of Personnel and Development.</w:t>
      </w:r>
    </w:p>
    <w:p w14:paraId="37D3CAA5" w14:textId="77777777" w:rsidR="00076545" w:rsidRPr="00F233FC" w:rsidRDefault="00076545" w:rsidP="003A65CC">
      <w:pPr>
        <w:pStyle w:val="NormalWeb"/>
        <w:spacing w:line="360" w:lineRule="auto"/>
        <w:rPr>
          <w:rFonts w:asciiTheme="minorBidi" w:hAnsiTheme="minorBidi" w:cstheme="minorBidi"/>
          <w:sz w:val="22"/>
          <w:szCs w:val="22"/>
        </w:rPr>
      </w:pPr>
      <w:r w:rsidRPr="00F233FC">
        <w:rPr>
          <w:rFonts w:asciiTheme="minorBidi" w:hAnsiTheme="minorBidi" w:cstheme="minorBidi"/>
          <w:sz w:val="22"/>
          <w:szCs w:val="22"/>
        </w:rPr>
        <w:t xml:space="preserve">CIPD (2024) </w:t>
      </w:r>
      <w:r w:rsidRPr="00F233FC">
        <w:rPr>
          <w:rStyle w:val="Emphasis"/>
          <w:rFonts w:asciiTheme="minorBidi" w:hAnsiTheme="minorBidi" w:cstheme="minorBidi"/>
          <w:sz w:val="22"/>
          <w:szCs w:val="22"/>
        </w:rPr>
        <w:t>Good Work Index 2024.</w:t>
      </w:r>
      <w:r w:rsidRPr="00F233FC">
        <w:rPr>
          <w:rFonts w:asciiTheme="minorBidi" w:hAnsiTheme="minorBidi" w:cstheme="minorBidi"/>
          <w:sz w:val="22"/>
          <w:szCs w:val="22"/>
        </w:rPr>
        <w:t xml:space="preserve"> London: Chartered Institute of Personnel and Development.</w:t>
      </w:r>
    </w:p>
    <w:p w14:paraId="5311DDCD" w14:textId="77777777" w:rsidR="00076545" w:rsidRPr="00F233FC" w:rsidRDefault="00076545" w:rsidP="003A65CC">
      <w:pPr>
        <w:pStyle w:val="NormalWeb"/>
        <w:spacing w:line="360" w:lineRule="auto"/>
        <w:rPr>
          <w:rFonts w:asciiTheme="minorBidi" w:hAnsiTheme="minorBidi" w:cstheme="minorBidi"/>
          <w:sz w:val="22"/>
          <w:szCs w:val="22"/>
        </w:rPr>
      </w:pPr>
      <w:r w:rsidRPr="00F233FC">
        <w:rPr>
          <w:rFonts w:asciiTheme="minorBidi" w:hAnsiTheme="minorBidi" w:cstheme="minorBidi"/>
          <w:sz w:val="22"/>
          <w:szCs w:val="22"/>
        </w:rPr>
        <w:t xml:space="preserve">Collings, D., </w:t>
      </w:r>
      <w:proofErr w:type="spellStart"/>
      <w:r w:rsidRPr="00F233FC">
        <w:rPr>
          <w:rFonts w:asciiTheme="minorBidi" w:hAnsiTheme="minorBidi" w:cstheme="minorBidi"/>
          <w:sz w:val="22"/>
          <w:szCs w:val="22"/>
        </w:rPr>
        <w:t>Mellahi</w:t>
      </w:r>
      <w:proofErr w:type="spellEnd"/>
      <w:r w:rsidRPr="00F233FC">
        <w:rPr>
          <w:rFonts w:asciiTheme="minorBidi" w:hAnsiTheme="minorBidi" w:cstheme="minorBidi"/>
          <w:sz w:val="22"/>
          <w:szCs w:val="22"/>
        </w:rPr>
        <w:t xml:space="preserve">, K. and Cascio, W. (2019) ‘Global Talent Management and Performance’, </w:t>
      </w:r>
      <w:r w:rsidRPr="00F233FC">
        <w:rPr>
          <w:rStyle w:val="Emphasis"/>
          <w:rFonts w:asciiTheme="minorBidi" w:hAnsiTheme="minorBidi" w:cstheme="minorBidi"/>
          <w:sz w:val="22"/>
          <w:szCs w:val="22"/>
        </w:rPr>
        <w:t>Journal of World Business</w:t>
      </w:r>
      <w:r w:rsidRPr="00F233FC">
        <w:rPr>
          <w:rFonts w:asciiTheme="minorBidi" w:hAnsiTheme="minorBidi" w:cstheme="minorBidi"/>
          <w:sz w:val="22"/>
          <w:szCs w:val="22"/>
        </w:rPr>
        <w:t>, 54(4), pp. 305–318.</w:t>
      </w:r>
    </w:p>
    <w:p w14:paraId="6F76F4B6" w14:textId="77777777" w:rsidR="00076545" w:rsidRPr="00F233FC" w:rsidRDefault="00076545" w:rsidP="003A65CC">
      <w:pPr>
        <w:pStyle w:val="NormalWeb"/>
        <w:spacing w:line="360" w:lineRule="auto"/>
        <w:rPr>
          <w:rFonts w:asciiTheme="minorBidi" w:hAnsiTheme="minorBidi" w:cstheme="minorBidi"/>
          <w:sz w:val="22"/>
          <w:szCs w:val="22"/>
        </w:rPr>
      </w:pPr>
      <w:r w:rsidRPr="00F233FC">
        <w:rPr>
          <w:rFonts w:asciiTheme="minorBidi" w:hAnsiTheme="minorBidi" w:cstheme="minorBidi"/>
          <w:sz w:val="22"/>
          <w:szCs w:val="22"/>
        </w:rPr>
        <w:t xml:space="preserve">Noe, R. (2020) </w:t>
      </w:r>
      <w:r w:rsidRPr="00F233FC">
        <w:rPr>
          <w:rStyle w:val="Emphasis"/>
          <w:rFonts w:asciiTheme="minorBidi" w:hAnsiTheme="minorBidi" w:cstheme="minorBidi"/>
          <w:sz w:val="22"/>
          <w:szCs w:val="22"/>
        </w:rPr>
        <w:t>Employee Training and Development.</w:t>
      </w:r>
      <w:r w:rsidRPr="00F233FC">
        <w:rPr>
          <w:rFonts w:asciiTheme="minorBidi" w:hAnsiTheme="minorBidi" w:cstheme="minorBidi"/>
          <w:sz w:val="22"/>
          <w:szCs w:val="22"/>
        </w:rPr>
        <w:t xml:space="preserve"> 8th edn. New York: McGraw-Hill Education.</w:t>
      </w:r>
    </w:p>
    <w:p w14:paraId="4196D1E5" w14:textId="77777777" w:rsidR="00076545" w:rsidRPr="00F233FC" w:rsidRDefault="00076545" w:rsidP="003A65CC">
      <w:pPr>
        <w:pStyle w:val="NormalWeb"/>
        <w:spacing w:line="360" w:lineRule="auto"/>
        <w:rPr>
          <w:rFonts w:asciiTheme="minorBidi" w:hAnsiTheme="minorBidi" w:cstheme="minorBidi"/>
          <w:sz w:val="22"/>
          <w:szCs w:val="22"/>
        </w:rPr>
      </w:pPr>
      <w:r w:rsidRPr="00F233FC">
        <w:rPr>
          <w:rFonts w:asciiTheme="minorBidi" w:hAnsiTheme="minorBidi" w:cstheme="minorBidi"/>
          <w:sz w:val="22"/>
          <w:szCs w:val="22"/>
        </w:rPr>
        <w:t xml:space="preserve">Shore, L.M. et al. (2018) ‘Inclusion and Diversity in Work Groups: A Review and Model for Future Research’, </w:t>
      </w:r>
      <w:r w:rsidRPr="00F233FC">
        <w:rPr>
          <w:rStyle w:val="Emphasis"/>
          <w:rFonts w:asciiTheme="minorBidi" w:hAnsiTheme="minorBidi" w:cstheme="minorBidi"/>
          <w:sz w:val="22"/>
          <w:szCs w:val="22"/>
        </w:rPr>
        <w:t>Human Resource Management Review</w:t>
      </w:r>
      <w:r w:rsidRPr="00F233FC">
        <w:rPr>
          <w:rFonts w:asciiTheme="minorBidi" w:hAnsiTheme="minorBidi" w:cstheme="minorBidi"/>
          <w:sz w:val="22"/>
          <w:szCs w:val="22"/>
        </w:rPr>
        <w:t>, 28(2), pp. 176–189.</w:t>
      </w:r>
    </w:p>
    <w:p w14:paraId="51FF07B2" w14:textId="77777777" w:rsidR="00076545" w:rsidRPr="00F233FC" w:rsidRDefault="00076545" w:rsidP="003A65CC">
      <w:pPr>
        <w:pStyle w:val="NormalWeb"/>
        <w:spacing w:line="360" w:lineRule="auto"/>
        <w:rPr>
          <w:rFonts w:asciiTheme="minorBidi" w:hAnsiTheme="minorBidi" w:cstheme="minorBidi"/>
          <w:sz w:val="22"/>
          <w:szCs w:val="22"/>
        </w:rPr>
      </w:pPr>
      <w:r w:rsidRPr="00F233FC">
        <w:rPr>
          <w:rFonts w:asciiTheme="minorBidi" w:hAnsiTheme="minorBidi" w:cstheme="minorBidi"/>
          <w:sz w:val="22"/>
          <w:szCs w:val="22"/>
        </w:rPr>
        <w:t xml:space="preserve">The UK Government (2010) </w:t>
      </w:r>
      <w:r w:rsidRPr="00F233FC">
        <w:rPr>
          <w:rStyle w:val="Emphasis"/>
          <w:rFonts w:asciiTheme="minorBidi" w:hAnsiTheme="minorBidi" w:cstheme="minorBidi"/>
          <w:sz w:val="22"/>
          <w:szCs w:val="22"/>
        </w:rPr>
        <w:t>Equality Act 2010.</w:t>
      </w:r>
      <w:r w:rsidRPr="00F233FC">
        <w:rPr>
          <w:rFonts w:asciiTheme="minorBidi" w:hAnsiTheme="minorBidi" w:cstheme="minorBidi"/>
          <w:sz w:val="22"/>
          <w:szCs w:val="22"/>
        </w:rPr>
        <w:t xml:space="preserve"> London: The Stationery Office.</w:t>
      </w:r>
    </w:p>
    <w:p w14:paraId="3FD718C5" w14:textId="77777777" w:rsidR="00076545" w:rsidRPr="00F233FC" w:rsidRDefault="00076545" w:rsidP="003A65CC">
      <w:pPr>
        <w:pStyle w:val="NormalWeb"/>
        <w:spacing w:line="360" w:lineRule="auto"/>
        <w:rPr>
          <w:rFonts w:asciiTheme="minorBidi" w:hAnsiTheme="minorBidi" w:cstheme="minorBidi"/>
          <w:sz w:val="22"/>
          <w:szCs w:val="22"/>
        </w:rPr>
      </w:pPr>
      <w:r w:rsidRPr="00F233FC">
        <w:rPr>
          <w:rStyle w:val="whitespace-normal"/>
          <w:rFonts w:asciiTheme="minorBidi" w:hAnsiTheme="minorBidi" w:cstheme="minorBidi"/>
          <w:sz w:val="22"/>
          <w:szCs w:val="22"/>
        </w:rPr>
        <w:t>Tesco PLC</w:t>
      </w:r>
      <w:r w:rsidRPr="00F233FC">
        <w:rPr>
          <w:rFonts w:asciiTheme="minorBidi" w:hAnsiTheme="minorBidi" w:cstheme="minorBidi"/>
          <w:sz w:val="22"/>
          <w:szCs w:val="22"/>
        </w:rPr>
        <w:t xml:space="preserve"> (2024) </w:t>
      </w:r>
      <w:r w:rsidRPr="00F233FC">
        <w:rPr>
          <w:rStyle w:val="Emphasis"/>
          <w:rFonts w:asciiTheme="minorBidi" w:hAnsiTheme="minorBidi" w:cstheme="minorBidi"/>
          <w:sz w:val="22"/>
          <w:szCs w:val="22"/>
        </w:rPr>
        <w:t>Annual Report and Financial Statements.</w:t>
      </w:r>
      <w:r w:rsidRPr="00F233FC">
        <w:rPr>
          <w:rFonts w:asciiTheme="minorBidi" w:hAnsiTheme="minorBidi" w:cstheme="minorBidi"/>
          <w:sz w:val="22"/>
          <w:szCs w:val="22"/>
        </w:rPr>
        <w:t xml:space="preserve"> Available at: Tesco corporate website.</w:t>
      </w:r>
    </w:p>
    <w:p w14:paraId="09796007" w14:textId="77777777" w:rsidR="00E604F4" w:rsidRPr="00F233FC" w:rsidRDefault="00E604F4" w:rsidP="003A65CC">
      <w:pPr>
        <w:spacing w:before="100" w:beforeAutospacing="1" w:after="100" w:afterAutospacing="1" w:line="360" w:lineRule="auto"/>
        <w:rPr>
          <w:rFonts w:asciiTheme="minorBidi" w:eastAsia="Times New Roman" w:hAnsiTheme="minorBidi"/>
          <w:b/>
          <w:bCs/>
          <w:kern w:val="36"/>
          <w:sz w:val="22"/>
          <w:szCs w:val="22"/>
          <w:lang w:eastAsia="en-GB"/>
        </w:rPr>
      </w:pPr>
    </w:p>
    <w:p w14:paraId="482A5B9E" w14:textId="77777777" w:rsidR="00E604F4" w:rsidRPr="000777AA" w:rsidRDefault="00E604F4" w:rsidP="003A65CC">
      <w:pPr>
        <w:spacing w:before="100" w:beforeAutospacing="1" w:after="100" w:afterAutospacing="1" w:line="360" w:lineRule="auto"/>
        <w:rPr>
          <w:rFonts w:asciiTheme="minorBidi" w:eastAsia="Times New Roman" w:hAnsiTheme="minorBidi"/>
          <w:sz w:val="28"/>
          <w:szCs w:val="28"/>
          <w:lang w:eastAsia="en-GB"/>
        </w:rPr>
      </w:pPr>
    </w:p>
    <w:p w14:paraId="3D04E53A" w14:textId="756966EA" w:rsidR="00E604F4" w:rsidRPr="00F233FC" w:rsidRDefault="00E604F4" w:rsidP="003A65CC">
      <w:pPr>
        <w:spacing w:line="360" w:lineRule="auto"/>
        <w:rPr>
          <w:rFonts w:asciiTheme="minorBidi" w:hAnsiTheme="minorBidi"/>
          <w:b/>
          <w:bCs/>
          <w:sz w:val="28"/>
          <w:szCs w:val="28"/>
        </w:rPr>
      </w:pPr>
    </w:p>
    <w:sectPr w:rsidR="00E604F4" w:rsidRPr="00F233FC">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A8D325" w14:textId="77777777" w:rsidR="008E792A" w:rsidRDefault="008E792A" w:rsidP="004B641A">
      <w:pPr>
        <w:spacing w:after="0" w:line="240" w:lineRule="auto"/>
      </w:pPr>
      <w:r>
        <w:separator/>
      </w:r>
    </w:p>
  </w:endnote>
  <w:endnote w:type="continuationSeparator" w:id="0">
    <w:p w14:paraId="052219F9" w14:textId="77777777" w:rsidR="008E792A" w:rsidRDefault="008E792A" w:rsidP="004B64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18569856"/>
      <w:docPartObj>
        <w:docPartGallery w:val="Page Numbers (Bottom of Page)"/>
        <w:docPartUnique/>
      </w:docPartObj>
    </w:sdtPr>
    <w:sdtContent>
      <w:sdt>
        <w:sdtPr>
          <w:id w:val="1728636285"/>
          <w:docPartObj>
            <w:docPartGallery w:val="Page Numbers (Top of Page)"/>
            <w:docPartUnique/>
          </w:docPartObj>
        </w:sdtPr>
        <w:sdtContent>
          <w:p w14:paraId="2F261C30" w14:textId="76741225" w:rsidR="004B641A" w:rsidRDefault="004B641A">
            <w:pPr>
              <w:pStyle w:val="Footer"/>
              <w:jc w:val="center"/>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16B0495C" w14:textId="77777777" w:rsidR="004B641A" w:rsidRDefault="004B64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C368CC" w14:textId="77777777" w:rsidR="008E792A" w:rsidRDefault="008E792A" w:rsidP="004B641A">
      <w:pPr>
        <w:spacing w:after="0" w:line="240" w:lineRule="auto"/>
      </w:pPr>
      <w:r>
        <w:separator/>
      </w:r>
    </w:p>
  </w:footnote>
  <w:footnote w:type="continuationSeparator" w:id="0">
    <w:p w14:paraId="69BB9744" w14:textId="77777777" w:rsidR="008E792A" w:rsidRDefault="008E792A" w:rsidP="004B641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4CD0"/>
    <w:rsid w:val="00044566"/>
    <w:rsid w:val="00063422"/>
    <w:rsid w:val="00076545"/>
    <w:rsid w:val="000843BD"/>
    <w:rsid w:val="000A5719"/>
    <w:rsid w:val="000C0B50"/>
    <w:rsid w:val="00111E4F"/>
    <w:rsid w:val="0018083D"/>
    <w:rsid w:val="001A5A4F"/>
    <w:rsid w:val="00214172"/>
    <w:rsid w:val="00266E0F"/>
    <w:rsid w:val="00280CEC"/>
    <w:rsid w:val="002E097F"/>
    <w:rsid w:val="0030399D"/>
    <w:rsid w:val="00357FE4"/>
    <w:rsid w:val="00392C76"/>
    <w:rsid w:val="003A65CC"/>
    <w:rsid w:val="00422036"/>
    <w:rsid w:val="004512B9"/>
    <w:rsid w:val="004B02D1"/>
    <w:rsid w:val="004B621E"/>
    <w:rsid w:val="004B641A"/>
    <w:rsid w:val="004D23A2"/>
    <w:rsid w:val="004E19CE"/>
    <w:rsid w:val="00535E40"/>
    <w:rsid w:val="00542A94"/>
    <w:rsid w:val="005D6756"/>
    <w:rsid w:val="005E70FC"/>
    <w:rsid w:val="005F57A7"/>
    <w:rsid w:val="0060592A"/>
    <w:rsid w:val="00652772"/>
    <w:rsid w:val="00662EF0"/>
    <w:rsid w:val="00673224"/>
    <w:rsid w:val="006A4CD0"/>
    <w:rsid w:val="006C00FC"/>
    <w:rsid w:val="006C7409"/>
    <w:rsid w:val="007433D2"/>
    <w:rsid w:val="00745D92"/>
    <w:rsid w:val="00796D61"/>
    <w:rsid w:val="007C775D"/>
    <w:rsid w:val="007F7332"/>
    <w:rsid w:val="00821956"/>
    <w:rsid w:val="008313AE"/>
    <w:rsid w:val="00873863"/>
    <w:rsid w:val="008A6E84"/>
    <w:rsid w:val="008E792A"/>
    <w:rsid w:val="00977A4F"/>
    <w:rsid w:val="009B770C"/>
    <w:rsid w:val="00A2305F"/>
    <w:rsid w:val="00A23AAF"/>
    <w:rsid w:val="00A53E1D"/>
    <w:rsid w:val="00A73283"/>
    <w:rsid w:val="00AB5677"/>
    <w:rsid w:val="00B52FEE"/>
    <w:rsid w:val="00B647D7"/>
    <w:rsid w:val="00BB61BF"/>
    <w:rsid w:val="00BC1A0C"/>
    <w:rsid w:val="00BE2692"/>
    <w:rsid w:val="00CD7348"/>
    <w:rsid w:val="00CE6105"/>
    <w:rsid w:val="00D0627E"/>
    <w:rsid w:val="00D31174"/>
    <w:rsid w:val="00D84D1D"/>
    <w:rsid w:val="00DB625F"/>
    <w:rsid w:val="00DC6482"/>
    <w:rsid w:val="00E373E9"/>
    <w:rsid w:val="00E57AA2"/>
    <w:rsid w:val="00E604F4"/>
    <w:rsid w:val="00EA0D69"/>
    <w:rsid w:val="00EF71EB"/>
    <w:rsid w:val="00F17123"/>
    <w:rsid w:val="00F233FC"/>
    <w:rsid w:val="00FF04D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B8FD6C"/>
  <w15:chartTrackingRefBased/>
  <w15:docId w15:val="{CD7F3FB7-FB32-45B7-8642-2FEABF5ACF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4CD0"/>
    <w:pPr>
      <w:spacing w:line="279" w:lineRule="auto"/>
    </w:pPr>
    <w:rPr>
      <w:rFonts w:eastAsiaTheme="minorEastAsia"/>
      <w:sz w:val="24"/>
      <w:szCs w:val="24"/>
      <w:lang w:val="en-US" w:eastAsia="ja-JP"/>
    </w:rPr>
  </w:style>
  <w:style w:type="paragraph" w:styleId="Heading1">
    <w:name w:val="heading 1"/>
    <w:basedOn w:val="Normal"/>
    <w:next w:val="Normal"/>
    <w:link w:val="Heading1Char"/>
    <w:uiPriority w:val="9"/>
    <w:qFormat/>
    <w:rsid w:val="000A571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EA0D69"/>
    <w:pPr>
      <w:spacing w:before="100" w:beforeAutospacing="1" w:after="100" w:afterAutospacing="1" w:line="240" w:lineRule="auto"/>
      <w:outlineLvl w:val="1"/>
    </w:pPr>
    <w:rPr>
      <w:rFonts w:ascii="Times New Roman" w:eastAsia="Times New Roman" w:hAnsi="Times New Roman" w:cs="Times New Roman"/>
      <w:b/>
      <w:bCs/>
      <w:sz w:val="36"/>
      <w:szCs w:val="36"/>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604F4"/>
    <w:pPr>
      <w:ind w:left="720"/>
      <w:contextualSpacing/>
    </w:pPr>
  </w:style>
  <w:style w:type="paragraph" w:styleId="NormalWeb">
    <w:name w:val="Normal (Web)"/>
    <w:basedOn w:val="Normal"/>
    <w:uiPriority w:val="99"/>
    <w:unhideWhenUsed/>
    <w:rsid w:val="00076545"/>
    <w:pPr>
      <w:spacing w:before="100" w:beforeAutospacing="1" w:after="100" w:afterAutospacing="1" w:line="240" w:lineRule="auto"/>
    </w:pPr>
    <w:rPr>
      <w:rFonts w:ascii="Times New Roman" w:eastAsia="Times New Roman" w:hAnsi="Times New Roman" w:cs="Times New Roman"/>
      <w:lang w:val="en-GB" w:eastAsia="en-GB"/>
    </w:rPr>
  </w:style>
  <w:style w:type="character" w:styleId="Emphasis">
    <w:name w:val="Emphasis"/>
    <w:basedOn w:val="DefaultParagraphFont"/>
    <w:uiPriority w:val="20"/>
    <w:qFormat/>
    <w:rsid w:val="00076545"/>
    <w:rPr>
      <w:i/>
      <w:iCs/>
    </w:rPr>
  </w:style>
  <w:style w:type="character" w:customStyle="1" w:styleId="whitespace-normal">
    <w:name w:val="whitespace-normal"/>
    <w:basedOn w:val="DefaultParagraphFont"/>
    <w:rsid w:val="00076545"/>
  </w:style>
  <w:style w:type="character" w:customStyle="1" w:styleId="Heading2Char">
    <w:name w:val="Heading 2 Char"/>
    <w:basedOn w:val="DefaultParagraphFont"/>
    <w:link w:val="Heading2"/>
    <w:uiPriority w:val="9"/>
    <w:rsid w:val="00EA0D69"/>
    <w:rPr>
      <w:rFonts w:ascii="Times New Roman" w:eastAsia="Times New Roman" w:hAnsi="Times New Roman" w:cs="Times New Roman"/>
      <w:b/>
      <w:bCs/>
      <w:sz w:val="36"/>
      <w:szCs w:val="36"/>
      <w:lang w:eastAsia="en-GB"/>
    </w:rPr>
  </w:style>
  <w:style w:type="character" w:customStyle="1" w:styleId="Heading1Char">
    <w:name w:val="Heading 1 Char"/>
    <w:basedOn w:val="DefaultParagraphFont"/>
    <w:link w:val="Heading1"/>
    <w:uiPriority w:val="9"/>
    <w:rsid w:val="000A5719"/>
    <w:rPr>
      <w:rFonts w:asciiTheme="majorHAnsi" w:eastAsiaTheme="majorEastAsia" w:hAnsiTheme="majorHAnsi" w:cstheme="majorBidi"/>
      <w:color w:val="2F5496" w:themeColor="accent1" w:themeShade="BF"/>
      <w:sz w:val="32"/>
      <w:szCs w:val="32"/>
      <w:lang w:val="en-US" w:eastAsia="ja-JP"/>
    </w:rPr>
  </w:style>
  <w:style w:type="paragraph" w:styleId="Header">
    <w:name w:val="header"/>
    <w:basedOn w:val="Normal"/>
    <w:link w:val="HeaderChar"/>
    <w:uiPriority w:val="99"/>
    <w:unhideWhenUsed/>
    <w:rsid w:val="004B64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641A"/>
    <w:rPr>
      <w:rFonts w:eastAsiaTheme="minorEastAsia"/>
      <w:sz w:val="24"/>
      <w:szCs w:val="24"/>
      <w:lang w:val="en-US" w:eastAsia="ja-JP"/>
    </w:rPr>
  </w:style>
  <w:style w:type="paragraph" w:styleId="Footer">
    <w:name w:val="footer"/>
    <w:basedOn w:val="Normal"/>
    <w:link w:val="FooterChar"/>
    <w:uiPriority w:val="99"/>
    <w:unhideWhenUsed/>
    <w:rsid w:val="004B64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641A"/>
    <w:rPr>
      <w:rFonts w:eastAsiaTheme="minorEastAsia"/>
      <w:sz w:val="24"/>
      <w:szCs w:val="24"/>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453881">
      <w:bodyDiv w:val="1"/>
      <w:marLeft w:val="0"/>
      <w:marRight w:val="0"/>
      <w:marTop w:val="0"/>
      <w:marBottom w:val="0"/>
      <w:divBdr>
        <w:top w:val="none" w:sz="0" w:space="0" w:color="auto"/>
        <w:left w:val="none" w:sz="0" w:space="0" w:color="auto"/>
        <w:bottom w:val="none" w:sz="0" w:space="0" w:color="auto"/>
        <w:right w:val="none" w:sz="0" w:space="0" w:color="auto"/>
      </w:divBdr>
    </w:div>
    <w:div w:id="158278377">
      <w:bodyDiv w:val="1"/>
      <w:marLeft w:val="0"/>
      <w:marRight w:val="0"/>
      <w:marTop w:val="0"/>
      <w:marBottom w:val="0"/>
      <w:divBdr>
        <w:top w:val="none" w:sz="0" w:space="0" w:color="auto"/>
        <w:left w:val="none" w:sz="0" w:space="0" w:color="auto"/>
        <w:bottom w:val="none" w:sz="0" w:space="0" w:color="auto"/>
        <w:right w:val="none" w:sz="0" w:space="0" w:color="auto"/>
      </w:divBdr>
    </w:div>
    <w:div w:id="162011770">
      <w:bodyDiv w:val="1"/>
      <w:marLeft w:val="0"/>
      <w:marRight w:val="0"/>
      <w:marTop w:val="0"/>
      <w:marBottom w:val="0"/>
      <w:divBdr>
        <w:top w:val="none" w:sz="0" w:space="0" w:color="auto"/>
        <w:left w:val="none" w:sz="0" w:space="0" w:color="auto"/>
        <w:bottom w:val="none" w:sz="0" w:space="0" w:color="auto"/>
        <w:right w:val="none" w:sz="0" w:space="0" w:color="auto"/>
      </w:divBdr>
    </w:div>
    <w:div w:id="321206273">
      <w:bodyDiv w:val="1"/>
      <w:marLeft w:val="0"/>
      <w:marRight w:val="0"/>
      <w:marTop w:val="0"/>
      <w:marBottom w:val="0"/>
      <w:divBdr>
        <w:top w:val="none" w:sz="0" w:space="0" w:color="auto"/>
        <w:left w:val="none" w:sz="0" w:space="0" w:color="auto"/>
        <w:bottom w:val="none" w:sz="0" w:space="0" w:color="auto"/>
        <w:right w:val="none" w:sz="0" w:space="0" w:color="auto"/>
      </w:divBdr>
    </w:div>
    <w:div w:id="477036731">
      <w:bodyDiv w:val="1"/>
      <w:marLeft w:val="0"/>
      <w:marRight w:val="0"/>
      <w:marTop w:val="0"/>
      <w:marBottom w:val="0"/>
      <w:divBdr>
        <w:top w:val="none" w:sz="0" w:space="0" w:color="auto"/>
        <w:left w:val="none" w:sz="0" w:space="0" w:color="auto"/>
        <w:bottom w:val="none" w:sz="0" w:space="0" w:color="auto"/>
        <w:right w:val="none" w:sz="0" w:space="0" w:color="auto"/>
      </w:divBdr>
    </w:div>
    <w:div w:id="539323075">
      <w:bodyDiv w:val="1"/>
      <w:marLeft w:val="0"/>
      <w:marRight w:val="0"/>
      <w:marTop w:val="0"/>
      <w:marBottom w:val="0"/>
      <w:divBdr>
        <w:top w:val="none" w:sz="0" w:space="0" w:color="auto"/>
        <w:left w:val="none" w:sz="0" w:space="0" w:color="auto"/>
        <w:bottom w:val="none" w:sz="0" w:space="0" w:color="auto"/>
        <w:right w:val="none" w:sz="0" w:space="0" w:color="auto"/>
      </w:divBdr>
    </w:div>
    <w:div w:id="838276083">
      <w:bodyDiv w:val="1"/>
      <w:marLeft w:val="0"/>
      <w:marRight w:val="0"/>
      <w:marTop w:val="0"/>
      <w:marBottom w:val="0"/>
      <w:divBdr>
        <w:top w:val="none" w:sz="0" w:space="0" w:color="auto"/>
        <w:left w:val="none" w:sz="0" w:space="0" w:color="auto"/>
        <w:bottom w:val="none" w:sz="0" w:space="0" w:color="auto"/>
        <w:right w:val="none" w:sz="0" w:space="0" w:color="auto"/>
      </w:divBdr>
    </w:div>
    <w:div w:id="852494261">
      <w:bodyDiv w:val="1"/>
      <w:marLeft w:val="0"/>
      <w:marRight w:val="0"/>
      <w:marTop w:val="0"/>
      <w:marBottom w:val="0"/>
      <w:divBdr>
        <w:top w:val="none" w:sz="0" w:space="0" w:color="auto"/>
        <w:left w:val="none" w:sz="0" w:space="0" w:color="auto"/>
        <w:bottom w:val="none" w:sz="0" w:space="0" w:color="auto"/>
        <w:right w:val="none" w:sz="0" w:space="0" w:color="auto"/>
      </w:divBdr>
    </w:div>
    <w:div w:id="1289356596">
      <w:bodyDiv w:val="1"/>
      <w:marLeft w:val="0"/>
      <w:marRight w:val="0"/>
      <w:marTop w:val="0"/>
      <w:marBottom w:val="0"/>
      <w:divBdr>
        <w:top w:val="none" w:sz="0" w:space="0" w:color="auto"/>
        <w:left w:val="none" w:sz="0" w:space="0" w:color="auto"/>
        <w:bottom w:val="none" w:sz="0" w:space="0" w:color="auto"/>
        <w:right w:val="none" w:sz="0" w:space="0" w:color="auto"/>
      </w:divBdr>
    </w:div>
    <w:div w:id="1468817078">
      <w:bodyDiv w:val="1"/>
      <w:marLeft w:val="0"/>
      <w:marRight w:val="0"/>
      <w:marTop w:val="0"/>
      <w:marBottom w:val="0"/>
      <w:divBdr>
        <w:top w:val="none" w:sz="0" w:space="0" w:color="auto"/>
        <w:left w:val="none" w:sz="0" w:space="0" w:color="auto"/>
        <w:bottom w:val="none" w:sz="0" w:space="0" w:color="auto"/>
        <w:right w:val="none" w:sz="0" w:space="0" w:color="auto"/>
      </w:divBdr>
    </w:div>
    <w:div w:id="1649900271">
      <w:bodyDiv w:val="1"/>
      <w:marLeft w:val="0"/>
      <w:marRight w:val="0"/>
      <w:marTop w:val="0"/>
      <w:marBottom w:val="0"/>
      <w:divBdr>
        <w:top w:val="none" w:sz="0" w:space="0" w:color="auto"/>
        <w:left w:val="none" w:sz="0" w:space="0" w:color="auto"/>
        <w:bottom w:val="none" w:sz="0" w:space="0" w:color="auto"/>
        <w:right w:val="none" w:sz="0" w:space="0" w:color="auto"/>
      </w:divBdr>
    </w:div>
    <w:div w:id="1734543409">
      <w:bodyDiv w:val="1"/>
      <w:marLeft w:val="0"/>
      <w:marRight w:val="0"/>
      <w:marTop w:val="0"/>
      <w:marBottom w:val="0"/>
      <w:divBdr>
        <w:top w:val="none" w:sz="0" w:space="0" w:color="auto"/>
        <w:left w:val="none" w:sz="0" w:space="0" w:color="auto"/>
        <w:bottom w:val="none" w:sz="0" w:space="0" w:color="auto"/>
        <w:right w:val="none" w:sz="0" w:space="0" w:color="auto"/>
      </w:divBdr>
    </w:div>
    <w:div w:id="1789277487">
      <w:bodyDiv w:val="1"/>
      <w:marLeft w:val="0"/>
      <w:marRight w:val="0"/>
      <w:marTop w:val="0"/>
      <w:marBottom w:val="0"/>
      <w:divBdr>
        <w:top w:val="none" w:sz="0" w:space="0" w:color="auto"/>
        <w:left w:val="none" w:sz="0" w:space="0" w:color="auto"/>
        <w:bottom w:val="none" w:sz="0" w:space="0" w:color="auto"/>
        <w:right w:val="none" w:sz="0" w:space="0" w:color="auto"/>
      </w:divBdr>
    </w:div>
    <w:div w:id="1877352514">
      <w:bodyDiv w:val="1"/>
      <w:marLeft w:val="0"/>
      <w:marRight w:val="0"/>
      <w:marTop w:val="0"/>
      <w:marBottom w:val="0"/>
      <w:divBdr>
        <w:top w:val="none" w:sz="0" w:space="0" w:color="auto"/>
        <w:left w:val="none" w:sz="0" w:space="0" w:color="auto"/>
        <w:bottom w:val="none" w:sz="0" w:space="0" w:color="auto"/>
        <w:right w:val="none" w:sz="0" w:space="0" w:color="auto"/>
      </w:divBdr>
    </w:div>
    <w:div w:id="2059357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2822</TotalTime>
  <Pages>10</Pages>
  <Words>2781</Words>
  <Characters>15858</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Iram Shahzad</dc:creator>
  <cp:keywords/>
  <dc:description/>
  <cp:lastModifiedBy>Iram Shahzad</cp:lastModifiedBy>
  <cp:revision>60</cp:revision>
  <dcterms:created xsi:type="dcterms:W3CDTF">2026-03-07T23:24:00Z</dcterms:created>
  <dcterms:modified xsi:type="dcterms:W3CDTF">2026-03-30T00:05:00Z</dcterms:modified>
</cp:coreProperties>
</file>