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5F3BB" w14:textId="59CAF18A" w:rsidR="00E355C9" w:rsidRDefault="00680678" w:rsidP="00680678">
      <w:pPr>
        <w:jc w:val="center"/>
        <w:rPr>
          <w:sz w:val="32"/>
          <w:szCs w:val="32"/>
          <w:u w:val="single"/>
        </w:rPr>
      </w:pPr>
      <w:r w:rsidRPr="00680678">
        <w:rPr>
          <w:sz w:val="32"/>
          <w:szCs w:val="32"/>
          <w:u w:val="single"/>
        </w:rPr>
        <w:t>Petronius: Satyrica, 77-78: A Commentary</w:t>
      </w:r>
    </w:p>
    <w:p w14:paraId="1366895D" w14:textId="4C220905" w:rsidR="00680678" w:rsidRDefault="00D85396" w:rsidP="00680678">
      <w:pPr>
        <w:rPr>
          <w:sz w:val="24"/>
          <w:szCs w:val="24"/>
        </w:rPr>
      </w:pPr>
      <w:r>
        <w:rPr>
          <w:sz w:val="24"/>
          <w:szCs w:val="24"/>
        </w:rPr>
        <w:t>The concluding two</w:t>
      </w:r>
      <w:r w:rsidR="00680678">
        <w:rPr>
          <w:sz w:val="24"/>
          <w:szCs w:val="24"/>
        </w:rPr>
        <w:t xml:space="preserve"> chapters represent the</w:t>
      </w:r>
      <w:r w:rsidR="0002345C">
        <w:rPr>
          <w:sz w:val="24"/>
          <w:szCs w:val="24"/>
        </w:rPr>
        <w:t xml:space="preserve"> dramatic</w:t>
      </w:r>
      <w:r w:rsidR="00680678">
        <w:rPr>
          <w:sz w:val="24"/>
          <w:szCs w:val="24"/>
        </w:rPr>
        <w:t xml:space="preserve"> climax of the </w:t>
      </w:r>
      <w:r w:rsidR="00680678">
        <w:rPr>
          <w:i/>
          <w:iCs/>
          <w:sz w:val="24"/>
          <w:szCs w:val="24"/>
        </w:rPr>
        <w:t>Cena</w:t>
      </w:r>
      <w:r w:rsidR="00066EF1">
        <w:rPr>
          <w:i/>
          <w:iCs/>
          <w:sz w:val="24"/>
          <w:szCs w:val="24"/>
        </w:rPr>
        <w:t xml:space="preserve">. </w:t>
      </w:r>
      <w:r w:rsidR="00066EF1">
        <w:rPr>
          <w:sz w:val="24"/>
          <w:szCs w:val="24"/>
        </w:rPr>
        <w:t>Chapter 77 opens with Trimalchio relating, in direct discourse, the words of an astrologer named Serapa</w:t>
      </w:r>
      <w:r>
        <w:rPr>
          <w:sz w:val="24"/>
          <w:szCs w:val="24"/>
        </w:rPr>
        <w:t xml:space="preserve">, the </w:t>
      </w:r>
      <w:r w:rsidR="00641F3F">
        <w:rPr>
          <w:sz w:val="24"/>
          <w:szCs w:val="24"/>
        </w:rPr>
        <w:t xml:space="preserve"> </w:t>
      </w:r>
      <w:r w:rsidR="00536258">
        <w:rPr>
          <w:sz w:val="24"/>
          <w:szCs w:val="24"/>
        </w:rPr>
        <w:t>narrative</w:t>
      </w:r>
      <w:r w:rsidR="00641F3F">
        <w:rPr>
          <w:sz w:val="24"/>
          <w:szCs w:val="24"/>
        </w:rPr>
        <w:t xml:space="preserve"> </w:t>
      </w:r>
      <w:r>
        <w:rPr>
          <w:sz w:val="24"/>
          <w:szCs w:val="24"/>
        </w:rPr>
        <w:t xml:space="preserve">of which </w:t>
      </w:r>
      <w:r w:rsidR="00641F3F">
        <w:rPr>
          <w:sz w:val="24"/>
          <w:szCs w:val="24"/>
        </w:rPr>
        <w:t xml:space="preserve">compares with </w:t>
      </w:r>
      <w:r w:rsidR="00641F3F">
        <w:rPr>
          <w:i/>
          <w:iCs/>
          <w:sz w:val="24"/>
          <w:szCs w:val="24"/>
        </w:rPr>
        <w:t xml:space="preserve">Odyssey, </w:t>
      </w:r>
      <w:r w:rsidR="00641F3F">
        <w:rPr>
          <w:sz w:val="24"/>
          <w:szCs w:val="24"/>
        </w:rPr>
        <w:t>9-12,</w:t>
      </w:r>
      <w:r w:rsidR="00641F3F">
        <w:rPr>
          <w:i/>
          <w:iCs/>
          <w:sz w:val="24"/>
          <w:szCs w:val="24"/>
        </w:rPr>
        <w:t xml:space="preserve"> </w:t>
      </w:r>
      <w:r w:rsidR="00641F3F">
        <w:rPr>
          <w:sz w:val="24"/>
          <w:szCs w:val="24"/>
        </w:rPr>
        <w:t>where Odysseus relates his adventures to the Phaenacians.</w:t>
      </w:r>
      <w:r w:rsidR="00641F3F">
        <w:rPr>
          <w:rStyle w:val="FootnoteReference"/>
          <w:sz w:val="24"/>
          <w:szCs w:val="24"/>
        </w:rPr>
        <w:footnoteReference w:id="1"/>
      </w:r>
      <w:r w:rsidR="00066EF1">
        <w:rPr>
          <w:sz w:val="24"/>
          <w:szCs w:val="24"/>
        </w:rPr>
        <w:t xml:space="preserve"> </w:t>
      </w:r>
      <w:r w:rsidR="008E09FC">
        <w:rPr>
          <w:sz w:val="24"/>
          <w:szCs w:val="24"/>
        </w:rPr>
        <w:t>It represents</w:t>
      </w:r>
      <w:r w:rsidR="00066EF1">
        <w:rPr>
          <w:sz w:val="24"/>
          <w:szCs w:val="24"/>
        </w:rPr>
        <w:t xml:space="preserve"> the final stage of his ‘bragging autobiography</w:t>
      </w:r>
      <w:r w:rsidR="00D526A5">
        <w:rPr>
          <w:sz w:val="24"/>
          <w:szCs w:val="24"/>
        </w:rPr>
        <w:t>.</w:t>
      </w:r>
      <w:r w:rsidR="00066EF1">
        <w:rPr>
          <w:sz w:val="24"/>
          <w:szCs w:val="24"/>
        </w:rPr>
        <w:t>’</w:t>
      </w:r>
      <w:r w:rsidR="00227D12">
        <w:rPr>
          <w:rStyle w:val="FootnoteReference"/>
          <w:sz w:val="24"/>
          <w:szCs w:val="24"/>
        </w:rPr>
        <w:footnoteReference w:id="2"/>
      </w:r>
      <w:r w:rsidR="00066EF1">
        <w:rPr>
          <w:sz w:val="24"/>
          <w:szCs w:val="24"/>
        </w:rPr>
        <w:t xml:space="preserve"> </w:t>
      </w:r>
      <w:r>
        <w:rPr>
          <w:sz w:val="24"/>
          <w:szCs w:val="24"/>
        </w:rPr>
        <w:t xml:space="preserve">Habinnas, a stonemason of some importance in Puteoli, is asked to confirm </w:t>
      </w:r>
      <w:r w:rsidR="00536258">
        <w:rPr>
          <w:sz w:val="24"/>
          <w:szCs w:val="24"/>
        </w:rPr>
        <w:t xml:space="preserve"> what Rimell terms</w:t>
      </w:r>
      <w:r w:rsidR="00D526A5">
        <w:rPr>
          <w:sz w:val="24"/>
          <w:szCs w:val="24"/>
        </w:rPr>
        <w:t>,</w:t>
      </w:r>
      <w:r>
        <w:rPr>
          <w:sz w:val="24"/>
          <w:szCs w:val="24"/>
        </w:rPr>
        <w:t xml:space="preserve"> </w:t>
      </w:r>
      <w:r w:rsidR="000E423C">
        <w:rPr>
          <w:sz w:val="24"/>
          <w:szCs w:val="24"/>
        </w:rPr>
        <w:t xml:space="preserve"> </w:t>
      </w:r>
      <w:r w:rsidR="00536258">
        <w:rPr>
          <w:sz w:val="24"/>
          <w:szCs w:val="24"/>
        </w:rPr>
        <w:t xml:space="preserve">Trimalchio’s </w:t>
      </w:r>
      <w:r>
        <w:rPr>
          <w:sz w:val="24"/>
          <w:szCs w:val="24"/>
        </w:rPr>
        <w:t xml:space="preserve">authorial </w:t>
      </w:r>
      <w:r w:rsidR="00536258">
        <w:rPr>
          <w:sz w:val="24"/>
          <w:szCs w:val="24"/>
        </w:rPr>
        <w:t>excuse to tell autobiographical narratives.</w:t>
      </w:r>
      <w:r w:rsidR="00536258">
        <w:rPr>
          <w:rStyle w:val="FootnoteReference"/>
          <w:sz w:val="24"/>
          <w:szCs w:val="24"/>
        </w:rPr>
        <w:footnoteReference w:id="3"/>
      </w:r>
      <w:r>
        <w:rPr>
          <w:sz w:val="24"/>
          <w:szCs w:val="24"/>
        </w:rPr>
        <w:t xml:space="preserve"> </w:t>
      </w:r>
    </w:p>
    <w:p w14:paraId="01AB9AC4" w14:textId="1B711192" w:rsidR="00500CD7" w:rsidRPr="0061671A" w:rsidRDefault="00227D12" w:rsidP="00680678">
      <w:pPr>
        <w:rPr>
          <w:sz w:val="24"/>
          <w:szCs w:val="24"/>
        </w:rPr>
      </w:pPr>
      <w:r>
        <w:rPr>
          <w:i/>
          <w:iCs/>
          <w:sz w:val="24"/>
          <w:szCs w:val="24"/>
        </w:rPr>
        <w:t>Tu dominam tuam de rebus illis fecisti:</w:t>
      </w:r>
      <w:r w:rsidR="008E09FC">
        <w:rPr>
          <w:i/>
          <w:iCs/>
          <w:sz w:val="24"/>
          <w:szCs w:val="24"/>
        </w:rPr>
        <w:t xml:space="preserve"> Domina </w:t>
      </w:r>
      <w:r w:rsidR="008E09FC">
        <w:rPr>
          <w:sz w:val="24"/>
          <w:szCs w:val="24"/>
        </w:rPr>
        <w:t xml:space="preserve">here is less likely to be Fortunata, Trimalchio’s wife, </w:t>
      </w:r>
      <w:r w:rsidR="007873B0">
        <w:rPr>
          <w:sz w:val="24"/>
          <w:szCs w:val="24"/>
        </w:rPr>
        <w:t>more</w:t>
      </w:r>
      <w:r w:rsidR="008E09FC">
        <w:rPr>
          <w:sz w:val="24"/>
          <w:szCs w:val="24"/>
        </w:rPr>
        <w:t xml:space="preserve"> his mistress</w:t>
      </w:r>
      <w:r w:rsidR="0002345C">
        <w:rPr>
          <w:sz w:val="24"/>
          <w:szCs w:val="24"/>
        </w:rPr>
        <w:t>,</w:t>
      </w:r>
      <w:r w:rsidR="008E09FC">
        <w:rPr>
          <w:sz w:val="24"/>
          <w:szCs w:val="24"/>
        </w:rPr>
        <w:t xml:space="preserve"> whom he made ‘his own’.</w:t>
      </w:r>
      <w:r w:rsidR="008E09FC">
        <w:rPr>
          <w:rStyle w:val="FootnoteReference"/>
          <w:sz w:val="24"/>
          <w:szCs w:val="24"/>
        </w:rPr>
        <w:footnoteReference w:id="4"/>
      </w:r>
      <w:r w:rsidR="0053214C">
        <w:rPr>
          <w:sz w:val="24"/>
          <w:szCs w:val="24"/>
        </w:rPr>
        <w:t xml:space="preserve"> </w:t>
      </w:r>
      <w:r w:rsidR="007873B0">
        <w:rPr>
          <w:sz w:val="24"/>
          <w:szCs w:val="24"/>
        </w:rPr>
        <w:t>If</w:t>
      </w:r>
      <w:r w:rsidR="00500CD7">
        <w:rPr>
          <w:sz w:val="24"/>
          <w:szCs w:val="24"/>
        </w:rPr>
        <w:t xml:space="preserve"> </w:t>
      </w:r>
      <w:r w:rsidR="00500CD7">
        <w:rPr>
          <w:i/>
          <w:iCs/>
          <w:sz w:val="24"/>
          <w:szCs w:val="24"/>
        </w:rPr>
        <w:t xml:space="preserve">dominam </w:t>
      </w:r>
      <w:r w:rsidR="00500CD7">
        <w:rPr>
          <w:sz w:val="24"/>
          <w:szCs w:val="24"/>
        </w:rPr>
        <w:t>becomes Trimalchio’s mistress, we get a chronological report here from Serapa, starting with Trimalchio’s life as a slave</w:t>
      </w:r>
      <w:r w:rsidR="00D85396">
        <w:rPr>
          <w:sz w:val="24"/>
          <w:szCs w:val="24"/>
        </w:rPr>
        <w:t>,</w:t>
      </w:r>
      <w:r w:rsidR="00500CD7">
        <w:rPr>
          <w:sz w:val="24"/>
          <w:szCs w:val="24"/>
        </w:rPr>
        <w:t xml:space="preserve"> and concluding with a statement that Fortunata is a </w:t>
      </w:r>
      <w:r w:rsidR="00500CD7">
        <w:rPr>
          <w:i/>
          <w:iCs/>
          <w:sz w:val="24"/>
          <w:szCs w:val="24"/>
        </w:rPr>
        <w:t>vipera.</w:t>
      </w:r>
      <w:r w:rsidR="00500CD7">
        <w:rPr>
          <w:rStyle w:val="FootnoteReference"/>
          <w:sz w:val="24"/>
          <w:szCs w:val="24"/>
        </w:rPr>
        <w:footnoteReference w:id="5"/>
      </w:r>
      <w:r w:rsidR="007873B0">
        <w:rPr>
          <w:i/>
          <w:iCs/>
          <w:sz w:val="24"/>
          <w:szCs w:val="24"/>
        </w:rPr>
        <w:t xml:space="preserve"> </w:t>
      </w:r>
      <w:r w:rsidR="0061671A">
        <w:rPr>
          <w:sz w:val="24"/>
          <w:szCs w:val="24"/>
        </w:rPr>
        <w:t>The vagueness of the language may reflect the tricks that astrologers use to be believable.</w:t>
      </w:r>
      <w:r w:rsidR="0061671A">
        <w:rPr>
          <w:rStyle w:val="FootnoteReference"/>
          <w:sz w:val="24"/>
          <w:szCs w:val="24"/>
        </w:rPr>
        <w:footnoteReference w:id="6"/>
      </w:r>
    </w:p>
    <w:p w14:paraId="6F7EEF21" w14:textId="753288C9" w:rsidR="00167C49" w:rsidRDefault="00500CD7" w:rsidP="00680678">
      <w:pPr>
        <w:rPr>
          <w:sz w:val="24"/>
          <w:szCs w:val="24"/>
        </w:rPr>
      </w:pPr>
      <w:r>
        <w:rPr>
          <w:i/>
          <w:iCs/>
          <w:sz w:val="24"/>
          <w:szCs w:val="24"/>
        </w:rPr>
        <w:t xml:space="preserve">Tu parum felix in amicos es: </w:t>
      </w:r>
      <w:r w:rsidR="00BE1496">
        <w:rPr>
          <w:sz w:val="24"/>
          <w:szCs w:val="24"/>
        </w:rPr>
        <w:t xml:space="preserve">Trimalchio had been struck by Serapa’s intimate knowledge of him, </w:t>
      </w:r>
      <w:r w:rsidR="00D526A5">
        <w:rPr>
          <w:sz w:val="24"/>
          <w:szCs w:val="24"/>
        </w:rPr>
        <w:t>yet he</w:t>
      </w:r>
      <w:r w:rsidR="00BE1496">
        <w:rPr>
          <w:sz w:val="24"/>
          <w:szCs w:val="24"/>
        </w:rPr>
        <w:t xml:space="preserve"> was</w:t>
      </w:r>
      <w:r>
        <w:rPr>
          <w:sz w:val="24"/>
          <w:szCs w:val="24"/>
        </w:rPr>
        <w:t xml:space="preserve"> playing on Trim</w:t>
      </w:r>
      <w:r w:rsidR="00D85396">
        <w:rPr>
          <w:sz w:val="24"/>
          <w:szCs w:val="24"/>
        </w:rPr>
        <w:t>al</w:t>
      </w:r>
      <w:r>
        <w:rPr>
          <w:sz w:val="24"/>
          <w:szCs w:val="24"/>
        </w:rPr>
        <w:t>chio’s insecurities</w:t>
      </w:r>
      <w:r w:rsidR="0053214C">
        <w:rPr>
          <w:sz w:val="24"/>
          <w:szCs w:val="24"/>
        </w:rPr>
        <w:t>.</w:t>
      </w:r>
      <w:r>
        <w:rPr>
          <w:rStyle w:val="FootnoteReference"/>
          <w:sz w:val="24"/>
          <w:szCs w:val="24"/>
        </w:rPr>
        <w:footnoteReference w:id="7"/>
      </w:r>
      <w:r w:rsidR="0002345C">
        <w:rPr>
          <w:sz w:val="24"/>
          <w:szCs w:val="24"/>
        </w:rPr>
        <w:t xml:space="preserve"> </w:t>
      </w:r>
      <w:r>
        <w:rPr>
          <w:sz w:val="24"/>
          <w:szCs w:val="24"/>
        </w:rPr>
        <w:t xml:space="preserve"> </w:t>
      </w:r>
      <w:r>
        <w:rPr>
          <w:i/>
          <w:iCs/>
          <w:sz w:val="24"/>
          <w:szCs w:val="24"/>
        </w:rPr>
        <w:t xml:space="preserve">In amicos: </w:t>
      </w:r>
      <w:r>
        <w:rPr>
          <w:sz w:val="24"/>
          <w:szCs w:val="24"/>
        </w:rPr>
        <w:t xml:space="preserve">literally ‘towards your friends’ i.e. ‘in the case of your friends’ for which </w:t>
      </w:r>
      <w:r>
        <w:rPr>
          <w:i/>
          <w:iCs/>
          <w:sz w:val="24"/>
          <w:szCs w:val="24"/>
        </w:rPr>
        <w:t xml:space="preserve">in </w:t>
      </w:r>
      <w:r w:rsidR="000938D4">
        <w:rPr>
          <w:sz w:val="24"/>
          <w:szCs w:val="24"/>
        </w:rPr>
        <w:t>+ ablative is commoner.</w:t>
      </w:r>
      <w:r w:rsidR="000938D4">
        <w:rPr>
          <w:rStyle w:val="FootnoteReference"/>
          <w:sz w:val="24"/>
          <w:szCs w:val="24"/>
        </w:rPr>
        <w:footnoteReference w:id="8"/>
      </w:r>
      <w:r>
        <w:rPr>
          <w:sz w:val="24"/>
          <w:szCs w:val="24"/>
        </w:rPr>
        <w:t xml:space="preserve"> </w:t>
      </w:r>
    </w:p>
    <w:p w14:paraId="5AF9E55F" w14:textId="5C6D3CD1" w:rsidR="00227D12" w:rsidRDefault="00167C49" w:rsidP="00680678">
      <w:pPr>
        <w:rPr>
          <w:i/>
          <w:iCs/>
          <w:sz w:val="24"/>
          <w:szCs w:val="24"/>
        </w:rPr>
      </w:pPr>
      <w:r>
        <w:rPr>
          <w:i/>
          <w:iCs/>
          <w:sz w:val="24"/>
          <w:szCs w:val="24"/>
        </w:rPr>
        <w:t xml:space="preserve">Latifundia: </w:t>
      </w:r>
      <w:r w:rsidR="00BE1496">
        <w:rPr>
          <w:sz w:val="24"/>
          <w:szCs w:val="24"/>
        </w:rPr>
        <w:t xml:space="preserve"> </w:t>
      </w:r>
      <w:r>
        <w:rPr>
          <w:sz w:val="24"/>
          <w:szCs w:val="24"/>
        </w:rPr>
        <w:t xml:space="preserve">The sheer size and power of these large estates </w:t>
      </w:r>
      <w:r w:rsidR="00D526A5">
        <w:rPr>
          <w:sz w:val="24"/>
          <w:szCs w:val="24"/>
        </w:rPr>
        <w:t xml:space="preserve">meant that they were difficult to  </w:t>
      </w:r>
      <w:r>
        <w:rPr>
          <w:sz w:val="24"/>
          <w:szCs w:val="24"/>
        </w:rPr>
        <w:t>control</w:t>
      </w:r>
      <w:r w:rsidR="009F08A6">
        <w:rPr>
          <w:sz w:val="24"/>
          <w:szCs w:val="24"/>
        </w:rPr>
        <w:t>.</w:t>
      </w:r>
      <w:r>
        <w:rPr>
          <w:sz w:val="24"/>
          <w:szCs w:val="24"/>
        </w:rPr>
        <w:t xml:space="preserve">  Tacitus</w:t>
      </w:r>
      <w:r w:rsidR="009F08A6">
        <w:rPr>
          <w:sz w:val="24"/>
          <w:szCs w:val="24"/>
        </w:rPr>
        <w:t>, in reference to the estate of Dimitia Lepida,</w:t>
      </w:r>
      <w:r>
        <w:rPr>
          <w:sz w:val="24"/>
          <w:szCs w:val="24"/>
        </w:rPr>
        <w:t xml:space="preserve"> states</w:t>
      </w:r>
      <w:r w:rsidR="009F08A6">
        <w:rPr>
          <w:sz w:val="24"/>
          <w:szCs w:val="24"/>
        </w:rPr>
        <w:t xml:space="preserve"> how it</w:t>
      </w:r>
      <w:r>
        <w:rPr>
          <w:sz w:val="24"/>
          <w:szCs w:val="24"/>
        </w:rPr>
        <w:t xml:space="preserve"> undermined the peace of Italy, </w:t>
      </w:r>
      <w:r>
        <w:rPr>
          <w:i/>
          <w:iCs/>
          <w:sz w:val="24"/>
          <w:szCs w:val="24"/>
        </w:rPr>
        <w:t>quodque parum coercitis per Calabriam servorum agminibus pacem Italiae turbaret.</w:t>
      </w:r>
      <w:r>
        <w:rPr>
          <w:rStyle w:val="FootnoteReference"/>
          <w:i/>
          <w:iCs/>
          <w:sz w:val="24"/>
          <w:szCs w:val="24"/>
        </w:rPr>
        <w:footnoteReference w:id="9"/>
      </w:r>
      <w:r w:rsidR="00400A30">
        <w:rPr>
          <w:sz w:val="24"/>
          <w:szCs w:val="24"/>
        </w:rPr>
        <w:t xml:space="preserve"> Juvenal speaks of one owner, </w:t>
      </w:r>
      <w:r w:rsidR="00400A30">
        <w:rPr>
          <w:i/>
          <w:iCs/>
          <w:sz w:val="24"/>
          <w:szCs w:val="24"/>
        </w:rPr>
        <w:t>culti…possederis agri quantum sub Tatio populus Romanus arabat.</w:t>
      </w:r>
      <w:r w:rsidR="00400A30">
        <w:rPr>
          <w:rStyle w:val="FootnoteReference"/>
          <w:i/>
          <w:iCs/>
          <w:sz w:val="24"/>
          <w:szCs w:val="24"/>
        </w:rPr>
        <w:footnoteReference w:id="10"/>
      </w:r>
      <w:r w:rsidR="00227D12">
        <w:rPr>
          <w:i/>
          <w:iCs/>
          <w:sz w:val="24"/>
          <w:szCs w:val="24"/>
        </w:rPr>
        <w:t xml:space="preserve"> </w:t>
      </w:r>
    </w:p>
    <w:p w14:paraId="256D0C7F" w14:textId="7EF5DFC7" w:rsidR="00A40B11" w:rsidRDefault="00A40B11" w:rsidP="00680678">
      <w:pPr>
        <w:rPr>
          <w:sz w:val="24"/>
          <w:szCs w:val="24"/>
        </w:rPr>
      </w:pPr>
      <w:r>
        <w:rPr>
          <w:i/>
          <w:iCs/>
          <w:sz w:val="24"/>
          <w:szCs w:val="24"/>
        </w:rPr>
        <w:t>Tu viperam sub ala nutricas</w:t>
      </w:r>
      <w:r w:rsidR="00A91527">
        <w:rPr>
          <w:i/>
          <w:iCs/>
          <w:sz w:val="24"/>
          <w:szCs w:val="24"/>
        </w:rPr>
        <w:t xml:space="preserve">: </w:t>
      </w:r>
      <w:r w:rsidR="00A91527">
        <w:rPr>
          <w:sz w:val="24"/>
          <w:szCs w:val="24"/>
        </w:rPr>
        <w:t>Borthwick notes that female vipers kill their mates.</w:t>
      </w:r>
      <w:r w:rsidR="00A91527">
        <w:rPr>
          <w:rStyle w:val="FootnoteReference"/>
          <w:sz w:val="24"/>
          <w:szCs w:val="24"/>
        </w:rPr>
        <w:footnoteReference w:id="11"/>
      </w:r>
      <w:r w:rsidR="00A91527">
        <w:rPr>
          <w:sz w:val="24"/>
          <w:szCs w:val="24"/>
        </w:rPr>
        <w:t xml:space="preserve"> They </w:t>
      </w:r>
      <w:r w:rsidR="00D526A5">
        <w:rPr>
          <w:sz w:val="24"/>
          <w:szCs w:val="24"/>
        </w:rPr>
        <w:t>were</w:t>
      </w:r>
      <w:r w:rsidR="00A91527">
        <w:rPr>
          <w:sz w:val="24"/>
          <w:szCs w:val="24"/>
        </w:rPr>
        <w:t xml:space="preserve"> known for domestic treachery, and there is a tradition of calling a harlot an </w:t>
      </w:r>
      <w:r w:rsidR="00A91527">
        <w:rPr>
          <w:i/>
          <w:iCs/>
          <w:sz w:val="24"/>
          <w:szCs w:val="24"/>
        </w:rPr>
        <w:t>echnida.</w:t>
      </w:r>
      <w:r w:rsidR="00360658">
        <w:rPr>
          <w:i/>
          <w:iCs/>
          <w:sz w:val="24"/>
          <w:szCs w:val="24"/>
        </w:rPr>
        <w:t xml:space="preserve"> </w:t>
      </w:r>
      <w:r w:rsidR="00A91527">
        <w:rPr>
          <w:i/>
          <w:iCs/>
          <w:sz w:val="24"/>
          <w:szCs w:val="24"/>
        </w:rPr>
        <w:t xml:space="preserve"> </w:t>
      </w:r>
    </w:p>
    <w:p w14:paraId="6F5D5A90" w14:textId="55BA134E" w:rsidR="00961134" w:rsidRPr="0084364A" w:rsidRDefault="00A91527" w:rsidP="00680678">
      <w:pPr>
        <w:rPr>
          <w:sz w:val="24"/>
          <w:szCs w:val="24"/>
        </w:rPr>
      </w:pPr>
      <w:r>
        <w:rPr>
          <w:i/>
          <w:iCs/>
          <w:sz w:val="24"/>
          <w:szCs w:val="24"/>
        </w:rPr>
        <w:t xml:space="preserve">Annos triginta et menses quattuor et dies duos: </w:t>
      </w:r>
      <w:r w:rsidR="0057236C">
        <w:rPr>
          <w:sz w:val="24"/>
          <w:szCs w:val="24"/>
        </w:rPr>
        <w:t xml:space="preserve"> </w:t>
      </w:r>
      <w:r w:rsidR="009F08A6">
        <w:rPr>
          <w:sz w:val="24"/>
          <w:szCs w:val="24"/>
        </w:rPr>
        <w:t>‘Knowing</w:t>
      </w:r>
      <w:r w:rsidR="00D526A5">
        <w:rPr>
          <w:sz w:val="24"/>
          <w:szCs w:val="24"/>
        </w:rPr>
        <w:t>’</w:t>
      </w:r>
      <w:r w:rsidR="0057236C">
        <w:rPr>
          <w:sz w:val="24"/>
          <w:szCs w:val="24"/>
        </w:rPr>
        <w:t xml:space="preserve"> that Trimalchio</w:t>
      </w:r>
      <w:r w:rsidR="00C14132">
        <w:rPr>
          <w:sz w:val="24"/>
          <w:szCs w:val="24"/>
        </w:rPr>
        <w:t xml:space="preserve"> </w:t>
      </w:r>
      <w:r w:rsidR="00D526A5">
        <w:rPr>
          <w:sz w:val="24"/>
          <w:szCs w:val="24"/>
        </w:rPr>
        <w:t>would</w:t>
      </w:r>
      <w:r w:rsidR="00C14132">
        <w:rPr>
          <w:sz w:val="24"/>
          <w:szCs w:val="24"/>
        </w:rPr>
        <w:t xml:space="preserve"> live </w:t>
      </w:r>
      <w:r w:rsidR="00D526A5">
        <w:rPr>
          <w:sz w:val="24"/>
          <w:szCs w:val="24"/>
        </w:rPr>
        <w:t xml:space="preserve">for </w:t>
      </w:r>
      <w:r w:rsidR="00C14132">
        <w:rPr>
          <w:sz w:val="24"/>
          <w:szCs w:val="24"/>
        </w:rPr>
        <w:t>thirty years, four month</w:t>
      </w:r>
      <w:r w:rsidR="00D526A5">
        <w:rPr>
          <w:sz w:val="24"/>
          <w:szCs w:val="24"/>
        </w:rPr>
        <w:t>s</w:t>
      </w:r>
      <w:r w:rsidR="00C14132">
        <w:rPr>
          <w:sz w:val="24"/>
          <w:szCs w:val="24"/>
        </w:rPr>
        <w:t>, and two days</w:t>
      </w:r>
      <w:r w:rsidR="009F08A6">
        <w:rPr>
          <w:sz w:val="24"/>
          <w:szCs w:val="24"/>
        </w:rPr>
        <w:t xml:space="preserve"> was said to be dangerous for the health of any beneficiaries,</w:t>
      </w:r>
      <w:r w:rsidR="00180222">
        <w:rPr>
          <w:sz w:val="24"/>
          <w:szCs w:val="24"/>
        </w:rPr>
        <w:t xml:space="preserve"> </w:t>
      </w:r>
      <w:r w:rsidR="00180222">
        <w:rPr>
          <w:i/>
          <w:iCs/>
          <w:sz w:val="24"/>
          <w:szCs w:val="24"/>
        </w:rPr>
        <w:t>filius ante diem patrios inquirit in annos.</w:t>
      </w:r>
      <w:r w:rsidR="00180222">
        <w:rPr>
          <w:rStyle w:val="FootnoteReference"/>
          <w:i/>
          <w:iCs/>
          <w:sz w:val="24"/>
          <w:szCs w:val="24"/>
        </w:rPr>
        <w:footnoteReference w:id="12"/>
      </w:r>
      <w:r w:rsidR="00360658">
        <w:rPr>
          <w:sz w:val="24"/>
          <w:szCs w:val="24"/>
        </w:rPr>
        <w:t xml:space="preserve"> </w:t>
      </w:r>
      <w:r w:rsidR="00FC00B5">
        <w:rPr>
          <w:sz w:val="24"/>
          <w:szCs w:val="24"/>
        </w:rPr>
        <w:t xml:space="preserve">Lattimore notes epitaphs giving years, months, days, and even listing hours, </w:t>
      </w:r>
      <w:r w:rsidR="00FC00B5">
        <w:rPr>
          <w:i/>
          <w:iCs/>
          <w:sz w:val="24"/>
          <w:szCs w:val="24"/>
        </w:rPr>
        <w:t>coniugi karissim</w:t>
      </w:r>
      <w:r w:rsidR="00FC00B5">
        <w:rPr>
          <w:sz w:val="24"/>
          <w:szCs w:val="24"/>
        </w:rPr>
        <w:t>(</w:t>
      </w:r>
      <w:r w:rsidR="00FC00B5">
        <w:rPr>
          <w:i/>
          <w:iCs/>
          <w:sz w:val="24"/>
          <w:szCs w:val="24"/>
        </w:rPr>
        <w:t>ae</w:t>
      </w:r>
      <w:r w:rsidR="00FC00B5">
        <w:rPr>
          <w:sz w:val="24"/>
          <w:szCs w:val="24"/>
        </w:rPr>
        <w:t xml:space="preserve">) </w:t>
      </w:r>
      <w:r w:rsidR="00FC00B5">
        <w:rPr>
          <w:i/>
          <w:iCs/>
          <w:sz w:val="24"/>
          <w:szCs w:val="24"/>
        </w:rPr>
        <w:t xml:space="preserve">cum qua vix </w:t>
      </w:r>
      <w:r w:rsidR="00FC00B5">
        <w:rPr>
          <w:sz w:val="24"/>
          <w:szCs w:val="24"/>
        </w:rPr>
        <w:t>(</w:t>
      </w:r>
      <w:r w:rsidR="00FC00B5">
        <w:rPr>
          <w:i/>
          <w:iCs/>
          <w:sz w:val="24"/>
          <w:szCs w:val="24"/>
        </w:rPr>
        <w:t>i</w:t>
      </w:r>
      <w:r w:rsidR="00FC00B5">
        <w:rPr>
          <w:sz w:val="24"/>
          <w:szCs w:val="24"/>
        </w:rPr>
        <w:t xml:space="preserve">) </w:t>
      </w:r>
      <w:r w:rsidR="00FC00B5">
        <w:rPr>
          <w:i/>
          <w:iCs/>
          <w:sz w:val="24"/>
          <w:szCs w:val="24"/>
        </w:rPr>
        <w:t>annis II, mens</w:t>
      </w:r>
      <w:r w:rsidR="00FC00B5">
        <w:rPr>
          <w:sz w:val="24"/>
          <w:szCs w:val="24"/>
        </w:rPr>
        <w:t>(</w:t>
      </w:r>
      <w:r w:rsidR="00FC00B5">
        <w:rPr>
          <w:i/>
          <w:iCs/>
          <w:sz w:val="24"/>
          <w:szCs w:val="24"/>
        </w:rPr>
        <w:t>ibus</w:t>
      </w:r>
      <w:r w:rsidR="00FC00B5">
        <w:rPr>
          <w:sz w:val="24"/>
          <w:szCs w:val="24"/>
        </w:rPr>
        <w:t xml:space="preserve">) </w:t>
      </w:r>
      <w:r w:rsidR="00FC00B5">
        <w:rPr>
          <w:i/>
          <w:iCs/>
          <w:sz w:val="24"/>
          <w:szCs w:val="24"/>
        </w:rPr>
        <w:t>VI, die</w:t>
      </w:r>
      <w:r w:rsidR="00FC00B5">
        <w:rPr>
          <w:sz w:val="24"/>
          <w:szCs w:val="24"/>
        </w:rPr>
        <w:t>(</w:t>
      </w:r>
      <w:r w:rsidR="00FC00B5">
        <w:rPr>
          <w:i/>
          <w:iCs/>
          <w:sz w:val="24"/>
          <w:szCs w:val="24"/>
        </w:rPr>
        <w:t>bus</w:t>
      </w:r>
      <w:r w:rsidR="00FC00B5">
        <w:rPr>
          <w:sz w:val="24"/>
          <w:szCs w:val="24"/>
        </w:rPr>
        <w:t xml:space="preserve">) </w:t>
      </w:r>
      <w:r w:rsidR="00FC00B5">
        <w:rPr>
          <w:i/>
          <w:iCs/>
          <w:sz w:val="24"/>
          <w:szCs w:val="24"/>
        </w:rPr>
        <w:t>III, hor</w:t>
      </w:r>
      <w:r w:rsidR="00FC00B5">
        <w:rPr>
          <w:sz w:val="24"/>
          <w:szCs w:val="24"/>
        </w:rPr>
        <w:t>(</w:t>
      </w:r>
      <w:r w:rsidR="00FC00B5">
        <w:rPr>
          <w:i/>
          <w:iCs/>
          <w:sz w:val="24"/>
          <w:szCs w:val="24"/>
        </w:rPr>
        <w:t>is</w:t>
      </w:r>
      <w:r w:rsidR="00FC00B5">
        <w:rPr>
          <w:sz w:val="24"/>
          <w:szCs w:val="24"/>
        </w:rPr>
        <w:t xml:space="preserve">) </w:t>
      </w:r>
      <w:r w:rsidR="00FC00B5">
        <w:rPr>
          <w:i/>
          <w:iCs/>
          <w:sz w:val="24"/>
          <w:szCs w:val="24"/>
        </w:rPr>
        <w:t xml:space="preserve">X. in die mortis gratias maximas egi aput deos et aput </w:t>
      </w:r>
      <w:r w:rsidR="00FC00B5">
        <w:rPr>
          <w:i/>
          <w:iCs/>
          <w:sz w:val="24"/>
          <w:szCs w:val="24"/>
        </w:rPr>
        <w:lastRenderedPageBreak/>
        <w:t>homines.</w:t>
      </w:r>
      <w:r w:rsidR="00FC00B5">
        <w:rPr>
          <w:rStyle w:val="FootnoteReference"/>
          <w:i/>
          <w:iCs/>
          <w:sz w:val="24"/>
          <w:szCs w:val="24"/>
        </w:rPr>
        <w:footnoteReference w:id="13"/>
      </w:r>
      <w:r w:rsidR="0084364A">
        <w:rPr>
          <w:i/>
          <w:iCs/>
          <w:sz w:val="24"/>
          <w:szCs w:val="24"/>
        </w:rPr>
        <w:t xml:space="preserve"> </w:t>
      </w:r>
      <w:r w:rsidR="00D526A5">
        <w:rPr>
          <w:sz w:val="24"/>
          <w:szCs w:val="24"/>
        </w:rPr>
        <w:t>Be aware of</w:t>
      </w:r>
      <w:r w:rsidR="0084364A">
        <w:rPr>
          <w:sz w:val="24"/>
          <w:szCs w:val="24"/>
        </w:rPr>
        <w:t xml:space="preserve"> the exact date of </w:t>
      </w:r>
      <w:r w:rsidR="00D526A5">
        <w:rPr>
          <w:sz w:val="24"/>
          <w:szCs w:val="24"/>
        </w:rPr>
        <w:t>Trimalchio’s</w:t>
      </w:r>
      <w:r w:rsidR="0084364A">
        <w:rPr>
          <w:sz w:val="24"/>
          <w:szCs w:val="24"/>
        </w:rPr>
        <w:t xml:space="preserve"> death</w:t>
      </w:r>
      <w:r w:rsidR="0047256B">
        <w:rPr>
          <w:sz w:val="24"/>
          <w:szCs w:val="24"/>
        </w:rPr>
        <w:t xml:space="preserve"> facilitates the staging of his mock funeral in front of the assembled company.</w:t>
      </w:r>
      <w:r w:rsidR="0047256B">
        <w:rPr>
          <w:rStyle w:val="FootnoteReference"/>
          <w:sz w:val="24"/>
          <w:szCs w:val="24"/>
        </w:rPr>
        <w:footnoteReference w:id="14"/>
      </w:r>
    </w:p>
    <w:p w14:paraId="01074BD0" w14:textId="50676986" w:rsidR="00180222" w:rsidRDefault="00180222" w:rsidP="00680678">
      <w:pPr>
        <w:rPr>
          <w:sz w:val="24"/>
          <w:szCs w:val="24"/>
        </w:rPr>
      </w:pPr>
      <w:r>
        <w:rPr>
          <w:i/>
          <w:iCs/>
          <w:sz w:val="24"/>
          <w:szCs w:val="24"/>
        </w:rPr>
        <w:t xml:space="preserve">Quod si contigerit fundos Apuliae iungere: </w:t>
      </w:r>
      <w:r>
        <w:rPr>
          <w:sz w:val="24"/>
          <w:szCs w:val="24"/>
        </w:rPr>
        <w:t xml:space="preserve">He would still, he states, like to extend his estates to Apulia. </w:t>
      </w:r>
      <w:r w:rsidR="00D355A1">
        <w:rPr>
          <w:sz w:val="24"/>
          <w:szCs w:val="24"/>
        </w:rPr>
        <w:t>A similar wish is expressed a</w:t>
      </w:r>
      <w:r>
        <w:rPr>
          <w:sz w:val="24"/>
          <w:szCs w:val="24"/>
        </w:rPr>
        <w:t>t 48.3,</w:t>
      </w:r>
      <w:r w:rsidR="00D355A1">
        <w:rPr>
          <w:sz w:val="24"/>
          <w:szCs w:val="24"/>
        </w:rPr>
        <w:t>where</w:t>
      </w:r>
      <w:r>
        <w:rPr>
          <w:sz w:val="24"/>
          <w:szCs w:val="24"/>
        </w:rPr>
        <w:t xml:space="preserve"> he speaks of joining together Sicily with his little estates</w:t>
      </w:r>
      <w:r w:rsidR="009F08A6">
        <w:rPr>
          <w:sz w:val="24"/>
          <w:szCs w:val="24"/>
        </w:rPr>
        <w:t>,</w:t>
      </w:r>
      <w:r>
        <w:rPr>
          <w:sz w:val="24"/>
          <w:szCs w:val="24"/>
        </w:rPr>
        <w:t xml:space="preserve"> so that when travelling to Africa</w:t>
      </w:r>
      <w:r w:rsidR="00B614B3">
        <w:rPr>
          <w:sz w:val="24"/>
          <w:szCs w:val="24"/>
        </w:rPr>
        <w:t xml:space="preserve"> </w:t>
      </w:r>
      <w:r w:rsidR="004F731D">
        <w:rPr>
          <w:i/>
          <w:iCs/>
          <w:sz w:val="24"/>
          <w:szCs w:val="24"/>
        </w:rPr>
        <w:t>per meos fines navigem.</w:t>
      </w:r>
      <w:r w:rsidR="004F731D">
        <w:rPr>
          <w:rStyle w:val="FootnoteReference"/>
          <w:i/>
          <w:iCs/>
          <w:sz w:val="24"/>
          <w:szCs w:val="24"/>
        </w:rPr>
        <w:footnoteReference w:id="15"/>
      </w:r>
      <w:r>
        <w:rPr>
          <w:sz w:val="24"/>
          <w:szCs w:val="24"/>
        </w:rPr>
        <w:t xml:space="preserve"> </w:t>
      </w:r>
      <w:r w:rsidR="00D355A1">
        <w:rPr>
          <w:sz w:val="24"/>
          <w:szCs w:val="24"/>
        </w:rPr>
        <w:t>Trimalchio was simply reflecting what</w:t>
      </w:r>
      <w:r w:rsidR="004F731D">
        <w:rPr>
          <w:sz w:val="24"/>
          <w:szCs w:val="24"/>
        </w:rPr>
        <w:t xml:space="preserve"> Pliny refers to</w:t>
      </w:r>
      <w:r w:rsidR="00D355A1">
        <w:rPr>
          <w:sz w:val="24"/>
          <w:szCs w:val="24"/>
        </w:rPr>
        <w:t xml:space="preserve"> as</w:t>
      </w:r>
      <w:r w:rsidR="004F731D">
        <w:rPr>
          <w:sz w:val="24"/>
          <w:szCs w:val="24"/>
        </w:rPr>
        <w:t xml:space="preserve"> the natural upper-class desire to acquire more land, </w:t>
      </w:r>
      <w:r w:rsidR="004F731D">
        <w:rPr>
          <w:i/>
          <w:iCs/>
          <w:sz w:val="24"/>
          <w:szCs w:val="24"/>
        </w:rPr>
        <w:t>sollicitat primum ipsa pulchritude iungendi.</w:t>
      </w:r>
      <w:r w:rsidR="004F731D">
        <w:rPr>
          <w:rStyle w:val="FootnoteReference"/>
          <w:i/>
          <w:iCs/>
          <w:sz w:val="24"/>
          <w:szCs w:val="24"/>
        </w:rPr>
        <w:footnoteReference w:id="16"/>
      </w:r>
      <w:r w:rsidR="004F731D">
        <w:rPr>
          <w:sz w:val="24"/>
          <w:szCs w:val="24"/>
        </w:rPr>
        <w:t xml:space="preserve"> However, </w:t>
      </w:r>
      <w:r w:rsidR="00D355A1">
        <w:rPr>
          <w:sz w:val="24"/>
          <w:szCs w:val="24"/>
        </w:rPr>
        <w:t>such land does not fetch high prices, as</w:t>
      </w:r>
      <w:r w:rsidR="004F731D">
        <w:rPr>
          <w:sz w:val="24"/>
          <w:szCs w:val="24"/>
        </w:rPr>
        <w:t xml:space="preserve"> the </w:t>
      </w:r>
      <w:r w:rsidR="00B614B3">
        <w:rPr>
          <w:sz w:val="24"/>
          <w:szCs w:val="24"/>
        </w:rPr>
        <w:t>scorching</w:t>
      </w:r>
      <w:r w:rsidR="004F731D">
        <w:rPr>
          <w:sz w:val="24"/>
          <w:szCs w:val="24"/>
        </w:rPr>
        <w:t xml:space="preserve"> sirocco forces herdsmen to drive their flocks to pasture in the higher Samnite country.</w:t>
      </w:r>
      <w:r w:rsidR="004F731D">
        <w:rPr>
          <w:rStyle w:val="FootnoteReference"/>
          <w:sz w:val="24"/>
          <w:szCs w:val="24"/>
        </w:rPr>
        <w:footnoteReference w:id="17"/>
      </w:r>
    </w:p>
    <w:p w14:paraId="43D6D8D0" w14:textId="027FC3C5" w:rsidR="00110069" w:rsidRPr="00C262B8" w:rsidRDefault="00D86DE9" w:rsidP="00680678">
      <w:pPr>
        <w:rPr>
          <w:sz w:val="24"/>
          <w:szCs w:val="24"/>
        </w:rPr>
      </w:pPr>
      <w:r>
        <w:rPr>
          <w:i/>
          <w:iCs/>
          <w:sz w:val="24"/>
          <w:szCs w:val="24"/>
        </w:rPr>
        <w:t xml:space="preserve">Dum Mercurius vigilat, </w:t>
      </w:r>
      <w:r>
        <w:rPr>
          <w:sz w:val="24"/>
          <w:szCs w:val="24"/>
        </w:rPr>
        <w:t>watched over me.</w:t>
      </w:r>
      <w:r>
        <w:rPr>
          <w:rStyle w:val="FootnoteReference"/>
          <w:sz w:val="24"/>
          <w:szCs w:val="24"/>
        </w:rPr>
        <w:footnoteReference w:id="18"/>
      </w:r>
      <w:r w:rsidR="00400A30">
        <w:rPr>
          <w:sz w:val="24"/>
          <w:szCs w:val="24"/>
        </w:rPr>
        <w:t xml:space="preserve"> </w:t>
      </w:r>
      <w:r w:rsidR="00400A30">
        <w:rPr>
          <w:i/>
          <w:iCs/>
          <w:sz w:val="24"/>
          <w:szCs w:val="24"/>
        </w:rPr>
        <w:t xml:space="preserve"> </w:t>
      </w:r>
      <w:r>
        <w:rPr>
          <w:i/>
          <w:iCs/>
          <w:sz w:val="24"/>
          <w:szCs w:val="24"/>
        </w:rPr>
        <w:t>Aedificavi hanc domum. Ut scitis, casa adhuc erat; nunc templum est</w:t>
      </w:r>
      <w:r w:rsidR="00970770">
        <w:rPr>
          <w:i/>
          <w:iCs/>
          <w:sz w:val="24"/>
          <w:szCs w:val="24"/>
        </w:rPr>
        <w:t xml:space="preserve">: </w:t>
      </w:r>
      <w:r w:rsidR="001C7189">
        <w:rPr>
          <w:sz w:val="24"/>
          <w:szCs w:val="24"/>
        </w:rPr>
        <w:t xml:space="preserve"> It is </w:t>
      </w:r>
      <w:r w:rsidR="00B614B3">
        <w:rPr>
          <w:sz w:val="24"/>
          <w:szCs w:val="24"/>
        </w:rPr>
        <w:t>mooted that</w:t>
      </w:r>
      <w:r w:rsidR="00FC00B5">
        <w:rPr>
          <w:sz w:val="24"/>
          <w:szCs w:val="24"/>
        </w:rPr>
        <w:t xml:space="preserve"> L. Caecilius Felix</w:t>
      </w:r>
      <w:r w:rsidR="006F5AA4">
        <w:rPr>
          <w:sz w:val="24"/>
          <w:szCs w:val="24"/>
        </w:rPr>
        <w:t xml:space="preserve">, similarly transformed his </w:t>
      </w:r>
      <w:r w:rsidR="006F5AA4">
        <w:rPr>
          <w:i/>
          <w:iCs/>
          <w:sz w:val="24"/>
          <w:szCs w:val="24"/>
        </w:rPr>
        <w:t xml:space="preserve">domus </w:t>
      </w:r>
      <w:r w:rsidR="006F5AA4">
        <w:rPr>
          <w:sz w:val="24"/>
          <w:szCs w:val="24"/>
        </w:rPr>
        <w:t>from a modest Pompeian dwelling</w:t>
      </w:r>
      <w:r w:rsidR="00AD0DCB">
        <w:rPr>
          <w:sz w:val="24"/>
          <w:szCs w:val="24"/>
        </w:rPr>
        <w:t xml:space="preserve"> (a cusac) </w:t>
      </w:r>
      <w:r w:rsidR="006F5AA4">
        <w:rPr>
          <w:sz w:val="24"/>
          <w:szCs w:val="24"/>
        </w:rPr>
        <w:t xml:space="preserve"> into a grand house that could easily accommodate visitors for either business or entertainment. </w:t>
      </w:r>
      <w:r w:rsidR="00AD0DCB">
        <w:rPr>
          <w:sz w:val="24"/>
          <w:szCs w:val="24"/>
        </w:rPr>
        <w:t xml:space="preserve">The </w:t>
      </w:r>
      <w:r w:rsidR="00AD0DCB">
        <w:rPr>
          <w:i/>
          <w:iCs/>
          <w:sz w:val="24"/>
          <w:szCs w:val="24"/>
        </w:rPr>
        <w:t xml:space="preserve">domus </w:t>
      </w:r>
      <w:r w:rsidR="00AD0DCB">
        <w:rPr>
          <w:sz w:val="24"/>
          <w:szCs w:val="24"/>
        </w:rPr>
        <w:t xml:space="preserve">was imagined as a seat for the </w:t>
      </w:r>
      <w:r w:rsidR="00AD0DCB">
        <w:rPr>
          <w:i/>
          <w:iCs/>
          <w:sz w:val="24"/>
          <w:szCs w:val="24"/>
        </w:rPr>
        <w:t xml:space="preserve">memoria </w:t>
      </w:r>
      <w:r w:rsidR="00AD0DCB">
        <w:rPr>
          <w:sz w:val="24"/>
          <w:szCs w:val="24"/>
        </w:rPr>
        <w:t>of family life, a place made hallowed by the presence of the hearth, the spirit of ancestors</w:t>
      </w:r>
      <w:r w:rsidR="00D85368">
        <w:rPr>
          <w:sz w:val="24"/>
          <w:szCs w:val="24"/>
        </w:rPr>
        <w:t>,</w:t>
      </w:r>
      <w:r w:rsidR="00AD0DCB">
        <w:rPr>
          <w:sz w:val="24"/>
          <w:szCs w:val="24"/>
        </w:rPr>
        <w:t xml:space="preserve"> and the record of familial achievement.</w:t>
      </w:r>
      <w:r w:rsidR="00AD0DCB">
        <w:rPr>
          <w:rStyle w:val="FootnoteReference"/>
          <w:sz w:val="24"/>
          <w:szCs w:val="24"/>
        </w:rPr>
        <w:footnoteReference w:id="19"/>
      </w:r>
      <w:r w:rsidR="00B614B3">
        <w:rPr>
          <w:sz w:val="24"/>
          <w:szCs w:val="24"/>
        </w:rPr>
        <w:t xml:space="preserve"> </w:t>
      </w:r>
      <w:r w:rsidR="006F5AA4">
        <w:rPr>
          <w:sz w:val="24"/>
          <w:szCs w:val="24"/>
        </w:rPr>
        <w:t xml:space="preserve"> Both Trimalchio and Felix were freedmen who had made their fortune through commerce, and with unchecked pretensions could indulge banqueting.</w:t>
      </w:r>
      <w:r w:rsidR="006F5AA4">
        <w:rPr>
          <w:rStyle w:val="FootnoteReference"/>
          <w:sz w:val="24"/>
          <w:szCs w:val="24"/>
        </w:rPr>
        <w:footnoteReference w:id="20"/>
      </w:r>
    </w:p>
    <w:p w14:paraId="4A2541CE" w14:textId="3D0773E9" w:rsidR="00961134" w:rsidRDefault="00110069" w:rsidP="00680678">
      <w:pPr>
        <w:rPr>
          <w:i/>
          <w:iCs/>
          <w:sz w:val="24"/>
          <w:szCs w:val="24"/>
        </w:rPr>
      </w:pPr>
      <w:r>
        <w:rPr>
          <w:i/>
          <w:iCs/>
          <w:sz w:val="24"/>
          <w:szCs w:val="24"/>
        </w:rPr>
        <w:t>Quattuor cenationes…</w:t>
      </w:r>
      <w:r w:rsidR="004A69F5">
        <w:rPr>
          <w:i/>
          <w:iCs/>
          <w:sz w:val="24"/>
          <w:szCs w:val="24"/>
        </w:rPr>
        <w:t>porticus marmoratos duos..</w:t>
      </w:r>
      <w:r>
        <w:rPr>
          <w:i/>
          <w:iCs/>
          <w:sz w:val="24"/>
          <w:szCs w:val="24"/>
        </w:rPr>
        <w:t xml:space="preserve">susem cellationem: </w:t>
      </w:r>
      <w:r w:rsidR="004A69F5">
        <w:rPr>
          <w:sz w:val="24"/>
          <w:szCs w:val="24"/>
        </w:rPr>
        <w:t>Rather than being rebuilt on a Texan scale,</w:t>
      </w:r>
      <w:r w:rsidR="004A69F5">
        <w:rPr>
          <w:rStyle w:val="FootnoteReference"/>
          <w:sz w:val="24"/>
          <w:szCs w:val="24"/>
        </w:rPr>
        <w:footnoteReference w:id="21"/>
      </w:r>
      <w:r w:rsidR="004A69F5">
        <w:rPr>
          <w:sz w:val="24"/>
          <w:szCs w:val="24"/>
        </w:rPr>
        <w:t xml:space="preserve"> Trimalchio’s house is </w:t>
      </w:r>
      <w:r w:rsidR="00B614B3">
        <w:rPr>
          <w:sz w:val="24"/>
          <w:szCs w:val="24"/>
        </w:rPr>
        <w:t xml:space="preserve">deemed </w:t>
      </w:r>
      <w:r w:rsidR="004A69F5">
        <w:rPr>
          <w:sz w:val="24"/>
          <w:szCs w:val="24"/>
        </w:rPr>
        <w:t>old-fashioned</w:t>
      </w:r>
      <w:r w:rsidR="005D3DD8">
        <w:rPr>
          <w:sz w:val="24"/>
          <w:szCs w:val="24"/>
        </w:rPr>
        <w:t>. It’s enlargement to comprise</w:t>
      </w:r>
      <w:r>
        <w:rPr>
          <w:sz w:val="24"/>
          <w:szCs w:val="24"/>
        </w:rPr>
        <w:t xml:space="preserve"> 50 rooms conforms to the styles of the large houses in the Naples area.</w:t>
      </w:r>
      <w:r>
        <w:rPr>
          <w:rStyle w:val="FootnoteReference"/>
          <w:sz w:val="24"/>
          <w:szCs w:val="24"/>
        </w:rPr>
        <w:footnoteReference w:id="22"/>
      </w:r>
      <w:r w:rsidR="00D86DE9">
        <w:rPr>
          <w:sz w:val="24"/>
          <w:szCs w:val="24"/>
        </w:rPr>
        <w:t xml:space="preserve"> </w:t>
      </w:r>
      <w:r>
        <w:rPr>
          <w:sz w:val="24"/>
          <w:szCs w:val="24"/>
        </w:rPr>
        <w:t xml:space="preserve">Yet, the house is much smaller than the ninety rooms in the Villa dei </w:t>
      </w:r>
      <w:r w:rsidR="00D85368">
        <w:rPr>
          <w:sz w:val="24"/>
          <w:szCs w:val="24"/>
        </w:rPr>
        <w:t>Misteri and</w:t>
      </w:r>
      <w:r w:rsidR="004A69F5">
        <w:rPr>
          <w:sz w:val="24"/>
          <w:szCs w:val="24"/>
        </w:rPr>
        <w:t xml:space="preserve"> was architecturally less ambitious than Pliny’s Laurentian villa.</w:t>
      </w:r>
      <w:r w:rsidR="004A69F5">
        <w:rPr>
          <w:rStyle w:val="FootnoteReference"/>
          <w:sz w:val="24"/>
          <w:szCs w:val="24"/>
        </w:rPr>
        <w:footnoteReference w:id="23"/>
      </w:r>
      <w:r w:rsidR="001B5F2A">
        <w:rPr>
          <w:sz w:val="24"/>
          <w:szCs w:val="24"/>
        </w:rPr>
        <w:t xml:space="preserve"> The only apparent peculiarity is the portico from the front door, leading through the curtained-off atrium to the main dining-room.</w:t>
      </w:r>
      <w:r w:rsidR="001B5F2A">
        <w:rPr>
          <w:rStyle w:val="FootnoteReference"/>
          <w:sz w:val="24"/>
          <w:szCs w:val="24"/>
        </w:rPr>
        <w:footnoteReference w:id="24"/>
      </w:r>
    </w:p>
    <w:p w14:paraId="3EB2A375" w14:textId="77777777" w:rsidR="009F08A6" w:rsidRDefault="00641F3F" w:rsidP="00680678">
      <w:pPr>
        <w:rPr>
          <w:sz w:val="24"/>
          <w:szCs w:val="24"/>
        </w:rPr>
      </w:pPr>
      <w:r>
        <w:rPr>
          <w:i/>
          <w:iCs/>
          <w:sz w:val="24"/>
          <w:szCs w:val="24"/>
        </w:rPr>
        <w:t xml:space="preserve">Viperae huius sessorium: </w:t>
      </w:r>
      <w:r>
        <w:rPr>
          <w:sz w:val="24"/>
          <w:szCs w:val="24"/>
        </w:rPr>
        <w:t xml:space="preserve">Compares with </w:t>
      </w:r>
      <w:r>
        <w:rPr>
          <w:i/>
          <w:iCs/>
          <w:sz w:val="24"/>
          <w:szCs w:val="24"/>
        </w:rPr>
        <w:t xml:space="preserve">viperae cubile </w:t>
      </w:r>
      <w:r>
        <w:rPr>
          <w:sz w:val="24"/>
          <w:szCs w:val="24"/>
        </w:rPr>
        <w:t xml:space="preserve">in Martial 4.4.11.  </w:t>
      </w:r>
      <w:r>
        <w:rPr>
          <w:i/>
          <w:iCs/>
          <w:sz w:val="24"/>
          <w:szCs w:val="24"/>
        </w:rPr>
        <w:t>ostiarii</w:t>
      </w:r>
      <w:r w:rsidR="003029B4">
        <w:rPr>
          <w:i/>
          <w:iCs/>
          <w:sz w:val="24"/>
          <w:szCs w:val="24"/>
        </w:rPr>
        <w:t xml:space="preserve">: </w:t>
      </w:r>
      <w:r w:rsidR="003029B4">
        <w:rPr>
          <w:sz w:val="24"/>
          <w:szCs w:val="24"/>
        </w:rPr>
        <w:t>Whereas the doorkeeper to the house has typical slave’s quarters, here the chamberlain to the bedrooms of master and mistress seems to have superior quarters on the upper floor.</w:t>
      </w:r>
      <w:r w:rsidR="003029B4">
        <w:rPr>
          <w:rStyle w:val="FootnoteReference"/>
          <w:sz w:val="24"/>
          <w:szCs w:val="24"/>
        </w:rPr>
        <w:footnoteReference w:id="25"/>
      </w:r>
      <w:r w:rsidR="005D3DD8">
        <w:rPr>
          <w:sz w:val="24"/>
          <w:szCs w:val="24"/>
        </w:rPr>
        <w:t xml:space="preserve"> </w:t>
      </w:r>
    </w:p>
    <w:p w14:paraId="0EFF705E" w14:textId="1C536593" w:rsidR="00B24F6C" w:rsidRDefault="00F70BFC" w:rsidP="00680678">
      <w:pPr>
        <w:rPr>
          <w:sz w:val="24"/>
          <w:szCs w:val="24"/>
        </w:rPr>
      </w:pPr>
      <w:r>
        <w:rPr>
          <w:i/>
          <w:iCs/>
          <w:sz w:val="24"/>
          <w:szCs w:val="24"/>
        </w:rPr>
        <w:t>Scaurus:</w:t>
      </w:r>
      <w:r w:rsidR="00D85368">
        <w:rPr>
          <w:i/>
          <w:iCs/>
          <w:sz w:val="24"/>
          <w:szCs w:val="24"/>
        </w:rPr>
        <w:t xml:space="preserve"> </w:t>
      </w:r>
      <w:r>
        <w:rPr>
          <w:i/>
          <w:iCs/>
          <w:sz w:val="24"/>
          <w:szCs w:val="24"/>
        </w:rPr>
        <w:t xml:space="preserve"> </w:t>
      </w:r>
      <w:r w:rsidR="009B1C43">
        <w:rPr>
          <w:sz w:val="24"/>
          <w:szCs w:val="24"/>
        </w:rPr>
        <w:t xml:space="preserve">Whereas some commentators believe that this is A.Umbricius Scaurus, a leading producer of fish sauce in Pompeii, </w:t>
      </w:r>
      <w:r w:rsidR="005D3DD8">
        <w:rPr>
          <w:sz w:val="24"/>
          <w:szCs w:val="24"/>
        </w:rPr>
        <w:t xml:space="preserve">it is more likely that he is </w:t>
      </w:r>
      <w:r w:rsidR="009B1C43">
        <w:rPr>
          <w:sz w:val="24"/>
          <w:szCs w:val="24"/>
        </w:rPr>
        <w:t>the senatorial Aemilii Scauri, a more apt candidate for</w:t>
      </w:r>
      <w:r w:rsidR="00970770">
        <w:rPr>
          <w:sz w:val="24"/>
          <w:szCs w:val="24"/>
        </w:rPr>
        <w:t xml:space="preserve"> </w:t>
      </w:r>
      <w:r w:rsidR="00D85368">
        <w:rPr>
          <w:sz w:val="24"/>
          <w:szCs w:val="24"/>
        </w:rPr>
        <w:t>ownership</w:t>
      </w:r>
      <w:r w:rsidR="009B1C43">
        <w:rPr>
          <w:sz w:val="24"/>
          <w:szCs w:val="24"/>
        </w:rPr>
        <w:t xml:space="preserve"> of a seaside estate</w:t>
      </w:r>
      <w:r w:rsidR="00AC097F">
        <w:rPr>
          <w:sz w:val="24"/>
          <w:szCs w:val="24"/>
        </w:rPr>
        <w:t>.</w:t>
      </w:r>
      <w:r w:rsidR="00AC097F">
        <w:rPr>
          <w:rStyle w:val="FootnoteReference"/>
          <w:sz w:val="24"/>
          <w:szCs w:val="24"/>
        </w:rPr>
        <w:footnoteReference w:id="26"/>
      </w:r>
    </w:p>
    <w:p w14:paraId="27FF3E72" w14:textId="3D72B148" w:rsidR="00F70BFC" w:rsidRPr="00527074" w:rsidRDefault="00B24F6C" w:rsidP="00680678">
      <w:pPr>
        <w:rPr>
          <w:sz w:val="24"/>
          <w:szCs w:val="24"/>
        </w:rPr>
      </w:pPr>
      <w:r>
        <w:rPr>
          <w:i/>
          <w:iCs/>
          <w:sz w:val="24"/>
          <w:szCs w:val="24"/>
        </w:rPr>
        <w:lastRenderedPageBreak/>
        <w:t xml:space="preserve">Credite mihi: assem habeas, assem valeas; habes, habeberis: </w:t>
      </w:r>
      <w:r w:rsidR="00F70BFC">
        <w:rPr>
          <w:i/>
          <w:iCs/>
          <w:sz w:val="24"/>
          <w:szCs w:val="24"/>
        </w:rPr>
        <w:t xml:space="preserve"> </w:t>
      </w:r>
      <w:r>
        <w:rPr>
          <w:sz w:val="24"/>
          <w:szCs w:val="24"/>
        </w:rPr>
        <w:t xml:space="preserve">Although Trimalchio’s guests generally share his belief that money determines both power and true wealth, this isn’t echoed by the </w:t>
      </w:r>
      <w:r w:rsidR="003A3FE7">
        <w:rPr>
          <w:sz w:val="24"/>
          <w:szCs w:val="24"/>
        </w:rPr>
        <w:t xml:space="preserve">gladiator </w:t>
      </w:r>
      <w:r>
        <w:rPr>
          <w:sz w:val="24"/>
          <w:szCs w:val="24"/>
        </w:rPr>
        <w:t>freedman Hermeros</w:t>
      </w:r>
      <w:r w:rsidR="003A3FE7">
        <w:rPr>
          <w:sz w:val="24"/>
          <w:szCs w:val="24"/>
        </w:rPr>
        <w:t xml:space="preserve"> who, when commenting on Julius Proculus (38. 12) states, </w:t>
      </w:r>
      <w:r w:rsidR="003A3FE7">
        <w:rPr>
          <w:i/>
          <w:iCs/>
          <w:sz w:val="24"/>
          <w:szCs w:val="24"/>
        </w:rPr>
        <w:t>non puto illum capillos liberos habere…ipso enim homo melior non est.</w:t>
      </w:r>
      <w:r w:rsidR="003A3FE7">
        <w:rPr>
          <w:rStyle w:val="FootnoteReference"/>
          <w:i/>
          <w:iCs/>
          <w:sz w:val="24"/>
          <w:szCs w:val="24"/>
        </w:rPr>
        <w:footnoteReference w:id="27"/>
      </w:r>
      <w:r>
        <w:rPr>
          <w:sz w:val="24"/>
          <w:szCs w:val="24"/>
        </w:rPr>
        <w:t xml:space="preserve"> </w:t>
      </w:r>
      <w:r w:rsidR="000F1711">
        <w:rPr>
          <w:sz w:val="24"/>
          <w:szCs w:val="24"/>
        </w:rPr>
        <w:t xml:space="preserve"> Trimalchio is all too aware</w:t>
      </w:r>
      <w:r w:rsidR="00970770">
        <w:rPr>
          <w:sz w:val="24"/>
          <w:szCs w:val="24"/>
        </w:rPr>
        <w:t xml:space="preserve"> that </w:t>
      </w:r>
      <w:r w:rsidR="000F1711">
        <w:rPr>
          <w:sz w:val="24"/>
          <w:szCs w:val="24"/>
        </w:rPr>
        <w:t>his advancement socially</w:t>
      </w:r>
      <w:r w:rsidR="00527074">
        <w:rPr>
          <w:sz w:val="24"/>
          <w:szCs w:val="24"/>
        </w:rPr>
        <w:t xml:space="preserve"> is held back by breeding and status</w:t>
      </w:r>
      <w:r w:rsidR="000F1711">
        <w:rPr>
          <w:sz w:val="24"/>
          <w:szCs w:val="24"/>
        </w:rPr>
        <w:t xml:space="preserve">. As Horace relates, </w:t>
      </w:r>
      <w:r w:rsidR="000F1711">
        <w:rPr>
          <w:i/>
          <w:iCs/>
          <w:sz w:val="24"/>
          <w:szCs w:val="24"/>
        </w:rPr>
        <w:t xml:space="preserve">licet superbus ambules pecunia </w:t>
      </w:r>
      <w:r w:rsidR="000F1711">
        <w:rPr>
          <w:sz w:val="24"/>
          <w:szCs w:val="24"/>
        </w:rPr>
        <w:t>/</w:t>
      </w:r>
      <w:r w:rsidR="000F1711">
        <w:rPr>
          <w:i/>
          <w:iCs/>
          <w:sz w:val="24"/>
          <w:szCs w:val="24"/>
        </w:rPr>
        <w:t xml:space="preserve"> fortuna non mutat genus.</w:t>
      </w:r>
      <w:r w:rsidR="000F1711">
        <w:rPr>
          <w:rStyle w:val="FootnoteReference"/>
          <w:i/>
          <w:iCs/>
          <w:sz w:val="24"/>
          <w:szCs w:val="24"/>
        </w:rPr>
        <w:footnoteReference w:id="28"/>
      </w:r>
    </w:p>
    <w:p w14:paraId="2B380330" w14:textId="3A7029D5" w:rsidR="000F1711" w:rsidRPr="00646E06" w:rsidRDefault="000F1711" w:rsidP="00680678">
      <w:pPr>
        <w:rPr>
          <w:sz w:val="24"/>
          <w:szCs w:val="24"/>
        </w:rPr>
      </w:pPr>
      <w:r>
        <w:rPr>
          <w:i/>
          <w:iCs/>
          <w:sz w:val="24"/>
          <w:szCs w:val="24"/>
        </w:rPr>
        <w:t xml:space="preserve">Sic amicus vester, qui fuit rana, nunc est rex: </w:t>
      </w:r>
      <w:r>
        <w:rPr>
          <w:sz w:val="24"/>
          <w:szCs w:val="24"/>
        </w:rPr>
        <w:t>Trimalchio relates how ‘yours truly’ changed from frog to prince – reference to the familiar folk-tale – with a pun on his name ‘King’.</w:t>
      </w:r>
      <w:r>
        <w:rPr>
          <w:rStyle w:val="FootnoteReference"/>
          <w:sz w:val="24"/>
          <w:szCs w:val="24"/>
        </w:rPr>
        <w:footnoteReference w:id="29"/>
      </w:r>
      <w:r>
        <w:rPr>
          <w:sz w:val="24"/>
          <w:szCs w:val="24"/>
        </w:rPr>
        <w:t xml:space="preserve"> Earlier Trimalchio had rebuked Fortunata for puffing herself up like a frog</w:t>
      </w:r>
      <w:r w:rsidR="004E3CA3">
        <w:rPr>
          <w:sz w:val="24"/>
          <w:szCs w:val="24"/>
        </w:rPr>
        <w:t xml:space="preserve">, </w:t>
      </w:r>
      <w:r w:rsidR="004E3CA3">
        <w:rPr>
          <w:i/>
          <w:iCs/>
          <w:sz w:val="24"/>
          <w:szCs w:val="24"/>
        </w:rPr>
        <w:t>qui in pergola natus est.</w:t>
      </w:r>
      <w:r w:rsidR="004E3CA3">
        <w:rPr>
          <w:rStyle w:val="FootnoteReference"/>
          <w:i/>
          <w:iCs/>
          <w:sz w:val="24"/>
          <w:szCs w:val="24"/>
        </w:rPr>
        <w:footnoteReference w:id="30"/>
      </w:r>
      <w:r w:rsidR="004E3CA3">
        <w:rPr>
          <w:i/>
          <w:iCs/>
          <w:sz w:val="24"/>
          <w:szCs w:val="24"/>
        </w:rPr>
        <w:t xml:space="preserve"> </w:t>
      </w:r>
      <w:r w:rsidR="00613390">
        <w:rPr>
          <w:sz w:val="24"/>
          <w:szCs w:val="24"/>
        </w:rPr>
        <w:t xml:space="preserve">It is Trimalchio’s </w:t>
      </w:r>
      <w:r w:rsidR="00527074">
        <w:rPr>
          <w:sz w:val="24"/>
          <w:szCs w:val="24"/>
        </w:rPr>
        <w:t xml:space="preserve">ambivalent </w:t>
      </w:r>
      <w:r w:rsidR="00613390">
        <w:rPr>
          <w:sz w:val="24"/>
          <w:szCs w:val="24"/>
        </w:rPr>
        <w:t xml:space="preserve">status as an </w:t>
      </w:r>
      <w:r w:rsidR="00DC7E4A">
        <w:rPr>
          <w:sz w:val="24"/>
          <w:szCs w:val="24"/>
        </w:rPr>
        <w:t>ex-slave</w:t>
      </w:r>
      <w:r w:rsidR="00613390">
        <w:rPr>
          <w:sz w:val="24"/>
          <w:szCs w:val="24"/>
        </w:rPr>
        <w:t xml:space="preserve"> which </w:t>
      </w:r>
      <w:r w:rsidR="00970770">
        <w:rPr>
          <w:sz w:val="24"/>
          <w:szCs w:val="24"/>
        </w:rPr>
        <w:t>led</w:t>
      </w:r>
      <w:r w:rsidR="00613390">
        <w:rPr>
          <w:sz w:val="24"/>
          <w:szCs w:val="24"/>
        </w:rPr>
        <w:t xml:space="preserve"> to his fascination with death. Unable to command the respectability he felt that his wealth demanded</w:t>
      </w:r>
      <w:r w:rsidR="008F7EB8">
        <w:rPr>
          <w:sz w:val="24"/>
          <w:szCs w:val="24"/>
        </w:rPr>
        <w:t xml:space="preserve"> he was forced to live ‘in a peculiar social limbo, like the disembodied spirits of the underworld, who have the form but not the substance of real men</w:t>
      </w:r>
      <w:r w:rsidR="00970770">
        <w:rPr>
          <w:sz w:val="24"/>
          <w:szCs w:val="24"/>
        </w:rPr>
        <w:t>’</w:t>
      </w:r>
      <w:r w:rsidR="008F7EB8">
        <w:rPr>
          <w:sz w:val="24"/>
          <w:szCs w:val="24"/>
        </w:rPr>
        <w:t>.</w:t>
      </w:r>
      <w:r w:rsidR="008F7EB8">
        <w:rPr>
          <w:rStyle w:val="FootnoteReference"/>
          <w:sz w:val="24"/>
          <w:szCs w:val="24"/>
        </w:rPr>
        <w:footnoteReference w:id="31"/>
      </w:r>
    </w:p>
    <w:p w14:paraId="72BF4224" w14:textId="77777777" w:rsidR="0047256B" w:rsidRDefault="004E3CA3" w:rsidP="00680678">
      <w:pPr>
        <w:rPr>
          <w:sz w:val="24"/>
          <w:szCs w:val="24"/>
        </w:rPr>
      </w:pPr>
      <w:r>
        <w:rPr>
          <w:i/>
          <w:iCs/>
          <w:sz w:val="24"/>
          <w:szCs w:val="24"/>
        </w:rPr>
        <w:t xml:space="preserve">Stichus: </w:t>
      </w:r>
      <w:r>
        <w:rPr>
          <w:sz w:val="24"/>
          <w:szCs w:val="24"/>
        </w:rPr>
        <w:t xml:space="preserve">A slave of Trimalchio, </w:t>
      </w:r>
      <w:r w:rsidR="00FE2670">
        <w:rPr>
          <w:sz w:val="24"/>
          <w:szCs w:val="24"/>
        </w:rPr>
        <w:t>(stock slave name</w:t>
      </w:r>
      <w:r w:rsidR="00FE2670">
        <w:rPr>
          <w:rStyle w:val="FootnoteReference"/>
          <w:sz w:val="24"/>
          <w:szCs w:val="24"/>
        </w:rPr>
        <w:footnoteReference w:id="32"/>
      </w:r>
      <w:r w:rsidR="00FE2670">
        <w:rPr>
          <w:sz w:val="24"/>
          <w:szCs w:val="24"/>
        </w:rPr>
        <w:t xml:space="preserve">) </w:t>
      </w:r>
      <w:r>
        <w:rPr>
          <w:sz w:val="24"/>
          <w:szCs w:val="24"/>
        </w:rPr>
        <w:t xml:space="preserve">with responsibility for his funeral. </w:t>
      </w:r>
      <w:r w:rsidR="0047256B">
        <w:rPr>
          <w:sz w:val="24"/>
          <w:szCs w:val="24"/>
        </w:rPr>
        <w:t>Trimalchio’s instructions to various individuals here are reminiscent of stage directions; earlier, in 71.5 he had ordered the tombstone maker, Habinnas, to construct his funeral monument.</w:t>
      </w:r>
      <w:r w:rsidR="0047256B">
        <w:rPr>
          <w:rStyle w:val="FootnoteReference"/>
          <w:sz w:val="24"/>
          <w:szCs w:val="24"/>
        </w:rPr>
        <w:footnoteReference w:id="33"/>
      </w:r>
      <w:r w:rsidR="0047256B">
        <w:rPr>
          <w:sz w:val="24"/>
          <w:szCs w:val="24"/>
        </w:rPr>
        <w:t xml:space="preserve"> </w:t>
      </w:r>
    </w:p>
    <w:p w14:paraId="207DB193" w14:textId="7407E381" w:rsidR="004E3CA3" w:rsidRPr="00BA6A2C" w:rsidRDefault="004E3CA3" w:rsidP="00680678">
      <w:pPr>
        <w:rPr>
          <w:i/>
          <w:iCs/>
          <w:sz w:val="24"/>
          <w:szCs w:val="24"/>
        </w:rPr>
      </w:pPr>
      <w:r>
        <w:rPr>
          <w:sz w:val="24"/>
          <w:szCs w:val="24"/>
        </w:rPr>
        <w:t xml:space="preserve"> There is a sharp mood-swing, where Trimalchio gives instructions to Stichus to fetch the shroud, </w:t>
      </w:r>
      <w:r>
        <w:rPr>
          <w:i/>
          <w:iCs/>
          <w:sz w:val="24"/>
          <w:szCs w:val="24"/>
        </w:rPr>
        <w:t xml:space="preserve">vitalia, </w:t>
      </w:r>
      <w:r>
        <w:rPr>
          <w:sz w:val="24"/>
          <w:szCs w:val="24"/>
        </w:rPr>
        <w:t xml:space="preserve">which has been prepared (like the tomb) in advance for himself, the </w:t>
      </w:r>
      <w:r>
        <w:rPr>
          <w:i/>
          <w:iCs/>
          <w:sz w:val="24"/>
          <w:szCs w:val="24"/>
        </w:rPr>
        <w:t>unguentum,</w:t>
      </w:r>
      <w:r w:rsidR="00E702E8">
        <w:rPr>
          <w:i/>
          <w:iCs/>
          <w:sz w:val="24"/>
          <w:szCs w:val="24"/>
        </w:rPr>
        <w:t xml:space="preserve"> </w:t>
      </w:r>
      <w:r w:rsidR="00FC3F78">
        <w:rPr>
          <w:sz w:val="24"/>
          <w:szCs w:val="24"/>
        </w:rPr>
        <w:t>together with a sample of wine,</w:t>
      </w:r>
      <w:r w:rsidR="008C7B53">
        <w:rPr>
          <w:sz w:val="24"/>
          <w:szCs w:val="24"/>
        </w:rPr>
        <w:t xml:space="preserve"> </w:t>
      </w:r>
      <w:r w:rsidR="008C7B53">
        <w:rPr>
          <w:i/>
          <w:iCs/>
          <w:sz w:val="24"/>
          <w:szCs w:val="24"/>
        </w:rPr>
        <w:t>amphora gustum,</w:t>
      </w:r>
      <w:r w:rsidR="00FC3F78">
        <w:rPr>
          <w:sz w:val="24"/>
          <w:szCs w:val="24"/>
        </w:rPr>
        <w:t xml:space="preserve"> </w:t>
      </w:r>
      <w:r w:rsidR="00BA6A2C">
        <w:rPr>
          <w:sz w:val="24"/>
          <w:szCs w:val="24"/>
        </w:rPr>
        <w:t xml:space="preserve">(a symbol of liberty) </w:t>
      </w:r>
      <w:r w:rsidR="00FC3F78">
        <w:rPr>
          <w:sz w:val="24"/>
          <w:szCs w:val="24"/>
        </w:rPr>
        <w:t>with which Trimalchio wants his bones washed after partial cremation.</w:t>
      </w:r>
      <w:r w:rsidR="00FC3F78">
        <w:rPr>
          <w:rStyle w:val="FootnoteReference"/>
          <w:sz w:val="24"/>
          <w:szCs w:val="24"/>
        </w:rPr>
        <w:footnoteReference w:id="34"/>
      </w:r>
      <w:r w:rsidR="00FC3F78">
        <w:rPr>
          <w:sz w:val="24"/>
          <w:szCs w:val="24"/>
        </w:rPr>
        <w:t xml:space="preserve"> </w:t>
      </w:r>
      <w:r w:rsidR="00E702E8">
        <w:rPr>
          <w:sz w:val="24"/>
          <w:szCs w:val="24"/>
        </w:rPr>
        <w:t xml:space="preserve">Perfumes are used liberally at ancient funerals; Tibullus decries not having </w:t>
      </w:r>
      <w:r w:rsidR="00E702E8">
        <w:rPr>
          <w:i/>
          <w:iCs/>
          <w:sz w:val="24"/>
          <w:szCs w:val="24"/>
        </w:rPr>
        <w:t>soror, Assyrios cineri quae dedat odores,</w:t>
      </w:r>
      <w:r w:rsidR="00E702E8">
        <w:rPr>
          <w:rStyle w:val="FootnoteReference"/>
          <w:i/>
          <w:iCs/>
          <w:sz w:val="24"/>
          <w:szCs w:val="24"/>
        </w:rPr>
        <w:footnoteReference w:id="35"/>
      </w:r>
      <w:r w:rsidR="00E702E8">
        <w:rPr>
          <w:sz w:val="24"/>
          <w:szCs w:val="24"/>
        </w:rPr>
        <w:t xml:space="preserve">while Cynthia’s ghost asks, </w:t>
      </w:r>
      <w:r w:rsidR="008C7B53">
        <w:rPr>
          <w:i/>
          <w:iCs/>
          <w:sz w:val="24"/>
          <w:szCs w:val="24"/>
        </w:rPr>
        <w:t>cur nardo flammae non oluere meae?</w:t>
      </w:r>
      <w:r w:rsidR="008C7B53">
        <w:rPr>
          <w:rStyle w:val="FootnoteReference"/>
          <w:i/>
          <w:iCs/>
          <w:sz w:val="24"/>
          <w:szCs w:val="24"/>
        </w:rPr>
        <w:footnoteReference w:id="36"/>
      </w:r>
      <w:r w:rsidR="00223837">
        <w:rPr>
          <w:sz w:val="24"/>
          <w:szCs w:val="24"/>
        </w:rPr>
        <w:t xml:space="preserve"> This scene is parallel with 64, </w:t>
      </w:r>
      <w:r w:rsidR="00223837">
        <w:rPr>
          <w:i/>
          <w:iCs/>
          <w:sz w:val="24"/>
          <w:szCs w:val="24"/>
        </w:rPr>
        <w:t>nam vivum quidem in vinarium iussit infundi.</w:t>
      </w:r>
      <w:r w:rsidR="00223837">
        <w:rPr>
          <w:rStyle w:val="FootnoteReference"/>
          <w:i/>
          <w:iCs/>
          <w:sz w:val="24"/>
          <w:szCs w:val="24"/>
        </w:rPr>
        <w:footnoteReference w:id="37"/>
      </w:r>
      <w:r w:rsidR="00BA6A2C">
        <w:rPr>
          <w:i/>
          <w:iCs/>
          <w:sz w:val="24"/>
          <w:szCs w:val="24"/>
        </w:rPr>
        <w:t xml:space="preserve"> </w:t>
      </w:r>
      <w:r w:rsidR="00BA6A2C">
        <w:rPr>
          <w:sz w:val="24"/>
          <w:szCs w:val="24"/>
        </w:rPr>
        <w:t>Trimalchio</w:t>
      </w:r>
      <w:r w:rsidR="00FC3F78">
        <w:rPr>
          <w:sz w:val="24"/>
          <w:szCs w:val="24"/>
        </w:rPr>
        <w:t xml:space="preserve"> desires a funeral akin to that seen for a Homeric hero, </w:t>
      </w:r>
      <w:r w:rsidR="00575512">
        <w:rPr>
          <w:i/>
          <w:iCs/>
          <w:sz w:val="24"/>
          <w:szCs w:val="24"/>
        </w:rPr>
        <w:t>reliquias vino et bibulam lavere favillam.</w:t>
      </w:r>
      <w:r w:rsidR="00575512">
        <w:rPr>
          <w:rStyle w:val="FootnoteReference"/>
          <w:i/>
          <w:iCs/>
          <w:sz w:val="24"/>
          <w:szCs w:val="24"/>
        </w:rPr>
        <w:footnoteReference w:id="38"/>
      </w:r>
      <w:r w:rsidR="00575512">
        <w:rPr>
          <w:sz w:val="24"/>
          <w:szCs w:val="24"/>
        </w:rPr>
        <w:t xml:space="preserve"> </w:t>
      </w:r>
    </w:p>
    <w:p w14:paraId="6B33CB88" w14:textId="6DA0260C" w:rsidR="008F7EB8" w:rsidRDefault="008F7EB8" w:rsidP="00680678">
      <w:pPr>
        <w:rPr>
          <w:sz w:val="24"/>
          <w:szCs w:val="24"/>
        </w:rPr>
      </w:pPr>
      <w:r>
        <w:rPr>
          <w:sz w:val="24"/>
          <w:szCs w:val="24"/>
        </w:rPr>
        <w:t xml:space="preserve">Chapter 78: </w:t>
      </w:r>
      <w:r>
        <w:rPr>
          <w:i/>
          <w:iCs/>
          <w:sz w:val="24"/>
          <w:szCs w:val="24"/>
        </w:rPr>
        <w:t xml:space="preserve">praetextam: </w:t>
      </w:r>
      <w:r>
        <w:rPr>
          <w:sz w:val="24"/>
          <w:szCs w:val="24"/>
        </w:rPr>
        <w:t xml:space="preserve">One of the robes </w:t>
      </w:r>
      <w:r w:rsidR="00943864">
        <w:rPr>
          <w:sz w:val="24"/>
          <w:szCs w:val="24"/>
        </w:rPr>
        <w:t xml:space="preserve">brought to </w:t>
      </w:r>
      <w:r w:rsidR="00AE0B74">
        <w:rPr>
          <w:sz w:val="24"/>
          <w:szCs w:val="24"/>
        </w:rPr>
        <w:t>Trimalchio</w:t>
      </w:r>
      <w:r>
        <w:rPr>
          <w:sz w:val="24"/>
          <w:szCs w:val="24"/>
        </w:rPr>
        <w:t xml:space="preserve"> is a </w:t>
      </w:r>
      <w:r>
        <w:rPr>
          <w:i/>
          <w:iCs/>
          <w:sz w:val="24"/>
          <w:szCs w:val="24"/>
        </w:rPr>
        <w:t xml:space="preserve">toga praetexta </w:t>
      </w:r>
      <w:r>
        <w:rPr>
          <w:sz w:val="24"/>
          <w:szCs w:val="24"/>
        </w:rPr>
        <w:t>(with a purple border</w:t>
      </w:r>
      <w:r w:rsidR="00A07066">
        <w:rPr>
          <w:sz w:val="24"/>
          <w:szCs w:val="24"/>
        </w:rPr>
        <w:t xml:space="preserve"> to reflect his previous status as a sevir</w:t>
      </w:r>
      <w:r w:rsidR="00A07066">
        <w:rPr>
          <w:rStyle w:val="FootnoteReference"/>
          <w:sz w:val="24"/>
          <w:szCs w:val="24"/>
        </w:rPr>
        <w:footnoteReference w:id="39"/>
      </w:r>
      <w:r>
        <w:rPr>
          <w:sz w:val="24"/>
          <w:szCs w:val="24"/>
        </w:rPr>
        <w:t>)</w:t>
      </w:r>
      <w:r>
        <w:rPr>
          <w:i/>
          <w:iCs/>
          <w:sz w:val="24"/>
          <w:szCs w:val="24"/>
        </w:rPr>
        <w:t>,</w:t>
      </w:r>
      <w:r>
        <w:rPr>
          <w:sz w:val="24"/>
          <w:szCs w:val="24"/>
        </w:rPr>
        <w:t xml:space="preserve"> in which he was to appear on his tomb. Courtney questions the legitimacy of such use</w:t>
      </w:r>
      <w:r w:rsidR="00943864">
        <w:rPr>
          <w:sz w:val="24"/>
          <w:szCs w:val="24"/>
        </w:rPr>
        <w:t xml:space="preserve"> in Trimalchio’s case,</w:t>
      </w:r>
      <w:r>
        <w:rPr>
          <w:sz w:val="24"/>
          <w:szCs w:val="24"/>
        </w:rPr>
        <w:t xml:space="preserve"> except for wear at his inaugural games.</w:t>
      </w:r>
      <w:r w:rsidR="00F30E53">
        <w:rPr>
          <w:rStyle w:val="FootnoteReference"/>
          <w:sz w:val="24"/>
          <w:szCs w:val="24"/>
        </w:rPr>
        <w:footnoteReference w:id="40"/>
      </w:r>
      <w:r w:rsidR="00943864">
        <w:rPr>
          <w:sz w:val="24"/>
          <w:szCs w:val="24"/>
        </w:rPr>
        <w:t xml:space="preserve"> </w:t>
      </w:r>
      <w:r w:rsidR="00F30E53">
        <w:rPr>
          <w:sz w:val="24"/>
          <w:szCs w:val="24"/>
        </w:rPr>
        <w:t xml:space="preserve">In his own house, </w:t>
      </w:r>
      <w:r w:rsidR="00943864">
        <w:rPr>
          <w:sz w:val="24"/>
          <w:szCs w:val="24"/>
        </w:rPr>
        <w:t xml:space="preserve">however, </w:t>
      </w:r>
      <w:r w:rsidR="00F30E53">
        <w:rPr>
          <w:sz w:val="24"/>
          <w:szCs w:val="24"/>
        </w:rPr>
        <w:t>Trimalchio’s imagination rules.</w:t>
      </w:r>
      <w:r w:rsidR="00F30E53">
        <w:rPr>
          <w:rStyle w:val="FootnoteReference"/>
          <w:sz w:val="24"/>
          <w:szCs w:val="24"/>
        </w:rPr>
        <w:footnoteReference w:id="41"/>
      </w:r>
    </w:p>
    <w:p w14:paraId="3BCE8963" w14:textId="33E09492" w:rsidR="00F30E53" w:rsidRPr="00CE4BF7" w:rsidRDefault="00F30E53" w:rsidP="00680678">
      <w:pPr>
        <w:rPr>
          <w:sz w:val="24"/>
          <w:szCs w:val="24"/>
        </w:rPr>
      </w:pPr>
      <w:r>
        <w:rPr>
          <w:i/>
          <w:iCs/>
          <w:sz w:val="24"/>
          <w:szCs w:val="24"/>
        </w:rPr>
        <w:lastRenderedPageBreak/>
        <w:t xml:space="preserve">Vide tu…ne ista mures tangant aut tineae: </w:t>
      </w:r>
      <w:r>
        <w:rPr>
          <w:sz w:val="24"/>
          <w:szCs w:val="24"/>
        </w:rPr>
        <w:t xml:space="preserve">There was a general fear for the damage mice could cause </w:t>
      </w:r>
      <w:r w:rsidR="00FA5631">
        <w:rPr>
          <w:sz w:val="24"/>
          <w:szCs w:val="24"/>
        </w:rPr>
        <w:t>to both clothes and books;</w:t>
      </w:r>
      <w:r w:rsidR="00FA5631">
        <w:rPr>
          <w:rStyle w:val="FootnoteReference"/>
          <w:sz w:val="24"/>
          <w:szCs w:val="24"/>
        </w:rPr>
        <w:footnoteReference w:id="42"/>
      </w:r>
      <w:r w:rsidR="00CE4BF7">
        <w:rPr>
          <w:sz w:val="24"/>
          <w:szCs w:val="24"/>
        </w:rPr>
        <w:t xml:space="preserve"> Juvenal writes of philistine mice gnawing immortal poems,</w:t>
      </w:r>
      <w:r w:rsidR="00FA5631">
        <w:rPr>
          <w:sz w:val="24"/>
          <w:szCs w:val="24"/>
        </w:rPr>
        <w:t xml:space="preserve"> </w:t>
      </w:r>
      <w:r w:rsidR="00FA5631">
        <w:rPr>
          <w:i/>
          <w:iCs/>
          <w:sz w:val="24"/>
          <w:szCs w:val="24"/>
        </w:rPr>
        <w:t>iamque vetus Graecos servabat cista libellos/ et divina opici rodebant carmina mures.</w:t>
      </w:r>
      <w:r w:rsidR="00FA5631">
        <w:rPr>
          <w:rStyle w:val="FootnoteReference"/>
          <w:i/>
          <w:iCs/>
          <w:sz w:val="24"/>
          <w:szCs w:val="24"/>
        </w:rPr>
        <w:footnoteReference w:id="43"/>
      </w:r>
      <w:r w:rsidR="00FA5631">
        <w:rPr>
          <w:i/>
          <w:iCs/>
          <w:sz w:val="24"/>
          <w:szCs w:val="24"/>
        </w:rPr>
        <w:t xml:space="preserve"> </w:t>
      </w:r>
      <w:r w:rsidR="00FA5631">
        <w:rPr>
          <w:sz w:val="24"/>
          <w:szCs w:val="24"/>
        </w:rPr>
        <w:t xml:space="preserve">Virgil notes how </w:t>
      </w:r>
      <w:r w:rsidR="00FA5631">
        <w:rPr>
          <w:i/>
          <w:iCs/>
          <w:sz w:val="24"/>
          <w:szCs w:val="24"/>
        </w:rPr>
        <w:t>exiguus mus sub terries posuitque domos atque horrea fecit.</w:t>
      </w:r>
      <w:r w:rsidR="00FA5631">
        <w:rPr>
          <w:rStyle w:val="FootnoteReference"/>
          <w:i/>
          <w:iCs/>
          <w:sz w:val="24"/>
          <w:szCs w:val="24"/>
        </w:rPr>
        <w:footnoteReference w:id="44"/>
      </w:r>
      <w:r w:rsidR="00FA5631">
        <w:rPr>
          <w:i/>
          <w:iCs/>
          <w:sz w:val="24"/>
          <w:szCs w:val="24"/>
        </w:rPr>
        <w:t xml:space="preserve"> </w:t>
      </w:r>
    </w:p>
    <w:p w14:paraId="08561949" w14:textId="49B06268" w:rsidR="00FA5631" w:rsidRPr="0031521B" w:rsidRDefault="00FA5631" w:rsidP="00680678">
      <w:pPr>
        <w:rPr>
          <w:sz w:val="24"/>
          <w:szCs w:val="24"/>
        </w:rPr>
      </w:pPr>
      <w:r>
        <w:rPr>
          <w:i/>
          <w:iCs/>
          <w:sz w:val="24"/>
          <w:szCs w:val="24"/>
        </w:rPr>
        <w:t>Gloriosus</w:t>
      </w:r>
      <w:r w:rsidR="004A05C7">
        <w:rPr>
          <w:i/>
          <w:iCs/>
          <w:sz w:val="24"/>
          <w:szCs w:val="24"/>
        </w:rPr>
        <w:t xml:space="preserve"> </w:t>
      </w:r>
      <w:r>
        <w:rPr>
          <w:i/>
          <w:iCs/>
          <w:sz w:val="24"/>
          <w:szCs w:val="24"/>
        </w:rPr>
        <w:t xml:space="preserve">volo efferi: </w:t>
      </w:r>
      <w:r w:rsidR="004A05C7">
        <w:rPr>
          <w:sz w:val="24"/>
          <w:szCs w:val="24"/>
        </w:rPr>
        <w:t>Trimalchio is determined that his funeral should be worthy of a knight or senator</w:t>
      </w:r>
      <w:r w:rsidR="00A07066">
        <w:rPr>
          <w:sz w:val="24"/>
          <w:szCs w:val="24"/>
        </w:rPr>
        <w:t xml:space="preserve"> (</w:t>
      </w:r>
      <w:r w:rsidR="00A07066">
        <w:rPr>
          <w:i/>
          <w:iCs/>
          <w:sz w:val="24"/>
          <w:szCs w:val="24"/>
        </w:rPr>
        <w:t xml:space="preserve">gloriosus – </w:t>
      </w:r>
      <w:r w:rsidR="00A07066">
        <w:rPr>
          <w:sz w:val="24"/>
          <w:szCs w:val="24"/>
        </w:rPr>
        <w:t>in splendour)</w:t>
      </w:r>
      <w:r w:rsidR="00A07066">
        <w:rPr>
          <w:rStyle w:val="FootnoteReference"/>
          <w:sz w:val="24"/>
          <w:szCs w:val="24"/>
        </w:rPr>
        <w:footnoteReference w:id="45"/>
      </w:r>
      <w:r w:rsidR="004A05C7">
        <w:rPr>
          <w:sz w:val="24"/>
          <w:szCs w:val="24"/>
        </w:rPr>
        <w:t xml:space="preserve">, and not that of a freedman. </w:t>
      </w:r>
      <w:r w:rsidR="00CE4BF7">
        <w:rPr>
          <w:sz w:val="24"/>
          <w:szCs w:val="24"/>
        </w:rPr>
        <w:t xml:space="preserve">Seneca shares a similar sentiment with </w:t>
      </w:r>
      <w:r w:rsidR="00CE4BF7">
        <w:rPr>
          <w:i/>
          <w:iCs/>
          <w:sz w:val="24"/>
          <w:szCs w:val="24"/>
        </w:rPr>
        <w:t>Claudii funus, erat omnium formosissimum et impensa cura, plane ut scires deum efferri.</w:t>
      </w:r>
      <w:r w:rsidR="00CE4BF7">
        <w:rPr>
          <w:rStyle w:val="FootnoteReference"/>
          <w:i/>
          <w:iCs/>
          <w:sz w:val="24"/>
          <w:szCs w:val="24"/>
        </w:rPr>
        <w:footnoteReference w:id="46"/>
      </w:r>
      <w:r w:rsidR="00526ED2">
        <w:rPr>
          <w:sz w:val="24"/>
          <w:szCs w:val="24"/>
        </w:rPr>
        <w:t xml:space="preserve"> </w:t>
      </w:r>
      <w:r w:rsidR="009C024D">
        <w:rPr>
          <w:sz w:val="24"/>
          <w:szCs w:val="24"/>
        </w:rPr>
        <w:t>Not only does Trimalchio wish to shed the image of an ex-slave in death,</w:t>
      </w:r>
      <w:r w:rsidR="00C262B8">
        <w:rPr>
          <w:sz w:val="24"/>
          <w:szCs w:val="24"/>
        </w:rPr>
        <w:t xml:space="preserve"> </w:t>
      </w:r>
      <w:r w:rsidR="009C024D">
        <w:rPr>
          <w:sz w:val="24"/>
          <w:szCs w:val="24"/>
        </w:rPr>
        <w:t>but he is so petrified of it</w:t>
      </w:r>
      <w:r w:rsidR="00AE0B74">
        <w:rPr>
          <w:sz w:val="24"/>
          <w:szCs w:val="24"/>
        </w:rPr>
        <w:t>,</w:t>
      </w:r>
      <w:r w:rsidR="00C262B8">
        <w:rPr>
          <w:sz w:val="24"/>
          <w:szCs w:val="24"/>
        </w:rPr>
        <w:t xml:space="preserve"> that he </w:t>
      </w:r>
      <w:r w:rsidR="009C024D">
        <w:rPr>
          <w:sz w:val="24"/>
          <w:szCs w:val="24"/>
        </w:rPr>
        <w:t>wishes</w:t>
      </w:r>
      <w:r w:rsidR="00C262B8">
        <w:rPr>
          <w:sz w:val="24"/>
          <w:szCs w:val="24"/>
        </w:rPr>
        <w:t xml:space="preserve"> to be able to exert full control over it.</w:t>
      </w:r>
      <w:r w:rsidR="00C262B8">
        <w:rPr>
          <w:rStyle w:val="FootnoteReference"/>
          <w:sz w:val="24"/>
          <w:szCs w:val="24"/>
        </w:rPr>
        <w:footnoteReference w:id="47"/>
      </w:r>
      <w:r w:rsidR="0031521B">
        <w:rPr>
          <w:sz w:val="24"/>
          <w:szCs w:val="24"/>
        </w:rPr>
        <w:t xml:space="preserve"> </w:t>
      </w:r>
    </w:p>
    <w:p w14:paraId="3C2DE818" w14:textId="59201F44" w:rsidR="004A05C7" w:rsidRDefault="004A05C7" w:rsidP="00680678">
      <w:pPr>
        <w:rPr>
          <w:sz w:val="24"/>
          <w:szCs w:val="24"/>
        </w:rPr>
      </w:pPr>
      <w:r>
        <w:rPr>
          <w:i/>
          <w:iCs/>
          <w:sz w:val="24"/>
          <w:szCs w:val="24"/>
        </w:rPr>
        <w:t xml:space="preserve">Nardi: </w:t>
      </w:r>
      <w:r w:rsidR="004109E6">
        <w:rPr>
          <w:sz w:val="24"/>
          <w:szCs w:val="24"/>
        </w:rPr>
        <w:t>Nard oil</w:t>
      </w:r>
      <w:r w:rsidR="003C51AC">
        <w:rPr>
          <w:sz w:val="24"/>
          <w:szCs w:val="24"/>
        </w:rPr>
        <w:t xml:space="preserve">, from an aromatic plant, native to the Himalayas. </w:t>
      </w:r>
      <w:r w:rsidR="003C51AC">
        <w:rPr>
          <w:i/>
          <w:iCs/>
          <w:sz w:val="24"/>
          <w:szCs w:val="24"/>
        </w:rPr>
        <w:t xml:space="preserve">Nardum </w:t>
      </w:r>
      <w:r w:rsidR="003C51AC">
        <w:rPr>
          <w:sz w:val="24"/>
          <w:szCs w:val="24"/>
        </w:rPr>
        <w:t xml:space="preserve">was among the costliest of aromatic unguents, with D’Arms referencing Pliny </w:t>
      </w:r>
      <w:r w:rsidR="003C51AC">
        <w:rPr>
          <w:i/>
          <w:iCs/>
          <w:sz w:val="24"/>
          <w:szCs w:val="24"/>
        </w:rPr>
        <w:t xml:space="preserve">NH </w:t>
      </w:r>
      <w:r w:rsidR="003C51AC">
        <w:rPr>
          <w:sz w:val="24"/>
          <w:szCs w:val="24"/>
        </w:rPr>
        <w:t xml:space="preserve">37.204, who states that the root stalks cost 100 </w:t>
      </w:r>
      <w:r w:rsidR="003C51AC">
        <w:rPr>
          <w:i/>
          <w:iCs/>
          <w:sz w:val="24"/>
          <w:szCs w:val="24"/>
        </w:rPr>
        <w:t xml:space="preserve">denarii </w:t>
      </w:r>
      <w:r w:rsidR="003C51AC">
        <w:rPr>
          <w:sz w:val="24"/>
          <w:szCs w:val="24"/>
        </w:rPr>
        <w:t>a pound.</w:t>
      </w:r>
      <w:r w:rsidR="003C51AC">
        <w:rPr>
          <w:rStyle w:val="FootnoteReference"/>
          <w:sz w:val="24"/>
          <w:szCs w:val="24"/>
        </w:rPr>
        <w:footnoteReference w:id="48"/>
      </w:r>
      <w:r w:rsidR="003C51AC">
        <w:rPr>
          <w:sz w:val="24"/>
          <w:szCs w:val="24"/>
        </w:rPr>
        <w:t xml:space="preserve"> It would be used for </w:t>
      </w:r>
      <w:r w:rsidR="00526ED2">
        <w:rPr>
          <w:sz w:val="24"/>
          <w:szCs w:val="24"/>
        </w:rPr>
        <w:t>rubbing</w:t>
      </w:r>
      <w:r w:rsidR="003C51AC">
        <w:rPr>
          <w:sz w:val="24"/>
          <w:szCs w:val="24"/>
        </w:rPr>
        <w:t xml:space="preserve"> the body and anointing the corpse.  Courtney </w:t>
      </w:r>
      <w:r w:rsidR="00FF5698">
        <w:rPr>
          <w:sz w:val="24"/>
          <w:szCs w:val="24"/>
        </w:rPr>
        <w:t>notes how</w:t>
      </w:r>
      <w:r w:rsidR="003C51AC">
        <w:rPr>
          <w:sz w:val="24"/>
          <w:szCs w:val="24"/>
        </w:rPr>
        <w:t xml:space="preserve"> the crowing of the cock (74.1) and the pouring of the nard, which lead up to a mock death, can be compared with two episodes of Mark. 14 (possibly being composed in Rome at the time</w:t>
      </w:r>
      <w:r w:rsidR="00FF5698">
        <w:rPr>
          <w:sz w:val="24"/>
          <w:szCs w:val="24"/>
        </w:rPr>
        <w:t>, in the circle of St. Peter)</w:t>
      </w:r>
      <w:r w:rsidR="003C51AC">
        <w:rPr>
          <w:sz w:val="24"/>
          <w:szCs w:val="24"/>
        </w:rPr>
        <w:t xml:space="preserve"> which </w:t>
      </w:r>
      <w:r w:rsidR="00FF5698">
        <w:rPr>
          <w:sz w:val="24"/>
          <w:szCs w:val="24"/>
        </w:rPr>
        <w:t>led</w:t>
      </w:r>
      <w:r w:rsidR="003C51AC">
        <w:rPr>
          <w:sz w:val="24"/>
          <w:szCs w:val="24"/>
        </w:rPr>
        <w:t xml:space="preserve"> up to the crucifixion of Jesus</w:t>
      </w:r>
      <w:r w:rsidR="00FF5698">
        <w:rPr>
          <w:sz w:val="24"/>
          <w:szCs w:val="24"/>
        </w:rPr>
        <w:t xml:space="preserve">. Yet, </w:t>
      </w:r>
      <w:r w:rsidR="009C024D">
        <w:rPr>
          <w:sz w:val="24"/>
          <w:szCs w:val="24"/>
        </w:rPr>
        <w:t>for</w:t>
      </w:r>
      <w:r w:rsidR="00FF5698">
        <w:rPr>
          <w:sz w:val="24"/>
          <w:szCs w:val="24"/>
        </w:rPr>
        <w:t xml:space="preserve"> Mark the crowing of the cock is little more than a time-marker.</w:t>
      </w:r>
      <w:r w:rsidR="00FF5698">
        <w:rPr>
          <w:rStyle w:val="FootnoteReference"/>
          <w:sz w:val="24"/>
          <w:szCs w:val="24"/>
        </w:rPr>
        <w:footnoteReference w:id="49"/>
      </w:r>
    </w:p>
    <w:p w14:paraId="26F1B4FB" w14:textId="5F47DA14" w:rsidR="00F05BA5" w:rsidRDefault="00FF5698" w:rsidP="00680678">
      <w:pPr>
        <w:rPr>
          <w:sz w:val="24"/>
          <w:szCs w:val="24"/>
        </w:rPr>
      </w:pPr>
      <w:r>
        <w:rPr>
          <w:i/>
          <w:iCs/>
          <w:sz w:val="24"/>
          <w:szCs w:val="24"/>
        </w:rPr>
        <w:t xml:space="preserve">‘Putate vos’ ait ‘ad parentalia mea invitatos esse’: </w:t>
      </w:r>
      <w:r w:rsidR="00EC5485">
        <w:rPr>
          <w:sz w:val="24"/>
          <w:szCs w:val="24"/>
        </w:rPr>
        <w:t xml:space="preserve"> The highlight of the festival of the Parentalia (13-21 February</w:t>
      </w:r>
      <w:r w:rsidR="009C024D">
        <w:rPr>
          <w:sz w:val="24"/>
          <w:szCs w:val="24"/>
        </w:rPr>
        <w:t>)</w:t>
      </w:r>
      <w:r w:rsidR="00EC5485">
        <w:rPr>
          <w:sz w:val="24"/>
          <w:szCs w:val="24"/>
        </w:rPr>
        <w:t>, falls on the 21</w:t>
      </w:r>
      <w:r w:rsidR="00EC5485" w:rsidRPr="00EC5485">
        <w:rPr>
          <w:sz w:val="24"/>
          <w:szCs w:val="24"/>
          <w:vertAlign w:val="superscript"/>
        </w:rPr>
        <w:t>st</w:t>
      </w:r>
      <w:r w:rsidR="00EC5485">
        <w:rPr>
          <w:sz w:val="24"/>
          <w:szCs w:val="24"/>
        </w:rPr>
        <w:t xml:space="preserve">. </w:t>
      </w:r>
      <w:r w:rsidR="00EC5485">
        <w:rPr>
          <w:rStyle w:val="FootnoteReference"/>
          <w:sz w:val="24"/>
          <w:szCs w:val="24"/>
        </w:rPr>
        <w:footnoteReference w:id="50"/>
      </w:r>
      <w:r w:rsidR="00EC5485">
        <w:rPr>
          <w:sz w:val="24"/>
          <w:szCs w:val="24"/>
        </w:rPr>
        <w:t xml:space="preserve">Having ordered the wine to be poured into a bowl, he asks his guests to imagine that they are celebrating the commemoration of the dead in his honour, which disgusts Encolpius, </w:t>
      </w:r>
      <w:r w:rsidR="00EC5485">
        <w:rPr>
          <w:i/>
          <w:iCs/>
          <w:sz w:val="24"/>
          <w:szCs w:val="24"/>
        </w:rPr>
        <w:t xml:space="preserve">ad nauseam, </w:t>
      </w:r>
      <w:r w:rsidR="00EC5485">
        <w:rPr>
          <w:sz w:val="24"/>
          <w:szCs w:val="24"/>
        </w:rPr>
        <w:t xml:space="preserve">from the Greek, </w:t>
      </w:r>
      <w:r w:rsidR="00EC5485">
        <w:rPr>
          <w:sz w:val="24"/>
          <w:szCs w:val="24"/>
          <w:lang w:val="el-GR"/>
        </w:rPr>
        <w:t>ναῦς</w:t>
      </w:r>
      <w:r w:rsidR="00EC5485" w:rsidRPr="00EC5485">
        <w:rPr>
          <w:sz w:val="24"/>
          <w:szCs w:val="24"/>
        </w:rPr>
        <w:t xml:space="preserve">, </w:t>
      </w:r>
      <w:r w:rsidR="00EC5485">
        <w:rPr>
          <w:sz w:val="24"/>
          <w:szCs w:val="24"/>
        </w:rPr>
        <w:t>(ship – sea sickness).</w:t>
      </w:r>
      <w:r w:rsidR="00EC5485">
        <w:rPr>
          <w:rStyle w:val="FootnoteReference"/>
          <w:sz w:val="24"/>
          <w:szCs w:val="24"/>
        </w:rPr>
        <w:footnoteReference w:id="51"/>
      </w:r>
      <w:r w:rsidR="00EC5485">
        <w:rPr>
          <w:sz w:val="24"/>
          <w:szCs w:val="24"/>
        </w:rPr>
        <w:t xml:space="preserve"> </w:t>
      </w:r>
    </w:p>
    <w:p w14:paraId="6119C93A" w14:textId="49D7D860" w:rsidR="00F05BA5" w:rsidRDefault="00F05BA5" w:rsidP="00680678">
      <w:pPr>
        <w:rPr>
          <w:sz w:val="24"/>
          <w:szCs w:val="24"/>
        </w:rPr>
      </w:pPr>
      <w:r>
        <w:rPr>
          <w:i/>
          <w:iCs/>
          <w:sz w:val="24"/>
          <w:szCs w:val="24"/>
        </w:rPr>
        <w:t xml:space="preserve">Novum acroama, cornicines: </w:t>
      </w:r>
      <w:r>
        <w:rPr>
          <w:sz w:val="24"/>
          <w:szCs w:val="24"/>
        </w:rPr>
        <w:t xml:space="preserve">Trimalchio finally summons the hornet-players; </w:t>
      </w:r>
      <w:r>
        <w:rPr>
          <w:i/>
          <w:iCs/>
          <w:sz w:val="24"/>
          <w:szCs w:val="24"/>
        </w:rPr>
        <w:t xml:space="preserve">acroama </w:t>
      </w:r>
      <w:r>
        <w:rPr>
          <w:sz w:val="24"/>
          <w:szCs w:val="24"/>
        </w:rPr>
        <w:t xml:space="preserve">being his favourite. </w:t>
      </w:r>
      <w:r w:rsidR="00DE44F5">
        <w:rPr>
          <w:i/>
          <w:iCs/>
          <w:sz w:val="24"/>
          <w:szCs w:val="24"/>
        </w:rPr>
        <w:t xml:space="preserve">Cornicines </w:t>
      </w:r>
      <w:r w:rsidR="00DE44F5">
        <w:rPr>
          <w:sz w:val="24"/>
          <w:szCs w:val="24"/>
        </w:rPr>
        <w:t>as trumpeters were employed at funerals and as fire alarms.</w:t>
      </w:r>
      <w:r w:rsidR="00DE44F5">
        <w:rPr>
          <w:rStyle w:val="FootnoteReference"/>
          <w:sz w:val="24"/>
          <w:szCs w:val="24"/>
        </w:rPr>
        <w:footnoteReference w:id="52"/>
      </w:r>
      <w:r w:rsidR="00DE44F5">
        <w:rPr>
          <w:sz w:val="24"/>
          <w:szCs w:val="24"/>
        </w:rPr>
        <w:t xml:space="preserve"> </w:t>
      </w:r>
      <w:r>
        <w:rPr>
          <w:sz w:val="24"/>
          <w:szCs w:val="24"/>
        </w:rPr>
        <w:t>To Encolpius this is a party</w:t>
      </w:r>
      <w:r w:rsidR="00D85368">
        <w:rPr>
          <w:sz w:val="24"/>
          <w:szCs w:val="24"/>
        </w:rPr>
        <w:t>-</w:t>
      </w:r>
      <w:r>
        <w:rPr>
          <w:sz w:val="24"/>
          <w:szCs w:val="24"/>
        </w:rPr>
        <w:t>diversion of novel, and hence objectionable type.</w:t>
      </w:r>
      <w:r>
        <w:rPr>
          <w:rStyle w:val="FootnoteReference"/>
          <w:sz w:val="24"/>
          <w:szCs w:val="24"/>
        </w:rPr>
        <w:footnoteReference w:id="53"/>
      </w:r>
      <w:r>
        <w:rPr>
          <w:sz w:val="24"/>
          <w:szCs w:val="24"/>
        </w:rPr>
        <w:t xml:space="preserve"> The word can refer to any sort of performance executed to entertain the ears.</w:t>
      </w:r>
      <w:r>
        <w:rPr>
          <w:rStyle w:val="FootnoteReference"/>
          <w:sz w:val="24"/>
          <w:szCs w:val="24"/>
        </w:rPr>
        <w:footnoteReference w:id="54"/>
      </w:r>
      <w:r>
        <w:rPr>
          <w:sz w:val="24"/>
          <w:szCs w:val="24"/>
        </w:rPr>
        <w:t xml:space="preserve"> </w:t>
      </w:r>
    </w:p>
    <w:p w14:paraId="7C9305A9" w14:textId="056E475E" w:rsidR="008B1305" w:rsidRDefault="00F05BA5" w:rsidP="00680678">
      <w:pPr>
        <w:rPr>
          <w:sz w:val="24"/>
          <w:szCs w:val="24"/>
        </w:rPr>
      </w:pPr>
      <w:r>
        <w:rPr>
          <w:i/>
          <w:iCs/>
          <w:sz w:val="24"/>
          <w:szCs w:val="24"/>
        </w:rPr>
        <w:t xml:space="preserve">Fingite me…mortuum esse: </w:t>
      </w:r>
      <w:r>
        <w:rPr>
          <w:sz w:val="24"/>
          <w:szCs w:val="24"/>
        </w:rPr>
        <w:t>Trimalchio then stretches himself out on the</w:t>
      </w:r>
      <w:r w:rsidR="008B1305">
        <w:rPr>
          <w:sz w:val="24"/>
          <w:szCs w:val="24"/>
        </w:rPr>
        <w:t xml:space="preserve"> </w:t>
      </w:r>
      <w:r w:rsidR="008B1305">
        <w:rPr>
          <w:i/>
          <w:iCs/>
          <w:sz w:val="24"/>
          <w:szCs w:val="24"/>
        </w:rPr>
        <w:t xml:space="preserve">torum extremum </w:t>
      </w:r>
      <w:r w:rsidR="008B1305">
        <w:rPr>
          <w:sz w:val="24"/>
          <w:szCs w:val="24"/>
        </w:rPr>
        <w:t>of the</w:t>
      </w:r>
      <w:r>
        <w:rPr>
          <w:sz w:val="24"/>
          <w:szCs w:val="24"/>
        </w:rPr>
        <w:t xml:space="preserve"> couch</w:t>
      </w:r>
      <w:r w:rsidR="00DE44F5">
        <w:rPr>
          <w:sz w:val="24"/>
          <w:szCs w:val="24"/>
        </w:rPr>
        <w:t xml:space="preserve">, (the same couch on which he had just been dining), propped up </w:t>
      </w:r>
      <w:r w:rsidR="00DE44F5">
        <w:rPr>
          <w:i/>
          <w:iCs/>
          <w:sz w:val="24"/>
          <w:szCs w:val="24"/>
        </w:rPr>
        <w:t>cervicalibus multis</w:t>
      </w:r>
      <w:r w:rsidR="00DB1C99">
        <w:rPr>
          <w:i/>
          <w:iCs/>
          <w:sz w:val="24"/>
          <w:szCs w:val="24"/>
        </w:rPr>
        <w:t>.</w:t>
      </w:r>
      <w:r>
        <w:rPr>
          <w:sz w:val="24"/>
          <w:szCs w:val="24"/>
        </w:rPr>
        <w:t xml:space="preserve"> </w:t>
      </w:r>
      <w:r w:rsidR="00DB1C99">
        <w:rPr>
          <w:sz w:val="24"/>
          <w:szCs w:val="24"/>
        </w:rPr>
        <w:t>E</w:t>
      </w:r>
      <w:r w:rsidR="00223837">
        <w:rPr>
          <w:sz w:val="24"/>
          <w:szCs w:val="24"/>
        </w:rPr>
        <w:t>vincing paranoia in an exhibitionist plea,</w:t>
      </w:r>
      <w:r w:rsidR="00223837">
        <w:rPr>
          <w:rStyle w:val="FootnoteReference"/>
          <w:sz w:val="24"/>
          <w:szCs w:val="24"/>
        </w:rPr>
        <w:footnoteReference w:id="55"/>
      </w:r>
      <w:r>
        <w:rPr>
          <w:sz w:val="24"/>
          <w:szCs w:val="24"/>
        </w:rPr>
        <w:t xml:space="preserve"> </w:t>
      </w:r>
      <w:r w:rsidR="00DB1C99">
        <w:rPr>
          <w:sz w:val="24"/>
          <w:szCs w:val="24"/>
        </w:rPr>
        <w:t xml:space="preserve">he </w:t>
      </w:r>
      <w:r>
        <w:rPr>
          <w:sz w:val="24"/>
          <w:szCs w:val="24"/>
        </w:rPr>
        <w:t>tells them to imagine that he is dead</w:t>
      </w:r>
      <w:r w:rsidR="00F65BAB">
        <w:rPr>
          <w:sz w:val="24"/>
          <w:szCs w:val="24"/>
        </w:rPr>
        <w:t xml:space="preserve"> and to play </w:t>
      </w:r>
      <w:r w:rsidR="00F65BAB">
        <w:rPr>
          <w:i/>
          <w:iCs/>
          <w:sz w:val="24"/>
          <w:szCs w:val="24"/>
        </w:rPr>
        <w:t>aliquid belli</w:t>
      </w:r>
      <w:r w:rsidR="008B1305">
        <w:rPr>
          <w:i/>
          <w:iCs/>
          <w:sz w:val="24"/>
          <w:szCs w:val="24"/>
        </w:rPr>
        <w:t>,</w:t>
      </w:r>
      <w:r w:rsidR="000A19BC">
        <w:rPr>
          <w:i/>
          <w:iCs/>
          <w:sz w:val="24"/>
          <w:szCs w:val="24"/>
        </w:rPr>
        <w:t xml:space="preserve"> </w:t>
      </w:r>
      <w:r w:rsidR="000A19BC">
        <w:rPr>
          <w:sz w:val="24"/>
          <w:szCs w:val="24"/>
        </w:rPr>
        <w:t>which they do.</w:t>
      </w:r>
      <w:r w:rsidR="008B1305">
        <w:rPr>
          <w:i/>
          <w:iCs/>
          <w:sz w:val="24"/>
          <w:szCs w:val="24"/>
        </w:rPr>
        <w:t xml:space="preserve"> </w:t>
      </w:r>
      <w:r w:rsidR="000A19BC">
        <w:rPr>
          <w:sz w:val="24"/>
          <w:szCs w:val="24"/>
        </w:rPr>
        <w:t>This</w:t>
      </w:r>
      <w:r w:rsidR="008B1305">
        <w:rPr>
          <w:sz w:val="24"/>
          <w:szCs w:val="24"/>
        </w:rPr>
        <w:t xml:space="preserve"> should have been the highlight</w:t>
      </w:r>
      <w:r w:rsidR="00F47706">
        <w:rPr>
          <w:sz w:val="24"/>
          <w:szCs w:val="24"/>
        </w:rPr>
        <w:t>.</w:t>
      </w:r>
      <w:r w:rsidR="000A19BC">
        <w:rPr>
          <w:sz w:val="24"/>
          <w:szCs w:val="24"/>
        </w:rPr>
        <w:t xml:space="preserve"> </w:t>
      </w:r>
    </w:p>
    <w:p w14:paraId="4DDE1E9D" w14:textId="1CFE66A0" w:rsidR="00F05BA5" w:rsidRDefault="00F65BAB" w:rsidP="00680678">
      <w:pPr>
        <w:rPr>
          <w:sz w:val="24"/>
          <w:szCs w:val="24"/>
        </w:rPr>
      </w:pPr>
      <w:r>
        <w:rPr>
          <w:sz w:val="24"/>
          <w:szCs w:val="24"/>
        </w:rPr>
        <w:lastRenderedPageBreak/>
        <w:t xml:space="preserve">Mock funerals abound in literature: Of Claudius’ Seneca writes, </w:t>
      </w:r>
      <w:r>
        <w:rPr>
          <w:i/>
          <w:iCs/>
          <w:sz w:val="24"/>
          <w:szCs w:val="24"/>
        </w:rPr>
        <w:t>tanta turba, tantus concentus, ut etiam Claudius audire posset…Claudius ut vidit funus suum, intellexit se mortuum esse</w:t>
      </w:r>
      <w:r w:rsidR="00B9308B">
        <w:rPr>
          <w:i/>
          <w:iCs/>
          <w:sz w:val="24"/>
          <w:szCs w:val="24"/>
        </w:rPr>
        <w:t>.</w:t>
      </w:r>
      <w:r>
        <w:rPr>
          <w:rStyle w:val="FootnoteReference"/>
          <w:i/>
          <w:iCs/>
          <w:sz w:val="24"/>
          <w:szCs w:val="24"/>
        </w:rPr>
        <w:footnoteReference w:id="56"/>
      </w:r>
      <w:r>
        <w:rPr>
          <w:sz w:val="24"/>
          <w:szCs w:val="24"/>
        </w:rPr>
        <w:t xml:space="preserve"> </w:t>
      </w:r>
      <w:r w:rsidR="00B9308B">
        <w:rPr>
          <w:sz w:val="24"/>
          <w:szCs w:val="24"/>
        </w:rPr>
        <w:t xml:space="preserve"> Pacuvias</w:t>
      </w:r>
      <w:r w:rsidR="000A19BC">
        <w:rPr>
          <w:sz w:val="24"/>
          <w:szCs w:val="24"/>
        </w:rPr>
        <w:t xml:space="preserve"> (known as the stand-in governor of Syria in AD 19</w:t>
      </w:r>
      <w:r w:rsidR="000A19BC">
        <w:rPr>
          <w:rStyle w:val="FootnoteReference"/>
          <w:sz w:val="24"/>
          <w:szCs w:val="24"/>
        </w:rPr>
        <w:footnoteReference w:id="57"/>
      </w:r>
      <w:r w:rsidR="000A19BC">
        <w:rPr>
          <w:sz w:val="24"/>
          <w:szCs w:val="24"/>
        </w:rPr>
        <w:t>)</w:t>
      </w:r>
      <w:r w:rsidR="00B9308B">
        <w:rPr>
          <w:sz w:val="24"/>
          <w:szCs w:val="24"/>
        </w:rPr>
        <w:t xml:space="preserve">  was carried </w:t>
      </w:r>
      <w:r w:rsidR="008F165E">
        <w:rPr>
          <w:sz w:val="24"/>
          <w:szCs w:val="24"/>
        </w:rPr>
        <w:t>from the</w:t>
      </w:r>
      <w:r w:rsidR="00B9308B">
        <w:rPr>
          <w:sz w:val="24"/>
          <w:szCs w:val="24"/>
        </w:rPr>
        <w:t xml:space="preserve"> </w:t>
      </w:r>
      <w:r w:rsidR="000A19BC">
        <w:rPr>
          <w:i/>
          <w:iCs/>
          <w:sz w:val="24"/>
          <w:szCs w:val="24"/>
        </w:rPr>
        <w:t>cena</w:t>
      </w:r>
      <w:r w:rsidR="00B9308B">
        <w:rPr>
          <w:sz w:val="24"/>
          <w:szCs w:val="24"/>
        </w:rPr>
        <w:t xml:space="preserve"> into his chamber to the applause of his catamites and the cry to music: </w:t>
      </w:r>
      <w:r w:rsidR="00B9308B">
        <w:rPr>
          <w:sz w:val="24"/>
          <w:szCs w:val="24"/>
          <w:lang w:val="el-GR"/>
        </w:rPr>
        <w:t>βεβίωται</w:t>
      </w:r>
      <w:r w:rsidR="00B9308B" w:rsidRPr="00B9308B">
        <w:rPr>
          <w:sz w:val="24"/>
          <w:szCs w:val="24"/>
        </w:rPr>
        <w:t xml:space="preserve">, </w:t>
      </w:r>
      <w:r w:rsidR="00B9308B">
        <w:rPr>
          <w:sz w:val="24"/>
          <w:szCs w:val="24"/>
          <w:lang w:val="el-GR"/>
        </w:rPr>
        <w:t>βεβίωται</w:t>
      </w:r>
      <w:r w:rsidR="008F165E" w:rsidRPr="008F165E">
        <w:rPr>
          <w:sz w:val="24"/>
          <w:szCs w:val="24"/>
        </w:rPr>
        <w:t xml:space="preserve">; </w:t>
      </w:r>
      <w:r w:rsidR="008F165E">
        <w:rPr>
          <w:sz w:val="24"/>
          <w:szCs w:val="24"/>
        </w:rPr>
        <w:t>a celebrated exemplar</w:t>
      </w:r>
      <w:r w:rsidR="0031521B">
        <w:rPr>
          <w:sz w:val="24"/>
          <w:szCs w:val="24"/>
        </w:rPr>
        <w:t>,</w:t>
      </w:r>
      <w:r w:rsidR="008F165E">
        <w:rPr>
          <w:sz w:val="24"/>
          <w:szCs w:val="24"/>
        </w:rPr>
        <w:t xml:space="preserve"> which inspired the close of Trimalchio’s banquet.</w:t>
      </w:r>
      <w:r w:rsidR="00B9308B">
        <w:rPr>
          <w:rStyle w:val="FootnoteReference"/>
          <w:sz w:val="24"/>
          <w:szCs w:val="24"/>
        </w:rPr>
        <w:footnoteReference w:id="58"/>
      </w:r>
    </w:p>
    <w:p w14:paraId="64599EF4" w14:textId="556743AC" w:rsidR="00B9308B" w:rsidRDefault="00EF73EC" w:rsidP="00680678">
      <w:pPr>
        <w:rPr>
          <w:sz w:val="24"/>
          <w:szCs w:val="24"/>
        </w:rPr>
      </w:pPr>
      <w:r>
        <w:rPr>
          <w:sz w:val="24"/>
          <w:szCs w:val="24"/>
        </w:rPr>
        <w:t>In</w:t>
      </w:r>
      <w:r w:rsidR="008F165E">
        <w:rPr>
          <w:sz w:val="24"/>
          <w:szCs w:val="24"/>
        </w:rPr>
        <w:t xml:space="preserve"> the elegiac poets</w:t>
      </w:r>
      <w:r w:rsidR="00DB1C99">
        <w:rPr>
          <w:sz w:val="24"/>
          <w:szCs w:val="24"/>
        </w:rPr>
        <w:t>,</w:t>
      </w:r>
      <w:r>
        <w:rPr>
          <w:sz w:val="24"/>
          <w:szCs w:val="24"/>
        </w:rPr>
        <w:t xml:space="preserve"> the lover imagines his own death or funeral</w:t>
      </w:r>
      <w:r w:rsidR="00B9308B">
        <w:rPr>
          <w:sz w:val="24"/>
          <w:szCs w:val="24"/>
        </w:rPr>
        <w:t xml:space="preserve">: </w:t>
      </w:r>
      <w:r w:rsidR="007B2A43">
        <w:rPr>
          <w:sz w:val="24"/>
          <w:szCs w:val="24"/>
        </w:rPr>
        <w:t xml:space="preserve">In Tibullus, a sick poet writes to Messalla, </w:t>
      </w:r>
      <w:r w:rsidR="007B2A43">
        <w:rPr>
          <w:i/>
          <w:iCs/>
          <w:sz w:val="24"/>
          <w:szCs w:val="24"/>
        </w:rPr>
        <w:t>abstineas avidas, Mors, precor, atra, manus;</w:t>
      </w:r>
      <w:r w:rsidR="007B2A43">
        <w:rPr>
          <w:rStyle w:val="FootnoteReference"/>
          <w:i/>
          <w:iCs/>
          <w:sz w:val="24"/>
          <w:szCs w:val="24"/>
        </w:rPr>
        <w:footnoteReference w:id="59"/>
      </w:r>
      <w:r w:rsidR="007B2A43">
        <w:rPr>
          <w:i/>
          <w:iCs/>
          <w:sz w:val="24"/>
          <w:szCs w:val="24"/>
        </w:rPr>
        <w:t xml:space="preserve"> </w:t>
      </w:r>
      <w:r w:rsidR="007B2A43">
        <w:rPr>
          <w:sz w:val="24"/>
          <w:szCs w:val="24"/>
        </w:rPr>
        <w:t xml:space="preserve">while in Propertius, a poet shipwrecked writes, </w:t>
      </w:r>
      <w:r w:rsidR="007B2A43">
        <w:rPr>
          <w:i/>
          <w:iCs/>
          <w:sz w:val="24"/>
          <w:szCs w:val="24"/>
        </w:rPr>
        <w:t>an poteris siccis mea fata reposcere ocellis</w:t>
      </w:r>
      <w:r w:rsidR="00DE44F5">
        <w:rPr>
          <w:i/>
          <w:iCs/>
          <w:sz w:val="24"/>
          <w:szCs w:val="24"/>
        </w:rPr>
        <w:t>?</w:t>
      </w:r>
      <w:r w:rsidR="00DE44F5">
        <w:rPr>
          <w:rStyle w:val="FootnoteReference"/>
          <w:i/>
          <w:iCs/>
          <w:sz w:val="24"/>
          <w:szCs w:val="24"/>
        </w:rPr>
        <w:footnoteReference w:id="60"/>
      </w:r>
      <w:r w:rsidR="00B9308B">
        <w:rPr>
          <w:sz w:val="24"/>
          <w:szCs w:val="24"/>
        </w:rPr>
        <w:t xml:space="preserve"> </w:t>
      </w:r>
      <w:r w:rsidR="006C0351">
        <w:rPr>
          <w:sz w:val="24"/>
          <w:szCs w:val="24"/>
        </w:rPr>
        <w:t xml:space="preserve"> Unable to exploit ancestral images, characteristic of upper-class Roman funerals, </w:t>
      </w:r>
      <w:r w:rsidR="00DB1C99">
        <w:rPr>
          <w:sz w:val="24"/>
          <w:szCs w:val="24"/>
        </w:rPr>
        <w:t>freedmen</w:t>
      </w:r>
      <w:r w:rsidR="006C0351">
        <w:rPr>
          <w:sz w:val="24"/>
          <w:szCs w:val="24"/>
        </w:rPr>
        <w:t xml:space="preserve"> had to</w:t>
      </w:r>
      <w:r>
        <w:rPr>
          <w:sz w:val="24"/>
          <w:szCs w:val="24"/>
        </w:rPr>
        <w:t xml:space="preserve"> find other ways of manifesting their prestige,</w:t>
      </w:r>
      <w:r w:rsidR="006C0351">
        <w:rPr>
          <w:sz w:val="24"/>
          <w:szCs w:val="24"/>
        </w:rPr>
        <w:t xml:space="preserve"> </w:t>
      </w:r>
      <w:r>
        <w:rPr>
          <w:sz w:val="24"/>
          <w:szCs w:val="24"/>
        </w:rPr>
        <w:t xml:space="preserve">in </w:t>
      </w:r>
      <w:r w:rsidR="006C0351">
        <w:rPr>
          <w:sz w:val="24"/>
          <w:szCs w:val="24"/>
        </w:rPr>
        <w:t>both their funerals and monuments.</w:t>
      </w:r>
      <w:r w:rsidR="006C0351">
        <w:rPr>
          <w:rStyle w:val="FootnoteReference"/>
          <w:sz w:val="24"/>
          <w:szCs w:val="24"/>
        </w:rPr>
        <w:footnoteReference w:id="61"/>
      </w:r>
    </w:p>
    <w:p w14:paraId="616366A1" w14:textId="76E71168" w:rsidR="00232381" w:rsidRPr="007E0407" w:rsidRDefault="00232381" w:rsidP="00680678">
      <w:pPr>
        <w:rPr>
          <w:sz w:val="24"/>
          <w:szCs w:val="24"/>
        </w:rPr>
      </w:pPr>
      <w:r>
        <w:rPr>
          <w:i/>
          <w:iCs/>
          <w:sz w:val="24"/>
          <w:szCs w:val="24"/>
        </w:rPr>
        <w:t xml:space="preserve">Consonuere cornicines funebri strepitu: </w:t>
      </w:r>
      <w:r w:rsidR="00F47706">
        <w:rPr>
          <w:sz w:val="24"/>
          <w:szCs w:val="24"/>
        </w:rPr>
        <w:t xml:space="preserve"> </w:t>
      </w:r>
      <w:r w:rsidR="00DB1C99">
        <w:rPr>
          <w:sz w:val="24"/>
          <w:szCs w:val="24"/>
        </w:rPr>
        <w:t>An undertaker’s slave, ironically blows the trumpet as if for an actual funeral</w:t>
      </w:r>
      <w:r w:rsidR="00964DFA">
        <w:rPr>
          <w:sz w:val="24"/>
          <w:szCs w:val="24"/>
        </w:rPr>
        <w:t>. Not being a member of Trimalchio’s household he would not have been aware of Trimalchio’s play acting.</w:t>
      </w:r>
      <w:r w:rsidR="00CF79C3">
        <w:rPr>
          <w:rStyle w:val="FootnoteReference"/>
          <w:sz w:val="24"/>
          <w:szCs w:val="24"/>
        </w:rPr>
        <w:footnoteReference w:id="62"/>
      </w:r>
      <w:r w:rsidR="00964DFA">
        <w:rPr>
          <w:sz w:val="24"/>
          <w:szCs w:val="24"/>
        </w:rPr>
        <w:t xml:space="preserve"> </w:t>
      </w:r>
      <w:r w:rsidR="00F47706">
        <w:rPr>
          <w:sz w:val="24"/>
          <w:szCs w:val="24"/>
        </w:rPr>
        <w:t xml:space="preserve">Indeed, </w:t>
      </w:r>
      <w:r>
        <w:rPr>
          <w:i/>
          <w:iCs/>
          <w:sz w:val="24"/>
          <w:szCs w:val="24"/>
        </w:rPr>
        <w:t>Tam valde intonuit, ut totam concitaret viciniam</w:t>
      </w:r>
      <w:r w:rsidR="00964DFA">
        <w:rPr>
          <w:i/>
          <w:iCs/>
          <w:sz w:val="24"/>
          <w:szCs w:val="24"/>
        </w:rPr>
        <w:t>,</w:t>
      </w:r>
      <w:r>
        <w:rPr>
          <w:sz w:val="24"/>
          <w:szCs w:val="24"/>
        </w:rPr>
        <w:t xml:space="preserve"> that it </w:t>
      </w:r>
      <w:r w:rsidR="00A0291F">
        <w:rPr>
          <w:sz w:val="24"/>
          <w:szCs w:val="24"/>
        </w:rPr>
        <w:t>awakes</w:t>
      </w:r>
      <w:r>
        <w:rPr>
          <w:sz w:val="24"/>
          <w:szCs w:val="24"/>
        </w:rPr>
        <w:t xml:space="preserve"> the whole neighbourhood.</w:t>
      </w:r>
      <w:r w:rsidR="000E7BD6">
        <w:rPr>
          <w:sz w:val="24"/>
          <w:szCs w:val="24"/>
        </w:rPr>
        <w:t xml:space="preserve"> The </w:t>
      </w:r>
      <w:r w:rsidR="006C0351">
        <w:rPr>
          <w:sz w:val="24"/>
          <w:szCs w:val="24"/>
        </w:rPr>
        <w:t>cockcrow</w:t>
      </w:r>
      <w:r w:rsidR="000E7BD6">
        <w:rPr>
          <w:sz w:val="24"/>
          <w:szCs w:val="24"/>
        </w:rPr>
        <w:t xml:space="preserve"> at 74.2 had been taken to foretell a fire or a death; now in a way we have both. </w:t>
      </w:r>
      <w:r w:rsidR="00CF79C3">
        <w:rPr>
          <w:sz w:val="24"/>
          <w:szCs w:val="24"/>
        </w:rPr>
        <w:t>The loudness of the horn here compares with that of the wailing of the young man’s mother in the ghost story in 63. Both act as catalysts for the intervention of external, uncontrollable forces.</w:t>
      </w:r>
      <w:r w:rsidR="00CF79C3">
        <w:rPr>
          <w:rStyle w:val="FootnoteReference"/>
          <w:sz w:val="24"/>
          <w:szCs w:val="24"/>
        </w:rPr>
        <w:footnoteReference w:id="63"/>
      </w:r>
    </w:p>
    <w:p w14:paraId="6F348968" w14:textId="5A005428" w:rsidR="00232381" w:rsidRDefault="0019221D" w:rsidP="00680678">
      <w:pPr>
        <w:rPr>
          <w:sz w:val="24"/>
          <w:szCs w:val="24"/>
        </w:rPr>
      </w:pPr>
      <w:r>
        <w:rPr>
          <w:i/>
          <w:iCs/>
          <w:sz w:val="24"/>
          <w:szCs w:val="24"/>
        </w:rPr>
        <w:t>Vigiles</w:t>
      </w:r>
      <w:r w:rsidR="00232381">
        <w:rPr>
          <w:i/>
          <w:iCs/>
          <w:sz w:val="24"/>
          <w:szCs w:val="24"/>
        </w:rPr>
        <w:t>…effregerunt ianuam subito</w:t>
      </w:r>
      <w:r>
        <w:rPr>
          <w:i/>
          <w:iCs/>
          <w:sz w:val="24"/>
          <w:szCs w:val="24"/>
        </w:rPr>
        <w:t xml:space="preserve">: </w:t>
      </w:r>
      <w:r>
        <w:rPr>
          <w:sz w:val="24"/>
          <w:szCs w:val="24"/>
        </w:rPr>
        <w:t xml:space="preserve">The sudden end to the </w:t>
      </w:r>
      <w:r>
        <w:rPr>
          <w:i/>
          <w:iCs/>
          <w:sz w:val="24"/>
          <w:szCs w:val="24"/>
        </w:rPr>
        <w:t xml:space="preserve">Cena </w:t>
      </w:r>
      <w:r>
        <w:rPr>
          <w:sz w:val="24"/>
          <w:szCs w:val="24"/>
        </w:rPr>
        <w:t xml:space="preserve">mirrors that of the end of Plato’s </w:t>
      </w:r>
      <w:r>
        <w:rPr>
          <w:i/>
          <w:iCs/>
          <w:sz w:val="24"/>
          <w:szCs w:val="24"/>
        </w:rPr>
        <w:t xml:space="preserve">Symposium, </w:t>
      </w:r>
      <w:r>
        <w:rPr>
          <w:sz w:val="24"/>
          <w:szCs w:val="24"/>
        </w:rPr>
        <w:t xml:space="preserve">where revellers, </w:t>
      </w:r>
      <w:r>
        <w:rPr>
          <w:sz w:val="24"/>
          <w:szCs w:val="24"/>
          <w:lang w:val="el-GR"/>
        </w:rPr>
        <w:t>κωμασταί</w:t>
      </w:r>
      <w:r w:rsidRPr="0019221D">
        <w:rPr>
          <w:sz w:val="24"/>
          <w:szCs w:val="24"/>
        </w:rPr>
        <w:t xml:space="preserve">, </w:t>
      </w:r>
      <w:r>
        <w:rPr>
          <w:sz w:val="24"/>
          <w:szCs w:val="24"/>
        </w:rPr>
        <w:t>burst in and break up the party.</w:t>
      </w:r>
      <w:r>
        <w:rPr>
          <w:rStyle w:val="FootnoteReference"/>
          <w:sz w:val="24"/>
          <w:szCs w:val="24"/>
        </w:rPr>
        <w:footnoteReference w:id="64"/>
      </w:r>
      <w:r>
        <w:rPr>
          <w:sz w:val="24"/>
          <w:szCs w:val="24"/>
        </w:rPr>
        <w:t xml:space="preserve">  </w:t>
      </w:r>
      <w:r>
        <w:rPr>
          <w:i/>
          <w:iCs/>
          <w:sz w:val="24"/>
          <w:szCs w:val="24"/>
        </w:rPr>
        <w:t xml:space="preserve">Vigiles </w:t>
      </w:r>
      <w:r>
        <w:rPr>
          <w:sz w:val="24"/>
          <w:szCs w:val="24"/>
        </w:rPr>
        <w:t xml:space="preserve">were firemen </w:t>
      </w:r>
      <w:r>
        <w:rPr>
          <w:i/>
          <w:iCs/>
          <w:sz w:val="24"/>
          <w:szCs w:val="24"/>
        </w:rPr>
        <w:t xml:space="preserve">suo iure, </w:t>
      </w:r>
      <w:r>
        <w:rPr>
          <w:sz w:val="24"/>
          <w:szCs w:val="24"/>
        </w:rPr>
        <w:t>‘having it all their own way.’</w:t>
      </w:r>
      <w:r>
        <w:rPr>
          <w:rStyle w:val="FootnoteReference"/>
          <w:sz w:val="24"/>
          <w:szCs w:val="24"/>
        </w:rPr>
        <w:footnoteReference w:id="65"/>
      </w:r>
      <w:r w:rsidR="007E0407">
        <w:rPr>
          <w:sz w:val="24"/>
          <w:szCs w:val="24"/>
        </w:rPr>
        <w:t xml:space="preserve"> </w:t>
      </w:r>
      <w:r w:rsidR="00964DFA">
        <w:rPr>
          <w:sz w:val="24"/>
          <w:szCs w:val="24"/>
        </w:rPr>
        <w:t xml:space="preserve"> </w:t>
      </w:r>
      <w:r w:rsidR="00387083">
        <w:rPr>
          <w:sz w:val="24"/>
          <w:szCs w:val="24"/>
        </w:rPr>
        <w:t>They compare with the witches in 63</w:t>
      </w:r>
      <w:r w:rsidR="00D85368">
        <w:rPr>
          <w:sz w:val="24"/>
          <w:szCs w:val="24"/>
        </w:rPr>
        <w:t xml:space="preserve"> in that</w:t>
      </w:r>
      <w:r w:rsidR="00387083">
        <w:rPr>
          <w:sz w:val="24"/>
          <w:szCs w:val="24"/>
        </w:rPr>
        <w:t xml:space="preserve"> they both create an unpredictable, surprise ending to events.</w:t>
      </w:r>
      <w:r w:rsidR="00387083">
        <w:rPr>
          <w:rStyle w:val="FootnoteReference"/>
          <w:sz w:val="24"/>
          <w:szCs w:val="24"/>
        </w:rPr>
        <w:footnoteReference w:id="66"/>
      </w:r>
      <w:r w:rsidR="00387083">
        <w:rPr>
          <w:sz w:val="24"/>
          <w:szCs w:val="24"/>
        </w:rPr>
        <w:t xml:space="preserve"> B</w:t>
      </w:r>
      <w:r w:rsidR="00F47706">
        <w:rPr>
          <w:sz w:val="24"/>
          <w:szCs w:val="24"/>
        </w:rPr>
        <w:t xml:space="preserve">oth </w:t>
      </w:r>
      <w:r w:rsidR="00387083">
        <w:rPr>
          <w:sz w:val="24"/>
          <w:szCs w:val="24"/>
        </w:rPr>
        <w:t>this funeral ritual and the ghost story in 63</w:t>
      </w:r>
      <w:r w:rsidR="00F47706">
        <w:rPr>
          <w:sz w:val="24"/>
          <w:szCs w:val="24"/>
        </w:rPr>
        <w:t xml:space="preserve"> are stage managed performances by Trimalchio which end in disaster on account of the havoc wreaked by external forces</w:t>
      </w:r>
      <w:r w:rsidR="00CF79C3">
        <w:rPr>
          <w:sz w:val="24"/>
          <w:szCs w:val="24"/>
        </w:rPr>
        <w:t>, over which he has no control</w:t>
      </w:r>
      <w:r w:rsidR="00F47706">
        <w:rPr>
          <w:sz w:val="24"/>
          <w:szCs w:val="24"/>
        </w:rPr>
        <w:t>.</w:t>
      </w:r>
      <w:r w:rsidR="00F47706">
        <w:rPr>
          <w:rStyle w:val="FootnoteReference"/>
          <w:sz w:val="24"/>
          <w:szCs w:val="24"/>
        </w:rPr>
        <w:footnoteReference w:id="67"/>
      </w:r>
      <w:r w:rsidR="00F47706">
        <w:rPr>
          <w:sz w:val="24"/>
          <w:szCs w:val="24"/>
        </w:rPr>
        <w:t xml:space="preserve"> </w:t>
      </w:r>
    </w:p>
    <w:p w14:paraId="7BA3708B" w14:textId="2F8FB34A" w:rsidR="00447EF9" w:rsidRDefault="007A264A" w:rsidP="00680678">
      <w:pPr>
        <w:rPr>
          <w:sz w:val="24"/>
          <w:szCs w:val="24"/>
        </w:rPr>
      </w:pPr>
      <w:r>
        <w:rPr>
          <w:i/>
          <w:iCs/>
          <w:sz w:val="24"/>
          <w:szCs w:val="24"/>
        </w:rPr>
        <w:t>Nos occasionem opportunissimam nacti Ag</w:t>
      </w:r>
      <w:r w:rsidR="00972A98">
        <w:rPr>
          <w:i/>
          <w:iCs/>
          <w:sz w:val="24"/>
          <w:szCs w:val="24"/>
        </w:rPr>
        <w:t xml:space="preserve">amemnoni verba dedimus raptimque tam plane quam ex incendio fugimus: </w:t>
      </w:r>
      <w:r w:rsidR="003500F6">
        <w:rPr>
          <w:sz w:val="24"/>
          <w:szCs w:val="24"/>
        </w:rPr>
        <w:t>A</w:t>
      </w:r>
      <w:r w:rsidR="00972A98">
        <w:rPr>
          <w:sz w:val="24"/>
          <w:szCs w:val="24"/>
        </w:rPr>
        <w:t>mid the furore, Encolpius and company ‘gave the slip’</w:t>
      </w:r>
      <w:r w:rsidR="00972A98">
        <w:rPr>
          <w:rStyle w:val="FootnoteReference"/>
          <w:sz w:val="24"/>
          <w:szCs w:val="24"/>
        </w:rPr>
        <w:footnoteReference w:id="68"/>
      </w:r>
      <w:r w:rsidR="00972A98">
        <w:rPr>
          <w:sz w:val="24"/>
          <w:szCs w:val="24"/>
        </w:rPr>
        <w:t xml:space="preserve"> to Agamemnon and fle</w:t>
      </w:r>
      <w:r w:rsidR="003500F6">
        <w:rPr>
          <w:sz w:val="24"/>
          <w:szCs w:val="24"/>
        </w:rPr>
        <w:t>d</w:t>
      </w:r>
      <w:r w:rsidR="00972A98">
        <w:rPr>
          <w:sz w:val="24"/>
          <w:szCs w:val="24"/>
        </w:rPr>
        <w:t xml:space="preserve"> as if it were a real fire.</w:t>
      </w:r>
      <w:r w:rsidR="00972A98">
        <w:rPr>
          <w:i/>
          <w:iCs/>
          <w:sz w:val="24"/>
          <w:szCs w:val="24"/>
        </w:rPr>
        <w:t xml:space="preserve"> </w:t>
      </w:r>
      <w:r w:rsidR="003500F6">
        <w:rPr>
          <w:sz w:val="24"/>
          <w:szCs w:val="24"/>
        </w:rPr>
        <w:t xml:space="preserve">Having been previously </w:t>
      </w:r>
      <w:r w:rsidR="004966B6">
        <w:rPr>
          <w:sz w:val="24"/>
          <w:szCs w:val="24"/>
        </w:rPr>
        <w:t xml:space="preserve">prevented from </w:t>
      </w:r>
      <w:r w:rsidR="003500F6">
        <w:rPr>
          <w:sz w:val="24"/>
          <w:szCs w:val="24"/>
        </w:rPr>
        <w:t>escaping</w:t>
      </w:r>
      <w:r w:rsidR="004966B6">
        <w:rPr>
          <w:sz w:val="24"/>
          <w:szCs w:val="24"/>
        </w:rPr>
        <w:t xml:space="preserve"> </w:t>
      </w:r>
      <w:r w:rsidR="00964DFA">
        <w:rPr>
          <w:sz w:val="24"/>
          <w:szCs w:val="24"/>
        </w:rPr>
        <w:t>(</w:t>
      </w:r>
      <w:r w:rsidR="004966B6">
        <w:rPr>
          <w:sz w:val="24"/>
          <w:szCs w:val="24"/>
        </w:rPr>
        <w:t>in 72-3</w:t>
      </w:r>
      <w:r w:rsidR="00964DFA">
        <w:rPr>
          <w:sz w:val="24"/>
          <w:szCs w:val="24"/>
        </w:rPr>
        <w:t>)</w:t>
      </w:r>
      <w:r w:rsidR="004966B6">
        <w:rPr>
          <w:sz w:val="24"/>
          <w:szCs w:val="24"/>
        </w:rPr>
        <w:t xml:space="preserve">, the arrival of the </w:t>
      </w:r>
      <w:r w:rsidR="004966B6">
        <w:rPr>
          <w:i/>
          <w:iCs/>
          <w:sz w:val="24"/>
          <w:szCs w:val="24"/>
        </w:rPr>
        <w:t>vigil</w:t>
      </w:r>
      <w:r w:rsidR="003500F6">
        <w:rPr>
          <w:i/>
          <w:iCs/>
          <w:sz w:val="24"/>
          <w:szCs w:val="24"/>
        </w:rPr>
        <w:t>e</w:t>
      </w:r>
      <w:r w:rsidR="004966B6">
        <w:rPr>
          <w:i/>
          <w:iCs/>
          <w:sz w:val="24"/>
          <w:szCs w:val="24"/>
        </w:rPr>
        <w:t xml:space="preserve">s </w:t>
      </w:r>
      <w:r w:rsidR="003500F6">
        <w:rPr>
          <w:sz w:val="24"/>
          <w:szCs w:val="24"/>
        </w:rPr>
        <w:t>would have provided much relief</w:t>
      </w:r>
      <w:r w:rsidR="007612BF">
        <w:rPr>
          <w:sz w:val="24"/>
          <w:szCs w:val="24"/>
        </w:rPr>
        <w:t xml:space="preserve">.  </w:t>
      </w:r>
      <w:r w:rsidR="004966B6">
        <w:rPr>
          <w:sz w:val="24"/>
          <w:szCs w:val="24"/>
        </w:rPr>
        <w:t xml:space="preserve">The end of Horace’s </w:t>
      </w:r>
      <w:r w:rsidR="004966B6">
        <w:rPr>
          <w:i/>
          <w:iCs/>
          <w:sz w:val="24"/>
          <w:szCs w:val="24"/>
        </w:rPr>
        <w:t xml:space="preserve">Cena Nasidieni </w:t>
      </w:r>
      <w:r w:rsidR="00240E78">
        <w:rPr>
          <w:sz w:val="24"/>
          <w:szCs w:val="24"/>
        </w:rPr>
        <w:t>mirrors such an</w:t>
      </w:r>
      <w:r w:rsidR="004966B6">
        <w:rPr>
          <w:sz w:val="24"/>
          <w:szCs w:val="24"/>
        </w:rPr>
        <w:t xml:space="preserve"> escape, </w:t>
      </w:r>
      <w:r w:rsidR="00240E78">
        <w:rPr>
          <w:sz w:val="24"/>
          <w:szCs w:val="24"/>
        </w:rPr>
        <w:t>using</w:t>
      </w:r>
      <w:r w:rsidR="004966B6">
        <w:rPr>
          <w:sz w:val="24"/>
          <w:szCs w:val="24"/>
        </w:rPr>
        <w:t xml:space="preserve"> the same verb, </w:t>
      </w:r>
      <w:r w:rsidR="004966B6">
        <w:rPr>
          <w:i/>
          <w:iCs/>
          <w:sz w:val="24"/>
          <w:szCs w:val="24"/>
        </w:rPr>
        <w:t xml:space="preserve">fugimus. </w:t>
      </w:r>
      <w:r w:rsidR="00240E78">
        <w:rPr>
          <w:sz w:val="24"/>
          <w:szCs w:val="24"/>
        </w:rPr>
        <w:t xml:space="preserve">In </w:t>
      </w:r>
      <w:r w:rsidR="004966B6">
        <w:rPr>
          <w:sz w:val="24"/>
          <w:szCs w:val="24"/>
        </w:rPr>
        <w:t>Horace</w:t>
      </w:r>
      <w:r w:rsidR="001165A2">
        <w:rPr>
          <w:sz w:val="24"/>
          <w:szCs w:val="24"/>
        </w:rPr>
        <w:t>,</w:t>
      </w:r>
      <w:r w:rsidR="004966B6">
        <w:rPr>
          <w:sz w:val="24"/>
          <w:szCs w:val="24"/>
        </w:rPr>
        <w:t xml:space="preserve"> </w:t>
      </w:r>
      <w:r w:rsidR="00240E78">
        <w:rPr>
          <w:sz w:val="24"/>
          <w:szCs w:val="24"/>
        </w:rPr>
        <w:t xml:space="preserve">however, </w:t>
      </w:r>
      <w:r w:rsidR="004966B6">
        <w:rPr>
          <w:sz w:val="24"/>
          <w:szCs w:val="24"/>
        </w:rPr>
        <w:t xml:space="preserve">the flight is </w:t>
      </w:r>
      <w:r w:rsidR="00240E78">
        <w:rPr>
          <w:sz w:val="24"/>
          <w:szCs w:val="24"/>
        </w:rPr>
        <w:t>born out of the guests’ contempt</w:t>
      </w:r>
      <w:r w:rsidR="004966B6">
        <w:rPr>
          <w:sz w:val="24"/>
          <w:szCs w:val="24"/>
        </w:rPr>
        <w:t xml:space="preserve"> for the host</w:t>
      </w:r>
      <w:r w:rsidR="00240E78">
        <w:rPr>
          <w:sz w:val="24"/>
          <w:szCs w:val="24"/>
        </w:rPr>
        <w:t>.</w:t>
      </w:r>
      <w:r w:rsidR="001165A2">
        <w:rPr>
          <w:sz w:val="24"/>
          <w:szCs w:val="24"/>
        </w:rPr>
        <w:t xml:space="preserve"> </w:t>
      </w:r>
      <w:r w:rsidR="00240E78">
        <w:rPr>
          <w:sz w:val="24"/>
          <w:szCs w:val="24"/>
        </w:rPr>
        <w:t>In</w:t>
      </w:r>
      <w:r w:rsidR="001165A2">
        <w:rPr>
          <w:sz w:val="24"/>
          <w:szCs w:val="24"/>
        </w:rPr>
        <w:t xml:space="preserve"> Petronius it is Trimalchio who has dominated</w:t>
      </w:r>
      <w:r w:rsidR="00240E78">
        <w:rPr>
          <w:sz w:val="24"/>
          <w:szCs w:val="24"/>
        </w:rPr>
        <w:t>;</w:t>
      </w:r>
      <w:r w:rsidR="001165A2">
        <w:rPr>
          <w:sz w:val="24"/>
          <w:szCs w:val="24"/>
        </w:rPr>
        <w:t xml:space="preserve"> Encolpius and company, having failed to flee earlier, are </w:t>
      </w:r>
      <w:r w:rsidR="001165A2">
        <w:rPr>
          <w:sz w:val="24"/>
          <w:szCs w:val="24"/>
        </w:rPr>
        <w:lastRenderedPageBreak/>
        <w:t>running away in defeat</w:t>
      </w:r>
      <w:r w:rsidR="007612BF">
        <w:rPr>
          <w:sz w:val="24"/>
          <w:szCs w:val="24"/>
        </w:rPr>
        <w:t>.</w:t>
      </w:r>
      <w:r w:rsidR="001165A2">
        <w:rPr>
          <w:rStyle w:val="FootnoteReference"/>
          <w:sz w:val="24"/>
          <w:szCs w:val="24"/>
        </w:rPr>
        <w:footnoteReference w:id="69"/>
      </w:r>
      <w:r w:rsidR="00387083">
        <w:rPr>
          <w:sz w:val="24"/>
          <w:szCs w:val="24"/>
        </w:rPr>
        <w:t xml:space="preserve"> </w:t>
      </w:r>
      <w:r w:rsidR="00086CAD">
        <w:rPr>
          <w:sz w:val="24"/>
          <w:szCs w:val="24"/>
        </w:rPr>
        <w:t xml:space="preserve">It is </w:t>
      </w:r>
      <w:r w:rsidR="00D85368">
        <w:rPr>
          <w:sz w:val="24"/>
          <w:szCs w:val="24"/>
        </w:rPr>
        <w:t>re-enacting</w:t>
      </w:r>
      <w:r w:rsidR="00086CAD">
        <w:rPr>
          <w:sz w:val="24"/>
          <w:szCs w:val="24"/>
        </w:rPr>
        <w:t xml:space="preserve"> his death as a staged event that precipitates the intervention of such uncontrollable forces.</w:t>
      </w:r>
      <w:r w:rsidR="00387083">
        <w:rPr>
          <w:sz w:val="24"/>
          <w:szCs w:val="24"/>
        </w:rPr>
        <w:t xml:space="preserve"> </w:t>
      </w:r>
      <w:r w:rsidR="00086CAD">
        <w:rPr>
          <w:sz w:val="24"/>
          <w:szCs w:val="24"/>
        </w:rPr>
        <w:t xml:space="preserve">Trimalchio fails to heed the moral of his tale, </w:t>
      </w:r>
      <w:r w:rsidR="00E91848">
        <w:rPr>
          <w:sz w:val="24"/>
          <w:szCs w:val="24"/>
        </w:rPr>
        <w:t>that there</w:t>
      </w:r>
      <w:r w:rsidR="00086CAD">
        <w:rPr>
          <w:sz w:val="24"/>
          <w:szCs w:val="24"/>
        </w:rPr>
        <w:t xml:space="preserve"> are certain powers which cannot be held in check.</w:t>
      </w:r>
      <w:r w:rsidR="00E91848">
        <w:rPr>
          <w:rStyle w:val="FootnoteReference"/>
          <w:sz w:val="24"/>
          <w:szCs w:val="24"/>
        </w:rPr>
        <w:footnoteReference w:id="70"/>
      </w:r>
      <w:r w:rsidR="00964DFA">
        <w:rPr>
          <w:sz w:val="24"/>
          <w:szCs w:val="24"/>
        </w:rPr>
        <w:t xml:space="preserve"> </w:t>
      </w:r>
      <w:r w:rsidR="00496712">
        <w:rPr>
          <w:sz w:val="24"/>
          <w:szCs w:val="24"/>
        </w:rPr>
        <w:t xml:space="preserve"> </w:t>
      </w:r>
    </w:p>
    <w:p w14:paraId="49C14F34" w14:textId="77777777" w:rsidR="00447EF9" w:rsidRDefault="00447EF9" w:rsidP="00680678">
      <w:pPr>
        <w:rPr>
          <w:sz w:val="24"/>
          <w:szCs w:val="24"/>
        </w:rPr>
      </w:pPr>
    </w:p>
    <w:p w14:paraId="1454C06F" w14:textId="12671222" w:rsidR="00857270" w:rsidRDefault="00447EF9" w:rsidP="00857270">
      <w:pPr>
        <w:jc w:val="center"/>
        <w:rPr>
          <w:sz w:val="32"/>
          <w:szCs w:val="32"/>
        </w:rPr>
      </w:pPr>
      <w:r>
        <w:rPr>
          <w:sz w:val="32"/>
          <w:szCs w:val="32"/>
        </w:rPr>
        <w:t>Bibliography</w:t>
      </w:r>
    </w:p>
    <w:p w14:paraId="0FA0B12C" w14:textId="22A3CF2B" w:rsidR="0037357D" w:rsidRPr="00D2181F" w:rsidRDefault="0037357D" w:rsidP="0037357D">
      <w:pPr>
        <w:rPr>
          <w:sz w:val="28"/>
          <w:szCs w:val="28"/>
        </w:rPr>
      </w:pPr>
      <w:r>
        <w:rPr>
          <w:sz w:val="28"/>
          <w:szCs w:val="28"/>
        </w:rPr>
        <w:t>Bodal</w:t>
      </w:r>
      <w:r w:rsidR="00D2181F">
        <w:rPr>
          <w:sz w:val="28"/>
          <w:szCs w:val="28"/>
        </w:rPr>
        <w:t>, J.,</w:t>
      </w:r>
      <w:r>
        <w:rPr>
          <w:sz w:val="28"/>
          <w:szCs w:val="28"/>
        </w:rPr>
        <w:t xml:space="preserve"> (1999)</w:t>
      </w:r>
      <w:r w:rsidR="00D2181F">
        <w:rPr>
          <w:sz w:val="28"/>
          <w:szCs w:val="28"/>
        </w:rPr>
        <w:t xml:space="preserve"> </w:t>
      </w:r>
      <w:r w:rsidR="00D2181F">
        <w:rPr>
          <w:i/>
          <w:iCs/>
          <w:sz w:val="28"/>
          <w:szCs w:val="28"/>
        </w:rPr>
        <w:t xml:space="preserve">The Cena Trimalchionis </w:t>
      </w:r>
      <w:r w:rsidR="00D2181F">
        <w:rPr>
          <w:sz w:val="28"/>
          <w:szCs w:val="28"/>
        </w:rPr>
        <w:t>in H. Hoffman (ed.) Latin fiction: The Latin Novel in Context.</w:t>
      </w:r>
    </w:p>
    <w:p w14:paraId="48919A72" w14:textId="576A611C" w:rsidR="00857270" w:rsidRPr="00D2181F" w:rsidRDefault="00857270" w:rsidP="0037357D">
      <w:pPr>
        <w:rPr>
          <w:sz w:val="28"/>
          <w:szCs w:val="28"/>
        </w:rPr>
      </w:pPr>
      <w:r>
        <w:rPr>
          <w:sz w:val="28"/>
          <w:szCs w:val="28"/>
        </w:rPr>
        <w:t>Bodal</w:t>
      </w:r>
      <w:r w:rsidR="00D2181F">
        <w:rPr>
          <w:sz w:val="28"/>
          <w:szCs w:val="28"/>
        </w:rPr>
        <w:t>, J.,</w:t>
      </w:r>
      <w:r>
        <w:rPr>
          <w:sz w:val="28"/>
          <w:szCs w:val="28"/>
        </w:rPr>
        <w:t xml:space="preserve"> (1994)</w:t>
      </w:r>
      <w:r w:rsidR="00D2181F">
        <w:rPr>
          <w:sz w:val="28"/>
          <w:szCs w:val="28"/>
        </w:rPr>
        <w:t xml:space="preserve"> </w:t>
      </w:r>
      <w:r w:rsidR="00D2181F">
        <w:rPr>
          <w:i/>
          <w:iCs/>
          <w:sz w:val="28"/>
          <w:szCs w:val="28"/>
        </w:rPr>
        <w:t xml:space="preserve">Trimalchio’s Underworld, </w:t>
      </w:r>
      <w:r w:rsidR="00D2181F">
        <w:rPr>
          <w:sz w:val="28"/>
          <w:szCs w:val="28"/>
        </w:rPr>
        <w:t>in The Search for the Ancient Novel (ed.)  Baltimore,  237-259</w:t>
      </w:r>
    </w:p>
    <w:p w14:paraId="60F58AFF" w14:textId="20A84349" w:rsidR="00857270" w:rsidRPr="00D2181F" w:rsidRDefault="00857270" w:rsidP="0037357D">
      <w:pPr>
        <w:rPr>
          <w:sz w:val="28"/>
          <w:szCs w:val="28"/>
        </w:rPr>
      </w:pPr>
      <w:r>
        <w:rPr>
          <w:sz w:val="28"/>
          <w:szCs w:val="28"/>
        </w:rPr>
        <w:t>Borthwick</w:t>
      </w:r>
      <w:r w:rsidR="00D2181F">
        <w:rPr>
          <w:sz w:val="28"/>
          <w:szCs w:val="28"/>
        </w:rPr>
        <w:t xml:space="preserve">, E.,  </w:t>
      </w:r>
      <w:r>
        <w:rPr>
          <w:sz w:val="28"/>
          <w:szCs w:val="28"/>
        </w:rPr>
        <w:t>(1967)</w:t>
      </w:r>
      <w:r w:rsidR="00D2181F">
        <w:rPr>
          <w:sz w:val="28"/>
          <w:szCs w:val="28"/>
        </w:rPr>
        <w:t xml:space="preserve">  </w:t>
      </w:r>
      <w:r w:rsidR="00D2181F">
        <w:rPr>
          <w:i/>
          <w:iCs/>
          <w:sz w:val="28"/>
          <w:szCs w:val="28"/>
        </w:rPr>
        <w:t xml:space="preserve">A Femme Fatale </w:t>
      </w:r>
      <w:r w:rsidR="00D2181F">
        <w:rPr>
          <w:sz w:val="28"/>
          <w:szCs w:val="28"/>
        </w:rPr>
        <w:t xml:space="preserve">in Asclepiades,  </w:t>
      </w:r>
      <w:r w:rsidR="00D2181F">
        <w:rPr>
          <w:i/>
          <w:iCs/>
          <w:sz w:val="28"/>
          <w:szCs w:val="28"/>
        </w:rPr>
        <w:t xml:space="preserve">CR </w:t>
      </w:r>
      <w:r w:rsidR="00D2181F">
        <w:rPr>
          <w:sz w:val="28"/>
          <w:szCs w:val="28"/>
        </w:rPr>
        <w:t>17: 248-50</w:t>
      </w:r>
    </w:p>
    <w:p w14:paraId="69688F22" w14:textId="1DFEB376" w:rsidR="00857270" w:rsidRPr="00565472" w:rsidRDefault="00857270" w:rsidP="0037357D">
      <w:pPr>
        <w:rPr>
          <w:sz w:val="28"/>
          <w:szCs w:val="28"/>
        </w:rPr>
      </w:pPr>
      <w:r>
        <w:rPr>
          <w:sz w:val="28"/>
          <w:szCs w:val="28"/>
        </w:rPr>
        <w:t>Capps, E., Page, T.E., Rouse, W.H.D.., Post, L</w:t>
      </w:r>
      <w:r w:rsidR="00565472">
        <w:rPr>
          <w:sz w:val="28"/>
          <w:szCs w:val="28"/>
        </w:rPr>
        <w:t xml:space="preserve">.A., Warmington, E.H., (eds.) (1962)  The Loeb Classical Library  </w:t>
      </w:r>
      <w:r w:rsidR="00565472">
        <w:rPr>
          <w:i/>
          <w:iCs/>
          <w:sz w:val="28"/>
          <w:szCs w:val="28"/>
        </w:rPr>
        <w:t xml:space="preserve">Tacitus  The Annals  IV  Books XIII-XVI  </w:t>
      </w:r>
      <w:r w:rsidR="00565472">
        <w:rPr>
          <w:sz w:val="28"/>
          <w:szCs w:val="28"/>
        </w:rPr>
        <w:t>Harvard University Press</w:t>
      </w:r>
    </w:p>
    <w:p w14:paraId="3F15E77B" w14:textId="22362F16" w:rsidR="0037357D" w:rsidRPr="00701D58" w:rsidRDefault="0037357D" w:rsidP="0037357D">
      <w:pPr>
        <w:rPr>
          <w:sz w:val="28"/>
          <w:szCs w:val="28"/>
        </w:rPr>
      </w:pPr>
      <w:r>
        <w:rPr>
          <w:sz w:val="28"/>
          <w:szCs w:val="28"/>
        </w:rPr>
        <w:t>D’Arms</w:t>
      </w:r>
      <w:r w:rsidR="00D2181F">
        <w:rPr>
          <w:sz w:val="28"/>
          <w:szCs w:val="28"/>
        </w:rPr>
        <w:t>, J.H.,</w:t>
      </w:r>
      <w:r>
        <w:rPr>
          <w:sz w:val="28"/>
          <w:szCs w:val="28"/>
        </w:rPr>
        <w:t xml:space="preserve"> (2000)</w:t>
      </w:r>
      <w:r w:rsidR="00D2181F">
        <w:rPr>
          <w:sz w:val="28"/>
          <w:szCs w:val="28"/>
        </w:rPr>
        <w:t xml:space="preserve"> </w:t>
      </w:r>
      <w:r w:rsidR="00D2181F">
        <w:rPr>
          <w:i/>
          <w:iCs/>
          <w:sz w:val="28"/>
          <w:szCs w:val="28"/>
        </w:rPr>
        <w:t xml:space="preserve">Memory, Money, and Status at Misenum: </w:t>
      </w:r>
      <w:r w:rsidR="00701D58">
        <w:rPr>
          <w:i/>
          <w:iCs/>
          <w:sz w:val="28"/>
          <w:szCs w:val="28"/>
        </w:rPr>
        <w:t xml:space="preserve">Three New Inscriptions from the Collegium of the Augustales. JRS </w:t>
      </w:r>
      <w:r w:rsidR="00701D58">
        <w:rPr>
          <w:sz w:val="28"/>
          <w:szCs w:val="28"/>
        </w:rPr>
        <w:t>90: 126-44</w:t>
      </w:r>
    </w:p>
    <w:p w14:paraId="0A70637D" w14:textId="7A8EDCB0" w:rsidR="0037357D" w:rsidRPr="0037357D" w:rsidRDefault="0037357D" w:rsidP="0037357D">
      <w:pPr>
        <w:rPr>
          <w:sz w:val="28"/>
          <w:szCs w:val="28"/>
        </w:rPr>
      </w:pPr>
      <w:r>
        <w:rPr>
          <w:sz w:val="28"/>
          <w:szCs w:val="28"/>
        </w:rPr>
        <w:t xml:space="preserve">Dunbabin, Katherine M.D., </w:t>
      </w:r>
      <w:r>
        <w:rPr>
          <w:i/>
          <w:iCs/>
          <w:sz w:val="28"/>
          <w:szCs w:val="28"/>
        </w:rPr>
        <w:t xml:space="preserve">The Roman Banquet  Images of Conviviality  </w:t>
      </w:r>
      <w:r>
        <w:rPr>
          <w:sz w:val="28"/>
          <w:szCs w:val="28"/>
        </w:rPr>
        <w:t>Cambridge</w:t>
      </w:r>
    </w:p>
    <w:p w14:paraId="17AE629E" w14:textId="25A8BA1B" w:rsidR="00447EF9" w:rsidRDefault="00447EF9" w:rsidP="00447EF9">
      <w:pPr>
        <w:rPr>
          <w:sz w:val="28"/>
          <w:szCs w:val="28"/>
        </w:rPr>
      </w:pPr>
      <w:r>
        <w:rPr>
          <w:sz w:val="28"/>
          <w:szCs w:val="28"/>
        </w:rPr>
        <w:t xml:space="preserve">Courtney, Edward., (2001)   </w:t>
      </w:r>
      <w:r>
        <w:rPr>
          <w:i/>
          <w:iCs/>
          <w:sz w:val="28"/>
          <w:szCs w:val="28"/>
        </w:rPr>
        <w:t xml:space="preserve">A Companion to Petronius  </w:t>
      </w:r>
      <w:r>
        <w:rPr>
          <w:sz w:val="28"/>
          <w:szCs w:val="28"/>
        </w:rPr>
        <w:t>Oxford University Press</w:t>
      </w:r>
    </w:p>
    <w:p w14:paraId="50F5219E" w14:textId="2BBB62A6" w:rsidR="00E91848" w:rsidRPr="00E91848" w:rsidRDefault="00E91848" w:rsidP="00447EF9">
      <w:pPr>
        <w:rPr>
          <w:sz w:val="28"/>
          <w:szCs w:val="28"/>
        </w:rPr>
      </w:pPr>
      <w:r>
        <w:rPr>
          <w:sz w:val="28"/>
          <w:szCs w:val="28"/>
        </w:rPr>
        <w:t xml:space="preserve">Frangoulidis. S.,  (2008)  </w:t>
      </w:r>
      <w:r>
        <w:rPr>
          <w:i/>
          <w:iCs/>
          <w:sz w:val="28"/>
          <w:szCs w:val="28"/>
        </w:rPr>
        <w:t xml:space="preserve">Trimalchio as Narrator and Stage Director in the Cena:  An Unobserved Parallelism in Petronius’ Satyricon 78  </w:t>
      </w:r>
      <w:r>
        <w:rPr>
          <w:sz w:val="28"/>
          <w:szCs w:val="28"/>
        </w:rPr>
        <w:t>Classical Philology 103: 81-7</w:t>
      </w:r>
    </w:p>
    <w:p w14:paraId="52C8C295" w14:textId="1204CD06" w:rsidR="00565472" w:rsidRDefault="00565472" w:rsidP="00447EF9">
      <w:pPr>
        <w:rPr>
          <w:sz w:val="28"/>
          <w:szCs w:val="28"/>
        </w:rPr>
      </w:pPr>
      <w:r>
        <w:rPr>
          <w:sz w:val="28"/>
          <w:szCs w:val="28"/>
        </w:rPr>
        <w:t xml:space="preserve">Gould, G.P.,  (ed.)  (1990)  Loeb Classical Library  </w:t>
      </w:r>
      <w:r>
        <w:rPr>
          <w:i/>
          <w:iCs/>
          <w:sz w:val="28"/>
          <w:szCs w:val="28"/>
        </w:rPr>
        <w:t xml:space="preserve">Propertius  Elegies  </w:t>
      </w:r>
      <w:r>
        <w:rPr>
          <w:sz w:val="28"/>
          <w:szCs w:val="28"/>
        </w:rPr>
        <w:t>Harvard University Press  Cambridge, Massachusetts  London, England</w:t>
      </w:r>
    </w:p>
    <w:p w14:paraId="17FBC7EE" w14:textId="4A9E5036" w:rsidR="00565472" w:rsidRDefault="00565472" w:rsidP="00447EF9">
      <w:pPr>
        <w:rPr>
          <w:sz w:val="28"/>
          <w:szCs w:val="28"/>
        </w:rPr>
      </w:pPr>
      <w:r>
        <w:rPr>
          <w:sz w:val="28"/>
          <w:szCs w:val="28"/>
        </w:rPr>
        <w:t xml:space="preserve">Gould, G.P.,  (ed.)  (1999)  Loeb Classical Library  </w:t>
      </w:r>
      <w:r>
        <w:rPr>
          <w:i/>
          <w:iCs/>
          <w:sz w:val="28"/>
          <w:szCs w:val="28"/>
        </w:rPr>
        <w:t xml:space="preserve">Virgil  Eclogues  Georgics  Aeneid, Books 1-6 </w:t>
      </w:r>
      <w:r>
        <w:rPr>
          <w:sz w:val="28"/>
          <w:szCs w:val="28"/>
        </w:rPr>
        <w:t>Harvard University Press  Cambridge, Massachusetts  London</w:t>
      </w:r>
    </w:p>
    <w:p w14:paraId="36388787" w14:textId="32B82E40" w:rsidR="00565472" w:rsidRDefault="00565472" w:rsidP="00447EF9">
      <w:pPr>
        <w:rPr>
          <w:sz w:val="28"/>
          <w:szCs w:val="28"/>
        </w:rPr>
      </w:pPr>
      <w:r>
        <w:rPr>
          <w:sz w:val="28"/>
          <w:szCs w:val="28"/>
        </w:rPr>
        <w:t xml:space="preserve">Gould, G.P.,  (ed.)  </w:t>
      </w:r>
      <w:r w:rsidR="0009685B">
        <w:rPr>
          <w:sz w:val="28"/>
          <w:szCs w:val="28"/>
        </w:rPr>
        <w:t xml:space="preserve">(1962)  Loeb Classical Library  </w:t>
      </w:r>
      <w:r w:rsidR="0009685B">
        <w:rPr>
          <w:i/>
          <w:iCs/>
          <w:sz w:val="28"/>
          <w:szCs w:val="28"/>
        </w:rPr>
        <w:t xml:space="preserve">Catullus  Tibullus  Pervigilium Veneris  </w:t>
      </w:r>
      <w:r w:rsidR="0009685B">
        <w:rPr>
          <w:sz w:val="28"/>
          <w:szCs w:val="28"/>
        </w:rPr>
        <w:t>Harvard University Press Cambridge, Massachusetts  London</w:t>
      </w:r>
    </w:p>
    <w:p w14:paraId="3019D274" w14:textId="36C59DFF" w:rsidR="0037357D" w:rsidRDefault="0009685B" w:rsidP="00447EF9">
      <w:pPr>
        <w:rPr>
          <w:sz w:val="28"/>
          <w:szCs w:val="28"/>
        </w:rPr>
      </w:pPr>
      <w:r>
        <w:rPr>
          <w:sz w:val="28"/>
          <w:szCs w:val="28"/>
        </w:rPr>
        <w:t xml:space="preserve">Gould, G.P.,  (ed.)  (1977)  </w:t>
      </w:r>
      <w:r w:rsidR="00E91848">
        <w:rPr>
          <w:sz w:val="28"/>
          <w:szCs w:val="28"/>
        </w:rPr>
        <w:t>Loeb</w:t>
      </w:r>
      <w:r>
        <w:rPr>
          <w:sz w:val="28"/>
          <w:szCs w:val="28"/>
        </w:rPr>
        <w:t xml:space="preserve"> Classical Library  </w:t>
      </w:r>
      <w:r>
        <w:rPr>
          <w:i/>
          <w:iCs/>
          <w:sz w:val="28"/>
          <w:szCs w:val="28"/>
        </w:rPr>
        <w:t xml:space="preserve">Ovid  Metamorphoses  </w:t>
      </w:r>
      <w:r>
        <w:rPr>
          <w:sz w:val="28"/>
          <w:szCs w:val="28"/>
        </w:rPr>
        <w:t>Harvard University Press  Cambridge, Massachusetts  London</w:t>
      </w:r>
    </w:p>
    <w:p w14:paraId="0F0EFB57" w14:textId="413EF1D0" w:rsidR="00857270" w:rsidRPr="00857270" w:rsidRDefault="00857270" w:rsidP="00447EF9">
      <w:pPr>
        <w:rPr>
          <w:sz w:val="28"/>
          <w:szCs w:val="28"/>
        </w:rPr>
      </w:pPr>
      <w:r>
        <w:rPr>
          <w:sz w:val="28"/>
          <w:szCs w:val="28"/>
        </w:rPr>
        <w:lastRenderedPageBreak/>
        <w:t xml:space="preserve">Henderson, Jeffrey.,(ed.)  (2004)  The Loeb Classical Library.  </w:t>
      </w:r>
      <w:r>
        <w:rPr>
          <w:i/>
          <w:iCs/>
          <w:sz w:val="28"/>
          <w:szCs w:val="28"/>
        </w:rPr>
        <w:t xml:space="preserve">Juvenal and Persius  </w:t>
      </w:r>
      <w:r>
        <w:rPr>
          <w:sz w:val="28"/>
          <w:szCs w:val="28"/>
        </w:rPr>
        <w:t>Harvard University Press,  Cambridge, Massachusetts  London</w:t>
      </w:r>
    </w:p>
    <w:p w14:paraId="03FC8D6C" w14:textId="26D39AD6" w:rsidR="00857270" w:rsidRPr="00857270" w:rsidRDefault="0037357D" w:rsidP="00447EF9">
      <w:pPr>
        <w:rPr>
          <w:sz w:val="28"/>
          <w:szCs w:val="28"/>
        </w:rPr>
      </w:pPr>
      <w:r>
        <w:rPr>
          <w:sz w:val="28"/>
          <w:szCs w:val="28"/>
        </w:rPr>
        <w:t>Horsfall,</w:t>
      </w:r>
      <w:r w:rsidR="00D2181F">
        <w:rPr>
          <w:sz w:val="28"/>
          <w:szCs w:val="28"/>
        </w:rPr>
        <w:t xml:space="preserve"> N.,</w:t>
      </w:r>
      <w:r>
        <w:rPr>
          <w:sz w:val="28"/>
          <w:szCs w:val="28"/>
        </w:rPr>
        <w:t xml:space="preserve"> (1989)</w:t>
      </w:r>
      <w:r w:rsidR="00D2181F">
        <w:rPr>
          <w:sz w:val="28"/>
          <w:szCs w:val="28"/>
        </w:rPr>
        <w:t xml:space="preserve">  </w:t>
      </w:r>
      <w:r w:rsidR="00D2181F">
        <w:rPr>
          <w:i/>
          <w:iCs/>
          <w:sz w:val="28"/>
          <w:szCs w:val="28"/>
        </w:rPr>
        <w:t xml:space="preserve">The Uses of Literacy and the Cena Trimalchionis  </w:t>
      </w:r>
      <w:r w:rsidR="00D2181F">
        <w:rPr>
          <w:sz w:val="28"/>
          <w:szCs w:val="28"/>
        </w:rPr>
        <w:t>Greece and Rome 36.1, 74-89</w:t>
      </w:r>
      <w:r w:rsidR="00857270">
        <w:rPr>
          <w:sz w:val="28"/>
          <w:szCs w:val="28"/>
        </w:rPr>
        <w:t xml:space="preserve">  </w:t>
      </w:r>
    </w:p>
    <w:p w14:paraId="6A84F961" w14:textId="76AE9F9A" w:rsidR="0037357D" w:rsidRDefault="0037357D" w:rsidP="00447EF9">
      <w:pPr>
        <w:rPr>
          <w:sz w:val="28"/>
          <w:szCs w:val="28"/>
        </w:rPr>
      </w:pPr>
      <w:r>
        <w:rPr>
          <w:sz w:val="28"/>
          <w:szCs w:val="28"/>
        </w:rPr>
        <w:t xml:space="preserve">Lattimore, Richard., (1962)  </w:t>
      </w:r>
      <w:r>
        <w:rPr>
          <w:i/>
          <w:iCs/>
          <w:sz w:val="28"/>
          <w:szCs w:val="28"/>
        </w:rPr>
        <w:t xml:space="preserve">Themes in Greek and Latin Epitaphs  </w:t>
      </w:r>
      <w:r>
        <w:rPr>
          <w:sz w:val="28"/>
          <w:szCs w:val="28"/>
        </w:rPr>
        <w:t>University of Illinois, Urbana</w:t>
      </w:r>
    </w:p>
    <w:p w14:paraId="501E7A02" w14:textId="034D444F" w:rsidR="00857270" w:rsidRPr="00D2181F" w:rsidRDefault="00857270" w:rsidP="00447EF9">
      <w:pPr>
        <w:rPr>
          <w:sz w:val="28"/>
          <w:szCs w:val="28"/>
        </w:rPr>
      </w:pPr>
      <w:r>
        <w:rPr>
          <w:sz w:val="28"/>
          <w:szCs w:val="28"/>
        </w:rPr>
        <w:t>Murgatroyd</w:t>
      </w:r>
      <w:r w:rsidR="00D2181F">
        <w:rPr>
          <w:sz w:val="28"/>
          <w:szCs w:val="28"/>
        </w:rPr>
        <w:t>, T.,</w:t>
      </w:r>
      <w:r>
        <w:rPr>
          <w:sz w:val="28"/>
          <w:szCs w:val="28"/>
        </w:rPr>
        <w:t xml:space="preserve"> (2013)</w:t>
      </w:r>
      <w:r w:rsidR="00D2181F">
        <w:rPr>
          <w:sz w:val="28"/>
          <w:szCs w:val="28"/>
        </w:rPr>
        <w:t xml:space="preserve"> </w:t>
      </w:r>
      <w:r w:rsidR="00D2181F">
        <w:rPr>
          <w:i/>
          <w:iCs/>
          <w:sz w:val="28"/>
          <w:szCs w:val="28"/>
        </w:rPr>
        <w:t xml:space="preserve">Petronius’ Satyrica, </w:t>
      </w:r>
      <w:r w:rsidR="00D2181F">
        <w:rPr>
          <w:sz w:val="28"/>
          <w:szCs w:val="28"/>
        </w:rPr>
        <w:t>in Emma Buckley, Martin. T. Dinter (ed.)  A Companion to the Neronian Age.  241-257</w:t>
      </w:r>
    </w:p>
    <w:p w14:paraId="250C0BDD" w14:textId="78CEB928" w:rsidR="0037357D" w:rsidRDefault="0037357D" w:rsidP="00447EF9">
      <w:pPr>
        <w:rPr>
          <w:sz w:val="28"/>
          <w:szCs w:val="28"/>
        </w:rPr>
      </w:pPr>
      <w:r>
        <w:rPr>
          <w:sz w:val="28"/>
          <w:szCs w:val="28"/>
        </w:rPr>
        <w:t xml:space="preserve">Petersen, Lauren Hackworth., (2006)  </w:t>
      </w:r>
      <w:r>
        <w:rPr>
          <w:i/>
          <w:iCs/>
          <w:sz w:val="28"/>
          <w:szCs w:val="28"/>
        </w:rPr>
        <w:t xml:space="preserve">The Freedman in Roman Art and Art History  </w:t>
      </w:r>
      <w:r>
        <w:rPr>
          <w:sz w:val="28"/>
          <w:szCs w:val="28"/>
        </w:rPr>
        <w:t>Cambridge University Press</w:t>
      </w:r>
    </w:p>
    <w:p w14:paraId="408B1D5B" w14:textId="6524C4C8" w:rsidR="0037357D" w:rsidRPr="00701D58" w:rsidRDefault="0037357D" w:rsidP="00447EF9">
      <w:pPr>
        <w:rPr>
          <w:sz w:val="28"/>
          <w:szCs w:val="28"/>
        </w:rPr>
      </w:pPr>
      <w:r>
        <w:rPr>
          <w:sz w:val="28"/>
          <w:szCs w:val="28"/>
        </w:rPr>
        <w:t>Rimell,</w:t>
      </w:r>
      <w:r w:rsidR="00701D58">
        <w:rPr>
          <w:sz w:val="28"/>
          <w:szCs w:val="28"/>
        </w:rPr>
        <w:t xml:space="preserve"> V.,</w:t>
      </w:r>
      <w:r>
        <w:rPr>
          <w:sz w:val="28"/>
          <w:szCs w:val="28"/>
        </w:rPr>
        <w:t xml:space="preserve"> (2002)</w:t>
      </w:r>
      <w:r w:rsidR="00701D58">
        <w:rPr>
          <w:sz w:val="28"/>
          <w:szCs w:val="28"/>
        </w:rPr>
        <w:t xml:space="preserve">  </w:t>
      </w:r>
      <w:r w:rsidR="00701D58">
        <w:rPr>
          <w:i/>
          <w:iCs/>
          <w:sz w:val="28"/>
          <w:szCs w:val="28"/>
        </w:rPr>
        <w:t xml:space="preserve">Petronius and the Anatomy of Fiction  </w:t>
      </w:r>
      <w:r w:rsidR="00701D58">
        <w:rPr>
          <w:sz w:val="28"/>
          <w:szCs w:val="28"/>
        </w:rPr>
        <w:t>Cambridge University Press</w:t>
      </w:r>
    </w:p>
    <w:p w14:paraId="06C9572D" w14:textId="4268DEA0" w:rsidR="00447EF9" w:rsidRDefault="00447EF9" w:rsidP="00447EF9">
      <w:pPr>
        <w:rPr>
          <w:sz w:val="28"/>
          <w:szCs w:val="28"/>
        </w:rPr>
      </w:pPr>
      <w:r>
        <w:rPr>
          <w:sz w:val="28"/>
          <w:szCs w:val="28"/>
        </w:rPr>
        <w:t xml:space="preserve">Sedgwick, W.B., (1925)  </w:t>
      </w:r>
      <w:r>
        <w:rPr>
          <w:i/>
          <w:iCs/>
          <w:sz w:val="28"/>
          <w:szCs w:val="28"/>
        </w:rPr>
        <w:t xml:space="preserve">The Cena Trimalchionis of Petronius  </w:t>
      </w:r>
      <w:r>
        <w:rPr>
          <w:sz w:val="28"/>
          <w:szCs w:val="28"/>
        </w:rPr>
        <w:t>Oxford at the Clarendon Press</w:t>
      </w:r>
    </w:p>
    <w:p w14:paraId="21EFC118" w14:textId="1FA85A04" w:rsidR="00447EF9" w:rsidRDefault="00447EF9" w:rsidP="00447EF9">
      <w:pPr>
        <w:rPr>
          <w:sz w:val="28"/>
          <w:szCs w:val="28"/>
        </w:rPr>
      </w:pPr>
      <w:r>
        <w:rPr>
          <w:sz w:val="28"/>
          <w:szCs w:val="28"/>
        </w:rPr>
        <w:t xml:space="preserve">Schmeling, Gareth.,  (2011)  </w:t>
      </w:r>
      <w:r>
        <w:rPr>
          <w:i/>
          <w:iCs/>
          <w:sz w:val="28"/>
          <w:szCs w:val="28"/>
        </w:rPr>
        <w:t xml:space="preserve">A Commentary on the Senica of Petronius  </w:t>
      </w:r>
      <w:r>
        <w:rPr>
          <w:sz w:val="28"/>
          <w:szCs w:val="28"/>
        </w:rPr>
        <w:t>Oxford</w:t>
      </w:r>
    </w:p>
    <w:p w14:paraId="343B5EA4" w14:textId="21D21C56" w:rsidR="00447EF9" w:rsidRPr="00565472" w:rsidRDefault="00447EF9" w:rsidP="00447EF9">
      <w:pPr>
        <w:rPr>
          <w:sz w:val="28"/>
          <w:szCs w:val="28"/>
        </w:rPr>
      </w:pPr>
      <w:r>
        <w:rPr>
          <w:sz w:val="28"/>
          <w:szCs w:val="28"/>
        </w:rPr>
        <w:t xml:space="preserve">Schmeling, Gareth., (ed.)  (2020)  Loeb Classical Library  </w:t>
      </w:r>
      <w:r>
        <w:rPr>
          <w:i/>
          <w:iCs/>
          <w:sz w:val="28"/>
          <w:szCs w:val="28"/>
        </w:rPr>
        <w:t>Petronius  Satyricon.  Seneca  Apocolocyntosis</w:t>
      </w:r>
      <w:r w:rsidR="00565472">
        <w:rPr>
          <w:i/>
          <w:iCs/>
          <w:sz w:val="28"/>
          <w:szCs w:val="28"/>
        </w:rPr>
        <w:t xml:space="preserve">  </w:t>
      </w:r>
      <w:r w:rsidR="00565472">
        <w:rPr>
          <w:sz w:val="28"/>
          <w:szCs w:val="28"/>
        </w:rPr>
        <w:t>Harvard University Press  Cambridge Massachusetts  London.</w:t>
      </w:r>
    </w:p>
    <w:p w14:paraId="6D7B0BC9" w14:textId="77777777" w:rsidR="00447EF9" w:rsidRDefault="00447EF9" w:rsidP="00447EF9">
      <w:pPr>
        <w:rPr>
          <w:i/>
          <w:iCs/>
          <w:sz w:val="28"/>
          <w:szCs w:val="28"/>
        </w:rPr>
      </w:pPr>
      <w:r>
        <w:rPr>
          <w:sz w:val="28"/>
          <w:szCs w:val="28"/>
        </w:rPr>
        <w:t xml:space="preserve">Steadman, Geoffrey.,  (2018)  </w:t>
      </w:r>
      <w:r>
        <w:rPr>
          <w:i/>
          <w:iCs/>
          <w:sz w:val="28"/>
          <w:szCs w:val="28"/>
        </w:rPr>
        <w:t>Petronius’ Cena Trimalchionis</w:t>
      </w:r>
    </w:p>
    <w:p w14:paraId="29CFEAF8" w14:textId="5466134F" w:rsidR="0037357D" w:rsidRPr="0037357D" w:rsidRDefault="0037357D" w:rsidP="00447EF9">
      <w:pPr>
        <w:rPr>
          <w:sz w:val="28"/>
          <w:szCs w:val="28"/>
        </w:rPr>
      </w:pPr>
      <w:r>
        <w:rPr>
          <w:sz w:val="28"/>
          <w:szCs w:val="28"/>
        </w:rPr>
        <w:t xml:space="preserve">Sullivan, J.P., </w:t>
      </w:r>
      <w:r>
        <w:rPr>
          <w:i/>
          <w:iCs/>
          <w:sz w:val="28"/>
          <w:szCs w:val="28"/>
        </w:rPr>
        <w:t xml:space="preserve">The Satyricon of Petronius  A Literary Study  </w:t>
      </w:r>
      <w:r>
        <w:rPr>
          <w:sz w:val="28"/>
          <w:szCs w:val="28"/>
        </w:rPr>
        <w:t>Faber and Faber Limited</w:t>
      </w:r>
    </w:p>
    <w:p w14:paraId="185652C3" w14:textId="7605C4CC" w:rsidR="00447EF9" w:rsidRPr="00447EF9" w:rsidRDefault="00447EF9" w:rsidP="00447EF9">
      <w:pPr>
        <w:rPr>
          <w:sz w:val="28"/>
          <w:szCs w:val="28"/>
        </w:rPr>
      </w:pPr>
      <w:r>
        <w:rPr>
          <w:sz w:val="28"/>
          <w:szCs w:val="28"/>
        </w:rPr>
        <w:t xml:space="preserve">Walsh, P.G.,  (1970)  </w:t>
      </w:r>
      <w:r>
        <w:rPr>
          <w:i/>
          <w:iCs/>
          <w:sz w:val="28"/>
          <w:szCs w:val="28"/>
        </w:rPr>
        <w:t xml:space="preserve">The Roman Novel   </w:t>
      </w:r>
      <w:r>
        <w:rPr>
          <w:sz w:val="28"/>
          <w:szCs w:val="28"/>
        </w:rPr>
        <w:t>Cambridge at the University Press</w:t>
      </w:r>
      <w:r>
        <w:rPr>
          <w:i/>
          <w:iCs/>
          <w:sz w:val="28"/>
          <w:szCs w:val="28"/>
        </w:rPr>
        <w:t xml:space="preserve">    </w:t>
      </w:r>
    </w:p>
    <w:p w14:paraId="05B2EB1E" w14:textId="11294E0F" w:rsidR="00323B51" w:rsidRPr="00323B51" w:rsidRDefault="00323B51" w:rsidP="00680678">
      <w:pPr>
        <w:rPr>
          <w:sz w:val="24"/>
          <w:szCs w:val="24"/>
        </w:rPr>
      </w:pPr>
    </w:p>
    <w:p w14:paraId="32B4097B" w14:textId="77777777" w:rsidR="00526ED2" w:rsidRPr="001165A2" w:rsidRDefault="00526ED2" w:rsidP="00680678">
      <w:pPr>
        <w:rPr>
          <w:sz w:val="24"/>
          <w:szCs w:val="24"/>
        </w:rPr>
      </w:pPr>
    </w:p>
    <w:p w14:paraId="295777F9" w14:textId="77777777" w:rsidR="00232381" w:rsidRDefault="00232381" w:rsidP="00680678">
      <w:pPr>
        <w:rPr>
          <w:sz w:val="24"/>
          <w:szCs w:val="24"/>
        </w:rPr>
      </w:pPr>
    </w:p>
    <w:p w14:paraId="53974EFB" w14:textId="77777777" w:rsidR="008B1305" w:rsidRPr="00B9308B" w:rsidRDefault="008B1305" w:rsidP="00680678">
      <w:pPr>
        <w:rPr>
          <w:sz w:val="24"/>
          <w:szCs w:val="24"/>
        </w:rPr>
      </w:pPr>
    </w:p>
    <w:p w14:paraId="65B51BF7" w14:textId="77777777" w:rsidR="00D86DE9" w:rsidRPr="00D86DE9" w:rsidRDefault="00D86DE9" w:rsidP="00680678">
      <w:pPr>
        <w:rPr>
          <w:sz w:val="24"/>
          <w:szCs w:val="24"/>
        </w:rPr>
      </w:pPr>
    </w:p>
    <w:p w14:paraId="3BECB0E7" w14:textId="77777777" w:rsidR="004F731D" w:rsidRPr="004F731D" w:rsidRDefault="004F731D" w:rsidP="00680678">
      <w:pPr>
        <w:rPr>
          <w:sz w:val="24"/>
          <w:szCs w:val="24"/>
        </w:rPr>
      </w:pPr>
    </w:p>
    <w:sectPr w:rsidR="004F731D" w:rsidRPr="004F73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259B7" w14:textId="77777777" w:rsidR="00635695" w:rsidRDefault="00635695" w:rsidP="00066EF1">
      <w:pPr>
        <w:spacing w:after="0" w:line="240" w:lineRule="auto"/>
      </w:pPr>
      <w:r>
        <w:separator/>
      </w:r>
    </w:p>
  </w:endnote>
  <w:endnote w:type="continuationSeparator" w:id="0">
    <w:p w14:paraId="02F456B2" w14:textId="77777777" w:rsidR="00635695" w:rsidRDefault="00635695" w:rsidP="00066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28DB5E" w14:textId="77777777" w:rsidR="00635695" w:rsidRDefault="00635695" w:rsidP="00066EF1">
      <w:pPr>
        <w:spacing w:after="0" w:line="240" w:lineRule="auto"/>
      </w:pPr>
      <w:r>
        <w:separator/>
      </w:r>
    </w:p>
  </w:footnote>
  <w:footnote w:type="continuationSeparator" w:id="0">
    <w:p w14:paraId="2BB9B041" w14:textId="77777777" w:rsidR="00635695" w:rsidRDefault="00635695" w:rsidP="00066EF1">
      <w:pPr>
        <w:spacing w:after="0" w:line="240" w:lineRule="auto"/>
      </w:pPr>
      <w:r>
        <w:continuationSeparator/>
      </w:r>
    </w:p>
  </w:footnote>
  <w:footnote w:id="1">
    <w:p w14:paraId="334194FB" w14:textId="7CED940E" w:rsidR="00641F3F" w:rsidRDefault="00641F3F">
      <w:pPr>
        <w:pStyle w:val="FootnoteText"/>
      </w:pPr>
      <w:r>
        <w:rPr>
          <w:rStyle w:val="FootnoteReference"/>
        </w:rPr>
        <w:footnoteRef/>
      </w:r>
      <w:r>
        <w:t xml:space="preserve"> Murgatroyd  2013  246</w:t>
      </w:r>
    </w:p>
  </w:footnote>
  <w:footnote w:id="2">
    <w:p w14:paraId="18C266CF" w14:textId="625AA008" w:rsidR="00227D12" w:rsidRDefault="00227D12">
      <w:pPr>
        <w:pStyle w:val="FootnoteText"/>
      </w:pPr>
      <w:r>
        <w:rPr>
          <w:rStyle w:val="FootnoteReference"/>
        </w:rPr>
        <w:footnoteRef/>
      </w:r>
      <w:r>
        <w:t xml:space="preserve"> Bodel  1994  248</w:t>
      </w:r>
    </w:p>
  </w:footnote>
  <w:footnote w:id="3">
    <w:p w14:paraId="7B8E868E" w14:textId="726F3E94" w:rsidR="00536258" w:rsidRDefault="00536258">
      <w:pPr>
        <w:pStyle w:val="FootnoteText"/>
      </w:pPr>
      <w:r>
        <w:rPr>
          <w:rStyle w:val="FootnoteReference"/>
        </w:rPr>
        <w:footnoteRef/>
      </w:r>
      <w:r>
        <w:t xml:space="preserve"> Rimell  2002  188</w:t>
      </w:r>
    </w:p>
  </w:footnote>
  <w:footnote w:id="4">
    <w:p w14:paraId="2E14FEE9" w14:textId="1B99C695" w:rsidR="008E09FC" w:rsidRDefault="008E09FC">
      <w:pPr>
        <w:pStyle w:val="FootnoteText"/>
      </w:pPr>
      <w:r>
        <w:rPr>
          <w:rStyle w:val="FootnoteReference"/>
        </w:rPr>
        <w:footnoteRef/>
      </w:r>
      <w:r>
        <w:t xml:space="preserve"> Sedgwick  1925  131</w:t>
      </w:r>
    </w:p>
  </w:footnote>
  <w:footnote w:id="5">
    <w:p w14:paraId="51D83645" w14:textId="0D1EF4DD" w:rsidR="00500CD7" w:rsidRDefault="00500CD7">
      <w:pPr>
        <w:pStyle w:val="FootnoteText"/>
      </w:pPr>
      <w:r>
        <w:rPr>
          <w:rStyle w:val="FootnoteReference"/>
        </w:rPr>
        <w:footnoteRef/>
      </w:r>
      <w:r>
        <w:t xml:space="preserve"> Schmeling  2011  323</w:t>
      </w:r>
    </w:p>
  </w:footnote>
  <w:footnote w:id="6">
    <w:p w14:paraId="6A40884C" w14:textId="67E6DC05" w:rsidR="0061671A" w:rsidRDefault="0061671A">
      <w:pPr>
        <w:pStyle w:val="FootnoteText"/>
      </w:pPr>
      <w:r>
        <w:rPr>
          <w:rStyle w:val="FootnoteReference"/>
        </w:rPr>
        <w:footnoteRef/>
      </w:r>
      <w:r>
        <w:t xml:space="preserve"> Steadman  2018  123</w:t>
      </w:r>
    </w:p>
  </w:footnote>
  <w:footnote w:id="7">
    <w:p w14:paraId="6DE8C224" w14:textId="34A1F411" w:rsidR="00500CD7" w:rsidRDefault="00500CD7">
      <w:pPr>
        <w:pStyle w:val="FootnoteText"/>
      </w:pPr>
      <w:r>
        <w:rPr>
          <w:rStyle w:val="FootnoteReference"/>
        </w:rPr>
        <w:footnoteRef/>
      </w:r>
      <w:r>
        <w:t xml:space="preserve"> Courtney  2001  120</w:t>
      </w:r>
    </w:p>
  </w:footnote>
  <w:footnote w:id="8">
    <w:p w14:paraId="736621E9" w14:textId="7E2D5B2D" w:rsidR="000938D4" w:rsidRDefault="000938D4">
      <w:pPr>
        <w:pStyle w:val="FootnoteText"/>
      </w:pPr>
      <w:r>
        <w:rPr>
          <w:rStyle w:val="FootnoteReference"/>
        </w:rPr>
        <w:footnoteRef/>
      </w:r>
      <w:r>
        <w:t xml:space="preserve"> Sedgewick  1925  131</w:t>
      </w:r>
    </w:p>
  </w:footnote>
  <w:footnote w:id="9">
    <w:p w14:paraId="70B724E8" w14:textId="2549EC85" w:rsidR="00167C49" w:rsidRPr="00167C49" w:rsidRDefault="00167C49">
      <w:pPr>
        <w:pStyle w:val="FootnoteText"/>
      </w:pPr>
      <w:r>
        <w:rPr>
          <w:rStyle w:val="FootnoteReference"/>
        </w:rPr>
        <w:footnoteRef/>
      </w:r>
      <w:r>
        <w:t xml:space="preserve"> Tacitus </w:t>
      </w:r>
      <w:r>
        <w:rPr>
          <w:i/>
          <w:iCs/>
        </w:rPr>
        <w:t xml:space="preserve">Annals. </w:t>
      </w:r>
      <w:r>
        <w:t>12.65</w:t>
      </w:r>
    </w:p>
  </w:footnote>
  <w:footnote w:id="10">
    <w:p w14:paraId="0E6E3BE6" w14:textId="6A230BC8" w:rsidR="00400A30" w:rsidRDefault="00400A30">
      <w:pPr>
        <w:pStyle w:val="FootnoteText"/>
      </w:pPr>
      <w:r>
        <w:rPr>
          <w:rStyle w:val="FootnoteReference"/>
        </w:rPr>
        <w:footnoteRef/>
      </w:r>
      <w:r>
        <w:t xml:space="preserve"> Juvenal  14. 159-160</w:t>
      </w:r>
    </w:p>
  </w:footnote>
  <w:footnote w:id="11">
    <w:p w14:paraId="65897D8C" w14:textId="42148E42" w:rsidR="00A91527" w:rsidRDefault="00A91527">
      <w:pPr>
        <w:pStyle w:val="FootnoteText"/>
      </w:pPr>
      <w:r>
        <w:rPr>
          <w:rStyle w:val="FootnoteReference"/>
        </w:rPr>
        <w:footnoteRef/>
      </w:r>
      <w:r>
        <w:t xml:space="preserve"> Borthwick  1967b  252</w:t>
      </w:r>
    </w:p>
  </w:footnote>
  <w:footnote w:id="12">
    <w:p w14:paraId="305C5E7E" w14:textId="40974DA9" w:rsidR="00180222" w:rsidRPr="00180222" w:rsidRDefault="00180222">
      <w:pPr>
        <w:pStyle w:val="FootnoteText"/>
      </w:pPr>
      <w:r>
        <w:rPr>
          <w:rStyle w:val="FootnoteReference"/>
        </w:rPr>
        <w:footnoteRef/>
      </w:r>
      <w:r>
        <w:t xml:space="preserve"> Ovid </w:t>
      </w:r>
      <w:r>
        <w:rPr>
          <w:i/>
          <w:iCs/>
        </w:rPr>
        <w:t xml:space="preserve">Metamophoses </w:t>
      </w:r>
      <w:r>
        <w:t>1. 148</w:t>
      </w:r>
    </w:p>
  </w:footnote>
  <w:footnote w:id="13">
    <w:p w14:paraId="16A4E3AB" w14:textId="6225CA62" w:rsidR="00FC00B5" w:rsidRDefault="00FC00B5">
      <w:pPr>
        <w:pStyle w:val="FootnoteText"/>
      </w:pPr>
      <w:r>
        <w:rPr>
          <w:rStyle w:val="FootnoteReference"/>
        </w:rPr>
        <w:footnoteRef/>
      </w:r>
      <w:r>
        <w:t xml:space="preserve"> Lattimore  1962  280</w:t>
      </w:r>
    </w:p>
  </w:footnote>
  <w:footnote w:id="14">
    <w:p w14:paraId="2CFA0D44" w14:textId="56396ADD" w:rsidR="0047256B" w:rsidRDefault="0047256B">
      <w:pPr>
        <w:pStyle w:val="FootnoteText"/>
      </w:pPr>
      <w:r>
        <w:rPr>
          <w:rStyle w:val="FootnoteReference"/>
        </w:rPr>
        <w:footnoteRef/>
      </w:r>
      <w:r>
        <w:t xml:space="preserve"> Frangoulidis  2008  83</w:t>
      </w:r>
    </w:p>
  </w:footnote>
  <w:footnote w:id="15">
    <w:p w14:paraId="12582262" w14:textId="23E7A137" w:rsidR="004F731D" w:rsidRDefault="004F731D">
      <w:pPr>
        <w:pStyle w:val="FootnoteText"/>
      </w:pPr>
      <w:r>
        <w:rPr>
          <w:rStyle w:val="FootnoteReference"/>
        </w:rPr>
        <w:footnoteRef/>
      </w:r>
      <w:r>
        <w:t xml:space="preserve"> Petronius  48.3</w:t>
      </w:r>
    </w:p>
  </w:footnote>
  <w:footnote w:id="16">
    <w:p w14:paraId="23BF04E6" w14:textId="2CA6479D" w:rsidR="004F731D" w:rsidRPr="004F731D" w:rsidRDefault="004F731D">
      <w:pPr>
        <w:pStyle w:val="FootnoteText"/>
      </w:pPr>
      <w:r>
        <w:rPr>
          <w:rStyle w:val="FootnoteReference"/>
        </w:rPr>
        <w:footnoteRef/>
      </w:r>
      <w:r>
        <w:t xml:space="preserve"> Pliny </w:t>
      </w:r>
      <w:r>
        <w:rPr>
          <w:i/>
          <w:iCs/>
        </w:rPr>
        <w:t xml:space="preserve">Epistles </w:t>
      </w:r>
      <w:r>
        <w:t>3.19.2</w:t>
      </w:r>
    </w:p>
  </w:footnote>
  <w:footnote w:id="17">
    <w:p w14:paraId="6A33D13F" w14:textId="4EF13BEC" w:rsidR="004F731D" w:rsidRDefault="004F731D">
      <w:pPr>
        <w:pStyle w:val="FootnoteText"/>
      </w:pPr>
      <w:r>
        <w:rPr>
          <w:rStyle w:val="FootnoteReference"/>
        </w:rPr>
        <w:footnoteRef/>
      </w:r>
      <w:r>
        <w:t xml:space="preserve"> Schmeling  2011  324</w:t>
      </w:r>
    </w:p>
  </w:footnote>
  <w:footnote w:id="18">
    <w:p w14:paraId="249D7644" w14:textId="1498DB7B" w:rsidR="00D86DE9" w:rsidRDefault="00D86DE9">
      <w:pPr>
        <w:pStyle w:val="FootnoteText"/>
      </w:pPr>
      <w:r>
        <w:rPr>
          <w:rStyle w:val="FootnoteReference"/>
        </w:rPr>
        <w:footnoteRef/>
      </w:r>
      <w:r>
        <w:t xml:space="preserve"> Sedgwick  1925  131</w:t>
      </w:r>
    </w:p>
  </w:footnote>
  <w:footnote w:id="19">
    <w:p w14:paraId="4E1C5690" w14:textId="33F3D81F" w:rsidR="00AD0DCB" w:rsidRDefault="00AD0DCB">
      <w:pPr>
        <w:pStyle w:val="FootnoteText"/>
      </w:pPr>
      <w:r>
        <w:rPr>
          <w:rStyle w:val="FootnoteReference"/>
        </w:rPr>
        <w:footnoteRef/>
      </w:r>
      <w:r>
        <w:t xml:space="preserve"> Hales  164</w:t>
      </w:r>
    </w:p>
  </w:footnote>
  <w:footnote w:id="20">
    <w:p w14:paraId="10D604DE" w14:textId="56D4E143" w:rsidR="006F5AA4" w:rsidRDefault="006F5AA4">
      <w:pPr>
        <w:pStyle w:val="FootnoteText"/>
      </w:pPr>
      <w:r>
        <w:rPr>
          <w:rStyle w:val="FootnoteReference"/>
        </w:rPr>
        <w:footnoteRef/>
      </w:r>
      <w:r>
        <w:t xml:space="preserve"> Petersen  2006  172</w:t>
      </w:r>
    </w:p>
  </w:footnote>
  <w:footnote w:id="21">
    <w:p w14:paraId="2F5C2012" w14:textId="6184AD87" w:rsidR="004A69F5" w:rsidRDefault="004A69F5">
      <w:pPr>
        <w:pStyle w:val="FootnoteText"/>
      </w:pPr>
      <w:r>
        <w:rPr>
          <w:rStyle w:val="FootnoteReference"/>
        </w:rPr>
        <w:footnoteRef/>
      </w:r>
      <w:r>
        <w:t xml:space="preserve"> Sullivan 1968  150</w:t>
      </w:r>
    </w:p>
  </w:footnote>
  <w:footnote w:id="22">
    <w:p w14:paraId="078862FF" w14:textId="4C4FD023" w:rsidR="00110069" w:rsidRDefault="00110069">
      <w:pPr>
        <w:pStyle w:val="FootnoteText"/>
      </w:pPr>
      <w:r>
        <w:rPr>
          <w:rStyle w:val="FootnoteReference"/>
        </w:rPr>
        <w:footnoteRef/>
      </w:r>
      <w:r>
        <w:t xml:space="preserve"> Schmeling  2011  324</w:t>
      </w:r>
    </w:p>
  </w:footnote>
  <w:footnote w:id="23">
    <w:p w14:paraId="14FDB826" w14:textId="3D97133C" w:rsidR="004A69F5" w:rsidRDefault="004A69F5">
      <w:pPr>
        <w:pStyle w:val="FootnoteText"/>
      </w:pPr>
      <w:r>
        <w:rPr>
          <w:rStyle w:val="FootnoteReference"/>
        </w:rPr>
        <w:footnoteRef/>
      </w:r>
      <w:r>
        <w:t xml:space="preserve"> Walsh  1970  117</w:t>
      </w:r>
    </w:p>
  </w:footnote>
  <w:footnote w:id="24">
    <w:p w14:paraId="4D6D300D" w14:textId="01AE77A4" w:rsidR="001B5F2A" w:rsidRDefault="001B5F2A">
      <w:pPr>
        <w:pStyle w:val="FootnoteText"/>
      </w:pPr>
      <w:r>
        <w:rPr>
          <w:rStyle w:val="FootnoteReference"/>
        </w:rPr>
        <w:footnoteRef/>
      </w:r>
      <w:r>
        <w:t xml:space="preserve"> Walsh  1970  117</w:t>
      </w:r>
    </w:p>
  </w:footnote>
  <w:footnote w:id="25">
    <w:p w14:paraId="09C9BC8F" w14:textId="7439B594" w:rsidR="003029B4" w:rsidRDefault="003029B4">
      <w:pPr>
        <w:pStyle w:val="FootnoteText"/>
      </w:pPr>
      <w:r>
        <w:rPr>
          <w:rStyle w:val="FootnoteReference"/>
        </w:rPr>
        <w:footnoteRef/>
      </w:r>
      <w:r>
        <w:t xml:space="preserve"> Schmeling </w:t>
      </w:r>
      <w:r w:rsidR="009B1C43">
        <w:t xml:space="preserve"> </w:t>
      </w:r>
      <w:r>
        <w:t>2011  325</w:t>
      </w:r>
    </w:p>
  </w:footnote>
  <w:footnote w:id="26">
    <w:p w14:paraId="40E0A88A" w14:textId="715A7672" w:rsidR="00AC097F" w:rsidRDefault="00AC097F">
      <w:pPr>
        <w:pStyle w:val="FootnoteText"/>
      </w:pPr>
      <w:r>
        <w:rPr>
          <w:rStyle w:val="FootnoteReference"/>
        </w:rPr>
        <w:footnoteRef/>
      </w:r>
      <w:r>
        <w:t xml:space="preserve"> Schmeling  2011  325</w:t>
      </w:r>
    </w:p>
  </w:footnote>
  <w:footnote w:id="27">
    <w:p w14:paraId="4D36B0E6" w14:textId="7D461E69" w:rsidR="003A3FE7" w:rsidRDefault="003A3FE7">
      <w:pPr>
        <w:pStyle w:val="FootnoteText"/>
      </w:pPr>
      <w:r>
        <w:rPr>
          <w:rStyle w:val="FootnoteReference"/>
        </w:rPr>
        <w:footnoteRef/>
      </w:r>
      <w:r>
        <w:t xml:space="preserve"> Schmeling  2011  325</w:t>
      </w:r>
    </w:p>
  </w:footnote>
  <w:footnote w:id="28">
    <w:p w14:paraId="0568A4B6" w14:textId="5743C37C" w:rsidR="000F1711" w:rsidRPr="000F1711" w:rsidRDefault="000F1711">
      <w:pPr>
        <w:pStyle w:val="FootnoteText"/>
      </w:pPr>
      <w:r>
        <w:rPr>
          <w:rStyle w:val="FootnoteReference"/>
        </w:rPr>
        <w:footnoteRef/>
      </w:r>
      <w:r>
        <w:t xml:space="preserve"> Horace </w:t>
      </w:r>
      <w:r>
        <w:rPr>
          <w:i/>
          <w:iCs/>
        </w:rPr>
        <w:t xml:space="preserve">Epode </w:t>
      </w:r>
      <w:r>
        <w:t>4. 5-6</w:t>
      </w:r>
    </w:p>
  </w:footnote>
  <w:footnote w:id="29">
    <w:p w14:paraId="49A8D88E" w14:textId="26E173A5" w:rsidR="000F1711" w:rsidRDefault="000F1711">
      <w:pPr>
        <w:pStyle w:val="FootnoteText"/>
      </w:pPr>
      <w:r>
        <w:rPr>
          <w:rStyle w:val="FootnoteReference"/>
        </w:rPr>
        <w:footnoteRef/>
      </w:r>
      <w:r>
        <w:t xml:space="preserve"> Courtney  2001  120</w:t>
      </w:r>
    </w:p>
  </w:footnote>
  <w:footnote w:id="30">
    <w:p w14:paraId="568ED722" w14:textId="2CAE4178" w:rsidR="004E3CA3" w:rsidRDefault="004E3CA3">
      <w:pPr>
        <w:pStyle w:val="FootnoteText"/>
      </w:pPr>
      <w:r>
        <w:rPr>
          <w:rStyle w:val="FootnoteReference"/>
        </w:rPr>
        <w:footnoteRef/>
      </w:r>
      <w:r>
        <w:t xml:space="preserve"> Petronius  74. 14</w:t>
      </w:r>
    </w:p>
  </w:footnote>
  <w:footnote w:id="31">
    <w:p w14:paraId="626EEA78" w14:textId="02B48F4A" w:rsidR="008F7EB8" w:rsidRDefault="008F7EB8">
      <w:pPr>
        <w:pStyle w:val="FootnoteText"/>
      </w:pPr>
      <w:r>
        <w:rPr>
          <w:rStyle w:val="FootnoteReference"/>
        </w:rPr>
        <w:footnoteRef/>
      </w:r>
      <w:r>
        <w:t xml:space="preserve"> Bodel  1999  46</w:t>
      </w:r>
    </w:p>
  </w:footnote>
  <w:footnote w:id="32">
    <w:p w14:paraId="6A7C21EE" w14:textId="6B7DAB30" w:rsidR="00FE2670" w:rsidRDefault="00FE2670">
      <w:pPr>
        <w:pStyle w:val="FootnoteText"/>
      </w:pPr>
      <w:r>
        <w:rPr>
          <w:rStyle w:val="FootnoteReference"/>
        </w:rPr>
        <w:footnoteRef/>
      </w:r>
      <w:r>
        <w:t xml:space="preserve"> Sedgwick  1925  131</w:t>
      </w:r>
    </w:p>
  </w:footnote>
  <w:footnote w:id="33">
    <w:p w14:paraId="0D4462E1" w14:textId="477ECF55" w:rsidR="0047256B" w:rsidRDefault="0047256B">
      <w:pPr>
        <w:pStyle w:val="FootnoteText"/>
      </w:pPr>
      <w:r>
        <w:rPr>
          <w:rStyle w:val="FootnoteReference"/>
        </w:rPr>
        <w:footnoteRef/>
      </w:r>
      <w:r>
        <w:t xml:space="preserve"> Frangoulidis  2008  83</w:t>
      </w:r>
    </w:p>
  </w:footnote>
  <w:footnote w:id="34">
    <w:p w14:paraId="76CDED03" w14:textId="65CA9E21" w:rsidR="00FC3F78" w:rsidRDefault="00FC3F78">
      <w:pPr>
        <w:pStyle w:val="FootnoteText"/>
      </w:pPr>
      <w:r>
        <w:rPr>
          <w:rStyle w:val="FootnoteReference"/>
        </w:rPr>
        <w:footnoteRef/>
      </w:r>
      <w:r>
        <w:t xml:space="preserve"> Schmeling  2011  326</w:t>
      </w:r>
    </w:p>
  </w:footnote>
  <w:footnote w:id="35">
    <w:p w14:paraId="155876C3" w14:textId="3B09A464" w:rsidR="00E702E8" w:rsidRDefault="00E702E8">
      <w:pPr>
        <w:pStyle w:val="FootnoteText"/>
      </w:pPr>
      <w:r>
        <w:rPr>
          <w:rStyle w:val="FootnoteReference"/>
        </w:rPr>
        <w:footnoteRef/>
      </w:r>
      <w:r>
        <w:t xml:space="preserve"> Tibullus. 1.3.7</w:t>
      </w:r>
    </w:p>
  </w:footnote>
  <w:footnote w:id="36">
    <w:p w14:paraId="6D2996C9" w14:textId="0A8A98CE" w:rsidR="008C7B53" w:rsidRDefault="008C7B53">
      <w:pPr>
        <w:pStyle w:val="FootnoteText"/>
      </w:pPr>
      <w:r>
        <w:rPr>
          <w:rStyle w:val="FootnoteReference"/>
        </w:rPr>
        <w:footnoteRef/>
      </w:r>
      <w:r>
        <w:t xml:space="preserve"> Propertius. 4.7.32</w:t>
      </w:r>
    </w:p>
  </w:footnote>
  <w:footnote w:id="37">
    <w:p w14:paraId="20F315F5" w14:textId="598BE46F" w:rsidR="00223837" w:rsidRDefault="00223837">
      <w:pPr>
        <w:pStyle w:val="FootnoteText"/>
      </w:pPr>
      <w:r>
        <w:rPr>
          <w:rStyle w:val="FootnoteReference"/>
        </w:rPr>
        <w:footnoteRef/>
      </w:r>
      <w:r>
        <w:t xml:space="preserve"> Rimell  2002  186</w:t>
      </w:r>
    </w:p>
  </w:footnote>
  <w:footnote w:id="38">
    <w:p w14:paraId="3823B3AF" w14:textId="185AACC8" w:rsidR="00575512" w:rsidRPr="00575512" w:rsidRDefault="00575512">
      <w:pPr>
        <w:pStyle w:val="FootnoteText"/>
      </w:pPr>
      <w:r>
        <w:rPr>
          <w:rStyle w:val="FootnoteReference"/>
        </w:rPr>
        <w:footnoteRef/>
      </w:r>
      <w:r>
        <w:t xml:space="preserve"> Virgil </w:t>
      </w:r>
      <w:r>
        <w:rPr>
          <w:i/>
          <w:iCs/>
        </w:rPr>
        <w:t xml:space="preserve">Aeneid </w:t>
      </w:r>
      <w:r>
        <w:t>VI. 227</w:t>
      </w:r>
    </w:p>
  </w:footnote>
  <w:footnote w:id="39">
    <w:p w14:paraId="313C320D" w14:textId="4B033AFD" w:rsidR="00A07066" w:rsidRDefault="00A07066">
      <w:pPr>
        <w:pStyle w:val="FootnoteText"/>
      </w:pPr>
      <w:r>
        <w:rPr>
          <w:rStyle w:val="FootnoteReference"/>
        </w:rPr>
        <w:footnoteRef/>
      </w:r>
      <w:r>
        <w:t xml:space="preserve"> Steadman  2018  125</w:t>
      </w:r>
    </w:p>
  </w:footnote>
  <w:footnote w:id="40">
    <w:p w14:paraId="68FB2B8C" w14:textId="2A4F93C2" w:rsidR="00F30E53" w:rsidRDefault="00F30E53">
      <w:pPr>
        <w:pStyle w:val="FootnoteText"/>
      </w:pPr>
      <w:r>
        <w:rPr>
          <w:rStyle w:val="FootnoteReference"/>
        </w:rPr>
        <w:footnoteRef/>
      </w:r>
      <w:r>
        <w:t xml:space="preserve"> Courtney  2001  120-121</w:t>
      </w:r>
    </w:p>
  </w:footnote>
  <w:footnote w:id="41">
    <w:p w14:paraId="64CEA586" w14:textId="05A1F975" w:rsidR="00F30E53" w:rsidRDefault="00F30E53">
      <w:pPr>
        <w:pStyle w:val="FootnoteText"/>
      </w:pPr>
      <w:r>
        <w:rPr>
          <w:rStyle w:val="FootnoteReference"/>
        </w:rPr>
        <w:footnoteRef/>
      </w:r>
      <w:r>
        <w:t xml:space="preserve"> Schmeling  2011  326</w:t>
      </w:r>
    </w:p>
  </w:footnote>
  <w:footnote w:id="42">
    <w:p w14:paraId="31C662B9" w14:textId="67CFC378" w:rsidR="00FA5631" w:rsidRDefault="00FA5631">
      <w:pPr>
        <w:pStyle w:val="FootnoteText"/>
      </w:pPr>
      <w:r>
        <w:rPr>
          <w:rStyle w:val="FootnoteReference"/>
        </w:rPr>
        <w:footnoteRef/>
      </w:r>
      <w:r>
        <w:t xml:space="preserve"> Schmeling  2011  326</w:t>
      </w:r>
    </w:p>
  </w:footnote>
  <w:footnote w:id="43">
    <w:p w14:paraId="4C50BC1B" w14:textId="6B77FEE6" w:rsidR="00FA5631" w:rsidRDefault="00FA5631">
      <w:pPr>
        <w:pStyle w:val="FootnoteText"/>
      </w:pPr>
      <w:r>
        <w:rPr>
          <w:rStyle w:val="FootnoteReference"/>
        </w:rPr>
        <w:footnoteRef/>
      </w:r>
      <w:r>
        <w:t xml:space="preserve"> Juvenal 3. 206-7</w:t>
      </w:r>
    </w:p>
  </w:footnote>
  <w:footnote w:id="44">
    <w:p w14:paraId="51E8E4AF" w14:textId="2024AB31" w:rsidR="00FA5631" w:rsidRPr="00FA5631" w:rsidRDefault="00FA5631">
      <w:pPr>
        <w:pStyle w:val="FootnoteText"/>
      </w:pPr>
      <w:r>
        <w:rPr>
          <w:rStyle w:val="FootnoteReference"/>
        </w:rPr>
        <w:footnoteRef/>
      </w:r>
      <w:r>
        <w:t xml:space="preserve"> Virgil </w:t>
      </w:r>
      <w:r>
        <w:rPr>
          <w:i/>
          <w:iCs/>
        </w:rPr>
        <w:t xml:space="preserve">Georgics </w:t>
      </w:r>
      <w:r>
        <w:t>1. 181-2</w:t>
      </w:r>
    </w:p>
  </w:footnote>
  <w:footnote w:id="45">
    <w:p w14:paraId="66272A51" w14:textId="46841E54" w:rsidR="00A07066" w:rsidRDefault="00A07066">
      <w:pPr>
        <w:pStyle w:val="FootnoteText"/>
      </w:pPr>
      <w:r>
        <w:rPr>
          <w:rStyle w:val="FootnoteReference"/>
        </w:rPr>
        <w:footnoteRef/>
      </w:r>
      <w:r>
        <w:t xml:space="preserve"> Sedgwick  1925  131</w:t>
      </w:r>
    </w:p>
  </w:footnote>
  <w:footnote w:id="46">
    <w:p w14:paraId="035B0F6B" w14:textId="0448A240" w:rsidR="00CE4BF7" w:rsidRPr="00CE4BF7" w:rsidRDefault="00CE4BF7">
      <w:pPr>
        <w:pStyle w:val="FootnoteText"/>
      </w:pPr>
      <w:r>
        <w:rPr>
          <w:rStyle w:val="FootnoteReference"/>
        </w:rPr>
        <w:footnoteRef/>
      </w:r>
      <w:r>
        <w:t xml:space="preserve"> Seneca </w:t>
      </w:r>
      <w:r>
        <w:rPr>
          <w:i/>
          <w:iCs/>
        </w:rPr>
        <w:t xml:space="preserve">Apocolocyntosis </w:t>
      </w:r>
      <w:r>
        <w:t>12.1</w:t>
      </w:r>
    </w:p>
  </w:footnote>
  <w:footnote w:id="47">
    <w:p w14:paraId="629A4125" w14:textId="27B0219A" w:rsidR="00C262B8" w:rsidRDefault="00C262B8">
      <w:pPr>
        <w:pStyle w:val="FootnoteText"/>
      </w:pPr>
      <w:r>
        <w:rPr>
          <w:rStyle w:val="FootnoteReference"/>
        </w:rPr>
        <w:footnoteRef/>
      </w:r>
      <w:r>
        <w:t xml:space="preserve"> Rimell  2002  185</w:t>
      </w:r>
    </w:p>
  </w:footnote>
  <w:footnote w:id="48">
    <w:p w14:paraId="441AB2B5" w14:textId="0414BA4C" w:rsidR="003C51AC" w:rsidRDefault="003C51AC">
      <w:pPr>
        <w:pStyle w:val="FootnoteText"/>
      </w:pPr>
      <w:r>
        <w:rPr>
          <w:rStyle w:val="FootnoteReference"/>
        </w:rPr>
        <w:footnoteRef/>
      </w:r>
      <w:r>
        <w:t xml:space="preserve"> D’Arms  2000  138</w:t>
      </w:r>
    </w:p>
  </w:footnote>
  <w:footnote w:id="49">
    <w:p w14:paraId="229A4B49" w14:textId="1919FF65" w:rsidR="00FF5698" w:rsidRDefault="00FF5698">
      <w:pPr>
        <w:pStyle w:val="FootnoteText"/>
      </w:pPr>
      <w:r>
        <w:rPr>
          <w:rStyle w:val="FootnoteReference"/>
        </w:rPr>
        <w:footnoteRef/>
      </w:r>
      <w:r>
        <w:t xml:space="preserve"> Courtne</w:t>
      </w:r>
      <w:r w:rsidR="0037357D">
        <w:t>y</w:t>
      </w:r>
      <w:r>
        <w:t xml:space="preserve">  2001  121</w:t>
      </w:r>
    </w:p>
  </w:footnote>
  <w:footnote w:id="50">
    <w:p w14:paraId="04515898" w14:textId="3ABF1DD3" w:rsidR="00EC5485" w:rsidRDefault="00EC5485">
      <w:pPr>
        <w:pStyle w:val="FootnoteText"/>
      </w:pPr>
      <w:r>
        <w:rPr>
          <w:rStyle w:val="FootnoteReference"/>
        </w:rPr>
        <w:footnoteRef/>
      </w:r>
      <w:r>
        <w:t xml:space="preserve"> Schmeling  2011  327</w:t>
      </w:r>
    </w:p>
  </w:footnote>
  <w:footnote w:id="51">
    <w:p w14:paraId="536ED385" w14:textId="2936B101" w:rsidR="00EC5485" w:rsidRDefault="00EC5485">
      <w:pPr>
        <w:pStyle w:val="FootnoteText"/>
      </w:pPr>
      <w:r>
        <w:rPr>
          <w:rStyle w:val="FootnoteReference"/>
        </w:rPr>
        <w:footnoteRef/>
      </w:r>
      <w:r>
        <w:t xml:space="preserve"> Sedgwick  1925  130</w:t>
      </w:r>
    </w:p>
  </w:footnote>
  <w:footnote w:id="52">
    <w:p w14:paraId="26616384" w14:textId="39A3541B" w:rsidR="00DE44F5" w:rsidRDefault="00DE44F5">
      <w:pPr>
        <w:pStyle w:val="FootnoteText"/>
      </w:pPr>
      <w:r>
        <w:rPr>
          <w:rStyle w:val="FootnoteReference"/>
        </w:rPr>
        <w:footnoteRef/>
      </w:r>
      <w:r>
        <w:t xml:space="preserve"> Sedgwick  1925  131</w:t>
      </w:r>
    </w:p>
  </w:footnote>
  <w:footnote w:id="53">
    <w:p w14:paraId="07A0B7DB" w14:textId="6A350BE7" w:rsidR="00F05BA5" w:rsidRDefault="00F05BA5">
      <w:pPr>
        <w:pStyle w:val="FootnoteText"/>
      </w:pPr>
      <w:r>
        <w:rPr>
          <w:rStyle w:val="FootnoteReference"/>
        </w:rPr>
        <w:footnoteRef/>
      </w:r>
      <w:r>
        <w:t xml:space="preserve"> Courtney  2001  121</w:t>
      </w:r>
    </w:p>
  </w:footnote>
  <w:footnote w:id="54">
    <w:p w14:paraId="13C5EF4B" w14:textId="7739CACB" w:rsidR="00F05BA5" w:rsidRDefault="00F05BA5">
      <w:pPr>
        <w:pStyle w:val="FootnoteText"/>
      </w:pPr>
      <w:r>
        <w:rPr>
          <w:rStyle w:val="FootnoteReference"/>
        </w:rPr>
        <w:footnoteRef/>
      </w:r>
      <w:r>
        <w:t xml:space="preserve"> Horsfall  1989  79</w:t>
      </w:r>
    </w:p>
  </w:footnote>
  <w:footnote w:id="55">
    <w:p w14:paraId="741900B8" w14:textId="4FE207C7" w:rsidR="00223837" w:rsidRDefault="00223837">
      <w:pPr>
        <w:pStyle w:val="FootnoteText"/>
      </w:pPr>
      <w:r>
        <w:rPr>
          <w:rStyle w:val="FootnoteReference"/>
        </w:rPr>
        <w:footnoteRef/>
      </w:r>
      <w:r>
        <w:t xml:space="preserve"> Rimell  2002  187</w:t>
      </w:r>
    </w:p>
  </w:footnote>
  <w:footnote w:id="56">
    <w:p w14:paraId="312EC23D" w14:textId="5CA59D82" w:rsidR="00F65BAB" w:rsidRPr="00F65BAB" w:rsidRDefault="00F65BAB">
      <w:pPr>
        <w:pStyle w:val="FootnoteText"/>
      </w:pPr>
      <w:r>
        <w:rPr>
          <w:rStyle w:val="FootnoteReference"/>
        </w:rPr>
        <w:footnoteRef/>
      </w:r>
      <w:r>
        <w:t xml:space="preserve"> Seneca </w:t>
      </w:r>
      <w:r>
        <w:rPr>
          <w:i/>
          <w:iCs/>
        </w:rPr>
        <w:t xml:space="preserve">Apocolocyntosis </w:t>
      </w:r>
      <w:r>
        <w:t>12. 1-3</w:t>
      </w:r>
    </w:p>
  </w:footnote>
  <w:footnote w:id="57">
    <w:p w14:paraId="70C82A05" w14:textId="6203AD0F" w:rsidR="000A19BC" w:rsidRDefault="000A19BC">
      <w:pPr>
        <w:pStyle w:val="FootnoteText"/>
      </w:pPr>
      <w:r>
        <w:rPr>
          <w:rStyle w:val="FootnoteReference"/>
        </w:rPr>
        <w:footnoteRef/>
      </w:r>
      <w:r>
        <w:t xml:space="preserve"> Courtney 2001  122</w:t>
      </w:r>
    </w:p>
  </w:footnote>
  <w:footnote w:id="58">
    <w:p w14:paraId="791D3722" w14:textId="36EC7EED" w:rsidR="00B9308B" w:rsidRDefault="00B9308B">
      <w:pPr>
        <w:pStyle w:val="FootnoteText"/>
      </w:pPr>
      <w:r>
        <w:rPr>
          <w:rStyle w:val="FootnoteReference"/>
        </w:rPr>
        <w:footnoteRef/>
      </w:r>
      <w:r>
        <w:t xml:space="preserve"> Walsh  1970  137</w:t>
      </w:r>
    </w:p>
  </w:footnote>
  <w:footnote w:id="59">
    <w:p w14:paraId="153A5820" w14:textId="64BB1F5D" w:rsidR="007B2A43" w:rsidRDefault="007B2A43">
      <w:pPr>
        <w:pStyle w:val="FootnoteText"/>
      </w:pPr>
      <w:r>
        <w:rPr>
          <w:rStyle w:val="FootnoteReference"/>
        </w:rPr>
        <w:footnoteRef/>
      </w:r>
      <w:r>
        <w:t xml:space="preserve"> Tibullus 1.3.4</w:t>
      </w:r>
    </w:p>
  </w:footnote>
  <w:footnote w:id="60">
    <w:p w14:paraId="01B39EB7" w14:textId="36AE2015" w:rsidR="00DE44F5" w:rsidRDefault="00DE44F5">
      <w:pPr>
        <w:pStyle w:val="FootnoteText"/>
      </w:pPr>
      <w:r>
        <w:rPr>
          <w:rStyle w:val="FootnoteReference"/>
        </w:rPr>
        <w:footnoteRef/>
      </w:r>
      <w:r>
        <w:t xml:space="preserve"> Propertius 1.17.11</w:t>
      </w:r>
    </w:p>
  </w:footnote>
  <w:footnote w:id="61">
    <w:p w14:paraId="1BEC6C10" w14:textId="5F9121A2" w:rsidR="006C0351" w:rsidRDefault="006C0351">
      <w:pPr>
        <w:pStyle w:val="FootnoteText"/>
      </w:pPr>
      <w:r>
        <w:rPr>
          <w:rStyle w:val="FootnoteReference"/>
        </w:rPr>
        <w:footnoteRef/>
      </w:r>
      <w:r>
        <w:t xml:space="preserve"> Dunbabin  2003  113</w:t>
      </w:r>
    </w:p>
  </w:footnote>
  <w:footnote w:id="62">
    <w:p w14:paraId="5E38740C" w14:textId="0CD7A785" w:rsidR="00CF79C3" w:rsidRDefault="00CF79C3">
      <w:pPr>
        <w:pStyle w:val="FootnoteText"/>
      </w:pPr>
      <w:r>
        <w:rPr>
          <w:rStyle w:val="FootnoteReference"/>
        </w:rPr>
        <w:footnoteRef/>
      </w:r>
      <w:r>
        <w:t xml:space="preserve"> Frangoulidis  2008  84</w:t>
      </w:r>
    </w:p>
  </w:footnote>
  <w:footnote w:id="63">
    <w:p w14:paraId="227E97BC" w14:textId="4B668813" w:rsidR="00CF79C3" w:rsidRDefault="00CF79C3">
      <w:pPr>
        <w:pStyle w:val="FootnoteText"/>
      </w:pPr>
      <w:r>
        <w:rPr>
          <w:rStyle w:val="FootnoteReference"/>
        </w:rPr>
        <w:footnoteRef/>
      </w:r>
      <w:r>
        <w:t xml:space="preserve"> Frangoulidis  2008  85</w:t>
      </w:r>
    </w:p>
  </w:footnote>
  <w:footnote w:id="64">
    <w:p w14:paraId="56A2521C" w14:textId="69AD0493" w:rsidR="0019221D" w:rsidRDefault="0019221D">
      <w:pPr>
        <w:pStyle w:val="FootnoteText"/>
      </w:pPr>
      <w:r>
        <w:rPr>
          <w:rStyle w:val="FootnoteReference"/>
        </w:rPr>
        <w:footnoteRef/>
      </w:r>
      <w:r>
        <w:t xml:space="preserve"> Courtney  2001  123</w:t>
      </w:r>
    </w:p>
  </w:footnote>
  <w:footnote w:id="65">
    <w:p w14:paraId="78E4FAC6" w14:textId="6C055BAB" w:rsidR="0019221D" w:rsidRDefault="0019221D">
      <w:pPr>
        <w:pStyle w:val="FootnoteText"/>
      </w:pPr>
      <w:r>
        <w:rPr>
          <w:rStyle w:val="FootnoteReference"/>
        </w:rPr>
        <w:footnoteRef/>
      </w:r>
      <w:r>
        <w:t xml:space="preserve"> Sedgwick  1925  132</w:t>
      </w:r>
    </w:p>
  </w:footnote>
  <w:footnote w:id="66">
    <w:p w14:paraId="7EB0C20A" w14:textId="057ED616" w:rsidR="00387083" w:rsidRDefault="00387083">
      <w:pPr>
        <w:pStyle w:val="FootnoteText"/>
      </w:pPr>
      <w:r>
        <w:rPr>
          <w:rStyle w:val="FootnoteReference"/>
        </w:rPr>
        <w:footnoteRef/>
      </w:r>
      <w:r>
        <w:t xml:space="preserve"> Frangoulidis  2008  85</w:t>
      </w:r>
    </w:p>
  </w:footnote>
  <w:footnote w:id="67">
    <w:p w14:paraId="0A83DAE9" w14:textId="61764B0C" w:rsidR="00F47706" w:rsidRDefault="00F47706">
      <w:pPr>
        <w:pStyle w:val="FootnoteText"/>
      </w:pPr>
      <w:r>
        <w:rPr>
          <w:rStyle w:val="FootnoteReference"/>
        </w:rPr>
        <w:footnoteRef/>
      </w:r>
      <w:r>
        <w:t xml:space="preserve"> Frangoulidis  2008  81</w:t>
      </w:r>
    </w:p>
  </w:footnote>
  <w:footnote w:id="68">
    <w:p w14:paraId="1E07661A" w14:textId="4744FCB4" w:rsidR="00972A98" w:rsidRDefault="00972A98">
      <w:pPr>
        <w:pStyle w:val="FootnoteText"/>
      </w:pPr>
      <w:r>
        <w:rPr>
          <w:rStyle w:val="FootnoteReference"/>
        </w:rPr>
        <w:footnoteRef/>
      </w:r>
      <w:r>
        <w:t xml:space="preserve"> Sedgwick  1925  132</w:t>
      </w:r>
    </w:p>
  </w:footnote>
  <w:footnote w:id="69">
    <w:p w14:paraId="28C974D3" w14:textId="7E986FAF" w:rsidR="001165A2" w:rsidRDefault="001165A2">
      <w:pPr>
        <w:pStyle w:val="FootnoteText"/>
      </w:pPr>
      <w:r>
        <w:rPr>
          <w:rStyle w:val="FootnoteReference"/>
        </w:rPr>
        <w:footnoteRef/>
      </w:r>
      <w:r>
        <w:t xml:space="preserve"> Courtney  2001  123</w:t>
      </w:r>
    </w:p>
  </w:footnote>
  <w:footnote w:id="70">
    <w:p w14:paraId="6B761112" w14:textId="0F8A1D4B" w:rsidR="00E91848" w:rsidRDefault="00E91848">
      <w:pPr>
        <w:pStyle w:val="FootnoteText"/>
      </w:pPr>
      <w:r>
        <w:rPr>
          <w:rStyle w:val="FootnoteReference"/>
        </w:rPr>
        <w:footnoteRef/>
      </w:r>
      <w:r>
        <w:t xml:space="preserve"> Frangoulidis  2008  85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678"/>
    <w:rsid w:val="0002345C"/>
    <w:rsid w:val="0005258C"/>
    <w:rsid w:val="0006502C"/>
    <w:rsid w:val="00066EF1"/>
    <w:rsid w:val="00086CAD"/>
    <w:rsid w:val="000938D4"/>
    <w:rsid w:val="0009685B"/>
    <w:rsid w:val="000A19BC"/>
    <w:rsid w:val="000B346E"/>
    <w:rsid w:val="000E423C"/>
    <w:rsid w:val="000E7BD6"/>
    <w:rsid w:val="000F1711"/>
    <w:rsid w:val="000F50DA"/>
    <w:rsid w:val="00110069"/>
    <w:rsid w:val="001165A2"/>
    <w:rsid w:val="001444F5"/>
    <w:rsid w:val="001551A0"/>
    <w:rsid w:val="00167C49"/>
    <w:rsid w:val="00180222"/>
    <w:rsid w:val="0019221D"/>
    <w:rsid w:val="001B5F2A"/>
    <w:rsid w:val="001C7189"/>
    <w:rsid w:val="001D010B"/>
    <w:rsid w:val="00223837"/>
    <w:rsid w:val="00227D12"/>
    <w:rsid w:val="00232381"/>
    <w:rsid w:val="00240E78"/>
    <w:rsid w:val="00280A35"/>
    <w:rsid w:val="003029B4"/>
    <w:rsid w:val="0031521B"/>
    <w:rsid w:val="00323B51"/>
    <w:rsid w:val="003500F6"/>
    <w:rsid w:val="00354B1B"/>
    <w:rsid w:val="00360658"/>
    <w:rsid w:val="0037357D"/>
    <w:rsid w:val="00387083"/>
    <w:rsid w:val="003A3FE7"/>
    <w:rsid w:val="003C51AC"/>
    <w:rsid w:val="003C6F4B"/>
    <w:rsid w:val="00400A30"/>
    <w:rsid w:val="004109E6"/>
    <w:rsid w:val="00431CD4"/>
    <w:rsid w:val="00447EF9"/>
    <w:rsid w:val="0047256B"/>
    <w:rsid w:val="004966B6"/>
    <w:rsid w:val="00496712"/>
    <w:rsid w:val="004A05C7"/>
    <w:rsid w:val="004A69F5"/>
    <w:rsid w:val="004E3CA3"/>
    <w:rsid w:val="004F731D"/>
    <w:rsid w:val="00500CD7"/>
    <w:rsid w:val="00526ED2"/>
    <w:rsid w:val="00527074"/>
    <w:rsid w:val="0053214C"/>
    <w:rsid w:val="00536258"/>
    <w:rsid w:val="00536BB1"/>
    <w:rsid w:val="00565472"/>
    <w:rsid w:val="0057236C"/>
    <w:rsid w:val="00575512"/>
    <w:rsid w:val="005A72B9"/>
    <w:rsid w:val="005D3DD8"/>
    <w:rsid w:val="00613390"/>
    <w:rsid w:val="0061671A"/>
    <w:rsid w:val="00635695"/>
    <w:rsid w:val="00641F3F"/>
    <w:rsid w:val="00646E06"/>
    <w:rsid w:val="006621DA"/>
    <w:rsid w:val="00680678"/>
    <w:rsid w:val="006A7BA5"/>
    <w:rsid w:val="006C0351"/>
    <w:rsid w:val="006C66E3"/>
    <w:rsid w:val="006F5AA4"/>
    <w:rsid w:val="00701D58"/>
    <w:rsid w:val="007612BF"/>
    <w:rsid w:val="007873B0"/>
    <w:rsid w:val="007A264A"/>
    <w:rsid w:val="007B2A43"/>
    <w:rsid w:val="007C34EF"/>
    <w:rsid w:val="007E0407"/>
    <w:rsid w:val="007F6357"/>
    <w:rsid w:val="0084364A"/>
    <w:rsid w:val="00857270"/>
    <w:rsid w:val="00881E45"/>
    <w:rsid w:val="008B1305"/>
    <w:rsid w:val="008C7B53"/>
    <w:rsid w:val="008E09FC"/>
    <w:rsid w:val="008F165E"/>
    <w:rsid w:val="008F27CB"/>
    <w:rsid w:val="008F62BA"/>
    <w:rsid w:val="008F7EB8"/>
    <w:rsid w:val="00943864"/>
    <w:rsid w:val="00961134"/>
    <w:rsid w:val="00964DFA"/>
    <w:rsid w:val="00970770"/>
    <w:rsid w:val="00972A98"/>
    <w:rsid w:val="009B1C43"/>
    <w:rsid w:val="009C024D"/>
    <w:rsid w:val="009C0E5E"/>
    <w:rsid w:val="009F08A6"/>
    <w:rsid w:val="00A0291F"/>
    <w:rsid w:val="00A07066"/>
    <w:rsid w:val="00A40B11"/>
    <w:rsid w:val="00A91527"/>
    <w:rsid w:val="00AB034C"/>
    <w:rsid w:val="00AC097F"/>
    <w:rsid w:val="00AD0DCB"/>
    <w:rsid w:val="00AE0B74"/>
    <w:rsid w:val="00B07953"/>
    <w:rsid w:val="00B24F6C"/>
    <w:rsid w:val="00B614B3"/>
    <w:rsid w:val="00B824C8"/>
    <w:rsid w:val="00B9308B"/>
    <w:rsid w:val="00BA6A2C"/>
    <w:rsid w:val="00BE1496"/>
    <w:rsid w:val="00C14132"/>
    <w:rsid w:val="00C262B8"/>
    <w:rsid w:val="00CE4BF7"/>
    <w:rsid w:val="00CE6132"/>
    <w:rsid w:val="00CF79C3"/>
    <w:rsid w:val="00D047EE"/>
    <w:rsid w:val="00D11EEF"/>
    <w:rsid w:val="00D2181F"/>
    <w:rsid w:val="00D32144"/>
    <w:rsid w:val="00D355A1"/>
    <w:rsid w:val="00D526A5"/>
    <w:rsid w:val="00D85368"/>
    <w:rsid w:val="00D85396"/>
    <w:rsid w:val="00D86DE9"/>
    <w:rsid w:val="00D950A9"/>
    <w:rsid w:val="00DA4BFD"/>
    <w:rsid w:val="00DB1C99"/>
    <w:rsid w:val="00DC7E4A"/>
    <w:rsid w:val="00DE44F5"/>
    <w:rsid w:val="00E355C9"/>
    <w:rsid w:val="00E702E8"/>
    <w:rsid w:val="00E91848"/>
    <w:rsid w:val="00EC5485"/>
    <w:rsid w:val="00EF73EC"/>
    <w:rsid w:val="00F05BA5"/>
    <w:rsid w:val="00F30E53"/>
    <w:rsid w:val="00F47706"/>
    <w:rsid w:val="00F65BAB"/>
    <w:rsid w:val="00F70BFC"/>
    <w:rsid w:val="00F8081D"/>
    <w:rsid w:val="00FA5631"/>
    <w:rsid w:val="00FC00B5"/>
    <w:rsid w:val="00FC3F78"/>
    <w:rsid w:val="00FD1474"/>
    <w:rsid w:val="00FE2670"/>
    <w:rsid w:val="00FE73C8"/>
    <w:rsid w:val="00FF5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42431"/>
  <w15:chartTrackingRefBased/>
  <w15:docId w15:val="{D54DFCB3-0139-45A3-B1D3-663F85FB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66E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6EF1"/>
    <w:rPr>
      <w:sz w:val="20"/>
      <w:szCs w:val="20"/>
    </w:rPr>
  </w:style>
  <w:style w:type="character" w:styleId="FootnoteReference">
    <w:name w:val="footnote reference"/>
    <w:basedOn w:val="DefaultParagraphFont"/>
    <w:uiPriority w:val="99"/>
    <w:semiHidden/>
    <w:unhideWhenUsed/>
    <w:rsid w:val="00066E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A8A41-691A-4865-9D1A-EE0F4F4D3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7</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Bee (96000040)</dc:creator>
  <cp:keywords/>
  <dc:description/>
  <cp:lastModifiedBy>Nicholas Bee (96000040)</cp:lastModifiedBy>
  <cp:revision>46</cp:revision>
  <dcterms:created xsi:type="dcterms:W3CDTF">2024-02-02T09:38:00Z</dcterms:created>
  <dcterms:modified xsi:type="dcterms:W3CDTF">2024-03-10T20:20:00Z</dcterms:modified>
</cp:coreProperties>
</file>