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36BF96CE" w:rsidR="00986B43" w:rsidRPr="009D7B6A" w:rsidRDefault="00986B43" w:rsidP="005D3F07">
            <w:pPr>
              <w:overflowPunct/>
              <w:autoSpaceDE/>
              <w:autoSpaceDN/>
              <w:adjustRightInd/>
              <w:ind w:right="-957"/>
              <w:textAlignment w:val="auto"/>
              <w:rPr>
                <w:rFonts w:ascii="Times New Roman" w:hAnsi="Times New Roman" w:cs="Times New Roman"/>
                <w:b/>
                <w:color w:val="auto"/>
                <w:sz w:val="36"/>
                <w:szCs w:val="14"/>
              </w:rPr>
            </w:pPr>
            <w:r w:rsidRPr="009D7B6A">
              <w:rPr>
                <w:rFonts w:ascii="Times New Roman" w:hAnsi="Times New Roman" w:cs="Times New Roman"/>
                <w:b/>
                <w:color w:val="auto"/>
                <w:sz w:val="36"/>
                <w:szCs w:val="14"/>
              </w:rPr>
              <w:t>Learner’s name:</w:t>
            </w:r>
            <w:r w:rsidR="00247265" w:rsidRPr="009D7B6A">
              <w:rPr>
                <w:rFonts w:ascii="Times New Roman" w:hAnsi="Times New Roman" w:cs="Times New Roman"/>
                <w:b/>
                <w:color w:val="auto"/>
                <w:sz w:val="36"/>
                <w:szCs w:val="14"/>
              </w:rPr>
              <w:t xml:space="preserve"> </w:t>
            </w:r>
            <w:r w:rsidR="009D7B6A">
              <w:rPr>
                <w:rFonts w:ascii="Times New Roman" w:hAnsi="Times New Roman" w:cs="Times New Roman"/>
                <w:b/>
                <w:color w:val="auto"/>
                <w:sz w:val="36"/>
                <w:szCs w:val="14"/>
              </w:rPr>
              <w:t xml:space="preserve">Jodie Comley </w:t>
            </w:r>
          </w:p>
          <w:p w14:paraId="0B6CD0DB" w14:textId="689515B5" w:rsidR="009C337F" w:rsidRPr="009D7B6A" w:rsidRDefault="009C337F" w:rsidP="005D3F07">
            <w:pPr>
              <w:overflowPunct/>
              <w:autoSpaceDE/>
              <w:autoSpaceDN/>
              <w:adjustRightInd/>
              <w:ind w:right="-957"/>
              <w:textAlignment w:val="auto"/>
              <w:rPr>
                <w:rFonts w:ascii="Times New Roman" w:hAnsi="Times New Roman" w:cs="Times New Roman"/>
                <w:b/>
                <w:color w:val="auto"/>
                <w:sz w:val="36"/>
                <w:szCs w:val="14"/>
              </w:rPr>
            </w:pPr>
          </w:p>
          <w:p w14:paraId="3A6EAAC7" w14:textId="65BA734E" w:rsidR="009C337F" w:rsidRPr="009D7B6A" w:rsidRDefault="009C337F" w:rsidP="005D3F07">
            <w:pPr>
              <w:overflowPunct/>
              <w:autoSpaceDE/>
              <w:autoSpaceDN/>
              <w:adjustRightInd/>
              <w:ind w:right="-957"/>
              <w:textAlignment w:val="auto"/>
              <w:rPr>
                <w:rFonts w:ascii="Times New Roman" w:hAnsi="Times New Roman" w:cs="Times New Roman"/>
                <w:b/>
                <w:color w:val="auto"/>
                <w:sz w:val="36"/>
                <w:szCs w:val="14"/>
              </w:rPr>
            </w:pPr>
            <w:r w:rsidRPr="009D7B6A">
              <w:rPr>
                <w:rFonts w:ascii="Times New Roman" w:hAnsi="Times New Roman" w:cs="Times New Roman"/>
                <w:b/>
                <w:color w:val="auto"/>
                <w:sz w:val="36"/>
                <w:szCs w:val="14"/>
              </w:rPr>
              <w:t>Email address:</w:t>
            </w:r>
            <w:r w:rsidR="009D7B6A">
              <w:rPr>
                <w:rFonts w:ascii="Times New Roman" w:hAnsi="Times New Roman" w:cs="Times New Roman"/>
                <w:b/>
                <w:color w:val="auto"/>
                <w:sz w:val="36"/>
                <w:szCs w:val="14"/>
              </w:rPr>
              <w:t xml:space="preserve"> </w:t>
            </w:r>
            <w:hyperlink r:id="rId11" w:history="1">
              <w:r w:rsidR="009D7B6A" w:rsidRPr="008F1A82">
                <w:rPr>
                  <w:rStyle w:val="Hyperlink"/>
                  <w:rFonts w:ascii="Times New Roman" w:hAnsi="Times New Roman" w:cs="Times New Roman"/>
                  <w:b/>
                  <w:sz w:val="36"/>
                  <w:szCs w:val="14"/>
                </w:rPr>
                <w:t>jodie.comley@swansea.gov.uk</w:t>
              </w:r>
            </w:hyperlink>
            <w:r w:rsidR="009D7B6A">
              <w:rPr>
                <w:rFonts w:ascii="Times New Roman" w:hAnsi="Times New Roman" w:cs="Times New Roman"/>
                <w:b/>
                <w:color w:val="auto"/>
                <w:sz w:val="36"/>
                <w:szCs w:val="14"/>
              </w:rPr>
              <w:t xml:space="preserve"> / </w:t>
            </w:r>
            <w:hyperlink r:id="rId12" w:history="1">
              <w:r w:rsidR="009D7B6A" w:rsidRPr="008F1A82">
                <w:rPr>
                  <w:rStyle w:val="Hyperlink"/>
                  <w:rFonts w:ascii="Times New Roman" w:hAnsi="Times New Roman" w:cs="Times New Roman"/>
                  <w:b/>
                  <w:sz w:val="36"/>
                  <w:szCs w:val="14"/>
                </w:rPr>
                <w:t>jodieekelsiee@hotmail.co.uk</w:t>
              </w:r>
            </w:hyperlink>
            <w:r w:rsidR="009D7B6A">
              <w:rPr>
                <w:rFonts w:ascii="Times New Roman" w:hAnsi="Times New Roman" w:cs="Times New Roman"/>
                <w:b/>
                <w:color w:val="auto"/>
                <w:sz w:val="36"/>
                <w:szCs w:val="14"/>
              </w:rPr>
              <w:t xml:space="preserve"> </w:t>
            </w:r>
          </w:p>
          <w:p w14:paraId="22E38809" w14:textId="77777777" w:rsidR="00986B43" w:rsidRPr="009D7B6A" w:rsidRDefault="00986B43" w:rsidP="005D3F07">
            <w:pPr>
              <w:overflowPunct/>
              <w:autoSpaceDE/>
              <w:autoSpaceDN/>
              <w:adjustRightInd/>
              <w:ind w:right="-957"/>
              <w:textAlignment w:val="auto"/>
              <w:rPr>
                <w:rFonts w:ascii="Times New Roman" w:hAnsi="Times New Roman" w:cs="Times New Roman"/>
                <w:b/>
                <w:color w:val="auto"/>
                <w:sz w:val="36"/>
                <w:szCs w:val="14"/>
              </w:rPr>
            </w:pPr>
          </w:p>
          <w:p w14:paraId="0DE696B2" w14:textId="3AAA7E04" w:rsidR="00F927A1" w:rsidRPr="009D7B6A" w:rsidRDefault="0085230E" w:rsidP="005D3F07">
            <w:pPr>
              <w:overflowPunct/>
              <w:autoSpaceDE/>
              <w:autoSpaceDN/>
              <w:adjustRightInd/>
              <w:ind w:right="-957"/>
              <w:textAlignment w:val="auto"/>
              <w:rPr>
                <w:rFonts w:ascii="Times New Roman" w:hAnsi="Times New Roman" w:cs="Times New Roman"/>
                <w:b/>
                <w:color w:val="auto"/>
                <w:sz w:val="36"/>
                <w:szCs w:val="14"/>
              </w:rPr>
            </w:pPr>
            <w:r w:rsidRPr="009D7B6A">
              <w:rPr>
                <w:rFonts w:ascii="Times New Roman" w:hAnsi="Times New Roman" w:cs="Times New Roman"/>
                <w:b/>
                <w:color w:val="auto"/>
                <w:sz w:val="36"/>
                <w:szCs w:val="14"/>
              </w:rPr>
              <w:t>Learner’s University Registration</w:t>
            </w:r>
            <w:r w:rsidR="00F927A1" w:rsidRPr="009D7B6A">
              <w:rPr>
                <w:rFonts w:ascii="Times New Roman" w:hAnsi="Times New Roman" w:cs="Times New Roman"/>
                <w:b/>
                <w:color w:val="auto"/>
                <w:sz w:val="36"/>
                <w:szCs w:val="14"/>
              </w:rPr>
              <w:t xml:space="preserve"> Number:</w:t>
            </w:r>
            <w:r w:rsidR="009D7B6A">
              <w:rPr>
                <w:rFonts w:ascii="Times New Roman" w:hAnsi="Times New Roman" w:cs="Times New Roman"/>
                <w:b/>
                <w:color w:val="auto"/>
                <w:sz w:val="36"/>
                <w:szCs w:val="14"/>
              </w:rPr>
              <w:t xml:space="preserve"> 2417218</w:t>
            </w:r>
          </w:p>
          <w:p w14:paraId="622FD17A" w14:textId="77777777" w:rsidR="0085230E" w:rsidRPr="009D7B6A" w:rsidRDefault="0085230E" w:rsidP="005D3F07">
            <w:pPr>
              <w:overflowPunct/>
              <w:autoSpaceDE/>
              <w:autoSpaceDN/>
              <w:adjustRightInd/>
              <w:ind w:right="-957"/>
              <w:textAlignment w:val="auto"/>
              <w:rPr>
                <w:rFonts w:ascii="Times New Roman" w:hAnsi="Times New Roman" w:cs="Times New Roman"/>
                <w:b/>
                <w:color w:val="auto"/>
                <w:sz w:val="36"/>
                <w:szCs w:val="14"/>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9D7B6A">
              <w:rPr>
                <w:rFonts w:ascii="Times New Roman" w:hAnsi="Times New Roman" w:cs="Times New Roman"/>
                <w:b/>
                <w:color w:val="auto"/>
                <w:sz w:val="36"/>
                <w:szCs w:val="14"/>
              </w:rPr>
              <w:t xml:space="preserve">Cohort: </w:t>
            </w:r>
            <w:r w:rsidR="0049374F" w:rsidRPr="009D7B6A">
              <w:rPr>
                <w:rFonts w:ascii="Times New Roman" w:hAnsi="Times New Roman" w:cs="Times New Roman"/>
                <w:b/>
                <w:color w:val="auto"/>
                <w:sz w:val="36"/>
                <w:szCs w:val="14"/>
              </w:rPr>
              <w:t>21</w:t>
            </w:r>
            <w:r w:rsidR="00AE6231" w:rsidRPr="009D7B6A">
              <w:rPr>
                <w:rFonts w:ascii="Times New Roman" w:hAnsi="Times New Roman" w:cs="Times New Roman"/>
                <w:b/>
                <w:color w:val="auto"/>
                <w:sz w:val="36"/>
                <w:szCs w:val="14"/>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4F310627" w14:textId="77777777" w:rsidR="00B27D1E" w:rsidRDefault="00B27D1E" w:rsidP="00B27D1E">
            <w:pPr>
              <w:spacing w:line="360" w:lineRule="auto"/>
              <w:jc w:val="both"/>
              <w:rPr>
                <w:sz w:val="24"/>
                <w:szCs w:val="24"/>
              </w:rPr>
            </w:pPr>
            <w:r w:rsidRPr="00B27D1E">
              <w:rPr>
                <w:sz w:val="24"/>
                <w:szCs w:val="24"/>
              </w:rPr>
              <w:t xml:space="preserve">Since qualifying I have been employed within my local authority’s child and family services, predominately working within child protection. Although I have not practiced as a qualified social worker within adult services, I have gained experience within this sector as a student on my second-year placement. These experiences have afforded me with a sound understanding of adult safeguarding, I am familiar with relevant policies and procedures and undertake mandatory Adult Safeguarding training, in line with my local authorities training requirements. </w:t>
            </w:r>
          </w:p>
          <w:p w14:paraId="59DA1D5E" w14:textId="77777777" w:rsidR="00B27D1E" w:rsidRPr="00B27D1E" w:rsidRDefault="00B27D1E" w:rsidP="00B27D1E">
            <w:pPr>
              <w:spacing w:line="360" w:lineRule="auto"/>
              <w:jc w:val="both"/>
              <w:rPr>
                <w:sz w:val="24"/>
                <w:szCs w:val="24"/>
              </w:rPr>
            </w:pPr>
          </w:p>
          <w:p w14:paraId="26C5EACC" w14:textId="77777777" w:rsidR="00B27D1E" w:rsidRDefault="00B27D1E" w:rsidP="00B27D1E">
            <w:pPr>
              <w:spacing w:line="360" w:lineRule="auto"/>
              <w:jc w:val="both"/>
              <w:rPr>
                <w:sz w:val="24"/>
                <w:szCs w:val="24"/>
              </w:rPr>
            </w:pPr>
            <w:r w:rsidRPr="00B27D1E">
              <w:rPr>
                <w:sz w:val="24"/>
                <w:szCs w:val="24"/>
              </w:rPr>
              <w:t>The (</w:t>
            </w:r>
            <w:r w:rsidRPr="00B27D1E">
              <w:rPr>
                <w:i/>
                <w:iCs/>
                <w:sz w:val="24"/>
                <w:szCs w:val="24"/>
              </w:rPr>
              <w:t>Social Services and Well-being (Wales) Act 2014</w:t>
            </w:r>
            <w:r w:rsidRPr="00B27D1E">
              <w:rPr>
                <w:sz w:val="24"/>
                <w:szCs w:val="24"/>
              </w:rPr>
              <w:t>) (</w:t>
            </w:r>
            <w:r w:rsidRPr="00B27D1E">
              <w:rPr>
                <w:i/>
                <w:iCs/>
                <w:sz w:val="24"/>
                <w:szCs w:val="24"/>
              </w:rPr>
              <w:t xml:space="preserve">SWWBA 2014) </w:t>
            </w:r>
            <w:r w:rsidRPr="00B27D1E">
              <w:rPr>
                <w:sz w:val="24"/>
                <w:szCs w:val="24"/>
              </w:rPr>
              <w:t>is a core piece of legislation that underpins safeguarding in Wales and places a duty on local authorities and partner agencies to protect adults who are at risk of abuse or neglect. Welsh Government (2014) outline and detail the five categories of abuse under the (</w:t>
            </w:r>
            <w:r w:rsidRPr="00B27D1E">
              <w:rPr>
                <w:i/>
                <w:iCs/>
                <w:sz w:val="24"/>
                <w:szCs w:val="24"/>
              </w:rPr>
              <w:t xml:space="preserve">SWWBA 2014) </w:t>
            </w:r>
            <w:r w:rsidRPr="00B27D1E">
              <w:rPr>
                <w:sz w:val="24"/>
                <w:szCs w:val="24"/>
              </w:rPr>
              <w:t>and these are physical, sexual, emotional or psychological, financial or material and neglect.  Part 7 of (</w:t>
            </w:r>
            <w:r w:rsidRPr="00B27D1E">
              <w:rPr>
                <w:i/>
                <w:iCs/>
                <w:sz w:val="24"/>
                <w:szCs w:val="24"/>
              </w:rPr>
              <w:t>SSWBA 2014</w:t>
            </w:r>
            <w:r w:rsidRPr="00B27D1E">
              <w:rPr>
                <w:sz w:val="24"/>
                <w:szCs w:val="24"/>
              </w:rPr>
              <w:t xml:space="preserve">) (Welsh Government, 2014) relates to safeguarding and specifically defines an </w:t>
            </w:r>
            <w:r w:rsidRPr="00B27D1E">
              <w:rPr>
                <w:i/>
                <w:iCs/>
                <w:sz w:val="24"/>
                <w:szCs w:val="24"/>
              </w:rPr>
              <w:t>‘adult at risk’ as an adult who is experiencing or at risk of abuse or neglect, has care and support needs, and is unable to protect themselves due to those needs</w:t>
            </w:r>
            <w:r w:rsidRPr="00B27D1E">
              <w:rPr>
                <w:sz w:val="24"/>
                <w:szCs w:val="24"/>
              </w:rPr>
              <w:t xml:space="preserve">.” This places a duty on the local authority to make enquiries when they suspect an adult is at risk and to take the appropriate action. One of these actions could be under Section 127 and the application of an Adult Protection and Supports Order (APSO’s), the main purpose of this order is to protect </w:t>
            </w:r>
            <w:r w:rsidRPr="00B27D1E">
              <w:rPr>
                <w:sz w:val="24"/>
                <w:szCs w:val="24"/>
              </w:rPr>
              <w:lastRenderedPageBreak/>
              <w:t xml:space="preserve">adults who may be unable to speak for themselves and to ensure that their rights and safety are upheld in line with articles 2,3, 5 and 8 of The European Convention of Human Rights (Amnesty Internation UK, n.d.). </w:t>
            </w:r>
          </w:p>
          <w:p w14:paraId="2B756432" w14:textId="77777777" w:rsidR="00B27D1E" w:rsidRPr="00B27D1E" w:rsidRDefault="00B27D1E" w:rsidP="00B27D1E">
            <w:pPr>
              <w:spacing w:line="360" w:lineRule="auto"/>
              <w:jc w:val="both"/>
              <w:rPr>
                <w:sz w:val="24"/>
                <w:szCs w:val="24"/>
              </w:rPr>
            </w:pPr>
          </w:p>
          <w:p w14:paraId="11CD6BC7" w14:textId="77777777" w:rsidR="00B27D1E" w:rsidRPr="00B27D1E" w:rsidRDefault="00B27D1E" w:rsidP="00B27D1E">
            <w:pPr>
              <w:spacing w:line="360" w:lineRule="auto"/>
              <w:jc w:val="both"/>
              <w:rPr>
                <w:sz w:val="24"/>
                <w:szCs w:val="24"/>
              </w:rPr>
            </w:pPr>
            <w:r w:rsidRPr="00B27D1E">
              <w:rPr>
                <w:sz w:val="24"/>
                <w:szCs w:val="24"/>
              </w:rPr>
              <w:t>Accompanying the (</w:t>
            </w:r>
            <w:r w:rsidRPr="00B27D1E">
              <w:rPr>
                <w:i/>
                <w:iCs/>
                <w:sz w:val="24"/>
                <w:szCs w:val="24"/>
              </w:rPr>
              <w:t>Social Services and Well-being (Wales) Act 2014),</w:t>
            </w:r>
            <w:r w:rsidRPr="00B27D1E">
              <w:rPr>
                <w:sz w:val="24"/>
                <w:szCs w:val="24"/>
              </w:rPr>
              <w:t xml:space="preserve"> the Welsh government has published statutory safeguarding guidance called ‘Working together to safeguard people’. This guidance provides clear expectations about the ways in which agencies and professionals should work together to safeguard adults at risk and integrates the legislation throughout (Welsh Government, 2019). </w:t>
            </w:r>
          </w:p>
          <w:p w14:paraId="10AC78B4" w14:textId="77777777" w:rsidR="00B27D1E" w:rsidRPr="00B27D1E" w:rsidRDefault="00B27D1E" w:rsidP="00B27D1E">
            <w:pPr>
              <w:spacing w:line="360" w:lineRule="auto"/>
              <w:jc w:val="both"/>
              <w:rPr>
                <w:sz w:val="24"/>
                <w:szCs w:val="24"/>
              </w:rPr>
            </w:pPr>
            <w:r w:rsidRPr="00B27D1E">
              <w:rPr>
                <w:sz w:val="24"/>
                <w:szCs w:val="24"/>
              </w:rPr>
              <w:t xml:space="preserve">Wales Safeguarding procedures implemented in 2019 across every region in Wales provide practical guidance for all professionals working with adults and children at risk and ensure a consistent approach throughout the country with regional safeguarding boards to improve person centred outcomes (Social Care Wales, 2019). Since the start of this programme, I have needed to make a referral into adult services for a family member that I suspected was an adult at risk and I was able to use the Wales Safeguard Procedures phone app to provide guidance on next steps and follow my local authority’s procedure to refer my concerns. This allowed for a multi-agency approach to have a better understanding on the circumstances. A strong working relationship can prevent needs escalating (Working Together to Safeguard People, 2019) which was the case with this family and a whole family approach was applied.  </w:t>
            </w:r>
          </w:p>
          <w:p w14:paraId="439F48D6" w14:textId="77777777" w:rsidR="00B27D1E" w:rsidRPr="00B27D1E" w:rsidRDefault="00B27D1E" w:rsidP="00B27D1E">
            <w:pPr>
              <w:spacing w:line="360" w:lineRule="auto"/>
              <w:jc w:val="both"/>
              <w:rPr>
                <w:sz w:val="24"/>
                <w:szCs w:val="24"/>
              </w:rPr>
            </w:pPr>
            <w:r w:rsidRPr="00B27D1E">
              <w:rPr>
                <w:sz w:val="24"/>
                <w:szCs w:val="24"/>
              </w:rPr>
              <w:t>Other relevant legislation to consider is the (</w:t>
            </w:r>
            <w:r w:rsidRPr="00B27D1E">
              <w:rPr>
                <w:i/>
                <w:iCs/>
                <w:sz w:val="24"/>
                <w:szCs w:val="24"/>
              </w:rPr>
              <w:t>Mental Capacity Act 2005</w:t>
            </w:r>
            <w:r w:rsidRPr="00B27D1E">
              <w:rPr>
                <w:sz w:val="24"/>
                <w:szCs w:val="24"/>
              </w:rPr>
              <w:t xml:space="preserve">), which protects those over 16 who may lack capacity to make decisions about their care or their lives.  The Act is guided by five key principles, principles 1 to 3 will support the assessment of capacity. Whilst principles 4 and 5 support decision making when capacity is lacking (Social Care Institute for Excellence, 2022). </w:t>
            </w:r>
          </w:p>
          <w:p w14:paraId="50BA2377" w14:textId="77777777" w:rsidR="00B27D1E" w:rsidRPr="00B27D1E" w:rsidRDefault="00B27D1E" w:rsidP="00B27D1E">
            <w:pPr>
              <w:spacing w:line="360" w:lineRule="auto"/>
              <w:jc w:val="both"/>
              <w:rPr>
                <w:sz w:val="24"/>
                <w:szCs w:val="24"/>
              </w:rPr>
            </w:pPr>
          </w:p>
          <w:p w14:paraId="0FEF7163" w14:textId="77777777" w:rsidR="00B27D1E" w:rsidRPr="00B27D1E" w:rsidRDefault="00B27D1E" w:rsidP="00B27D1E">
            <w:pPr>
              <w:spacing w:line="360" w:lineRule="auto"/>
              <w:jc w:val="both"/>
              <w:rPr>
                <w:sz w:val="24"/>
                <w:szCs w:val="24"/>
              </w:rPr>
            </w:pPr>
            <w:r w:rsidRPr="00B27D1E">
              <w:rPr>
                <w:sz w:val="24"/>
                <w:szCs w:val="24"/>
              </w:rPr>
              <w:t>Word count: 548</w:t>
            </w:r>
          </w:p>
          <w:p w14:paraId="0318E819" w14:textId="77777777" w:rsidR="00FC0334" w:rsidRDefault="00FC0334" w:rsidP="00FF7EBB">
            <w:pPr>
              <w:jc w:val="both"/>
              <w:rPr>
                <w:sz w:val="24"/>
                <w:szCs w:val="24"/>
              </w:rPr>
            </w:pPr>
          </w:p>
          <w:p w14:paraId="774095BD" w14:textId="77777777" w:rsidR="00FC0334" w:rsidRDefault="00FC0334" w:rsidP="00FF7EBB">
            <w:pPr>
              <w:jc w:val="both"/>
              <w:rPr>
                <w:sz w:val="24"/>
                <w:szCs w:val="24"/>
              </w:rPr>
            </w:pPr>
          </w:p>
          <w:p w14:paraId="3AF159A9" w14:textId="77777777" w:rsidR="00667163" w:rsidRPr="006108C9" w:rsidRDefault="00667163"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38BF787" w14:textId="77777777" w:rsidR="00FC0334" w:rsidRDefault="00FC0334" w:rsidP="00FC0334">
            <w:pPr>
              <w:jc w:val="both"/>
              <w:rPr>
                <w:sz w:val="24"/>
                <w:szCs w:val="24"/>
              </w:rPr>
            </w:pPr>
          </w:p>
          <w:p w14:paraId="1ECCC13D" w14:textId="77777777" w:rsidR="00CE405B" w:rsidRDefault="00CE405B" w:rsidP="00CE405B">
            <w:pPr>
              <w:spacing w:line="360" w:lineRule="auto"/>
              <w:jc w:val="both"/>
              <w:rPr>
                <w:sz w:val="24"/>
                <w:szCs w:val="24"/>
              </w:rPr>
            </w:pPr>
            <w:r>
              <w:rPr>
                <w:sz w:val="24"/>
                <w:szCs w:val="24"/>
              </w:rPr>
              <w:t>The most obvious and distinguishing difference between safeguarding adults and children lies in the issue of consent and capacity.  Adult safeguarding is governed by the (</w:t>
            </w:r>
            <w:r w:rsidRPr="007C5C98">
              <w:rPr>
                <w:i/>
                <w:iCs/>
                <w:sz w:val="24"/>
                <w:szCs w:val="24"/>
              </w:rPr>
              <w:t>Social Services and Well-being (Wales) Act 2014</w:t>
            </w:r>
            <w:r>
              <w:rPr>
                <w:sz w:val="24"/>
                <w:szCs w:val="24"/>
              </w:rPr>
              <w:t>) (</w:t>
            </w:r>
            <w:r w:rsidRPr="007C5C98">
              <w:rPr>
                <w:i/>
                <w:iCs/>
                <w:sz w:val="24"/>
                <w:szCs w:val="24"/>
              </w:rPr>
              <w:t>SSWBA 2014</w:t>
            </w:r>
            <w:r>
              <w:rPr>
                <w:sz w:val="24"/>
                <w:szCs w:val="24"/>
              </w:rPr>
              <w:t>), which promotes a person-centred approach through its fundamental principles such as voice and control, well-being and co-production. Under Part 7 of (</w:t>
            </w:r>
            <w:r w:rsidRPr="007C5C98">
              <w:rPr>
                <w:i/>
                <w:iCs/>
                <w:sz w:val="24"/>
                <w:szCs w:val="24"/>
              </w:rPr>
              <w:t>SSWBA 2014</w:t>
            </w:r>
            <w:r>
              <w:rPr>
                <w:sz w:val="24"/>
                <w:szCs w:val="24"/>
              </w:rPr>
              <w:t xml:space="preserve">), if an adult is suspected to be at risk, they have the right to decline support or intervention. </w:t>
            </w:r>
            <w:r w:rsidRPr="00372642">
              <w:rPr>
                <w:sz w:val="24"/>
                <w:szCs w:val="24"/>
              </w:rPr>
              <w:t>Adults</w:t>
            </w:r>
            <w:r>
              <w:rPr>
                <w:sz w:val="24"/>
                <w:szCs w:val="24"/>
              </w:rPr>
              <w:t xml:space="preserve"> who are assessed as having mental capacity can refuse safeguarding interventions, even if their decision may result in harm. This principle reflects the legal and ethical stance that adults are presumed to have capacity unless proven otherwise, and their choices must be respected. The Code of Professional Practice (Social Care Wales, 2017) reinforces this by encouraging respect of individuals rights and interests however conflicts with Code 3 and 4 and presents ethical dilemmas for social workers when balancing protection and independence (Hardy, 2017). However, if an adult is assessed as lacking capacity under the (</w:t>
            </w:r>
            <w:r w:rsidRPr="0008027A">
              <w:rPr>
                <w:i/>
                <w:iCs/>
                <w:sz w:val="24"/>
                <w:szCs w:val="24"/>
              </w:rPr>
              <w:t>Mental Capacity Act 2005</w:t>
            </w:r>
            <w:r>
              <w:rPr>
                <w:sz w:val="24"/>
                <w:szCs w:val="24"/>
              </w:rPr>
              <w:t>), the local authority has a duty to act in their best interests. This could mean that, professionals may override the individual’s wishes to ensure their safety and well-being which could include making an application to the Court of Protection under Section 16 (2) of the (</w:t>
            </w:r>
            <w:r w:rsidRPr="0008027A">
              <w:rPr>
                <w:i/>
                <w:iCs/>
                <w:sz w:val="24"/>
                <w:szCs w:val="24"/>
              </w:rPr>
              <w:t>Mental Capacity Act 2005</w:t>
            </w:r>
            <w:r>
              <w:rPr>
                <w:sz w:val="24"/>
                <w:szCs w:val="24"/>
              </w:rPr>
              <w:t xml:space="preserve">) (Safeguarding Wales, n.d.) and must be legally justified. </w:t>
            </w:r>
          </w:p>
          <w:p w14:paraId="0C6221C9" w14:textId="77777777" w:rsidR="00CE405B" w:rsidRDefault="00CE405B" w:rsidP="00CE405B">
            <w:pPr>
              <w:spacing w:line="360" w:lineRule="auto"/>
              <w:jc w:val="both"/>
              <w:rPr>
                <w:sz w:val="24"/>
                <w:szCs w:val="24"/>
              </w:rPr>
            </w:pPr>
          </w:p>
          <w:p w14:paraId="301E09C4" w14:textId="77777777" w:rsidR="00CE405B" w:rsidRDefault="00CE405B" w:rsidP="00CE405B">
            <w:pPr>
              <w:spacing w:line="360" w:lineRule="auto"/>
              <w:jc w:val="both"/>
              <w:rPr>
                <w:sz w:val="24"/>
                <w:szCs w:val="24"/>
              </w:rPr>
            </w:pPr>
            <w:r>
              <w:rPr>
                <w:sz w:val="24"/>
                <w:szCs w:val="24"/>
              </w:rPr>
              <w:t>In contrast, safeguarding children is governed by both the (</w:t>
            </w:r>
            <w:r w:rsidRPr="0008027A">
              <w:rPr>
                <w:i/>
                <w:iCs/>
                <w:sz w:val="24"/>
                <w:szCs w:val="24"/>
              </w:rPr>
              <w:t>Children Act 1989</w:t>
            </w:r>
            <w:r>
              <w:rPr>
                <w:sz w:val="24"/>
                <w:szCs w:val="24"/>
              </w:rPr>
              <w:t>) and the (</w:t>
            </w:r>
            <w:r w:rsidRPr="0008027A">
              <w:rPr>
                <w:i/>
                <w:iCs/>
                <w:sz w:val="24"/>
                <w:szCs w:val="24"/>
              </w:rPr>
              <w:t>Social Services and Well-being (Wales) Act 2014</w:t>
            </w:r>
            <w:r>
              <w:rPr>
                <w:sz w:val="24"/>
                <w:szCs w:val="24"/>
              </w:rPr>
              <w:t>), and the approach differs significantly. When there are concerns that a child is at risk of significant harm, which is the threshold for intervention, the local authority has a duty to investigate child protection enquires under Section 47 of the (</w:t>
            </w:r>
            <w:r w:rsidRPr="0008027A">
              <w:rPr>
                <w:i/>
                <w:iCs/>
                <w:sz w:val="24"/>
                <w:szCs w:val="24"/>
              </w:rPr>
              <w:t>Children Act 1989</w:t>
            </w:r>
            <w:r>
              <w:rPr>
                <w:sz w:val="24"/>
                <w:szCs w:val="24"/>
              </w:rPr>
              <w:t xml:space="preserve">) without requiring parental consent. This is because the welfare of the child is paramount, and professionals have a statutory duty to intervene when necessary to protect children from abuse or neglect. Whilst consent is not a legal requirement, it is considered best practice to seek it where possible to contribute to working in partnership, in line with Wales Safeguarding Procedures (2019) and the Code of Professional Practice which emphasises respectful and collaborative working (Social Care Wales, 2017). </w:t>
            </w:r>
          </w:p>
          <w:p w14:paraId="0B697E6C" w14:textId="77777777" w:rsidR="00CE405B" w:rsidRDefault="00CE405B" w:rsidP="00CE405B">
            <w:pPr>
              <w:spacing w:line="360" w:lineRule="auto"/>
              <w:jc w:val="both"/>
              <w:rPr>
                <w:sz w:val="24"/>
                <w:szCs w:val="24"/>
              </w:rPr>
            </w:pPr>
            <w:r>
              <w:rPr>
                <w:sz w:val="24"/>
                <w:szCs w:val="24"/>
              </w:rPr>
              <w:lastRenderedPageBreak/>
              <w:t>Word count 372</w:t>
            </w:r>
          </w:p>
          <w:p w14:paraId="7214B0BA" w14:textId="77777777" w:rsidR="00CE405B" w:rsidRPr="006108C9" w:rsidRDefault="00CE405B"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altName w:val="Times New Roman"/>
    <w:panose1 w:val="02040503050406030204"/>
    <w:charset w:val="00"/>
    <w:family w:val="roman"/>
    <w:pitch w:val="variable"/>
    <w:sig w:usb0="E00006FF" w:usb1="420024FF" w:usb2="02000000" w:usb3="00000000" w:csb0="0000019F" w:csb1="00000000"/>
  </w:font>
  <w:font w:name="Tahoma">
    <w:altName w:val="Verdan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697"/>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6B7"/>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6716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403"/>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0037"/>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6A"/>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27D1E"/>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05B"/>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9D7B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jodieekelsiee@hotmail.co.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jodie.comley@swansea.gov.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3</TotalTime>
  <Pages>5</Pages>
  <Words>1128</Words>
  <Characters>6262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Jodie Comley</cp:lastModifiedBy>
  <cp:revision>7</cp:revision>
  <cp:lastPrinted>2020-02-11T19:20:00Z</cp:lastPrinted>
  <dcterms:created xsi:type="dcterms:W3CDTF">2025-09-10T15:54:00Z</dcterms:created>
  <dcterms:modified xsi:type="dcterms:W3CDTF">2025-10-05T19:21:00Z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