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B5C52E" w14:textId="77777777" w:rsidR="002C6DE5" w:rsidRPr="00FF103E" w:rsidRDefault="002C6DE5" w:rsidP="002C6DE5">
      <w:pPr>
        <w:pStyle w:val="TableParagraph"/>
        <w:spacing w:before="119"/>
        <w:ind w:right="93"/>
        <w:jc w:val="center"/>
        <w:rPr>
          <w:rStyle w:val="normaltextrun"/>
          <w:shd w:val="clear" w:color="auto" w:fill="FFFFFF"/>
        </w:rPr>
      </w:pPr>
      <w:r w:rsidRPr="00FF103E">
        <w:rPr>
          <w:rStyle w:val="normaltextrun"/>
          <w:shd w:val="clear" w:color="auto" w:fill="FFFFFF"/>
        </w:rPr>
        <w:t>Component 1- Individual Report</w:t>
      </w:r>
    </w:p>
    <w:p w14:paraId="6C5A4548" w14:textId="77777777" w:rsidR="002C6DE5" w:rsidRPr="00FF103E" w:rsidRDefault="002C6DE5" w:rsidP="002C6DE5">
      <w:pPr>
        <w:pStyle w:val="BodyText"/>
        <w:spacing w:before="94" w:line="360" w:lineRule="auto"/>
        <w:ind w:left="1313" w:right="2210" w:hanging="3"/>
        <w:jc w:val="center"/>
        <w:rPr>
          <w:b/>
          <w:bCs/>
          <w:sz w:val="22"/>
          <w:szCs w:val="22"/>
        </w:rPr>
      </w:pPr>
    </w:p>
    <w:p w14:paraId="5E20D79C" w14:textId="77777777" w:rsidR="002C6DE5" w:rsidRPr="00FF103E" w:rsidRDefault="002C6DE5" w:rsidP="002C6DE5">
      <w:pPr>
        <w:pStyle w:val="BodyText"/>
        <w:spacing w:before="94" w:line="360" w:lineRule="auto"/>
        <w:ind w:left="1313" w:right="2210" w:hanging="3"/>
        <w:jc w:val="center"/>
        <w:rPr>
          <w:b/>
          <w:bCs/>
          <w:sz w:val="22"/>
          <w:szCs w:val="22"/>
        </w:rPr>
      </w:pPr>
    </w:p>
    <w:p w14:paraId="2CFC70A3" w14:textId="77777777" w:rsidR="002C6DE5" w:rsidRDefault="002C6DE5" w:rsidP="002C6DE5">
      <w:pPr>
        <w:pStyle w:val="BodyText"/>
        <w:spacing w:before="94" w:line="360" w:lineRule="auto"/>
        <w:ind w:right="2210"/>
        <w:jc w:val="center"/>
        <w:rPr>
          <w:b/>
          <w:bCs/>
          <w:sz w:val="22"/>
          <w:szCs w:val="22"/>
        </w:rPr>
      </w:pPr>
    </w:p>
    <w:p w14:paraId="57BAB3CB" w14:textId="77777777" w:rsidR="00DA7398" w:rsidRDefault="00DA7398" w:rsidP="002C6DE5">
      <w:pPr>
        <w:pStyle w:val="BodyText"/>
        <w:spacing w:before="94" w:line="360" w:lineRule="auto"/>
        <w:ind w:right="2210"/>
        <w:jc w:val="center"/>
        <w:rPr>
          <w:b/>
          <w:bCs/>
          <w:sz w:val="22"/>
          <w:szCs w:val="22"/>
        </w:rPr>
      </w:pPr>
    </w:p>
    <w:p w14:paraId="2E38213D" w14:textId="77777777" w:rsidR="00DA7398" w:rsidRDefault="00DA7398" w:rsidP="002C6DE5">
      <w:pPr>
        <w:pStyle w:val="BodyText"/>
        <w:spacing w:before="94" w:line="360" w:lineRule="auto"/>
        <w:ind w:right="2210"/>
        <w:jc w:val="center"/>
        <w:rPr>
          <w:b/>
          <w:bCs/>
          <w:sz w:val="22"/>
          <w:szCs w:val="22"/>
        </w:rPr>
      </w:pPr>
    </w:p>
    <w:p w14:paraId="0D303791" w14:textId="77777777" w:rsidR="00DA7398" w:rsidRDefault="00DA7398" w:rsidP="002C6DE5">
      <w:pPr>
        <w:pStyle w:val="BodyText"/>
        <w:spacing w:before="94" w:line="360" w:lineRule="auto"/>
        <w:ind w:right="2210"/>
        <w:jc w:val="center"/>
        <w:rPr>
          <w:b/>
          <w:bCs/>
          <w:sz w:val="22"/>
          <w:szCs w:val="22"/>
        </w:rPr>
      </w:pPr>
    </w:p>
    <w:p w14:paraId="0F61AEB7" w14:textId="77777777" w:rsidR="00DA7398" w:rsidRPr="00FF103E" w:rsidRDefault="00DA7398" w:rsidP="002C6DE5">
      <w:pPr>
        <w:pStyle w:val="BodyText"/>
        <w:spacing w:before="94" w:line="360" w:lineRule="auto"/>
        <w:ind w:right="2210"/>
        <w:jc w:val="center"/>
        <w:rPr>
          <w:b/>
          <w:bCs/>
          <w:sz w:val="22"/>
          <w:szCs w:val="22"/>
        </w:rPr>
      </w:pPr>
    </w:p>
    <w:p w14:paraId="6B79E572" w14:textId="77777777" w:rsidR="002C6DE5" w:rsidRPr="00FF103E" w:rsidRDefault="002C6DE5" w:rsidP="002C6DE5">
      <w:pPr>
        <w:pStyle w:val="BodyText"/>
        <w:spacing w:before="94" w:line="360" w:lineRule="auto"/>
        <w:ind w:right="2210"/>
        <w:jc w:val="center"/>
        <w:rPr>
          <w:b/>
          <w:bCs/>
          <w:sz w:val="22"/>
          <w:szCs w:val="22"/>
        </w:rPr>
      </w:pPr>
    </w:p>
    <w:p w14:paraId="3E642426" w14:textId="77777777" w:rsidR="002C6DE5" w:rsidRPr="00FF103E" w:rsidRDefault="002C6DE5" w:rsidP="002C6DE5">
      <w:pPr>
        <w:pStyle w:val="BodyText"/>
        <w:spacing w:before="94" w:line="360" w:lineRule="auto"/>
        <w:ind w:right="2210"/>
        <w:jc w:val="center"/>
        <w:rPr>
          <w:b/>
          <w:bCs/>
          <w:sz w:val="22"/>
          <w:szCs w:val="22"/>
        </w:rPr>
      </w:pPr>
    </w:p>
    <w:p w14:paraId="7A113F17" w14:textId="5B3FB9DB" w:rsidR="002C6DE5" w:rsidRPr="00FF103E" w:rsidRDefault="002C6DE5" w:rsidP="002C6DE5">
      <w:pPr>
        <w:pStyle w:val="BodyText"/>
        <w:spacing w:before="94" w:line="360" w:lineRule="auto"/>
        <w:ind w:left="1313" w:right="2210" w:hanging="3"/>
        <w:jc w:val="center"/>
        <w:rPr>
          <w:b/>
          <w:bCs/>
          <w:sz w:val="22"/>
          <w:szCs w:val="22"/>
        </w:rPr>
      </w:pPr>
      <w:r w:rsidRPr="00FF103E">
        <w:rPr>
          <w:b/>
          <w:bCs/>
          <w:sz w:val="22"/>
          <w:szCs w:val="22"/>
        </w:rPr>
        <w:t>Developing a Sustainable Business Strategy for The Inkey List: Navigating Market Challenges and Leveraging Strategic Growth</w:t>
      </w:r>
    </w:p>
    <w:p w14:paraId="02AE594F" w14:textId="77777777" w:rsidR="002C6DE5" w:rsidRPr="00FF103E" w:rsidRDefault="002C6DE5" w:rsidP="002C6DE5">
      <w:pPr>
        <w:pStyle w:val="BodyText"/>
        <w:spacing w:before="94" w:line="360" w:lineRule="auto"/>
        <w:ind w:left="1313" w:right="2210" w:hanging="3"/>
        <w:rPr>
          <w:sz w:val="22"/>
          <w:szCs w:val="22"/>
        </w:rPr>
      </w:pPr>
    </w:p>
    <w:p w14:paraId="75A4DA3A" w14:textId="77777777" w:rsidR="002C6DE5" w:rsidRPr="00FF103E" w:rsidRDefault="002C6DE5" w:rsidP="002C6DE5">
      <w:pPr>
        <w:pStyle w:val="BodyText"/>
        <w:spacing w:before="94" w:line="360" w:lineRule="auto"/>
        <w:ind w:left="1313" w:right="2210" w:hanging="3"/>
        <w:rPr>
          <w:sz w:val="22"/>
          <w:szCs w:val="22"/>
        </w:rPr>
      </w:pPr>
    </w:p>
    <w:p w14:paraId="5054DB8F" w14:textId="77777777" w:rsidR="002C6DE5" w:rsidRPr="00FF103E" w:rsidRDefault="002C6DE5" w:rsidP="002C6DE5">
      <w:pPr>
        <w:pStyle w:val="BodyText"/>
        <w:spacing w:before="94" w:line="360" w:lineRule="auto"/>
        <w:ind w:left="1313" w:right="2210" w:hanging="3"/>
        <w:rPr>
          <w:sz w:val="22"/>
          <w:szCs w:val="22"/>
        </w:rPr>
      </w:pPr>
    </w:p>
    <w:p w14:paraId="6277CA80" w14:textId="77777777" w:rsidR="002C6DE5" w:rsidRPr="00FF103E" w:rsidRDefault="002C6DE5" w:rsidP="002C6DE5">
      <w:pPr>
        <w:pStyle w:val="BodyText"/>
        <w:spacing w:before="94" w:line="360" w:lineRule="auto"/>
        <w:ind w:left="1313" w:right="2210" w:hanging="3"/>
        <w:rPr>
          <w:sz w:val="22"/>
          <w:szCs w:val="22"/>
        </w:rPr>
      </w:pPr>
    </w:p>
    <w:p w14:paraId="28A06A44" w14:textId="77777777" w:rsidR="002C6DE5" w:rsidRPr="00FF103E" w:rsidRDefault="002C6DE5" w:rsidP="002C6DE5">
      <w:pPr>
        <w:pStyle w:val="BodyText"/>
        <w:spacing w:before="94" w:line="360" w:lineRule="auto"/>
        <w:ind w:left="1313" w:right="2210" w:hanging="3"/>
        <w:rPr>
          <w:sz w:val="22"/>
          <w:szCs w:val="22"/>
        </w:rPr>
      </w:pPr>
    </w:p>
    <w:p w14:paraId="2D197D68" w14:textId="77777777" w:rsidR="002C6DE5" w:rsidRPr="00FF103E" w:rsidRDefault="002C6DE5" w:rsidP="002C6DE5">
      <w:pPr>
        <w:pStyle w:val="BodyText"/>
        <w:spacing w:before="94" w:line="360" w:lineRule="auto"/>
        <w:ind w:left="1313" w:right="2210" w:hanging="3"/>
        <w:rPr>
          <w:sz w:val="22"/>
          <w:szCs w:val="22"/>
        </w:rPr>
      </w:pPr>
    </w:p>
    <w:p w14:paraId="2ACBF719" w14:textId="478B56CB" w:rsidR="002C6DE5" w:rsidRPr="00FF103E" w:rsidRDefault="002C6DE5" w:rsidP="002C6DE5">
      <w:pPr>
        <w:pStyle w:val="BodyText"/>
        <w:spacing w:before="94" w:line="360" w:lineRule="auto"/>
        <w:ind w:left="1313" w:right="2210" w:hanging="3"/>
        <w:jc w:val="center"/>
        <w:rPr>
          <w:sz w:val="22"/>
          <w:szCs w:val="22"/>
          <w:lang w:val="en-GB"/>
        </w:rPr>
      </w:pPr>
      <w:r w:rsidRPr="00FF103E">
        <w:rPr>
          <w:sz w:val="22"/>
          <w:szCs w:val="22"/>
          <w:lang w:val="en-GB"/>
        </w:rPr>
        <w:t>Student Name: Samir Mhanna</w:t>
      </w:r>
    </w:p>
    <w:p w14:paraId="5DB208A4" w14:textId="77B19BAC" w:rsidR="002C6DE5" w:rsidRPr="00FF103E" w:rsidRDefault="002C6DE5" w:rsidP="002C6DE5">
      <w:pPr>
        <w:pStyle w:val="BodyText"/>
        <w:spacing w:before="94" w:line="360" w:lineRule="auto"/>
        <w:ind w:left="1313" w:right="2210" w:hanging="3"/>
        <w:jc w:val="center"/>
        <w:rPr>
          <w:sz w:val="22"/>
          <w:szCs w:val="22"/>
          <w:lang w:val="en-GB"/>
        </w:rPr>
      </w:pPr>
      <w:r w:rsidRPr="00FF103E">
        <w:rPr>
          <w:sz w:val="22"/>
          <w:szCs w:val="22"/>
          <w:lang w:val="en-GB"/>
        </w:rPr>
        <w:t>Student Number: 2119514</w:t>
      </w:r>
    </w:p>
    <w:p w14:paraId="7F5CF27D" w14:textId="0086E729" w:rsidR="002C6DE5" w:rsidRPr="00FF103E" w:rsidRDefault="002C6DE5" w:rsidP="002C6DE5">
      <w:pPr>
        <w:pStyle w:val="BodyText"/>
        <w:spacing w:before="94" w:line="360" w:lineRule="auto"/>
        <w:ind w:left="1313" w:right="2210" w:hanging="3"/>
        <w:jc w:val="center"/>
        <w:rPr>
          <w:sz w:val="22"/>
          <w:szCs w:val="22"/>
        </w:rPr>
      </w:pPr>
      <w:r w:rsidRPr="00FF103E">
        <w:rPr>
          <w:sz w:val="22"/>
          <w:szCs w:val="22"/>
        </w:rPr>
        <w:t xml:space="preserve">Lecturer Name: </w:t>
      </w:r>
      <w:r w:rsidRPr="00FF103E">
        <w:rPr>
          <w:color w:val="1D2125"/>
          <w:sz w:val="22"/>
          <w:szCs w:val="22"/>
          <w:shd w:val="clear" w:color="auto" w:fill="FFFFFF"/>
        </w:rPr>
        <w:t>Abdallah Naser</w:t>
      </w:r>
    </w:p>
    <w:p w14:paraId="7E98D0B3" w14:textId="77F5F918" w:rsidR="002C6DE5" w:rsidRPr="00FF103E" w:rsidRDefault="002C6DE5" w:rsidP="002C6DE5">
      <w:pPr>
        <w:pStyle w:val="BodyText"/>
        <w:spacing w:before="94" w:line="360" w:lineRule="auto"/>
        <w:ind w:left="1313" w:right="2210" w:hanging="3"/>
        <w:jc w:val="center"/>
        <w:rPr>
          <w:sz w:val="22"/>
          <w:szCs w:val="22"/>
        </w:rPr>
      </w:pPr>
      <w:r w:rsidRPr="00FF103E">
        <w:rPr>
          <w:sz w:val="22"/>
          <w:szCs w:val="22"/>
        </w:rPr>
        <w:t>Strategic Management for SMEs</w:t>
      </w:r>
    </w:p>
    <w:p w14:paraId="7F77DBC0" w14:textId="71A0474A" w:rsidR="002C6DE5" w:rsidRPr="00FF103E" w:rsidRDefault="002C6DE5" w:rsidP="002C6DE5">
      <w:pPr>
        <w:pStyle w:val="BodyText"/>
        <w:spacing w:before="94" w:line="360" w:lineRule="auto"/>
        <w:ind w:left="1313" w:right="2210" w:hanging="3"/>
        <w:jc w:val="center"/>
        <w:rPr>
          <w:sz w:val="22"/>
          <w:szCs w:val="22"/>
          <w:lang w:val="en-GB"/>
        </w:rPr>
      </w:pPr>
      <w:r w:rsidRPr="00FF103E">
        <w:rPr>
          <w:sz w:val="22"/>
          <w:szCs w:val="22"/>
        </w:rPr>
        <w:t>Module Code: (</w:t>
      </w:r>
      <w:r w:rsidRPr="00FF103E">
        <w:rPr>
          <w:color w:val="222222"/>
          <w:sz w:val="22"/>
          <w:szCs w:val="22"/>
          <w:shd w:val="clear" w:color="auto" w:fill="FFFFFF"/>
        </w:rPr>
        <w:t>BMSW6104</w:t>
      </w:r>
      <w:r w:rsidRPr="00FF103E">
        <w:rPr>
          <w:sz w:val="22"/>
          <w:szCs w:val="22"/>
        </w:rPr>
        <w:t>)</w:t>
      </w:r>
    </w:p>
    <w:p w14:paraId="34365268" w14:textId="77777777" w:rsidR="002C6DE5" w:rsidRPr="00FF103E" w:rsidRDefault="002C6DE5" w:rsidP="002C6DE5">
      <w:pPr>
        <w:pStyle w:val="BodyText"/>
        <w:spacing w:before="94"/>
        <w:ind w:left="1313" w:right="2210" w:hanging="3"/>
        <w:jc w:val="center"/>
        <w:rPr>
          <w:sz w:val="22"/>
          <w:szCs w:val="22"/>
        </w:rPr>
      </w:pPr>
    </w:p>
    <w:p w14:paraId="23042AC9" w14:textId="77777777" w:rsidR="002C6DE5" w:rsidRPr="00FF103E" w:rsidRDefault="002C6DE5" w:rsidP="002C6DE5">
      <w:pPr>
        <w:pStyle w:val="BodyText"/>
        <w:spacing w:before="94" w:line="360" w:lineRule="auto"/>
        <w:ind w:left="1313" w:right="2210" w:hanging="3"/>
        <w:rPr>
          <w:spacing w:val="-4"/>
          <w:sz w:val="22"/>
          <w:szCs w:val="22"/>
        </w:rPr>
      </w:pPr>
    </w:p>
    <w:p w14:paraId="71EA340A" w14:textId="77777777" w:rsidR="002C6DE5" w:rsidRPr="00FF103E" w:rsidRDefault="002C6DE5" w:rsidP="002C6DE5">
      <w:pPr>
        <w:pStyle w:val="BodyText"/>
        <w:spacing w:before="94" w:line="360" w:lineRule="auto"/>
        <w:ind w:left="1313" w:right="2210" w:hanging="3"/>
        <w:rPr>
          <w:spacing w:val="-4"/>
          <w:sz w:val="22"/>
          <w:szCs w:val="22"/>
        </w:rPr>
      </w:pPr>
    </w:p>
    <w:p w14:paraId="7C2ADE46" w14:textId="77777777" w:rsidR="002C6DE5" w:rsidRPr="00FF103E" w:rsidRDefault="002C6DE5" w:rsidP="002C6DE5">
      <w:pPr>
        <w:pStyle w:val="BodyText"/>
        <w:spacing w:before="94" w:line="360" w:lineRule="auto"/>
        <w:ind w:left="1313" w:right="2210" w:hanging="3"/>
        <w:rPr>
          <w:spacing w:val="-4"/>
          <w:sz w:val="22"/>
          <w:szCs w:val="22"/>
        </w:rPr>
      </w:pPr>
    </w:p>
    <w:p w14:paraId="31153A47" w14:textId="77777777" w:rsidR="002C6DE5" w:rsidRDefault="002C6DE5" w:rsidP="002C6DE5">
      <w:pPr>
        <w:pStyle w:val="BodyText"/>
        <w:spacing w:before="94" w:line="360" w:lineRule="auto"/>
        <w:ind w:left="1313" w:right="2210" w:hanging="3"/>
        <w:rPr>
          <w:spacing w:val="-4"/>
          <w:sz w:val="22"/>
          <w:szCs w:val="22"/>
        </w:rPr>
      </w:pPr>
    </w:p>
    <w:p w14:paraId="2C451FCA" w14:textId="23F1DCC8" w:rsidR="00B435FF" w:rsidRPr="00FF103E" w:rsidRDefault="002C6DE5" w:rsidP="002C6DE5">
      <w:pPr>
        <w:pStyle w:val="BodyText"/>
        <w:spacing w:before="94" w:line="360" w:lineRule="auto"/>
        <w:ind w:left="1313" w:right="2210" w:hanging="3"/>
        <w:jc w:val="center"/>
        <w:rPr>
          <w:spacing w:val="-4"/>
          <w:sz w:val="22"/>
          <w:szCs w:val="22"/>
        </w:rPr>
      </w:pPr>
      <w:r w:rsidRPr="00FF103E">
        <w:rPr>
          <w:spacing w:val="-4"/>
          <w:sz w:val="22"/>
          <w:szCs w:val="22"/>
        </w:rPr>
        <w:t>2024</w:t>
      </w:r>
    </w:p>
    <w:p w14:paraId="043F8137" w14:textId="77777777" w:rsidR="00B435FF" w:rsidRPr="00FF103E" w:rsidRDefault="00B435FF" w:rsidP="00B435FF">
      <w:pPr>
        <w:spacing w:line="360" w:lineRule="auto"/>
        <w:rPr>
          <w:rFonts w:ascii="Arial" w:hAnsi="Arial" w:cs="Arial"/>
          <w:sz w:val="22"/>
          <w:szCs w:val="22"/>
        </w:rPr>
      </w:pPr>
    </w:p>
    <w:sdt>
      <w:sdtPr>
        <w:rPr>
          <w:rFonts w:ascii="Arial" w:eastAsiaTheme="minorEastAsia" w:hAnsi="Arial" w:cs="Arial"/>
          <w:color w:val="auto"/>
          <w:kern w:val="2"/>
          <w:sz w:val="22"/>
          <w:szCs w:val="22"/>
          <w:lang w:val="en-GB" w:eastAsia="zh-CN"/>
        </w:rPr>
        <w:id w:val="-1074264962"/>
        <w:docPartObj>
          <w:docPartGallery w:val="Table of Contents"/>
          <w:docPartUnique/>
        </w:docPartObj>
      </w:sdtPr>
      <w:sdtEndPr>
        <w:rPr>
          <w:b/>
          <w:bCs/>
          <w:noProof/>
        </w:rPr>
      </w:sdtEndPr>
      <w:sdtContent>
        <w:p w14:paraId="3C41D4F3" w14:textId="0198DA57" w:rsidR="00E125E7" w:rsidRPr="00FF103E" w:rsidRDefault="00E125E7">
          <w:pPr>
            <w:pStyle w:val="TOCHeading"/>
            <w:rPr>
              <w:rFonts w:ascii="Arial" w:hAnsi="Arial" w:cs="Arial"/>
              <w:sz w:val="22"/>
              <w:szCs w:val="22"/>
            </w:rPr>
          </w:pPr>
          <w:r w:rsidRPr="00FF103E">
            <w:rPr>
              <w:rFonts w:ascii="Arial" w:hAnsi="Arial" w:cs="Arial"/>
              <w:sz w:val="22"/>
              <w:szCs w:val="22"/>
            </w:rPr>
            <w:t>Contents</w:t>
          </w:r>
        </w:p>
        <w:p w14:paraId="493338CB" w14:textId="55307364" w:rsidR="00DA7398" w:rsidRDefault="00E125E7">
          <w:pPr>
            <w:pStyle w:val="TOC1"/>
            <w:tabs>
              <w:tab w:val="right" w:leader="dot" w:pos="9016"/>
            </w:tabs>
            <w:rPr>
              <w:noProof/>
            </w:rPr>
          </w:pPr>
          <w:r w:rsidRPr="00FF103E">
            <w:rPr>
              <w:rFonts w:ascii="Arial" w:hAnsi="Arial" w:cs="Arial"/>
              <w:sz w:val="22"/>
              <w:szCs w:val="22"/>
            </w:rPr>
            <w:fldChar w:fldCharType="begin"/>
          </w:r>
          <w:r w:rsidRPr="00FF103E">
            <w:rPr>
              <w:rFonts w:ascii="Arial" w:hAnsi="Arial" w:cs="Arial"/>
              <w:sz w:val="22"/>
              <w:szCs w:val="22"/>
            </w:rPr>
            <w:instrText xml:space="preserve"> TOC \o "1-3" \h \z \u </w:instrText>
          </w:r>
          <w:r w:rsidRPr="00FF103E">
            <w:rPr>
              <w:rFonts w:ascii="Arial" w:hAnsi="Arial" w:cs="Arial"/>
              <w:sz w:val="22"/>
              <w:szCs w:val="22"/>
            </w:rPr>
            <w:fldChar w:fldCharType="separate"/>
          </w:r>
          <w:hyperlink w:anchor="_Toc171279038" w:history="1">
            <w:r w:rsidR="00DA7398" w:rsidRPr="003B5934">
              <w:rPr>
                <w:rStyle w:val="Hyperlink"/>
                <w:rFonts w:ascii="Arial" w:hAnsi="Arial" w:cs="Arial"/>
                <w:noProof/>
              </w:rPr>
              <w:t>Introduction</w:t>
            </w:r>
            <w:r w:rsidR="00DA7398">
              <w:rPr>
                <w:noProof/>
                <w:webHidden/>
              </w:rPr>
              <w:tab/>
            </w:r>
            <w:r w:rsidR="00DA7398">
              <w:rPr>
                <w:noProof/>
                <w:webHidden/>
              </w:rPr>
              <w:fldChar w:fldCharType="begin"/>
            </w:r>
            <w:r w:rsidR="00DA7398">
              <w:rPr>
                <w:noProof/>
                <w:webHidden/>
              </w:rPr>
              <w:instrText xml:space="preserve"> PAGEREF _Toc171279038 \h </w:instrText>
            </w:r>
            <w:r w:rsidR="00DA7398">
              <w:rPr>
                <w:noProof/>
                <w:webHidden/>
              </w:rPr>
            </w:r>
            <w:r w:rsidR="00DA7398">
              <w:rPr>
                <w:noProof/>
                <w:webHidden/>
              </w:rPr>
              <w:fldChar w:fldCharType="separate"/>
            </w:r>
            <w:r w:rsidR="00DA7398">
              <w:rPr>
                <w:noProof/>
                <w:webHidden/>
              </w:rPr>
              <w:t>3</w:t>
            </w:r>
            <w:r w:rsidR="00DA7398">
              <w:rPr>
                <w:noProof/>
                <w:webHidden/>
              </w:rPr>
              <w:fldChar w:fldCharType="end"/>
            </w:r>
          </w:hyperlink>
        </w:p>
        <w:p w14:paraId="4D16B197" w14:textId="2D2E0FB4" w:rsidR="00DA7398" w:rsidRDefault="00DA7398">
          <w:pPr>
            <w:pStyle w:val="TOC1"/>
            <w:tabs>
              <w:tab w:val="right" w:leader="dot" w:pos="9016"/>
            </w:tabs>
            <w:rPr>
              <w:noProof/>
            </w:rPr>
          </w:pPr>
          <w:hyperlink w:anchor="_Toc171279039" w:history="1">
            <w:r w:rsidRPr="003B5934">
              <w:rPr>
                <w:rStyle w:val="Hyperlink"/>
                <w:rFonts w:ascii="Arial" w:hAnsi="Arial" w:cs="Arial"/>
                <w:noProof/>
              </w:rPr>
              <w:t>1. Current Strategic Direction of The Inkey List</w:t>
            </w:r>
            <w:r>
              <w:rPr>
                <w:noProof/>
                <w:webHidden/>
              </w:rPr>
              <w:tab/>
            </w:r>
            <w:r>
              <w:rPr>
                <w:noProof/>
                <w:webHidden/>
              </w:rPr>
              <w:fldChar w:fldCharType="begin"/>
            </w:r>
            <w:r>
              <w:rPr>
                <w:noProof/>
                <w:webHidden/>
              </w:rPr>
              <w:instrText xml:space="preserve"> PAGEREF _Toc171279039 \h </w:instrText>
            </w:r>
            <w:r>
              <w:rPr>
                <w:noProof/>
                <w:webHidden/>
              </w:rPr>
            </w:r>
            <w:r>
              <w:rPr>
                <w:noProof/>
                <w:webHidden/>
              </w:rPr>
              <w:fldChar w:fldCharType="separate"/>
            </w:r>
            <w:r>
              <w:rPr>
                <w:noProof/>
                <w:webHidden/>
              </w:rPr>
              <w:t>4</w:t>
            </w:r>
            <w:r>
              <w:rPr>
                <w:noProof/>
                <w:webHidden/>
              </w:rPr>
              <w:fldChar w:fldCharType="end"/>
            </w:r>
          </w:hyperlink>
        </w:p>
        <w:p w14:paraId="7AA7DE18" w14:textId="19C02C76" w:rsidR="00DA7398" w:rsidRDefault="00DA7398">
          <w:pPr>
            <w:pStyle w:val="TOC2"/>
            <w:tabs>
              <w:tab w:val="right" w:leader="dot" w:pos="9016"/>
            </w:tabs>
            <w:rPr>
              <w:noProof/>
            </w:rPr>
          </w:pPr>
          <w:hyperlink w:anchor="_Toc171279040" w:history="1">
            <w:r w:rsidRPr="003B5934">
              <w:rPr>
                <w:rStyle w:val="Hyperlink"/>
                <w:rFonts w:ascii="Arial" w:hAnsi="Arial" w:cs="Arial"/>
                <w:noProof/>
              </w:rPr>
              <w:t>1.1 Overview and History</w:t>
            </w:r>
            <w:r>
              <w:rPr>
                <w:noProof/>
                <w:webHidden/>
              </w:rPr>
              <w:tab/>
            </w:r>
            <w:r>
              <w:rPr>
                <w:noProof/>
                <w:webHidden/>
              </w:rPr>
              <w:fldChar w:fldCharType="begin"/>
            </w:r>
            <w:r>
              <w:rPr>
                <w:noProof/>
                <w:webHidden/>
              </w:rPr>
              <w:instrText xml:space="preserve"> PAGEREF _Toc171279040 \h </w:instrText>
            </w:r>
            <w:r>
              <w:rPr>
                <w:noProof/>
                <w:webHidden/>
              </w:rPr>
            </w:r>
            <w:r>
              <w:rPr>
                <w:noProof/>
                <w:webHidden/>
              </w:rPr>
              <w:fldChar w:fldCharType="separate"/>
            </w:r>
            <w:r>
              <w:rPr>
                <w:noProof/>
                <w:webHidden/>
              </w:rPr>
              <w:t>4</w:t>
            </w:r>
            <w:r>
              <w:rPr>
                <w:noProof/>
                <w:webHidden/>
              </w:rPr>
              <w:fldChar w:fldCharType="end"/>
            </w:r>
          </w:hyperlink>
        </w:p>
        <w:p w14:paraId="150042AC" w14:textId="336DA840" w:rsidR="00DA7398" w:rsidRDefault="00DA7398">
          <w:pPr>
            <w:pStyle w:val="TOC2"/>
            <w:tabs>
              <w:tab w:val="right" w:leader="dot" w:pos="9016"/>
            </w:tabs>
            <w:rPr>
              <w:noProof/>
            </w:rPr>
          </w:pPr>
          <w:hyperlink w:anchor="_Toc171279041" w:history="1">
            <w:r w:rsidRPr="003B5934">
              <w:rPr>
                <w:rStyle w:val="Hyperlink"/>
                <w:rFonts w:ascii="Arial" w:hAnsi="Arial" w:cs="Arial"/>
                <w:noProof/>
              </w:rPr>
              <w:t>1.2 Vision and Strategic Alignment</w:t>
            </w:r>
            <w:r>
              <w:rPr>
                <w:noProof/>
                <w:webHidden/>
              </w:rPr>
              <w:tab/>
            </w:r>
            <w:r>
              <w:rPr>
                <w:noProof/>
                <w:webHidden/>
              </w:rPr>
              <w:fldChar w:fldCharType="begin"/>
            </w:r>
            <w:r>
              <w:rPr>
                <w:noProof/>
                <w:webHidden/>
              </w:rPr>
              <w:instrText xml:space="preserve"> PAGEREF _Toc171279041 \h </w:instrText>
            </w:r>
            <w:r>
              <w:rPr>
                <w:noProof/>
                <w:webHidden/>
              </w:rPr>
            </w:r>
            <w:r>
              <w:rPr>
                <w:noProof/>
                <w:webHidden/>
              </w:rPr>
              <w:fldChar w:fldCharType="separate"/>
            </w:r>
            <w:r>
              <w:rPr>
                <w:noProof/>
                <w:webHidden/>
              </w:rPr>
              <w:t>4</w:t>
            </w:r>
            <w:r>
              <w:rPr>
                <w:noProof/>
                <w:webHidden/>
              </w:rPr>
              <w:fldChar w:fldCharType="end"/>
            </w:r>
          </w:hyperlink>
        </w:p>
        <w:p w14:paraId="460A6F04" w14:textId="199ECF4C" w:rsidR="00DA7398" w:rsidRDefault="00DA7398">
          <w:pPr>
            <w:pStyle w:val="TOC2"/>
            <w:tabs>
              <w:tab w:val="right" w:leader="dot" w:pos="9016"/>
            </w:tabs>
            <w:rPr>
              <w:noProof/>
            </w:rPr>
          </w:pPr>
          <w:hyperlink w:anchor="_Toc171279042" w:history="1">
            <w:r w:rsidRPr="003B5934">
              <w:rPr>
                <w:rStyle w:val="Hyperlink"/>
                <w:rFonts w:ascii="Arial" w:hAnsi="Arial" w:cs="Arial"/>
                <w:noProof/>
              </w:rPr>
              <w:t>1.3 Strategic Objectives and Actions</w:t>
            </w:r>
            <w:r>
              <w:rPr>
                <w:noProof/>
                <w:webHidden/>
              </w:rPr>
              <w:tab/>
            </w:r>
            <w:r>
              <w:rPr>
                <w:noProof/>
                <w:webHidden/>
              </w:rPr>
              <w:fldChar w:fldCharType="begin"/>
            </w:r>
            <w:r>
              <w:rPr>
                <w:noProof/>
                <w:webHidden/>
              </w:rPr>
              <w:instrText xml:space="preserve"> PAGEREF _Toc171279042 \h </w:instrText>
            </w:r>
            <w:r>
              <w:rPr>
                <w:noProof/>
                <w:webHidden/>
              </w:rPr>
            </w:r>
            <w:r>
              <w:rPr>
                <w:noProof/>
                <w:webHidden/>
              </w:rPr>
              <w:fldChar w:fldCharType="separate"/>
            </w:r>
            <w:r>
              <w:rPr>
                <w:noProof/>
                <w:webHidden/>
              </w:rPr>
              <w:t>4</w:t>
            </w:r>
            <w:r>
              <w:rPr>
                <w:noProof/>
                <w:webHidden/>
              </w:rPr>
              <w:fldChar w:fldCharType="end"/>
            </w:r>
          </w:hyperlink>
        </w:p>
        <w:p w14:paraId="1951BE94" w14:textId="4504DF0B" w:rsidR="00DA7398" w:rsidRDefault="00DA7398">
          <w:pPr>
            <w:pStyle w:val="TOC2"/>
            <w:tabs>
              <w:tab w:val="right" w:leader="dot" w:pos="9016"/>
            </w:tabs>
            <w:rPr>
              <w:noProof/>
            </w:rPr>
          </w:pPr>
          <w:hyperlink w:anchor="_Toc171279043" w:history="1">
            <w:r w:rsidRPr="003B5934">
              <w:rPr>
                <w:rStyle w:val="Hyperlink"/>
                <w:rFonts w:ascii="Arial" w:hAnsi="Arial" w:cs="Arial"/>
                <w:noProof/>
              </w:rPr>
              <w:t>1.4 Resource Utilization</w:t>
            </w:r>
            <w:r>
              <w:rPr>
                <w:noProof/>
                <w:webHidden/>
              </w:rPr>
              <w:tab/>
            </w:r>
            <w:r>
              <w:rPr>
                <w:noProof/>
                <w:webHidden/>
              </w:rPr>
              <w:fldChar w:fldCharType="begin"/>
            </w:r>
            <w:r>
              <w:rPr>
                <w:noProof/>
                <w:webHidden/>
              </w:rPr>
              <w:instrText xml:space="preserve"> PAGEREF _Toc171279043 \h </w:instrText>
            </w:r>
            <w:r>
              <w:rPr>
                <w:noProof/>
                <w:webHidden/>
              </w:rPr>
            </w:r>
            <w:r>
              <w:rPr>
                <w:noProof/>
                <w:webHidden/>
              </w:rPr>
              <w:fldChar w:fldCharType="separate"/>
            </w:r>
            <w:r>
              <w:rPr>
                <w:noProof/>
                <w:webHidden/>
              </w:rPr>
              <w:t>5</w:t>
            </w:r>
            <w:r>
              <w:rPr>
                <w:noProof/>
                <w:webHidden/>
              </w:rPr>
              <w:fldChar w:fldCharType="end"/>
            </w:r>
          </w:hyperlink>
        </w:p>
        <w:p w14:paraId="7008EA3C" w14:textId="64E76B43" w:rsidR="00DA7398" w:rsidRDefault="00DA7398">
          <w:pPr>
            <w:pStyle w:val="TOC2"/>
            <w:tabs>
              <w:tab w:val="right" w:leader="dot" w:pos="9016"/>
            </w:tabs>
            <w:rPr>
              <w:noProof/>
            </w:rPr>
          </w:pPr>
          <w:hyperlink w:anchor="_Toc171279044" w:history="1">
            <w:r w:rsidRPr="003B5934">
              <w:rPr>
                <w:rStyle w:val="Hyperlink"/>
                <w:rFonts w:ascii="Arial" w:hAnsi="Arial" w:cs="Arial"/>
                <w:noProof/>
              </w:rPr>
              <w:t>1.5 Strategic Implementation in Operations</w:t>
            </w:r>
            <w:r>
              <w:rPr>
                <w:noProof/>
                <w:webHidden/>
              </w:rPr>
              <w:tab/>
            </w:r>
            <w:r>
              <w:rPr>
                <w:noProof/>
                <w:webHidden/>
              </w:rPr>
              <w:fldChar w:fldCharType="begin"/>
            </w:r>
            <w:r>
              <w:rPr>
                <w:noProof/>
                <w:webHidden/>
              </w:rPr>
              <w:instrText xml:space="preserve"> PAGEREF _Toc171279044 \h </w:instrText>
            </w:r>
            <w:r>
              <w:rPr>
                <w:noProof/>
                <w:webHidden/>
              </w:rPr>
            </w:r>
            <w:r>
              <w:rPr>
                <w:noProof/>
                <w:webHidden/>
              </w:rPr>
              <w:fldChar w:fldCharType="separate"/>
            </w:r>
            <w:r>
              <w:rPr>
                <w:noProof/>
                <w:webHidden/>
              </w:rPr>
              <w:t>5</w:t>
            </w:r>
            <w:r>
              <w:rPr>
                <w:noProof/>
                <w:webHidden/>
              </w:rPr>
              <w:fldChar w:fldCharType="end"/>
            </w:r>
          </w:hyperlink>
        </w:p>
        <w:p w14:paraId="210F0206" w14:textId="47E69CBE" w:rsidR="00DA7398" w:rsidRDefault="00DA7398">
          <w:pPr>
            <w:pStyle w:val="TOC2"/>
            <w:tabs>
              <w:tab w:val="right" w:leader="dot" w:pos="9016"/>
            </w:tabs>
            <w:rPr>
              <w:noProof/>
            </w:rPr>
          </w:pPr>
          <w:hyperlink w:anchor="_Toc171279045" w:history="1">
            <w:r w:rsidRPr="003B5934">
              <w:rPr>
                <w:rStyle w:val="Hyperlink"/>
                <w:rFonts w:ascii="Arial" w:hAnsi="Arial" w:cs="Arial"/>
                <w:noProof/>
              </w:rPr>
              <w:t>1.6 Maximizing Organizational Value</w:t>
            </w:r>
            <w:r>
              <w:rPr>
                <w:noProof/>
                <w:webHidden/>
              </w:rPr>
              <w:tab/>
            </w:r>
            <w:r>
              <w:rPr>
                <w:noProof/>
                <w:webHidden/>
              </w:rPr>
              <w:fldChar w:fldCharType="begin"/>
            </w:r>
            <w:r>
              <w:rPr>
                <w:noProof/>
                <w:webHidden/>
              </w:rPr>
              <w:instrText xml:space="preserve"> PAGEREF _Toc171279045 \h </w:instrText>
            </w:r>
            <w:r>
              <w:rPr>
                <w:noProof/>
                <w:webHidden/>
              </w:rPr>
            </w:r>
            <w:r>
              <w:rPr>
                <w:noProof/>
                <w:webHidden/>
              </w:rPr>
              <w:fldChar w:fldCharType="separate"/>
            </w:r>
            <w:r>
              <w:rPr>
                <w:noProof/>
                <w:webHidden/>
              </w:rPr>
              <w:t>5</w:t>
            </w:r>
            <w:r>
              <w:rPr>
                <w:noProof/>
                <w:webHidden/>
              </w:rPr>
              <w:fldChar w:fldCharType="end"/>
            </w:r>
          </w:hyperlink>
        </w:p>
        <w:p w14:paraId="57CD6E54" w14:textId="1218FA2E" w:rsidR="00DA7398" w:rsidRDefault="00DA7398">
          <w:pPr>
            <w:pStyle w:val="TOC1"/>
            <w:tabs>
              <w:tab w:val="right" w:leader="dot" w:pos="9016"/>
            </w:tabs>
            <w:rPr>
              <w:noProof/>
            </w:rPr>
          </w:pPr>
          <w:hyperlink w:anchor="_Toc171279046" w:history="1">
            <w:r w:rsidRPr="003B5934">
              <w:rPr>
                <w:rStyle w:val="Hyperlink"/>
                <w:rFonts w:ascii="Arial" w:hAnsi="Arial" w:cs="Arial"/>
                <w:noProof/>
              </w:rPr>
              <w:t>2. Environmental Analysis</w:t>
            </w:r>
            <w:r>
              <w:rPr>
                <w:noProof/>
                <w:webHidden/>
              </w:rPr>
              <w:tab/>
            </w:r>
            <w:r>
              <w:rPr>
                <w:noProof/>
                <w:webHidden/>
              </w:rPr>
              <w:fldChar w:fldCharType="begin"/>
            </w:r>
            <w:r>
              <w:rPr>
                <w:noProof/>
                <w:webHidden/>
              </w:rPr>
              <w:instrText xml:space="preserve"> PAGEREF _Toc171279046 \h </w:instrText>
            </w:r>
            <w:r>
              <w:rPr>
                <w:noProof/>
                <w:webHidden/>
              </w:rPr>
            </w:r>
            <w:r>
              <w:rPr>
                <w:noProof/>
                <w:webHidden/>
              </w:rPr>
              <w:fldChar w:fldCharType="separate"/>
            </w:r>
            <w:r>
              <w:rPr>
                <w:noProof/>
                <w:webHidden/>
              </w:rPr>
              <w:t>6</w:t>
            </w:r>
            <w:r>
              <w:rPr>
                <w:noProof/>
                <w:webHidden/>
              </w:rPr>
              <w:fldChar w:fldCharType="end"/>
            </w:r>
          </w:hyperlink>
        </w:p>
        <w:p w14:paraId="7F0E77A9" w14:textId="4833BADA" w:rsidR="00DA7398" w:rsidRDefault="00DA7398">
          <w:pPr>
            <w:pStyle w:val="TOC2"/>
            <w:tabs>
              <w:tab w:val="right" w:leader="dot" w:pos="9016"/>
            </w:tabs>
            <w:rPr>
              <w:noProof/>
            </w:rPr>
          </w:pPr>
          <w:hyperlink w:anchor="_Toc171279047" w:history="1">
            <w:r w:rsidRPr="003B5934">
              <w:rPr>
                <w:rStyle w:val="Hyperlink"/>
                <w:rFonts w:ascii="Arial" w:hAnsi="Arial" w:cs="Arial"/>
                <w:noProof/>
              </w:rPr>
              <w:t>2.1 External Environment Analysis using PESTLE</w:t>
            </w:r>
            <w:r>
              <w:rPr>
                <w:noProof/>
                <w:webHidden/>
              </w:rPr>
              <w:tab/>
            </w:r>
            <w:r>
              <w:rPr>
                <w:noProof/>
                <w:webHidden/>
              </w:rPr>
              <w:fldChar w:fldCharType="begin"/>
            </w:r>
            <w:r>
              <w:rPr>
                <w:noProof/>
                <w:webHidden/>
              </w:rPr>
              <w:instrText xml:space="preserve"> PAGEREF _Toc171279047 \h </w:instrText>
            </w:r>
            <w:r>
              <w:rPr>
                <w:noProof/>
                <w:webHidden/>
              </w:rPr>
            </w:r>
            <w:r>
              <w:rPr>
                <w:noProof/>
                <w:webHidden/>
              </w:rPr>
              <w:fldChar w:fldCharType="separate"/>
            </w:r>
            <w:r>
              <w:rPr>
                <w:noProof/>
                <w:webHidden/>
              </w:rPr>
              <w:t>6</w:t>
            </w:r>
            <w:r>
              <w:rPr>
                <w:noProof/>
                <w:webHidden/>
              </w:rPr>
              <w:fldChar w:fldCharType="end"/>
            </w:r>
          </w:hyperlink>
        </w:p>
        <w:p w14:paraId="691184DB" w14:textId="40EE9262" w:rsidR="00DA7398" w:rsidRDefault="00DA7398">
          <w:pPr>
            <w:pStyle w:val="TOC2"/>
            <w:tabs>
              <w:tab w:val="right" w:leader="dot" w:pos="9016"/>
            </w:tabs>
            <w:rPr>
              <w:noProof/>
            </w:rPr>
          </w:pPr>
          <w:hyperlink w:anchor="_Toc171279048" w:history="1">
            <w:r w:rsidRPr="003B5934">
              <w:rPr>
                <w:rStyle w:val="Hyperlink"/>
                <w:rFonts w:ascii="Arial" w:hAnsi="Arial" w:cs="Arial"/>
                <w:noProof/>
              </w:rPr>
              <w:t>2.2 Internal Environment Analysis using SWOT</w:t>
            </w:r>
            <w:r>
              <w:rPr>
                <w:noProof/>
                <w:webHidden/>
              </w:rPr>
              <w:tab/>
            </w:r>
            <w:r>
              <w:rPr>
                <w:noProof/>
                <w:webHidden/>
              </w:rPr>
              <w:fldChar w:fldCharType="begin"/>
            </w:r>
            <w:r>
              <w:rPr>
                <w:noProof/>
                <w:webHidden/>
              </w:rPr>
              <w:instrText xml:space="preserve"> PAGEREF _Toc171279048 \h </w:instrText>
            </w:r>
            <w:r>
              <w:rPr>
                <w:noProof/>
                <w:webHidden/>
              </w:rPr>
            </w:r>
            <w:r>
              <w:rPr>
                <w:noProof/>
                <w:webHidden/>
              </w:rPr>
              <w:fldChar w:fldCharType="separate"/>
            </w:r>
            <w:r>
              <w:rPr>
                <w:noProof/>
                <w:webHidden/>
              </w:rPr>
              <w:t>7</w:t>
            </w:r>
            <w:r>
              <w:rPr>
                <w:noProof/>
                <w:webHidden/>
              </w:rPr>
              <w:fldChar w:fldCharType="end"/>
            </w:r>
          </w:hyperlink>
        </w:p>
        <w:p w14:paraId="6022A624" w14:textId="71064CBC" w:rsidR="00DA7398" w:rsidRDefault="00DA7398">
          <w:pPr>
            <w:pStyle w:val="TOC2"/>
            <w:tabs>
              <w:tab w:val="right" w:leader="dot" w:pos="9016"/>
            </w:tabs>
            <w:rPr>
              <w:noProof/>
            </w:rPr>
          </w:pPr>
          <w:hyperlink w:anchor="_Toc171279049" w:history="1">
            <w:r w:rsidRPr="003B5934">
              <w:rPr>
                <w:rStyle w:val="Hyperlink"/>
                <w:rFonts w:ascii="Arial" w:hAnsi="Arial" w:cs="Arial"/>
                <w:noProof/>
              </w:rPr>
              <w:t>2.3 Integration of PESTLE and SWOT Findings</w:t>
            </w:r>
            <w:r>
              <w:rPr>
                <w:noProof/>
                <w:webHidden/>
              </w:rPr>
              <w:tab/>
            </w:r>
            <w:r>
              <w:rPr>
                <w:noProof/>
                <w:webHidden/>
              </w:rPr>
              <w:fldChar w:fldCharType="begin"/>
            </w:r>
            <w:r>
              <w:rPr>
                <w:noProof/>
                <w:webHidden/>
              </w:rPr>
              <w:instrText xml:space="preserve"> PAGEREF _Toc171279049 \h </w:instrText>
            </w:r>
            <w:r>
              <w:rPr>
                <w:noProof/>
                <w:webHidden/>
              </w:rPr>
            </w:r>
            <w:r>
              <w:rPr>
                <w:noProof/>
                <w:webHidden/>
              </w:rPr>
              <w:fldChar w:fldCharType="separate"/>
            </w:r>
            <w:r>
              <w:rPr>
                <w:noProof/>
                <w:webHidden/>
              </w:rPr>
              <w:t>8</w:t>
            </w:r>
            <w:r>
              <w:rPr>
                <w:noProof/>
                <w:webHidden/>
              </w:rPr>
              <w:fldChar w:fldCharType="end"/>
            </w:r>
          </w:hyperlink>
        </w:p>
        <w:p w14:paraId="2C4C9217" w14:textId="07C007E4" w:rsidR="00DA7398" w:rsidRDefault="00DA7398">
          <w:pPr>
            <w:pStyle w:val="TOC1"/>
            <w:tabs>
              <w:tab w:val="right" w:leader="dot" w:pos="9016"/>
            </w:tabs>
            <w:rPr>
              <w:noProof/>
            </w:rPr>
          </w:pPr>
          <w:hyperlink w:anchor="_Toc171279050" w:history="1">
            <w:r w:rsidRPr="003B5934">
              <w:rPr>
                <w:rStyle w:val="Hyperlink"/>
                <w:rFonts w:ascii="Arial" w:hAnsi="Arial" w:cs="Arial"/>
                <w:noProof/>
              </w:rPr>
              <w:t>3. Stakeholder Analysis</w:t>
            </w:r>
            <w:r>
              <w:rPr>
                <w:noProof/>
                <w:webHidden/>
              </w:rPr>
              <w:tab/>
            </w:r>
            <w:r>
              <w:rPr>
                <w:noProof/>
                <w:webHidden/>
              </w:rPr>
              <w:fldChar w:fldCharType="begin"/>
            </w:r>
            <w:r>
              <w:rPr>
                <w:noProof/>
                <w:webHidden/>
              </w:rPr>
              <w:instrText xml:space="preserve"> PAGEREF _Toc171279050 \h </w:instrText>
            </w:r>
            <w:r>
              <w:rPr>
                <w:noProof/>
                <w:webHidden/>
              </w:rPr>
            </w:r>
            <w:r>
              <w:rPr>
                <w:noProof/>
                <w:webHidden/>
              </w:rPr>
              <w:fldChar w:fldCharType="separate"/>
            </w:r>
            <w:r>
              <w:rPr>
                <w:noProof/>
                <w:webHidden/>
              </w:rPr>
              <w:t>9</w:t>
            </w:r>
            <w:r>
              <w:rPr>
                <w:noProof/>
                <w:webHidden/>
              </w:rPr>
              <w:fldChar w:fldCharType="end"/>
            </w:r>
          </w:hyperlink>
        </w:p>
        <w:p w14:paraId="108D3C1F" w14:textId="5C5C7D83" w:rsidR="00DA7398" w:rsidRDefault="00DA7398">
          <w:pPr>
            <w:pStyle w:val="TOC2"/>
            <w:tabs>
              <w:tab w:val="right" w:leader="dot" w:pos="9016"/>
            </w:tabs>
            <w:rPr>
              <w:noProof/>
            </w:rPr>
          </w:pPr>
          <w:hyperlink w:anchor="_Toc171279051" w:history="1">
            <w:r w:rsidRPr="003B5934">
              <w:rPr>
                <w:rStyle w:val="Hyperlink"/>
                <w:rFonts w:ascii="Arial" w:hAnsi="Arial" w:cs="Arial"/>
                <w:noProof/>
              </w:rPr>
              <w:t>3.1 Identification of Key Stakeholders</w:t>
            </w:r>
            <w:r>
              <w:rPr>
                <w:noProof/>
                <w:webHidden/>
              </w:rPr>
              <w:tab/>
            </w:r>
            <w:r>
              <w:rPr>
                <w:noProof/>
                <w:webHidden/>
              </w:rPr>
              <w:fldChar w:fldCharType="begin"/>
            </w:r>
            <w:r>
              <w:rPr>
                <w:noProof/>
                <w:webHidden/>
              </w:rPr>
              <w:instrText xml:space="preserve"> PAGEREF _Toc171279051 \h </w:instrText>
            </w:r>
            <w:r>
              <w:rPr>
                <w:noProof/>
                <w:webHidden/>
              </w:rPr>
            </w:r>
            <w:r>
              <w:rPr>
                <w:noProof/>
                <w:webHidden/>
              </w:rPr>
              <w:fldChar w:fldCharType="separate"/>
            </w:r>
            <w:r>
              <w:rPr>
                <w:noProof/>
                <w:webHidden/>
              </w:rPr>
              <w:t>9</w:t>
            </w:r>
            <w:r>
              <w:rPr>
                <w:noProof/>
                <w:webHidden/>
              </w:rPr>
              <w:fldChar w:fldCharType="end"/>
            </w:r>
          </w:hyperlink>
        </w:p>
        <w:p w14:paraId="15483AD8" w14:textId="21C38D66" w:rsidR="00DA7398" w:rsidRDefault="00DA7398">
          <w:pPr>
            <w:pStyle w:val="TOC2"/>
            <w:tabs>
              <w:tab w:val="right" w:leader="dot" w:pos="9016"/>
            </w:tabs>
            <w:rPr>
              <w:noProof/>
            </w:rPr>
          </w:pPr>
          <w:hyperlink w:anchor="_Toc171279052" w:history="1">
            <w:r w:rsidRPr="003B5934">
              <w:rPr>
                <w:rStyle w:val="Hyperlink"/>
                <w:rFonts w:ascii="Arial" w:hAnsi="Arial" w:cs="Arial"/>
                <w:noProof/>
              </w:rPr>
              <w:t>3.2 Analysis of Stakeholders' Expectations and Relative Power</w:t>
            </w:r>
            <w:r>
              <w:rPr>
                <w:noProof/>
                <w:webHidden/>
              </w:rPr>
              <w:tab/>
            </w:r>
            <w:r>
              <w:rPr>
                <w:noProof/>
                <w:webHidden/>
              </w:rPr>
              <w:fldChar w:fldCharType="begin"/>
            </w:r>
            <w:r>
              <w:rPr>
                <w:noProof/>
                <w:webHidden/>
              </w:rPr>
              <w:instrText xml:space="preserve"> PAGEREF _Toc171279052 \h </w:instrText>
            </w:r>
            <w:r>
              <w:rPr>
                <w:noProof/>
                <w:webHidden/>
              </w:rPr>
            </w:r>
            <w:r>
              <w:rPr>
                <w:noProof/>
                <w:webHidden/>
              </w:rPr>
              <w:fldChar w:fldCharType="separate"/>
            </w:r>
            <w:r>
              <w:rPr>
                <w:noProof/>
                <w:webHidden/>
              </w:rPr>
              <w:t>9</w:t>
            </w:r>
            <w:r>
              <w:rPr>
                <w:noProof/>
                <w:webHidden/>
              </w:rPr>
              <w:fldChar w:fldCharType="end"/>
            </w:r>
          </w:hyperlink>
        </w:p>
        <w:p w14:paraId="0F06322F" w14:textId="67870BB6" w:rsidR="00DA7398" w:rsidRDefault="00DA7398">
          <w:pPr>
            <w:pStyle w:val="TOC2"/>
            <w:tabs>
              <w:tab w:val="right" w:leader="dot" w:pos="9016"/>
            </w:tabs>
            <w:rPr>
              <w:noProof/>
            </w:rPr>
          </w:pPr>
          <w:hyperlink w:anchor="_Toc171279053" w:history="1">
            <w:r w:rsidRPr="003B5934">
              <w:rPr>
                <w:rStyle w:val="Hyperlink"/>
                <w:rFonts w:ascii="Arial" w:hAnsi="Arial" w:cs="Arial"/>
                <w:noProof/>
              </w:rPr>
              <w:t>3.3 Addressing Stakeholder Interests Sustainably Through the New Strategy</w:t>
            </w:r>
            <w:r>
              <w:rPr>
                <w:noProof/>
                <w:webHidden/>
              </w:rPr>
              <w:tab/>
            </w:r>
            <w:r>
              <w:rPr>
                <w:noProof/>
                <w:webHidden/>
              </w:rPr>
              <w:fldChar w:fldCharType="begin"/>
            </w:r>
            <w:r>
              <w:rPr>
                <w:noProof/>
                <w:webHidden/>
              </w:rPr>
              <w:instrText xml:space="preserve"> PAGEREF _Toc171279053 \h </w:instrText>
            </w:r>
            <w:r>
              <w:rPr>
                <w:noProof/>
                <w:webHidden/>
              </w:rPr>
            </w:r>
            <w:r>
              <w:rPr>
                <w:noProof/>
                <w:webHidden/>
              </w:rPr>
              <w:fldChar w:fldCharType="separate"/>
            </w:r>
            <w:r>
              <w:rPr>
                <w:noProof/>
                <w:webHidden/>
              </w:rPr>
              <w:t>10</w:t>
            </w:r>
            <w:r>
              <w:rPr>
                <w:noProof/>
                <w:webHidden/>
              </w:rPr>
              <w:fldChar w:fldCharType="end"/>
            </w:r>
          </w:hyperlink>
        </w:p>
        <w:p w14:paraId="7BBFF403" w14:textId="28DD5A6F" w:rsidR="00DA7398" w:rsidRDefault="00DA7398">
          <w:pPr>
            <w:pStyle w:val="TOC1"/>
            <w:tabs>
              <w:tab w:val="right" w:leader="dot" w:pos="9016"/>
            </w:tabs>
            <w:rPr>
              <w:noProof/>
            </w:rPr>
          </w:pPr>
          <w:hyperlink w:anchor="_Toc171279054" w:history="1">
            <w:r w:rsidRPr="003B5934">
              <w:rPr>
                <w:rStyle w:val="Hyperlink"/>
                <w:rFonts w:ascii="Arial" w:hAnsi="Arial" w:cs="Arial"/>
                <w:noProof/>
              </w:rPr>
              <w:t>4. Strategic Growth Choices and New Strategy Proposal</w:t>
            </w:r>
            <w:r>
              <w:rPr>
                <w:noProof/>
                <w:webHidden/>
              </w:rPr>
              <w:tab/>
            </w:r>
            <w:r>
              <w:rPr>
                <w:noProof/>
                <w:webHidden/>
              </w:rPr>
              <w:fldChar w:fldCharType="begin"/>
            </w:r>
            <w:r>
              <w:rPr>
                <w:noProof/>
                <w:webHidden/>
              </w:rPr>
              <w:instrText xml:space="preserve"> PAGEREF _Toc171279054 \h </w:instrText>
            </w:r>
            <w:r>
              <w:rPr>
                <w:noProof/>
                <w:webHidden/>
              </w:rPr>
            </w:r>
            <w:r>
              <w:rPr>
                <w:noProof/>
                <w:webHidden/>
              </w:rPr>
              <w:fldChar w:fldCharType="separate"/>
            </w:r>
            <w:r>
              <w:rPr>
                <w:noProof/>
                <w:webHidden/>
              </w:rPr>
              <w:t>11</w:t>
            </w:r>
            <w:r>
              <w:rPr>
                <w:noProof/>
                <w:webHidden/>
              </w:rPr>
              <w:fldChar w:fldCharType="end"/>
            </w:r>
          </w:hyperlink>
        </w:p>
        <w:p w14:paraId="0E01071C" w14:textId="30E537BE" w:rsidR="00DA7398" w:rsidRDefault="00DA7398">
          <w:pPr>
            <w:pStyle w:val="TOC2"/>
            <w:tabs>
              <w:tab w:val="right" w:leader="dot" w:pos="9016"/>
            </w:tabs>
            <w:rPr>
              <w:noProof/>
            </w:rPr>
          </w:pPr>
          <w:hyperlink w:anchor="_Toc171279055" w:history="1">
            <w:r w:rsidRPr="003B5934">
              <w:rPr>
                <w:rStyle w:val="Hyperlink"/>
                <w:rFonts w:ascii="Arial" w:hAnsi="Arial" w:cs="Arial"/>
                <w:noProof/>
              </w:rPr>
              <w:t>4.1 Application of Ansoff Matrix</w:t>
            </w:r>
            <w:r>
              <w:rPr>
                <w:noProof/>
                <w:webHidden/>
              </w:rPr>
              <w:tab/>
            </w:r>
            <w:r>
              <w:rPr>
                <w:noProof/>
                <w:webHidden/>
              </w:rPr>
              <w:fldChar w:fldCharType="begin"/>
            </w:r>
            <w:r>
              <w:rPr>
                <w:noProof/>
                <w:webHidden/>
              </w:rPr>
              <w:instrText xml:space="preserve"> PAGEREF _Toc171279055 \h </w:instrText>
            </w:r>
            <w:r>
              <w:rPr>
                <w:noProof/>
                <w:webHidden/>
              </w:rPr>
            </w:r>
            <w:r>
              <w:rPr>
                <w:noProof/>
                <w:webHidden/>
              </w:rPr>
              <w:fldChar w:fldCharType="separate"/>
            </w:r>
            <w:r>
              <w:rPr>
                <w:noProof/>
                <w:webHidden/>
              </w:rPr>
              <w:t>11</w:t>
            </w:r>
            <w:r>
              <w:rPr>
                <w:noProof/>
                <w:webHidden/>
              </w:rPr>
              <w:fldChar w:fldCharType="end"/>
            </w:r>
          </w:hyperlink>
        </w:p>
        <w:p w14:paraId="587A85ED" w14:textId="6B13A093" w:rsidR="00DA7398" w:rsidRDefault="00DA7398">
          <w:pPr>
            <w:pStyle w:val="TOC2"/>
            <w:tabs>
              <w:tab w:val="right" w:leader="dot" w:pos="9016"/>
            </w:tabs>
            <w:rPr>
              <w:noProof/>
            </w:rPr>
          </w:pPr>
          <w:hyperlink w:anchor="_Toc171279056" w:history="1">
            <w:r w:rsidRPr="003B5934">
              <w:rPr>
                <w:rStyle w:val="Hyperlink"/>
                <w:rFonts w:ascii="Arial" w:hAnsi="Arial" w:cs="Arial"/>
                <w:noProof/>
              </w:rPr>
              <w:t>4.2 Proposal of a New Long-term Strategy</w:t>
            </w:r>
            <w:r>
              <w:rPr>
                <w:noProof/>
                <w:webHidden/>
              </w:rPr>
              <w:tab/>
            </w:r>
            <w:r>
              <w:rPr>
                <w:noProof/>
                <w:webHidden/>
              </w:rPr>
              <w:fldChar w:fldCharType="begin"/>
            </w:r>
            <w:r>
              <w:rPr>
                <w:noProof/>
                <w:webHidden/>
              </w:rPr>
              <w:instrText xml:space="preserve"> PAGEREF _Toc171279056 \h </w:instrText>
            </w:r>
            <w:r>
              <w:rPr>
                <w:noProof/>
                <w:webHidden/>
              </w:rPr>
            </w:r>
            <w:r>
              <w:rPr>
                <w:noProof/>
                <w:webHidden/>
              </w:rPr>
              <w:fldChar w:fldCharType="separate"/>
            </w:r>
            <w:r>
              <w:rPr>
                <w:noProof/>
                <w:webHidden/>
              </w:rPr>
              <w:t>12</w:t>
            </w:r>
            <w:r>
              <w:rPr>
                <w:noProof/>
                <w:webHidden/>
              </w:rPr>
              <w:fldChar w:fldCharType="end"/>
            </w:r>
          </w:hyperlink>
        </w:p>
        <w:p w14:paraId="6F70BD3F" w14:textId="05A1A887" w:rsidR="00DA7398" w:rsidRDefault="00DA7398">
          <w:pPr>
            <w:pStyle w:val="TOC2"/>
            <w:tabs>
              <w:tab w:val="right" w:leader="dot" w:pos="9016"/>
            </w:tabs>
            <w:rPr>
              <w:noProof/>
            </w:rPr>
          </w:pPr>
          <w:hyperlink w:anchor="_Toc171279057" w:history="1">
            <w:r w:rsidRPr="003B5934">
              <w:rPr>
                <w:rStyle w:val="Hyperlink"/>
                <w:rFonts w:ascii="Arial" w:hAnsi="Arial" w:cs="Arial"/>
                <w:noProof/>
              </w:rPr>
              <w:t>4.3 Justification of the New Strategy’s Sustainability and Competitiveness</w:t>
            </w:r>
            <w:r>
              <w:rPr>
                <w:noProof/>
                <w:webHidden/>
              </w:rPr>
              <w:tab/>
            </w:r>
            <w:r>
              <w:rPr>
                <w:noProof/>
                <w:webHidden/>
              </w:rPr>
              <w:fldChar w:fldCharType="begin"/>
            </w:r>
            <w:r>
              <w:rPr>
                <w:noProof/>
                <w:webHidden/>
              </w:rPr>
              <w:instrText xml:space="preserve"> PAGEREF _Toc171279057 \h </w:instrText>
            </w:r>
            <w:r>
              <w:rPr>
                <w:noProof/>
                <w:webHidden/>
              </w:rPr>
            </w:r>
            <w:r>
              <w:rPr>
                <w:noProof/>
                <w:webHidden/>
              </w:rPr>
              <w:fldChar w:fldCharType="separate"/>
            </w:r>
            <w:r>
              <w:rPr>
                <w:noProof/>
                <w:webHidden/>
              </w:rPr>
              <w:t>12</w:t>
            </w:r>
            <w:r>
              <w:rPr>
                <w:noProof/>
                <w:webHidden/>
              </w:rPr>
              <w:fldChar w:fldCharType="end"/>
            </w:r>
          </w:hyperlink>
        </w:p>
        <w:p w14:paraId="53190628" w14:textId="75F2AA89" w:rsidR="00DA7398" w:rsidRDefault="00DA7398">
          <w:pPr>
            <w:pStyle w:val="TOC1"/>
            <w:tabs>
              <w:tab w:val="right" w:leader="dot" w:pos="9016"/>
            </w:tabs>
            <w:rPr>
              <w:noProof/>
            </w:rPr>
          </w:pPr>
          <w:hyperlink w:anchor="_Toc171279058" w:history="1">
            <w:r w:rsidRPr="003B5934">
              <w:rPr>
                <w:rStyle w:val="Hyperlink"/>
                <w:rFonts w:ascii="Arial" w:hAnsi="Arial" w:cs="Arial"/>
                <w:noProof/>
              </w:rPr>
              <w:t>5. Key Strategic Recommendations for The Inkey List</w:t>
            </w:r>
            <w:r>
              <w:rPr>
                <w:noProof/>
                <w:webHidden/>
              </w:rPr>
              <w:tab/>
            </w:r>
            <w:r>
              <w:rPr>
                <w:noProof/>
                <w:webHidden/>
              </w:rPr>
              <w:fldChar w:fldCharType="begin"/>
            </w:r>
            <w:r>
              <w:rPr>
                <w:noProof/>
                <w:webHidden/>
              </w:rPr>
              <w:instrText xml:space="preserve"> PAGEREF _Toc171279058 \h </w:instrText>
            </w:r>
            <w:r>
              <w:rPr>
                <w:noProof/>
                <w:webHidden/>
              </w:rPr>
            </w:r>
            <w:r>
              <w:rPr>
                <w:noProof/>
                <w:webHidden/>
              </w:rPr>
              <w:fldChar w:fldCharType="separate"/>
            </w:r>
            <w:r>
              <w:rPr>
                <w:noProof/>
                <w:webHidden/>
              </w:rPr>
              <w:t>13</w:t>
            </w:r>
            <w:r>
              <w:rPr>
                <w:noProof/>
                <w:webHidden/>
              </w:rPr>
              <w:fldChar w:fldCharType="end"/>
            </w:r>
          </w:hyperlink>
        </w:p>
        <w:p w14:paraId="020E1882" w14:textId="4F114870" w:rsidR="00DA7398" w:rsidRDefault="00DA7398">
          <w:pPr>
            <w:pStyle w:val="TOC2"/>
            <w:tabs>
              <w:tab w:val="right" w:leader="dot" w:pos="9016"/>
            </w:tabs>
            <w:rPr>
              <w:noProof/>
            </w:rPr>
          </w:pPr>
          <w:hyperlink w:anchor="_Toc171279059" w:history="1">
            <w:r w:rsidRPr="003B5934">
              <w:rPr>
                <w:rStyle w:val="Hyperlink"/>
                <w:rFonts w:ascii="Arial" w:hAnsi="Arial" w:cs="Arial"/>
                <w:noProof/>
              </w:rPr>
              <w:t>5.1 Strengthening Research and Development (R&amp;D)</w:t>
            </w:r>
            <w:r>
              <w:rPr>
                <w:noProof/>
                <w:webHidden/>
              </w:rPr>
              <w:tab/>
            </w:r>
            <w:r>
              <w:rPr>
                <w:noProof/>
                <w:webHidden/>
              </w:rPr>
              <w:fldChar w:fldCharType="begin"/>
            </w:r>
            <w:r>
              <w:rPr>
                <w:noProof/>
                <w:webHidden/>
              </w:rPr>
              <w:instrText xml:space="preserve"> PAGEREF _Toc171279059 \h </w:instrText>
            </w:r>
            <w:r>
              <w:rPr>
                <w:noProof/>
                <w:webHidden/>
              </w:rPr>
            </w:r>
            <w:r>
              <w:rPr>
                <w:noProof/>
                <w:webHidden/>
              </w:rPr>
              <w:fldChar w:fldCharType="separate"/>
            </w:r>
            <w:r>
              <w:rPr>
                <w:noProof/>
                <w:webHidden/>
              </w:rPr>
              <w:t>13</w:t>
            </w:r>
            <w:r>
              <w:rPr>
                <w:noProof/>
                <w:webHidden/>
              </w:rPr>
              <w:fldChar w:fldCharType="end"/>
            </w:r>
          </w:hyperlink>
        </w:p>
        <w:p w14:paraId="71CEDCE2" w14:textId="0D9DE94A" w:rsidR="00DA7398" w:rsidRDefault="00DA7398">
          <w:pPr>
            <w:pStyle w:val="TOC2"/>
            <w:tabs>
              <w:tab w:val="right" w:leader="dot" w:pos="9016"/>
            </w:tabs>
            <w:rPr>
              <w:noProof/>
            </w:rPr>
          </w:pPr>
          <w:hyperlink w:anchor="_Toc171279060" w:history="1">
            <w:r w:rsidRPr="003B5934">
              <w:rPr>
                <w:rStyle w:val="Hyperlink"/>
                <w:rFonts w:ascii="Arial" w:hAnsi="Arial" w:cs="Arial"/>
                <w:noProof/>
              </w:rPr>
              <w:t>5.2 Enhancing Digital Transformation</w:t>
            </w:r>
            <w:r>
              <w:rPr>
                <w:noProof/>
                <w:webHidden/>
              </w:rPr>
              <w:tab/>
            </w:r>
            <w:r>
              <w:rPr>
                <w:noProof/>
                <w:webHidden/>
              </w:rPr>
              <w:fldChar w:fldCharType="begin"/>
            </w:r>
            <w:r>
              <w:rPr>
                <w:noProof/>
                <w:webHidden/>
              </w:rPr>
              <w:instrText xml:space="preserve"> PAGEREF _Toc171279060 \h </w:instrText>
            </w:r>
            <w:r>
              <w:rPr>
                <w:noProof/>
                <w:webHidden/>
              </w:rPr>
            </w:r>
            <w:r>
              <w:rPr>
                <w:noProof/>
                <w:webHidden/>
              </w:rPr>
              <w:fldChar w:fldCharType="separate"/>
            </w:r>
            <w:r>
              <w:rPr>
                <w:noProof/>
                <w:webHidden/>
              </w:rPr>
              <w:t>13</w:t>
            </w:r>
            <w:r>
              <w:rPr>
                <w:noProof/>
                <w:webHidden/>
              </w:rPr>
              <w:fldChar w:fldCharType="end"/>
            </w:r>
          </w:hyperlink>
        </w:p>
        <w:p w14:paraId="27FCCA02" w14:textId="44C5BE54" w:rsidR="00DA7398" w:rsidRDefault="00DA7398">
          <w:pPr>
            <w:pStyle w:val="TOC2"/>
            <w:tabs>
              <w:tab w:val="right" w:leader="dot" w:pos="9016"/>
            </w:tabs>
            <w:rPr>
              <w:noProof/>
            </w:rPr>
          </w:pPr>
          <w:hyperlink w:anchor="_Toc171279061" w:history="1">
            <w:r w:rsidRPr="003B5934">
              <w:rPr>
                <w:rStyle w:val="Hyperlink"/>
                <w:rFonts w:ascii="Arial" w:hAnsi="Arial" w:cs="Arial"/>
                <w:noProof/>
              </w:rPr>
              <w:t>5.3 Expanding Market Presence</w:t>
            </w:r>
            <w:r>
              <w:rPr>
                <w:noProof/>
                <w:webHidden/>
              </w:rPr>
              <w:tab/>
            </w:r>
            <w:r>
              <w:rPr>
                <w:noProof/>
                <w:webHidden/>
              </w:rPr>
              <w:fldChar w:fldCharType="begin"/>
            </w:r>
            <w:r>
              <w:rPr>
                <w:noProof/>
                <w:webHidden/>
              </w:rPr>
              <w:instrText xml:space="preserve"> PAGEREF _Toc171279061 \h </w:instrText>
            </w:r>
            <w:r>
              <w:rPr>
                <w:noProof/>
                <w:webHidden/>
              </w:rPr>
            </w:r>
            <w:r>
              <w:rPr>
                <w:noProof/>
                <w:webHidden/>
              </w:rPr>
              <w:fldChar w:fldCharType="separate"/>
            </w:r>
            <w:r>
              <w:rPr>
                <w:noProof/>
                <w:webHidden/>
              </w:rPr>
              <w:t>14</w:t>
            </w:r>
            <w:r>
              <w:rPr>
                <w:noProof/>
                <w:webHidden/>
              </w:rPr>
              <w:fldChar w:fldCharType="end"/>
            </w:r>
          </w:hyperlink>
        </w:p>
        <w:p w14:paraId="27DE7B88" w14:textId="685D1A50" w:rsidR="00DA7398" w:rsidRDefault="00DA7398">
          <w:pPr>
            <w:pStyle w:val="TOC2"/>
            <w:tabs>
              <w:tab w:val="right" w:leader="dot" w:pos="9016"/>
            </w:tabs>
            <w:rPr>
              <w:noProof/>
            </w:rPr>
          </w:pPr>
          <w:hyperlink w:anchor="_Toc171279062" w:history="1">
            <w:r w:rsidRPr="003B5934">
              <w:rPr>
                <w:rStyle w:val="Hyperlink"/>
                <w:rFonts w:ascii="Arial" w:hAnsi="Arial" w:cs="Arial"/>
                <w:noProof/>
              </w:rPr>
              <w:t>5.4 Emphasizing Sustainability Practices</w:t>
            </w:r>
            <w:r>
              <w:rPr>
                <w:noProof/>
                <w:webHidden/>
              </w:rPr>
              <w:tab/>
            </w:r>
            <w:r>
              <w:rPr>
                <w:noProof/>
                <w:webHidden/>
              </w:rPr>
              <w:fldChar w:fldCharType="begin"/>
            </w:r>
            <w:r>
              <w:rPr>
                <w:noProof/>
                <w:webHidden/>
              </w:rPr>
              <w:instrText xml:space="preserve"> PAGEREF _Toc171279062 \h </w:instrText>
            </w:r>
            <w:r>
              <w:rPr>
                <w:noProof/>
                <w:webHidden/>
              </w:rPr>
            </w:r>
            <w:r>
              <w:rPr>
                <w:noProof/>
                <w:webHidden/>
              </w:rPr>
              <w:fldChar w:fldCharType="separate"/>
            </w:r>
            <w:r>
              <w:rPr>
                <w:noProof/>
                <w:webHidden/>
              </w:rPr>
              <w:t>14</w:t>
            </w:r>
            <w:r>
              <w:rPr>
                <w:noProof/>
                <w:webHidden/>
              </w:rPr>
              <w:fldChar w:fldCharType="end"/>
            </w:r>
          </w:hyperlink>
        </w:p>
        <w:p w14:paraId="1D35CADA" w14:textId="376CDE88" w:rsidR="00DA7398" w:rsidRDefault="00DA7398">
          <w:pPr>
            <w:pStyle w:val="TOC2"/>
            <w:tabs>
              <w:tab w:val="right" w:leader="dot" w:pos="9016"/>
            </w:tabs>
            <w:rPr>
              <w:noProof/>
            </w:rPr>
          </w:pPr>
          <w:hyperlink w:anchor="_Toc171279063" w:history="1">
            <w:r w:rsidRPr="003B5934">
              <w:rPr>
                <w:rStyle w:val="Hyperlink"/>
                <w:rFonts w:ascii="Arial" w:hAnsi="Arial" w:cs="Arial"/>
                <w:noProof/>
              </w:rPr>
              <w:t>5.5 Strengthening Stakeholder Engagement</w:t>
            </w:r>
            <w:r>
              <w:rPr>
                <w:noProof/>
                <w:webHidden/>
              </w:rPr>
              <w:tab/>
            </w:r>
            <w:r>
              <w:rPr>
                <w:noProof/>
                <w:webHidden/>
              </w:rPr>
              <w:fldChar w:fldCharType="begin"/>
            </w:r>
            <w:r>
              <w:rPr>
                <w:noProof/>
                <w:webHidden/>
              </w:rPr>
              <w:instrText xml:space="preserve"> PAGEREF _Toc171279063 \h </w:instrText>
            </w:r>
            <w:r>
              <w:rPr>
                <w:noProof/>
                <w:webHidden/>
              </w:rPr>
            </w:r>
            <w:r>
              <w:rPr>
                <w:noProof/>
                <w:webHidden/>
              </w:rPr>
              <w:fldChar w:fldCharType="separate"/>
            </w:r>
            <w:r>
              <w:rPr>
                <w:noProof/>
                <w:webHidden/>
              </w:rPr>
              <w:t>14</w:t>
            </w:r>
            <w:r>
              <w:rPr>
                <w:noProof/>
                <w:webHidden/>
              </w:rPr>
              <w:fldChar w:fldCharType="end"/>
            </w:r>
          </w:hyperlink>
        </w:p>
        <w:p w14:paraId="33B3DABF" w14:textId="788BB3B0" w:rsidR="00DA7398" w:rsidRDefault="00DA7398">
          <w:pPr>
            <w:pStyle w:val="TOC2"/>
            <w:tabs>
              <w:tab w:val="right" w:leader="dot" w:pos="9016"/>
            </w:tabs>
            <w:rPr>
              <w:noProof/>
            </w:rPr>
          </w:pPr>
          <w:hyperlink w:anchor="_Toc171279064" w:history="1">
            <w:r w:rsidRPr="003B5934">
              <w:rPr>
                <w:rStyle w:val="Hyperlink"/>
                <w:rFonts w:ascii="Arial" w:hAnsi="Arial" w:cs="Arial"/>
                <w:noProof/>
              </w:rPr>
              <w:t>5.6 Navigating Regulatory Compliance</w:t>
            </w:r>
            <w:r>
              <w:rPr>
                <w:noProof/>
                <w:webHidden/>
              </w:rPr>
              <w:tab/>
            </w:r>
            <w:r>
              <w:rPr>
                <w:noProof/>
                <w:webHidden/>
              </w:rPr>
              <w:fldChar w:fldCharType="begin"/>
            </w:r>
            <w:r>
              <w:rPr>
                <w:noProof/>
                <w:webHidden/>
              </w:rPr>
              <w:instrText xml:space="preserve"> PAGEREF _Toc171279064 \h </w:instrText>
            </w:r>
            <w:r>
              <w:rPr>
                <w:noProof/>
                <w:webHidden/>
              </w:rPr>
            </w:r>
            <w:r>
              <w:rPr>
                <w:noProof/>
                <w:webHidden/>
              </w:rPr>
              <w:fldChar w:fldCharType="separate"/>
            </w:r>
            <w:r>
              <w:rPr>
                <w:noProof/>
                <w:webHidden/>
              </w:rPr>
              <w:t>14</w:t>
            </w:r>
            <w:r>
              <w:rPr>
                <w:noProof/>
                <w:webHidden/>
              </w:rPr>
              <w:fldChar w:fldCharType="end"/>
            </w:r>
          </w:hyperlink>
        </w:p>
        <w:p w14:paraId="15DBAB27" w14:textId="4BC45DC2" w:rsidR="00DA7398" w:rsidRDefault="00DA7398">
          <w:pPr>
            <w:pStyle w:val="TOC1"/>
            <w:tabs>
              <w:tab w:val="right" w:leader="dot" w:pos="9016"/>
            </w:tabs>
            <w:rPr>
              <w:noProof/>
            </w:rPr>
          </w:pPr>
          <w:hyperlink w:anchor="_Toc171279065" w:history="1">
            <w:r w:rsidRPr="003B5934">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_Toc171279065 \h </w:instrText>
            </w:r>
            <w:r>
              <w:rPr>
                <w:noProof/>
                <w:webHidden/>
              </w:rPr>
            </w:r>
            <w:r>
              <w:rPr>
                <w:noProof/>
                <w:webHidden/>
              </w:rPr>
              <w:fldChar w:fldCharType="separate"/>
            </w:r>
            <w:r>
              <w:rPr>
                <w:noProof/>
                <w:webHidden/>
              </w:rPr>
              <w:t>15</w:t>
            </w:r>
            <w:r>
              <w:rPr>
                <w:noProof/>
                <w:webHidden/>
              </w:rPr>
              <w:fldChar w:fldCharType="end"/>
            </w:r>
          </w:hyperlink>
        </w:p>
        <w:p w14:paraId="2741C1E0" w14:textId="2E338A33" w:rsidR="00DA7398" w:rsidRDefault="00DA7398">
          <w:pPr>
            <w:pStyle w:val="TOC1"/>
            <w:tabs>
              <w:tab w:val="right" w:leader="dot" w:pos="9016"/>
            </w:tabs>
            <w:rPr>
              <w:noProof/>
            </w:rPr>
          </w:pPr>
          <w:hyperlink w:anchor="_Toc171279066" w:history="1">
            <w:r w:rsidRPr="003B5934">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_Toc171279066 \h </w:instrText>
            </w:r>
            <w:r>
              <w:rPr>
                <w:noProof/>
                <w:webHidden/>
              </w:rPr>
            </w:r>
            <w:r>
              <w:rPr>
                <w:noProof/>
                <w:webHidden/>
              </w:rPr>
              <w:fldChar w:fldCharType="separate"/>
            </w:r>
            <w:r>
              <w:rPr>
                <w:noProof/>
                <w:webHidden/>
              </w:rPr>
              <w:t>16</w:t>
            </w:r>
            <w:r>
              <w:rPr>
                <w:noProof/>
                <w:webHidden/>
              </w:rPr>
              <w:fldChar w:fldCharType="end"/>
            </w:r>
          </w:hyperlink>
        </w:p>
        <w:p w14:paraId="44932F77" w14:textId="20B76586" w:rsidR="00E125E7" w:rsidRPr="00FF103E" w:rsidRDefault="00E125E7">
          <w:pPr>
            <w:rPr>
              <w:rFonts w:ascii="Arial" w:hAnsi="Arial" w:cs="Arial"/>
              <w:sz w:val="22"/>
              <w:szCs w:val="22"/>
            </w:rPr>
          </w:pPr>
          <w:r w:rsidRPr="00FF103E">
            <w:rPr>
              <w:rFonts w:ascii="Arial" w:hAnsi="Arial" w:cs="Arial"/>
              <w:b/>
              <w:bCs/>
              <w:noProof/>
              <w:sz w:val="22"/>
              <w:szCs w:val="22"/>
            </w:rPr>
            <w:fldChar w:fldCharType="end"/>
          </w:r>
        </w:p>
      </w:sdtContent>
    </w:sdt>
    <w:p w14:paraId="02548A4E" w14:textId="77777777" w:rsidR="00B435FF" w:rsidRPr="00FF103E" w:rsidRDefault="00B435FF" w:rsidP="00B435FF">
      <w:pPr>
        <w:spacing w:line="360" w:lineRule="auto"/>
        <w:rPr>
          <w:rFonts w:ascii="Arial" w:hAnsi="Arial" w:cs="Arial"/>
          <w:sz w:val="22"/>
          <w:szCs w:val="22"/>
        </w:rPr>
      </w:pPr>
    </w:p>
    <w:p w14:paraId="443062EE" w14:textId="77777777" w:rsidR="00B435FF" w:rsidRPr="00FF103E" w:rsidRDefault="00B435FF" w:rsidP="00B435FF">
      <w:pPr>
        <w:spacing w:line="360" w:lineRule="auto"/>
        <w:rPr>
          <w:rFonts w:ascii="Arial" w:hAnsi="Arial" w:cs="Arial"/>
          <w:sz w:val="22"/>
          <w:szCs w:val="22"/>
        </w:rPr>
      </w:pPr>
    </w:p>
    <w:p w14:paraId="0E5C79E6" w14:textId="77777777" w:rsidR="00B435FF" w:rsidRDefault="00B435FF" w:rsidP="00B435FF">
      <w:pPr>
        <w:spacing w:line="360" w:lineRule="auto"/>
        <w:rPr>
          <w:rFonts w:ascii="Arial" w:hAnsi="Arial" w:cs="Arial"/>
          <w:sz w:val="22"/>
          <w:szCs w:val="22"/>
        </w:rPr>
      </w:pPr>
    </w:p>
    <w:p w14:paraId="6FD71190" w14:textId="77777777" w:rsidR="00DA7398" w:rsidRDefault="00DA7398" w:rsidP="00B435FF">
      <w:pPr>
        <w:spacing w:line="360" w:lineRule="auto"/>
        <w:rPr>
          <w:rFonts w:ascii="Arial" w:hAnsi="Arial" w:cs="Arial"/>
          <w:sz w:val="22"/>
          <w:szCs w:val="22"/>
        </w:rPr>
      </w:pPr>
    </w:p>
    <w:p w14:paraId="5C6E3504" w14:textId="77777777" w:rsidR="00DA7398" w:rsidRDefault="00DA7398" w:rsidP="00B435FF">
      <w:pPr>
        <w:spacing w:line="360" w:lineRule="auto"/>
        <w:rPr>
          <w:rFonts w:ascii="Arial" w:hAnsi="Arial" w:cs="Arial"/>
          <w:sz w:val="22"/>
          <w:szCs w:val="22"/>
        </w:rPr>
      </w:pPr>
    </w:p>
    <w:p w14:paraId="5249C9D7" w14:textId="77777777" w:rsidR="00DA7398" w:rsidRPr="00FF103E" w:rsidRDefault="00DA7398" w:rsidP="00B435FF">
      <w:pPr>
        <w:spacing w:line="360" w:lineRule="auto"/>
        <w:rPr>
          <w:rFonts w:ascii="Arial" w:hAnsi="Arial" w:cs="Arial"/>
          <w:sz w:val="22"/>
          <w:szCs w:val="22"/>
        </w:rPr>
      </w:pPr>
    </w:p>
    <w:p w14:paraId="1089C597" w14:textId="16A9CC61" w:rsidR="00A1235C" w:rsidRPr="00FF103E" w:rsidRDefault="00A1235C" w:rsidP="00E125E7">
      <w:pPr>
        <w:pStyle w:val="Heading1"/>
        <w:rPr>
          <w:rFonts w:ascii="Arial" w:hAnsi="Arial" w:cs="Arial"/>
          <w:sz w:val="22"/>
          <w:szCs w:val="22"/>
        </w:rPr>
      </w:pPr>
      <w:bookmarkStart w:id="0" w:name="_Toc171279038"/>
      <w:r w:rsidRPr="00FF103E">
        <w:rPr>
          <w:rFonts w:ascii="Arial" w:hAnsi="Arial" w:cs="Arial"/>
          <w:sz w:val="22"/>
          <w:szCs w:val="22"/>
        </w:rPr>
        <w:t>Introduction</w:t>
      </w:r>
      <w:bookmarkEnd w:id="0"/>
    </w:p>
    <w:p w14:paraId="641D72E0" w14:textId="41BD3372" w:rsidR="00A1235C" w:rsidRPr="00FF103E" w:rsidRDefault="009C3ED2" w:rsidP="009C3ED2">
      <w:pPr>
        <w:spacing w:after="0" w:line="360" w:lineRule="auto"/>
        <w:rPr>
          <w:rFonts w:ascii="Arial" w:eastAsia="Times New Roman" w:hAnsi="Arial" w:cs="Arial"/>
          <w:kern w:val="0"/>
          <w:sz w:val="22"/>
          <w:szCs w:val="22"/>
          <w14:ligatures w14:val="none"/>
        </w:rPr>
      </w:pPr>
      <w:r w:rsidRPr="009C3ED2">
        <w:rPr>
          <w:rFonts w:ascii="Arial" w:eastAsia="Times New Roman" w:hAnsi="Arial" w:cs="Arial"/>
          <w:kern w:val="0"/>
          <w:sz w:val="22"/>
          <w:szCs w:val="22"/>
          <w14:ligatures w14:val="none"/>
        </w:rPr>
        <w:t>Small and Medium Enterprises (SMEs) are essential to the economic fabric of many countries</w:t>
      </w:r>
      <w:r w:rsidRPr="00FF103E">
        <w:rPr>
          <w:rFonts w:ascii="Arial" w:eastAsia="Times New Roman" w:hAnsi="Arial" w:cs="Arial"/>
          <w:kern w:val="0"/>
          <w:sz w:val="22"/>
          <w:szCs w:val="22"/>
          <w14:ligatures w14:val="none"/>
        </w:rPr>
        <w:t xml:space="preserve">, </w:t>
      </w:r>
      <w:r w:rsidR="00A1235C" w:rsidRPr="00FF103E">
        <w:rPr>
          <w:rFonts w:ascii="Arial" w:hAnsi="Arial" w:cs="Arial"/>
          <w:sz w:val="22"/>
          <w:szCs w:val="22"/>
        </w:rPr>
        <w:t>driving innovation, fostering competition, and creating significant employment opportunities (European Commission, 2020). These enterprises, typically defined by their moderate size and revenue, must navigate challenges such as limited access to capital, intense market competition, and the need for continual innovation (OECD, 2019). Effective strategic management is essential for SMEs to overcome these challenges and ensure long-term sustainability and growth (Jones &amp; Tilley, 2018).</w:t>
      </w:r>
    </w:p>
    <w:p w14:paraId="3478A238" w14:textId="77777777" w:rsidR="00B16D11" w:rsidRPr="00FF103E" w:rsidRDefault="00A1235C" w:rsidP="00B16D11">
      <w:pPr>
        <w:spacing w:line="360" w:lineRule="auto"/>
        <w:rPr>
          <w:rFonts w:ascii="Arial" w:hAnsi="Arial" w:cs="Arial"/>
          <w:sz w:val="22"/>
          <w:szCs w:val="22"/>
        </w:rPr>
      </w:pPr>
      <w:r w:rsidRPr="00FF103E">
        <w:rPr>
          <w:rFonts w:ascii="Arial" w:hAnsi="Arial" w:cs="Arial"/>
          <w:sz w:val="22"/>
          <w:szCs w:val="22"/>
        </w:rPr>
        <w:t xml:space="preserve">Examples of successful SMEs include Hook Norton Brewery, </w:t>
      </w:r>
      <w:proofErr w:type="spellStart"/>
      <w:r w:rsidRPr="00FF103E">
        <w:rPr>
          <w:rFonts w:ascii="Arial" w:hAnsi="Arial" w:cs="Arial"/>
          <w:sz w:val="22"/>
          <w:szCs w:val="22"/>
        </w:rPr>
        <w:t>Devanet</w:t>
      </w:r>
      <w:proofErr w:type="spellEnd"/>
      <w:r w:rsidRPr="00FF103E">
        <w:rPr>
          <w:rFonts w:ascii="Arial" w:hAnsi="Arial" w:cs="Arial"/>
          <w:sz w:val="22"/>
          <w:szCs w:val="22"/>
        </w:rPr>
        <w:t xml:space="preserve"> UK Ltd., Miss Macaroon, The Rude Health Company, and The Inkey List. Each of these companies has carved out a unique niche in their respective markets through strategic innovation and management. This report focuses on The Inkey List, a dynamic skincare brand that has gained significant traction due to its commitment to transparency, affordability, and consumer education.</w:t>
      </w:r>
      <w:r w:rsidR="00B16D11" w:rsidRPr="00FF103E">
        <w:rPr>
          <w:rFonts w:ascii="Arial" w:hAnsi="Arial" w:cs="Arial"/>
          <w:sz w:val="22"/>
          <w:szCs w:val="22"/>
        </w:rPr>
        <w:t xml:space="preserve"> </w:t>
      </w:r>
    </w:p>
    <w:p w14:paraId="54F55A12" w14:textId="0ED665F5" w:rsidR="00B16D11" w:rsidRDefault="00B16D11" w:rsidP="00B16D11">
      <w:pPr>
        <w:spacing w:line="360" w:lineRule="auto"/>
        <w:rPr>
          <w:rFonts w:ascii="Arial" w:hAnsi="Arial" w:cs="Arial"/>
          <w:sz w:val="22"/>
          <w:szCs w:val="22"/>
        </w:rPr>
      </w:pPr>
      <w:r w:rsidRPr="00FF103E">
        <w:rPr>
          <w:rFonts w:ascii="Arial" w:hAnsi="Arial" w:cs="Arial"/>
          <w:sz w:val="22"/>
          <w:szCs w:val="22"/>
        </w:rPr>
        <w:t xml:space="preserve">The primary objective of this report is to develop a long-term business strategy for The Inkey List. Initially, the report critically appraises the company's current strategic direction, including its vision, mission, and strategic objectives. This is followed by a comprehensive environmental analysis using tools such as PESTLE and SWOT to identify key opportunities and threats facing the company. Furthermore, a stakeholder analysis evaluates the expectations and influence of various stakeholders. Various strategic growth options for The Inkey List are explored using models like the Ansoff Matrix, BCG Matrix, and Porter’s Generic Strategies. Based on this analysis, a new sustainable strategy is proposed, along with a justification for its potential to enhance The Inkey List’s competitive position. Finally, the report provides strategic recommendations for future development and implementation, considering the specific challenges that SMEs face in executing strategic plans. By following this structured approach, the report aims to offer actionable insights and recommendations </w:t>
      </w:r>
      <w:r w:rsidRPr="00FF103E">
        <w:rPr>
          <w:rFonts w:ascii="Arial" w:hAnsi="Arial" w:cs="Arial"/>
          <w:sz w:val="22"/>
          <w:szCs w:val="22"/>
        </w:rPr>
        <w:lastRenderedPageBreak/>
        <w:t>to ensure the long-term strategy and competitiveness of The Inkey List in the dynamic skincare market.</w:t>
      </w:r>
    </w:p>
    <w:p w14:paraId="284BF1DF" w14:textId="77777777" w:rsidR="00DA7398" w:rsidRDefault="00DA7398" w:rsidP="00B16D11">
      <w:pPr>
        <w:spacing w:line="360" w:lineRule="auto"/>
        <w:rPr>
          <w:rFonts w:ascii="Arial" w:hAnsi="Arial" w:cs="Arial"/>
          <w:sz w:val="22"/>
          <w:szCs w:val="22"/>
        </w:rPr>
      </w:pPr>
    </w:p>
    <w:p w14:paraId="10D0CD69" w14:textId="77777777" w:rsidR="00DA7398" w:rsidRDefault="00DA7398" w:rsidP="00B16D11">
      <w:pPr>
        <w:spacing w:line="360" w:lineRule="auto"/>
        <w:rPr>
          <w:rFonts w:ascii="Arial" w:hAnsi="Arial" w:cs="Arial"/>
          <w:sz w:val="22"/>
          <w:szCs w:val="22"/>
        </w:rPr>
      </w:pPr>
    </w:p>
    <w:p w14:paraId="7E0DABEB" w14:textId="77777777" w:rsidR="00DA7398" w:rsidRPr="00FF103E" w:rsidRDefault="00DA7398" w:rsidP="00B16D11">
      <w:pPr>
        <w:spacing w:line="360" w:lineRule="auto"/>
        <w:rPr>
          <w:rFonts w:ascii="Arial" w:hAnsi="Arial" w:cs="Arial"/>
          <w:sz w:val="22"/>
          <w:szCs w:val="22"/>
        </w:rPr>
      </w:pPr>
    </w:p>
    <w:p w14:paraId="0FFE0CB0" w14:textId="2C36FF85" w:rsidR="00A1235C" w:rsidRPr="00FF103E" w:rsidRDefault="00A1235C" w:rsidP="00E125E7">
      <w:pPr>
        <w:pStyle w:val="Heading1"/>
        <w:rPr>
          <w:rFonts w:ascii="Arial" w:hAnsi="Arial" w:cs="Arial"/>
          <w:sz w:val="22"/>
          <w:szCs w:val="22"/>
        </w:rPr>
      </w:pPr>
      <w:bookmarkStart w:id="1" w:name="_Toc171279039"/>
      <w:r w:rsidRPr="00FF103E">
        <w:rPr>
          <w:rFonts w:ascii="Arial" w:hAnsi="Arial" w:cs="Arial"/>
          <w:sz w:val="22"/>
          <w:szCs w:val="22"/>
        </w:rPr>
        <w:t>1. Current Strategic Direction of The Inkey List</w:t>
      </w:r>
      <w:bookmarkEnd w:id="1"/>
    </w:p>
    <w:p w14:paraId="20396AEB" w14:textId="77777777" w:rsidR="00A1235C" w:rsidRPr="00FF103E" w:rsidRDefault="00A1235C" w:rsidP="00E125E7">
      <w:pPr>
        <w:pStyle w:val="Heading2"/>
        <w:rPr>
          <w:rFonts w:ascii="Arial" w:hAnsi="Arial" w:cs="Arial"/>
          <w:sz w:val="22"/>
          <w:szCs w:val="22"/>
        </w:rPr>
      </w:pPr>
      <w:bookmarkStart w:id="2" w:name="_Toc171279040"/>
      <w:r w:rsidRPr="00FF103E">
        <w:rPr>
          <w:rFonts w:ascii="Arial" w:hAnsi="Arial" w:cs="Arial"/>
          <w:sz w:val="22"/>
          <w:szCs w:val="22"/>
        </w:rPr>
        <w:t>1.1 Overview and History</w:t>
      </w:r>
      <w:bookmarkEnd w:id="2"/>
    </w:p>
    <w:p w14:paraId="63C377A9" w14:textId="6C606104" w:rsidR="00A1235C" w:rsidRPr="00FF103E" w:rsidRDefault="00B16D11" w:rsidP="00E125E7">
      <w:pPr>
        <w:spacing w:line="360" w:lineRule="auto"/>
        <w:rPr>
          <w:rFonts w:ascii="Arial" w:hAnsi="Arial" w:cs="Arial"/>
          <w:sz w:val="22"/>
          <w:szCs w:val="22"/>
        </w:rPr>
      </w:pPr>
      <w:r w:rsidRPr="00FF103E">
        <w:rPr>
          <w:rFonts w:ascii="Arial" w:hAnsi="Arial" w:cs="Arial"/>
          <w:sz w:val="22"/>
          <w:szCs w:val="22"/>
        </w:rPr>
        <w:t xml:space="preserve">In 2018, Colette Laxton and Mark Curry launched The Inkey List. </w:t>
      </w:r>
      <w:r w:rsidR="00A1235C" w:rsidRPr="00FF103E">
        <w:rPr>
          <w:rFonts w:ascii="Arial" w:hAnsi="Arial" w:cs="Arial"/>
          <w:sz w:val="22"/>
          <w:szCs w:val="22"/>
        </w:rPr>
        <w:t>has rapidly gained prominence in the beauty industry. The company was established with the mission of simplifying skincare and making it accessible to everyone. This mission is reflected in their straightforward product offerings, each focused on a single key ingredient. Over the past few years, The Inkey List has expanded its product range and market presence, becoming a trusted name in skincare for its transparency, affordability, and educational approach (Mintel, 2020).</w:t>
      </w:r>
    </w:p>
    <w:p w14:paraId="5CD26C81" w14:textId="77777777" w:rsidR="00A1235C" w:rsidRPr="00FF103E" w:rsidRDefault="00A1235C" w:rsidP="00B435FF">
      <w:pPr>
        <w:pStyle w:val="Heading2"/>
        <w:spacing w:line="360" w:lineRule="auto"/>
        <w:rPr>
          <w:rFonts w:ascii="Arial" w:hAnsi="Arial" w:cs="Arial"/>
          <w:sz w:val="22"/>
          <w:szCs w:val="22"/>
        </w:rPr>
      </w:pPr>
      <w:bookmarkStart w:id="3" w:name="_Toc171279041"/>
      <w:r w:rsidRPr="00FF103E">
        <w:rPr>
          <w:rFonts w:ascii="Arial" w:hAnsi="Arial" w:cs="Arial"/>
          <w:sz w:val="22"/>
          <w:szCs w:val="22"/>
        </w:rPr>
        <w:t>1.2 Vision and Strategic Alignment</w:t>
      </w:r>
      <w:bookmarkEnd w:id="3"/>
    </w:p>
    <w:p w14:paraId="0C6E43C1" w14:textId="25CAA367"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The Inkey List’s vision is to democratize skincare by making high-quality, effective products understandable and accessible to everyone. This vision drives the company's strategic direction and is reflected in their commitment to transparency, education, and affordability. The strategic objectives of The Inkey List are closely aligned with this vision, ensuring that all actions and plans contribute to making skincare simpler and more accessible for consumers (Laxton &amp; Curry, 2021).</w:t>
      </w:r>
    </w:p>
    <w:p w14:paraId="7D2A0054" w14:textId="77777777" w:rsidR="00A1235C" w:rsidRPr="00FF103E" w:rsidRDefault="00A1235C" w:rsidP="00B435FF">
      <w:pPr>
        <w:pStyle w:val="Heading2"/>
        <w:spacing w:line="360" w:lineRule="auto"/>
        <w:rPr>
          <w:rFonts w:ascii="Arial" w:hAnsi="Arial" w:cs="Arial"/>
          <w:sz w:val="22"/>
          <w:szCs w:val="22"/>
        </w:rPr>
      </w:pPr>
      <w:bookmarkStart w:id="4" w:name="_Toc171279042"/>
      <w:r w:rsidRPr="00FF103E">
        <w:rPr>
          <w:rFonts w:ascii="Arial" w:hAnsi="Arial" w:cs="Arial"/>
          <w:sz w:val="22"/>
          <w:szCs w:val="22"/>
        </w:rPr>
        <w:t>1.3 Strategic Objectives and Actions</w:t>
      </w:r>
      <w:bookmarkEnd w:id="4"/>
    </w:p>
    <w:p w14:paraId="043F6A39" w14:textId="2F571E47"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One of the primary strategic objectives of The Inkey List is product innovation. The company focuses on developing innovative products that highlight single hero ingredients, simplifying the skincare routine for consumers. By regularly introducing new products tailored to address specific skin concerns, such as acne, hyperpigmentation, and aging, The Inkey List ensures they stay relevant to market trends and consumer needs (</w:t>
      </w:r>
      <w:r w:rsidR="00EE6DC4" w:rsidRPr="00FF103E">
        <w:rPr>
          <w:rFonts w:ascii="Arial" w:hAnsi="Arial" w:cs="Arial"/>
          <w:sz w:val="22"/>
          <w:szCs w:val="22"/>
        </w:rPr>
        <w:t xml:space="preserve">the </w:t>
      </w:r>
      <w:proofErr w:type="spellStart"/>
      <w:r w:rsidR="00EE6DC4" w:rsidRPr="00FF103E">
        <w:rPr>
          <w:rFonts w:ascii="Arial" w:hAnsi="Arial" w:cs="Arial"/>
          <w:sz w:val="22"/>
          <w:szCs w:val="22"/>
        </w:rPr>
        <w:t>inkey</w:t>
      </w:r>
      <w:proofErr w:type="spellEnd"/>
      <w:r w:rsidR="00EE6DC4" w:rsidRPr="00FF103E">
        <w:rPr>
          <w:rFonts w:ascii="Arial" w:hAnsi="Arial" w:cs="Arial"/>
          <w:sz w:val="22"/>
          <w:szCs w:val="22"/>
        </w:rPr>
        <w:t xml:space="preserve"> list</w:t>
      </w:r>
      <w:r w:rsidRPr="00FF103E">
        <w:rPr>
          <w:rFonts w:ascii="Arial" w:hAnsi="Arial" w:cs="Arial"/>
          <w:sz w:val="22"/>
          <w:szCs w:val="22"/>
        </w:rPr>
        <w:t xml:space="preserve">, </w:t>
      </w:r>
      <w:proofErr w:type="spellStart"/>
      <w:r w:rsidR="00EE6DC4" w:rsidRPr="00FF103E">
        <w:rPr>
          <w:rFonts w:ascii="Arial" w:hAnsi="Arial" w:cs="Arial"/>
          <w:sz w:val="22"/>
          <w:szCs w:val="22"/>
        </w:rPr>
        <w:t>nd</w:t>
      </w:r>
      <w:proofErr w:type="spellEnd"/>
      <w:r w:rsidRPr="00FF103E">
        <w:rPr>
          <w:rFonts w:ascii="Arial" w:hAnsi="Arial" w:cs="Arial"/>
          <w:sz w:val="22"/>
          <w:szCs w:val="22"/>
        </w:rPr>
        <w:t>). Consumer education is another core component of The Inkey List’s strategy. Through the "Ask Inkey" initiative, the company provides personalized skincare advice to consumers. Utilizing digital platforms, including social media and its website, The Inkey List shares educational content about skincare ingredients and routines, empowering consumers to make informed decisions. This approach not only enhances consumer knowledge but also fosters brand loyalty (Mintel, 2020).</w:t>
      </w:r>
    </w:p>
    <w:p w14:paraId="0FDABEEA" w14:textId="77777777" w:rsidR="00A1235C" w:rsidRPr="00FF103E" w:rsidRDefault="00A1235C" w:rsidP="00B435FF">
      <w:pPr>
        <w:pStyle w:val="Heading2"/>
        <w:spacing w:line="360" w:lineRule="auto"/>
        <w:rPr>
          <w:rFonts w:ascii="Arial" w:hAnsi="Arial" w:cs="Arial"/>
          <w:sz w:val="22"/>
          <w:szCs w:val="22"/>
        </w:rPr>
      </w:pPr>
      <w:bookmarkStart w:id="5" w:name="_Toc171279043"/>
      <w:r w:rsidRPr="00FF103E">
        <w:rPr>
          <w:rFonts w:ascii="Arial" w:hAnsi="Arial" w:cs="Arial"/>
          <w:sz w:val="22"/>
          <w:szCs w:val="22"/>
        </w:rPr>
        <w:lastRenderedPageBreak/>
        <w:t>1.4 Resource Utilization</w:t>
      </w:r>
      <w:bookmarkEnd w:id="5"/>
    </w:p>
    <w:p w14:paraId="43DC1CA3" w14:textId="294C1703"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The Inkey List effectively utilizes its financial resources by making significant investments in research and development, ensuring continuous innovation in its product offerings. Marketing and promotional activities are well-funded to increase brand awareness and consumer education. The company employs a team of skincare experts, including dermatologists and chemists, who are integral to product development and consumer education. Skilled marketing and customer service teams engage with consumers across various platforms, enhancing customer experience and brand loyalty (Laxton &amp; Curry, 2021).</w:t>
      </w:r>
    </w:p>
    <w:p w14:paraId="6E4546D3" w14:textId="3ED427E2" w:rsidR="00E125E7" w:rsidRPr="00FF103E" w:rsidRDefault="00A1235C" w:rsidP="00E125E7">
      <w:pPr>
        <w:spacing w:line="360" w:lineRule="auto"/>
        <w:rPr>
          <w:rFonts w:ascii="Arial" w:hAnsi="Arial" w:cs="Arial"/>
          <w:sz w:val="22"/>
          <w:szCs w:val="22"/>
        </w:rPr>
      </w:pPr>
      <w:r w:rsidRPr="00FF103E">
        <w:rPr>
          <w:rFonts w:ascii="Arial" w:hAnsi="Arial" w:cs="Arial"/>
          <w:sz w:val="22"/>
          <w:szCs w:val="22"/>
        </w:rPr>
        <w:t>In terms of technological resources, The Inkey List boasts advanced research facilities that support the development of innovative skincare products. Additionally, a robust digital infrastructure facilitates e-commerce and online consumer engagement, which is essential for modern retail. This infrastructure not only supports sales but also enables effective communication and education initiatives (Cosmetics Business, 202</w:t>
      </w:r>
      <w:r w:rsidR="003A2E44" w:rsidRPr="00FF103E">
        <w:rPr>
          <w:rFonts w:ascii="Arial" w:hAnsi="Arial" w:cs="Arial"/>
          <w:sz w:val="22"/>
          <w:szCs w:val="22"/>
        </w:rPr>
        <w:t>4</w:t>
      </w:r>
      <w:r w:rsidRPr="00FF103E">
        <w:rPr>
          <w:rFonts w:ascii="Arial" w:hAnsi="Arial" w:cs="Arial"/>
          <w:sz w:val="22"/>
          <w:szCs w:val="22"/>
        </w:rPr>
        <w:t>).</w:t>
      </w:r>
    </w:p>
    <w:p w14:paraId="7029F341" w14:textId="2451B97A" w:rsidR="00A1235C" w:rsidRPr="00FF103E" w:rsidRDefault="00A1235C" w:rsidP="00E125E7">
      <w:pPr>
        <w:pStyle w:val="Heading2"/>
        <w:rPr>
          <w:rFonts w:ascii="Arial" w:hAnsi="Arial" w:cs="Arial"/>
          <w:sz w:val="22"/>
          <w:szCs w:val="22"/>
        </w:rPr>
      </w:pPr>
      <w:bookmarkStart w:id="6" w:name="_Toc171279044"/>
      <w:r w:rsidRPr="00FF103E">
        <w:rPr>
          <w:rFonts w:ascii="Arial" w:hAnsi="Arial" w:cs="Arial"/>
          <w:sz w:val="22"/>
          <w:szCs w:val="22"/>
        </w:rPr>
        <w:t>1.5 Strategic Implementation in Operations</w:t>
      </w:r>
      <w:bookmarkEnd w:id="6"/>
    </w:p>
    <w:p w14:paraId="2732CA80" w14:textId="202E7B43"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Operationally, The Inkey List ensures efficient supply chain management to maintain product availability and affordability, adhering to the brand’s commitment to accessibility. Continuous process improvements in manufacturing help maintain product quality while controlling costs. Marketing strategies are multi-channel, with products sold through major retailers like Sephora and Cult Beauty, as well as directly through the company's e-commerce platform. Extensive use of social media for marketing campaigns and consumer education strengthens brand presence and consumer trust (Mintel, 2020). Human resources play a critical role, with a focus on recruiting skilled professionals in research, marketing, and customer service. Ongoing employee training and development ensure that staff are knowledgeable about the latest industry trends and best practices, which is vital for maintaining the company's competitive edge (Laxton &amp; Curry, 2021).</w:t>
      </w:r>
    </w:p>
    <w:p w14:paraId="628F6791" w14:textId="77777777" w:rsidR="00A1235C" w:rsidRPr="00FF103E" w:rsidRDefault="00A1235C" w:rsidP="00B435FF">
      <w:pPr>
        <w:pStyle w:val="Heading2"/>
        <w:spacing w:line="360" w:lineRule="auto"/>
        <w:rPr>
          <w:rFonts w:ascii="Arial" w:hAnsi="Arial" w:cs="Arial"/>
          <w:sz w:val="22"/>
          <w:szCs w:val="22"/>
        </w:rPr>
      </w:pPr>
      <w:bookmarkStart w:id="7" w:name="_Toc171279045"/>
      <w:r w:rsidRPr="00FF103E">
        <w:rPr>
          <w:rFonts w:ascii="Arial" w:hAnsi="Arial" w:cs="Arial"/>
          <w:sz w:val="22"/>
          <w:szCs w:val="22"/>
        </w:rPr>
        <w:t>1.6 Maximizing Organizational Value</w:t>
      </w:r>
      <w:bookmarkEnd w:id="7"/>
    </w:p>
    <w:p w14:paraId="32850210" w14:textId="78D387AB" w:rsidR="00A1235C" w:rsidRDefault="00A1235C" w:rsidP="00B435FF">
      <w:pPr>
        <w:spacing w:line="360" w:lineRule="auto"/>
        <w:rPr>
          <w:rFonts w:ascii="Arial" w:hAnsi="Arial" w:cs="Arial"/>
          <w:sz w:val="22"/>
          <w:szCs w:val="22"/>
        </w:rPr>
      </w:pPr>
      <w:r w:rsidRPr="00FF103E">
        <w:rPr>
          <w:rFonts w:ascii="Arial" w:hAnsi="Arial" w:cs="Arial"/>
          <w:sz w:val="22"/>
          <w:szCs w:val="22"/>
        </w:rPr>
        <w:t xml:space="preserve">The Inkey List maximizes organizational value through strategic initiatives that align with their vision. </w:t>
      </w:r>
      <w:r w:rsidR="00167222" w:rsidRPr="00FF103E">
        <w:rPr>
          <w:rFonts w:ascii="Arial" w:hAnsi="Arial" w:cs="Arial"/>
          <w:sz w:val="22"/>
          <w:szCs w:val="22"/>
        </w:rPr>
        <w:t xml:space="preserve">Offering premium goods at reasonable costs is part of the value proposition that gives customers great value and promotes brand loyalty and trust. </w:t>
      </w:r>
      <w:r w:rsidRPr="00FF103E">
        <w:rPr>
          <w:rFonts w:ascii="Arial" w:hAnsi="Arial" w:cs="Arial"/>
          <w:sz w:val="22"/>
          <w:szCs w:val="22"/>
        </w:rPr>
        <w:t>Emphasis on consumer education and personalized advice strengthens customer relationships and loyalty. Innovative product offerings and a commitment to transparency position The Inkey List as a trusted and competitive brand in the skincare market. Continuous innovation and expansion of the product line ensure long-term growth and adaptability to market changes (Cosmetics Business, 202</w:t>
      </w:r>
      <w:r w:rsidR="003A2E44" w:rsidRPr="00FF103E">
        <w:rPr>
          <w:rFonts w:ascii="Arial" w:hAnsi="Arial" w:cs="Arial"/>
          <w:sz w:val="22"/>
          <w:szCs w:val="22"/>
        </w:rPr>
        <w:t>3</w:t>
      </w:r>
      <w:r w:rsidRPr="00FF103E">
        <w:rPr>
          <w:rFonts w:ascii="Arial" w:hAnsi="Arial" w:cs="Arial"/>
          <w:sz w:val="22"/>
          <w:szCs w:val="22"/>
        </w:rPr>
        <w:t>).</w:t>
      </w:r>
    </w:p>
    <w:p w14:paraId="376FF4BA" w14:textId="77777777" w:rsidR="00DA7398" w:rsidRPr="00FF103E" w:rsidRDefault="00DA7398" w:rsidP="00B435FF">
      <w:pPr>
        <w:spacing w:line="360" w:lineRule="auto"/>
        <w:rPr>
          <w:rFonts w:ascii="Arial" w:hAnsi="Arial" w:cs="Arial"/>
          <w:sz w:val="22"/>
          <w:szCs w:val="22"/>
        </w:rPr>
      </w:pPr>
    </w:p>
    <w:p w14:paraId="33ACF83B" w14:textId="77777777" w:rsidR="00A1235C" w:rsidRPr="00FF103E" w:rsidRDefault="00A1235C" w:rsidP="00B435FF">
      <w:pPr>
        <w:spacing w:line="360" w:lineRule="auto"/>
        <w:rPr>
          <w:rFonts w:ascii="Arial" w:hAnsi="Arial" w:cs="Arial"/>
          <w:sz w:val="22"/>
          <w:szCs w:val="22"/>
        </w:rPr>
      </w:pPr>
    </w:p>
    <w:p w14:paraId="0DBBAFCD" w14:textId="77777777" w:rsidR="00A1235C" w:rsidRPr="00FF103E" w:rsidRDefault="00A1235C" w:rsidP="00E125E7">
      <w:pPr>
        <w:pStyle w:val="Heading1"/>
        <w:rPr>
          <w:rFonts w:ascii="Arial" w:hAnsi="Arial" w:cs="Arial"/>
          <w:sz w:val="22"/>
          <w:szCs w:val="22"/>
        </w:rPr>
      </w:pPr>
      <w:bookmarkStart w:id="8" w:name="_Toc171279046"/>
      <w:r w:rsidRPr="00FF103E">
        <w:rPr>
          <w:rFonts w:ascii="Arial" w:hAnsi="Arial" w:cs="Arial"/>
          <w:sz w:val="22"/>
          <w:szCs w:val="22"/>
        </w:rPr>
        <w:t>2. Environmental Analysis</w:t>
      </w:r>
      <w:bookmarkEnd w:id="8"/>
    </w:p>
    <w:p w14:paraId="74540012" w14:textId="77777777" w:rsidR="00A1235C" w:rsidRPr="00FF103E" w:rsidRDefault="00A1235C" w:rsidP="00B435FF">
      <w:pPr>
        <w:pStyle w:val="Heading2"/>
        <w:spacing w:line="360" w:lineRule="auto"/>
        <w:rPr>
          <w:rFonts w:ascii="Arial" w:hAnsi="Arial" w:cs="Arial"/>
          <w:sz w:val="22"/>
          <w:szCs w:val="22"/>
        </w:rPr>
      </w:pPr>
      <w:bookmarkStart w:id="9" w:name="_Toc171279047"/>
      <w:r w:rsidRPr="00FF103E">
        <w:rPr>
          <w:rFonts w:ascii="Arial" w:hAnsi="Arial" w:cs="Arial"/>
          <w:sz w:val="22"/>
          <w:szCs w:val="22"/>
        </w:rPr>
        <w:t>2.1 External Environment Analysis using PESTLE</w:t>
      </w:r>
      <w:bookmarkEnd w:id="9"/>
    </w:p>
    <w:p w14:paraId="1B6E551B" w14:textId="7850B453"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 xml:space="preserve">A comprehensive environmental analysis using the PESTLE framework helps understand the external factors affecting The Inkey List. This analysis identifies political, economic, social, technological, legal, and environmental factors </w:t>
      </w:r>
      <w:r w:rsidR="00167222" w:rsidRPr="00FF103E">
        <w:rPr>
          <w:rFonts w:ascii="Arial" w:hAnsi="Arial" w:cs="Arial"/>
          <w:sz w:val="22"/>
          <w:szCs w:val="22"/>
        </w:rPr>
        <w:t>affecting</w:t>
      </w:r>
      <w:r w:rsidRPr="00FF103E">
        <w:rPr>
          <w:rFonts w:ascii="Arial" w:hAnsi="Arial" w:cs="Arial"/>
          <w:sz w:val="22"/>
          <w:szCs w:val="22"/>
        </w:rPr>
        <w:t xml:space="preserve"> the </w:t>
      </w:r>
      <w:r w:rsidR="00167222" w:rsidRPr="00FF103E">
        <w:rPr>
          <w:rFonts w:ascii="Arial" w:hAnsi="Arial" w:cs="Arial"/>
          <w:sz w:val="22"/>
          <w:szCs w:val="22"/>
        </w:rPr>
        <w:t>firm’s</w:t>
      </w:r>
      <w:r w:rsidRPr="00FF103E">
        <w:rPr>
          <w:rFonts w:ascii="Arial" w:hAnsi="Arial" w:cs="Arial"/>
          <w:sz w:val="22"/>
          <w:szCs w:val="22"/>
        </w:rPr>
        <w:t xml:space="preserve"> </w:t>
      </w:r>
      <w:r w:rsidR="00167222" w:rsidRPr="00FF103E">
        <w:rPr>
          <w:rFonts w:ascii="Arial" w:hAnsi="Arial" w:cs="Arial"/>
          <w:sz w:val="22"/>
          <w:szCs w:val="22"/>
        </w:rPr>
        <w:t>strategies</w:t>
      </w:r>
      <w:r w:rsidRPr="00FF103E">
        <w:rPr>
          <w:rFonts w:ascii="Arial" w:hAnsi="Arial" w:cs="Arial"/>
          <w:sz w:val="22"/>
          <w:szCs w:val="22"/>
        </w:rPr>
        <w:t xml:space="preserve"> and decisions.</w:t>
      </w:r>
    </w:p>
    <w:p w14:paraId="560E4082" w14:textId="539ADFDB"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Political Factors</w:t>
      </w:r>
    </w:p>
    <w:p w14:paraId="1C465789" w14:textId="4918E8E5"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 xml:space="preserve">Government policies and regulations significantly impact the skincare industry. Changes in regulations regarding product safety, </w:t>
      </w:r>
      <w:proofErr w:type="spellStart"/>
      <w:r w:rsidRPr="00FF103E">
        <w:rPr>
          <w:rFonts w:ascii="Arial" w:hAnsi="Arial" w:cs="Arial"/>
          <w:sz w:val="22"/>
          <w:szCs w:val="22"/>
        </w:rPr>
        <w:t>labeling</w:t>
      </w:r>
      <w:proofErr w:type="spellEnd"/>
      <w:r w:rsidRPr="00FF103E">
        <w:rPr>
          <w:rFonts w:ascii="Arial" w:hAnsi="Arial" w:cs="Arial"/>
          <w:sz w:val="22"/>
          <w:szCs w:val="22"/>
        </w:rPr>
        <w:t xml:space="preserve">, and advertising can affect The Inkey List’s operations (Smith, 2019). </w:t>
      </w:r>
      <w:r w:rsidR="006A044B" w:rsidRPr="00FF103E">
        <w:rPr>
          <w:rFonts w:ascii="Arial" w:hAnsi="Arial" w:cs="Arial"/>
          <w:sz w:val="22"/>
          <w:szCs w:val="22"/>
        </w:rPr>
        <w:t xml:space="preserve">Furthermore, trade rules and tariffs have a significant impact on the price of raw materials and the endeavours to expand internationally. </w:t>
      </w:r>
      <w:r w:rsidRPr="00FF103E">
        <w:rPr>
          <w:rFonts w:ascii="Arial" w:hAnsi="Arial" w:cs="Arial"/>
          <w:sz w:val="22"/>
          <w:szCs w:val="22"/>
        </w:rPr>
        <w:t>Brexit has particularly affected UK-based companies like The Inkey List, impacting supply chains and market access (</w:t>
      </w:r>
      <w:r w:rsidR="00DC55EE" w:rsidRPr="00FF103E">
        <w:rPr>
          <w:rFonts w:ascii="Arial" w:hAnsi="Arial" w:cs="Arial"/>
          <w:sz w:val="22"/>
          <w:szCs w:val="22"/>
        </w:rPr>
        <w:t>Al-Shahmani, 2018</w:t>
      </w:r>
      <w:r w:rsidRPr="00FF103E">
        <w:rPr>
          <w:rFonts w:ascii="Arial" w:hAnsi="Arial" w:cs="Arial"/>
          <w:sz w:val="22"/>
          <w:szCs w:val="22"/>
        </w:rPr>
        <w:t>).</w:t>
      </w:r>
    </w:p>
    <w:p w14:paraId="714E6A50" w14:textId="7385159B"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Economic Factors</w:t>
      </w:r>
    </w:p>
    <w:p w14:paraId="7063E413" w14:textId="4331A4B6" w:rsidR="004411A2" w:rsidRPr="00FF103E" w:rsidRDefault="006A044B" w:rsidP="00E125E7">
      <w:pPr>
        <w:spacing w:line="360" w:lineRule="auto"/>
        <w:rPr>
          <w:rFonts w:ascii="Arial" w:hAnsi="Arial" w:cs="Arial"/>
          <w:sz w:val="22"/>
          <w:szCs w:val="22"/>
        </w:rPr>
      </w:pPr>
      <w:r w:rsidRPr="00FF103E">
        <w:rPr>
          <w:rFonts w:ascii="Arial" w:hAnsi="Arial" w:cs="Arial"/>
          <w:sz w:val="22"/>
          <w:szCs w:val="22"/>
        </w:rPr>
        <w:t>The economic environment significantly influences consumer purchasing patterns. During periods of economic decline, there is a tendency for consumers to decrease their spending on non-essential things, such as skincare products</w:t>
      </w:r>
      <w:r w:rsidR="004411A2" w:rsidRPr="00FF103E">
        <w:rPr>
          <w:rFonts w:ascii="Arial" w:hAnsi="Arial" w:cs="Arial"/>
          <w:sz w:val="22"/>
          <w:szCs w:val="22"/>
        </w:rPr>
        <w:t xml:space="preserve"> (</w:t>
      </w:r>
      <w:proofErr w:type="spellStart"/>
      <w:r w:rsidR="004411A2" w:rsidRPr="00FF103E">
        <w:rPr>
          <w:rFonts w:ascii="Arial" w:hAnsi="Arial" w:cs="Arial"/>
          <w:sz w:val="22"/>
          <w:szCs w:val="22"/>
        </w:rPr>
        <w:t>morea</w:t>
      </w:r>
      <w:proofErr w:type="spellEnd"/>
      <w:r w:rsidR="004411A2" w:rsidRPr="00FF103E">
        <w:rPr>
          <w:rFonts w:ascii="Arial" w:hAnsi="Arial" w:cs="Arial"/>
          <w:sz w:val="22"/>
          <w:szCs w:val="22"/>
        </w:rPr>
        <w:t xml:space="preserve"> and Martiniello, 2021).</w:t>
      </w:r>
    </w:p>
    <w:p w14:paraId="16BD85C9" w14:textId="2D42A294"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Conversely, periods of economic growth often see increased consumer spending on premium skincare products. Inflation and currency fluctuations also affect production costs and pricing strategies. The Inkey List’s affordability focus is particularly relevant in economic downturns as consumers seek cost-effective yet quality alternatives (McKinsey &amp; Company, 2020).</w:t>
      </w:r>
    </w:p>
    <w:p w14:paraId="55FDEF20" w14:textId="62469597"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Social Factors</w:t>
      </w:r>
    </w:p>
    <w:p w14:paraId="61431796" w14:textId="47F6EC53" w:rsidR="00A1235C" w:rsidRDefault="00A1235C" w:rsidP="00E125E7">
      <w:pPr>
        <w:spacing w:line="360" w:lineRule="auto"/>
        <w:rPr>
          <w:rFonts w:ascii="Arial" w:hAnsi="Arial" w:cs="Arial"/>
          <w:sz w:val="22"/>
          <w:szCs w:val="22"/>
        </w:rPr>
      </w:pPr>
      <w:r w:rsidRPr="00FF103E">
        <w:rPr>
          <w:rFonts w:ascii="Arial" w:hAnsi="Arial" w:cs="Arial"/>
          <w:sz w:val="22"/>
          <w:szCs w:val="22"/>
        </w:rPr>
        <w:t xml:space="preserve">Demographic changes and evolving consumer preferences significantly influence the skincare market. </w:t>
      </w:r>
      <w:r w:rsidR="006A044B" w:rsidRPr="00FF103E">
        <w:rPr>
          <w:rFonts w:ascii="Arial" w:hAnsi="Arial" w:cs="Arial"/>
          <w:sz w:val="22"/>
          <w:szCs w:val="22"/>
        </w:rPr>
        <w:t>The need for skincare products that are inclusive and cater to varied skin types and issues is increasing (Mintel, 2021).</w:t>
      </w:r>
      <w:r w:rsidRPr="00FF103E">
        <w:rPr>
          <w:rFonts w:ascii="Arial" w:hAnsi="Arial" w:cs="Arial"/>
          <w:sz w:val="22"/>
          <w:szCs w:val="22"/>
        </w:rPr>
        <w:t xml:space="preserve">Consumers are increasingly health-conscious and prefer products with natural and transparent ingredients. </w:t>
      </w:r>
      <w:r w:rsidR="00A83812" w:rsidRPr="00FF103E">
        <w:rPr>
          <w:rFonts w:ascii="Arial" w:hAnsi="Arial" w:cs="Arial"/>
          <w:sz w:val="22"/>
          <w:szCs w:val="22"/>
        </w:rPr>
        <w:t>Social media's emergence has revolutionised consumer behaviour, since influencers have become crucial in influencing purchase choices.</w:t>
      </w:r>
      <w:r w:rsidRPr="00FF103E">
        <w:rPr>
          <w:rFonts w:ascii="Arial" w:hAnsi="Arial" w:cs="Arial"/>
          <w:sz w:val="22"/>
          <w:szCs w:val="22"/>
        </w:rPr>
        <w:t xml:space="preserve"> The Inkey List’s strategy of transparency and education aligns well with these social trends (Deloitte, 2020).</w:t>
      </w:r>
    </w:p>
    <w:p w14:paraId="4F0EAEC8" w14:textId="77777777" w:rsidR="00DA7398" w:rsidRDefault="00DA7398" w:rsidP="00E125E7">
      <w:pPr>
        <w:spacing w:line="360" w:lineRule="auto"/>
        <w:rPr>
          <w:rFonts w:ascii="Arial" w:hAnsi="Arial" w:cs="Arial"/>
          <w:sz w:val="22"/>
          <w:szCs w:val="22"/>
        </w:rPr>
      </w:pPr>
    </w:p>
    <w:p w14:paraId="0F0D9654" w14:textId="77777777" w:rsidR="00DA7398" w:rsidRPr="00FF103E" w:rsidRDefault="00DA7398" w:rsidP="00E125E7">
      <w:pPr>
        <w:spacing w:line="360" w:lineRule="auto"/>
        <w:rPr>
          <w:rFonts w:ascii="Arial" w:hAnsi="Arial" w:cs="Arial"/>
          <w:sz w:val="22"/>
          <w:szCs w:val="22"/>
        </w:rPr>
      </w:pPr>
    </w:p>
    <w:p w14:paraId="45F7CB91" w14:textId="4F103662"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Technological Factors</w:t>
      </w:r>
    </w:p>
    <w:p w14:paraId="6C8352BA" w14:textId="3C033EBE"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Technological advancements drive innovation in the skincare industry. Developments in biotechnology and dermatology lead to new and improved skincare formulations (</w:t>
      </w:r>
      <w:proofErr w:type="spellStart"/>
      <w:r w:rsidRPr="00FF103E">
        <w:rPr>
          <w:rFonts w:ascii="Arial" w:hAnsi="Arial" w:cs="Arial"/>
          <w:sz w:val="22"/>
          <w:szCs w:val="22"/>
        </w:rPr>
        <w:t>GlobalData</w:t>
      </w:r>
      <w:proofErr w:type="spellEnd"/>
      <w:r w:rsidRPr="00FF103E">
        <w:rPr>
          <w:rFonts w:ascii="Arial" w:hAnsi="Arial" w:cs="Arial"/>
          <w:sz w:val="22"/>
          <w:szCs w:val="22"/>
        </w:rPr>
        <w:t>, 2021). Digital technologies also play a critical role in marketing and consumer engagement. The Inkey List leverages social media and digital platforms to educate consumers and promote their products. E-commerce has become increasingly important, especially during the COVID-19 pandemic, accelerating online sales channels (Statista, 2021).</w:t>
      </w:r>
    </w:p>
    <w:p w14:paraId="5EEB20DD" w14:textId="4615D81A"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Legal Factors</w:t>
      </w:r>
    </w:p>
    <w:p w14:paraId="4EA50932" w14:textId="31E9C5AA"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 xml:space="preserve">Compliance with legal regulations is crucial in the skincare industry. This includes adherence to laws regarding product safety, marketing claims, and intellectual property rights (KPMG, 2021). The Inkey List must navigate different regulatory environments in various markets, which can be complex and resource-intensive. Data protection and privacy laws also impact the company’s digital marketing and e-commerce strategies </w:t>
      </w:r>
      <w:r w:rsidR="00012BF1" w:rsidRPr="00FF103E">
        <w:rPr>
          <w:rFonts w:ascii="Arial" w:hAnsi="Arial" w:cs="Arial"/>
          <w:sz w:val="22"/>
          <w:szCs w:val="22"/>
        </w:rPr>
        <w:t>(Daigle and Khan, 2020)</w:t>
      </w:r>
      <w:r w:rsidRPr="00FF103E">
        <w:rPr>
          <w:rFonts w:ascii="Arial" w:hAnsi="Arial" w:cs="Arial"/>
          <w:sz w:val="22"/>
          <w:szCs w:val="22"/>
        </w:rPr>
        <w:t>.</w:t>
      </w:r>
    </w:p>
    <w:p w14:paraId="46CAE93D" w14:textId="19B60B76"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Environmental Factors</w:t>
      </w:r>
    </w:p>
    <w:p w14:paraId="054DEE27" w14:textId="174CD376" w:rsidR="00E125E7" w:rsidRPr="00FF103E" w:rsidRDefault="00A1235C" w:rsidP="00DA7398">
      <w:pPr>
        <w:spacing w:line="360" w:lineRule="auto"/>
        <w:rPr>
          <w:rFonts w:ascii="Arial" w:hAnsi="Arial" w:cs="Arial"/>
          <w:sz w:val="22"/>
          <w:szCs w:val="22"/>
        </w:rPr>
      </w:pPr>
      <w:r w:rsidRPr="00FF103E">
        <w:rPr>
          <w:rFonts w:ascii="Arial" w:hAnsi="Arial" w:cs="Arial"/>
          <w:sz w:val="22"/>
          <w:szCs w:val="22"/>
        </w:rPr>
        <w:t>Sustainability is a growing concern among consumers and regulators. There is increasing pressure on companies to adopt environmentally friendly practices, such as sustainable sourcing of ingredients, eco-friendly packaging, and reducing carbon footprints (The Guardian, 2021). The Inkey List’s commitment to affordability and transparency must be balanced with sustainable practices to meet consumer expectations and regulatory requirements (Deloitte, 2020).</w:t>
      </w:r>
    </w:p>
    <w:p w14:paraId="66F8AF68" w14:textId="77777777" w:rsidR="00A1235C" w:rsidRPr="00FF103E" w:rsidRDefault="00A1235C" w:rsidP="00E125E7">
      <w:pPr>
        <w:pStyle w:val="Heading2"/>
        <w:rPr>
          <w:rFonts w:ascii="Arial" w:hAnsi="Arial" w:cs="Arial"/>
          <w:sz w:val="22"/>
          <w:szCs w:val="22"/>
        </w:rPr>
      </w:pPr>
      <w:bookmarkStart w:id="10" w:name="_Toc171279048"/>
      <w:r w:rsidRPr="00FF103E">
        <w:rPr>
          <w:rFonts w:ascii="Arial" w:hAnsi="Arial" w:cs="Arial"/>
          <w:sz w:val="22"/>
          <w:szCs w:val="22"/>
        </w:rPr>
        <w:t>2.2 Internal Environment Analysis using SWOT</w:t>
      </w:r>
      <w:bookmarkEnd w:id="10"/>
    </w:p>
    <w:p w14:paraId="733612AA" w14:textId="77777777" w:rsidR="00A83812" w:rsidRPr="00FF103E" w:rsidRDefault="00A83812" w:rsidP="00E125E7">
      <w:pPr>
        <w:spacing w:line="360" w:lineRule="auto"/>
        <w:rPr>
          <w:rFonts w:ascii="Arial" w:hAnsi="Arial" w:cs="Arial"/>
          <w:sz w:val="22"/>
          <w:szCs w:val="22"/>
        </w:rPr>
      </w:pPr>
      <w:r w:rsidRPr="00FF103E">
        <w:rPr>
          <w:rFonts w:ascii="Arial" w:hAnsi="Arial" w:cs="Arial"/>
          <w:sz w:val="22"/>
          <w:szCs w:val="22"/>
        </w:rPr>
        <w:t>The SWOT analysis paradigm facilitates the comprehension of The Inkey List's internal strengths and weaknesses, along with its external opportunities and threats.</w:t>
      </w:r>
    </w:p>
    <w:p w14:paraId="647494CC" w14:textId="57FF2B89"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Strengths</w:t>
      </w:r>
    </w:p>
    <w:p w14:paraId="49F87FB0" w14:textId="64B502A9"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The Inkey List’s focus on single-ingredient products simplifies skincare for consumers and highlights transparency. Competitive pricing makes high-quality skincare accessible to a broader audience. The commitment to education and transparency has built a loyal customer base. Effective use of digital channels enhances marketing and sales (Laxton &amp; Curry, 2021).</w:t>
      </w:r>
    </w:p>
    <w:p w14:paraId="178AFB47" w14:textId="7273EF6C"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Weaknesses</w:t>
      </w:r>
    </w:p>
    <w:p w14:paraId="44C4A3EE" w14:textId="795904A8" w:rsidR="00A1235C" w:rsidRPr="00FF103E" w:rsidRDefault="00A1235C" w:rsidP="00DA7398">
      <w:pPr>
        <w:spacing w:line="360" w:lineRule="auto"/>
        <w:rPr>
          <w:rFonts w:ascii="Arial" w:hAnsi="Arial" w:cs="Arial"/>
          <w:sz w:val="22"/>
          <w:szCs w:val="22"/>
        </w:rPr>
      </w:pPr>
      <w:r w:rsidRPr="00FF103E">
        <w:rPr>
          <w:rFonts w:ascii="Arial" w:hAnsi="Arial" w:cs="Arial"/>
          <w:sz w:val="22"/>
          <w:szCs w:val="22"/>
        </w:rPr>
        <w:lastRenderedPageBreak/>
        <w:t xml:space="preserve">Heavy reliance on online sales may limit reach to certain consumer segments. As an SME, </w:t>
      </w:r>
      <w:r w:rsidR="00D550A0" w:rsidRPr="00FF103E">
        <w:rPr>
          <w:rFonts w:ascii="Arial" w:hAnsi="Arial" w:cs="Arial"/>
          <w:sz w:val="22"/>
          <w:szCs w:val="22"/>
        </w:rPr>
        <w:t>The Inkey List may encounter limitations in resources when compared to larger competitors, which might impact its capacity to expand operations and maintain a constant stream of innovation</w:t>
      </w:r>
      <w:r w:rsidRPr="00FF103E">
        <w:rPr>
          <w:rFonts w:ascii="Arial" w:hAnsi="Arial" w:cs="Arial"/>
          <w:sz w:val="22"/>
          <w:szCs w:val="22"/>
        </w:rPr>
        <w:t>. Dependence on specific suppliers and geopolitical issues can disrupt supply chains (</w:t>
      </w:r>
      <w:r w:rsidR="00EE6DC4" w:rsidRPr="00FF103E">
        <w:rPr>
          <w:rFonts w:ascii="Arial" w:hAnsi="Arial" w:cs="Arial"/>
          <w:sz w:val="22"/>
          <w:szCs w:val="22"/>
        </w:rPr>
        <w:t>the inky list</w:t>
      </w:r>
      <w:r w:rsidRPr="00FF103E">
        <w:rPr>
          <w:rFonts w:ascii="Arial" w:hAnsi="Arial" w:cs="Arial"/>
          <w:sz w:val="22"/>
          <w:szCs w:val="22"/>
        </w:rPr>
        <w:t xml:space="preserve">, </w:t>
      </w:r>
      <w:proofErr w:type="spellStart"/>
      <w:r w:rsidR="00EE6DC4" w:rsidRPr="00FF103E">
        <w:rPr>
          <w:rFonts w:ascii="Arial" w:hAnsi="Arial" w:cs="Arial"/>
          <w:sz w:val="22"/>
          <w:szCs w:val="22"/>
        </w:rPr>
        <w:t>nd</w:t>
      </w:r>
      <w:proofErr w:type="spellEnd"/>
      <w:r w:rsidRPr="00FF103E">
        <w:rPr>
          <w:rFonts w:ascii="Arial" w:hAnsi="Arial" w:cs="Arial"/>
          <w:sz w:val="22"/>
          <w:szCs w:val="22"/>
        </w:rPr>
        <w:t>).</w:t>
      </w:r>
    </w:p>
    <w:p w14:paraId="76BACE43" w14:textId="20798F1C"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Opportunities</w:t>
      </w:r>
    </w:p>
    <w:p w14:paraId="32B84681" w14:textId="20F2DF9F"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Expanding into new geographical markets and diversifying the product line to include more skin types and concerns presents significant growth opportunities. Enhancing sustainability practices can meet rising consumer expectations and regulatory demands. Further integration of advanced technologies in product development and digital marketing can drive innovation and efficiency (Mintel, 2021).</w:t>
      </w:r>
    </w:p>
    <w:p w14:paraId="5182DFAC" w14:textId="378914E1"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Threats</w:t>
      </w:r>
    </w:p>
    <w:p w14:paraId="70536FAE" w14:textId="5C3D543A" w:rsidR="004411A2" w:rsidRPr="00FF103E" w:rsidRDefault="00D550A0" w:rsidP="004411A2">
      <w:pPr>
        <w:spacing w:line="360" w:lineRule="auto"/>
        <w:rPr>
          <w:rFonts w:ascii="Arial" w:hAnsi="Arial" w:cs="Arial"/>
          <w:sz w:val="22"/>
          <w:szCs w:val="22"/>
        </w:rPr>
      </w:pPr>
      <w:r w:rsidRPr="00FF103E">
        <w:rPr>
          <w:rFonts w:ascii="Arial" w:hAnsi="Arial" w:cs="Arial"/>
          <w:sz w:val="22"/>
          <w:szCs w:val="22"/>
        </w:rPr>
        <w:t xml:space="preserve">The skincare sector is characterised by intense competition, with a multitude of well-established brands as well as emerging players. </w:t>
      </w:r>
      <w:r w:rsidR="00A1235C" w:rsidRPr="00FF103E">
        <w:rPr>
          <w:rFonts w:ascii="Arial" w:hAnsi="Arial" w:cs="Arial"/>
          <w:sz w:val="22"/>
          <w:szCs w:val="22"/>
        </w:rPr>
        <w:t xml:space="preserve">Evolving regulations can impact product formulations, marketing strategies, and operational costs. </w:t>
      </w:r>
      <w:r w:rsidRPr="00FF103E">
        <w:rPr>
          <w:rFonts w:ascii="Arial" w:hAnsi="Arial" w:cs="Arial"/>
          <w:sz w:val="22"/>
          <w:szCs w:val="22"/>
        </w:rPr>
        <w:t xml:space="preserve">Economic downturns can have an impact on unnecessary consumer purchasing, such as skincare </w:t>
      </w:r>
      <w:r w:rsidR="004411A2" w:rsidRPr="00FF103E">
        <w:rPr>
          <w:rFonts w:ascii="Arial" w:hAnsi="Arial" w:cs="Arial"/>
          <w:sz w:val="22"/>
          <w:szCs w:val="22"/>
        </w:rPr>
        <w:t>(Morea and Martiniello, 2021).</w:t>
      </w:r>
    </w:p>
    <w:p w14:paraId="039D7FCA" w14:textId="17353C35" w:rsidR="00A1235C" w:rsidRPr="00DA7398" w:rsidRDefault="00A1235C" w:rsidP="00DA7398">
      <w:pPr>
        <w:pStyle w:val="Heading2"/>
        <w:rPr>
          <w:rFonts w:ascii="Arial" w:hAnsi="Arial" w:cs="Arial"/>
          <w:sz w:val="22"/>
          <w:szCs w:val="22"/>
        </w:rPr>
      </w:pPr>
      <w:bookmarkStart w:id="11" w:name="_Toc171279049"/>
      <w:r w:rsidRPr="00DA7398">
        <w:rPr>
          <w:rFonts w:ascii="Arial" w:hAnsi="Arial" w:cs="Arial"/>
          <w:sz w:val="22"/>
          <w:szCs w:val="22"/>
        </w:rPr>
        <w:t>2.3 Integration of PESTLE and SWOT Findings</w:t>
      </w:r>
      <w:bookmarkEnd w:id="11"/>
    </w:p>
    <w:p w14:paraId="3AB1E553" w14:textId="3B31E6F3" w:rsidR="00A1235C" w:rsidRPr="00FF103E" w:rsidRDefault="00A1235C" w:rsidP="00E125E7">
      <w:pPr>
        <w:spacing w:line="360" w:lineRule="auto"/>
        <w:rPr>
          <w:rFonts w:ascii="Arial" w:hAnsi="Arial" w:cs="Arial"/>
          <w:sz w:val="22"/>
          <w:szCs w:val="22"/>
        </w:rPr>
      </w:pPr>
      <w:r w:rsidRPr="00FF103E">
        <w:rPr>
          <w:rFonts w:ascii="Arial" w:hAnsi="Arial" w:cs="Arial"/>
          <w:sz w:val="22"/>
          <w:szCs w:val="22"/>
        </w:rPr>
        <w:t>Integrating PESTLE and SWOT analyses provides a comprehensive understanding of the strategic landscape for The Inkey List. Ensuring compliance with evolving regulations is critical (Smith, 2019). Developing strategies to mitigate the impact of economic downturns is essential, with a focus on affordability to attract cost-conscious consumers (Euromonitor International, 2021). Leveraging technological advancements to develop innovative products that meet diverse consumer needs and embracing sustainability initiatives can enhance brand reputation (</w:t>
      </w:r>
      <w:proofErr w:type="spellStart"/>
      <w:r w:rsidRPr="00FF103E">
        <w:rPr>
          <w:rFonts w:ascii="Arial" w:hAnsi="Arial" w:cs="Arial"/>
          <w:sz w:val="22"/>
          <w:szCs w:val="22"/>
        </w:rPr>
        <w:t>GlobalData</w:t>
      </w:r>
      <w:proofErr w:type="spellEnd"/>
      <w:r w:rsidRPr="00FF103E">
        <w:rPr>
          <w:rFonts w:ascii="Arial" w:hAnsi="Arial" w:cs="Arial"/>
          <w:sz w:val="22"/>
          <w:szCs w:val="22"/>
        </w:rPr>
        <w:t>, 2021; The Guardian, 2021). Strengthening digital infrastructure to support e-commerce and online consumer engagement remains vital (Statista, 2021).</w:t>
      </w:r>
    </w:p>
    <w:p w14:paraId="55B77A51" w14:textId="00521F42" w:rsidR="00A1235C" w:rsidRPr="00FF103E" w:rsidRDefault="00A1235C" w:rsidP="00B435FF">
      <w:pPr>
        <w:spacing w:line="360" w:lineRule="auto"/>
        <w:rPr>
          <w:rFonts w:ascii="Arial" w:hAnsi="Arial" w:cs="Arial"/>
          <w:sz w:val="22"/>
          <w:szCs w:val="22"/>
        </w:rPr>
      </w:pPr>
      <w:r w:rsidRPr="00FF103E">
        <w:rPr>
          <w:rFonts w:ascii="Arial" w:hAnsi="Arial" w:cs="Arial"/>
          <w:sz w:val="22"/>
          <w:szCs w:val="22"/>
        </w:rPr>
        <w:t>By understanding these factors, The Inkey List can develop strategies that enhance</w:t>
      </w:r>
      <w:r w:rsidR="00D550A0" w:rsidRPr="00FF103E">
        <w:rPr>
          <w:rFonts w:ascii="Arial" w:hAnsi="Arial" w:cs="Arial"/>
          <w:sz w:val="22"/>
          <w:szCs w:val="22"/>
        </w:rPr>
        <w:t xml:space="preserve"> strengths, correct weaknesses, focus on opportunities, and reduce risks</w:t>
      </w:r>
      <w:r w:rsidRPr="00FF103E">
        <w:rPr>
          <w:rFonts w:ascii="Arial" w:hAnsi="Arial" w:cs="Arial"/>
          <w:sz w:val="22"/>
          <w:szCs w:val="22"/>
        </w:rPr>
        <w:t>, supporting the company’s vision of democratizing skincare while ensuring long-term sustainability and competitiveness.</w:t>
      </w:r>
    </w:p>
    <w:p w14:paraId="7ADC551B" w14:textId="77777777" w:rsidR="00A1235C" w:rsidRPr="00FF103E" w:rsidRDefault="00A1235C" w:rsidP="00B435FF">
      <w:pPr>
        <w:spacing w:line="360" w:lineRule="auto"/>
        <w:rPr>
          <w:rFonts w:ascii="Arial" w:hAnsi="Arial" w:cs="Arial"/>
          <w:sz w:val="22"/>
          <w:szCs w:val="22"/>
        </w:rPr>
      </w:pPr>
    </w:p>
    <w:p w14:paraId="1F341E9C" w14:textId="77777777" w:rsidR="00B435FF" w:rsidRPr="00FF103E" w:rsidRDefault="00B435FF" w:rsidP="00E125E7">
      <w:pPr>
        <w:pStyle w:val="Heading1"/>
        <w:rPr>
          <w:rFonts w:ascii="Arial" w:hAnsi="Arial" w:cs="Arial"/>
          <w:sz w:val="22"/>
          <w:szCs w:val="22"/>
        </w:rPr>
      </w:pPr>
      <w:bookmarkStart w:id="12" w:name="_Toc171279050"/>
      <w:r w:rsidRPr="00FF103E">
        <w:rPr>
          <w:rFonts w:ascii="Arial" w:hAnsi="Arial" w:cs="Arial"/>
          <w:sz w:val="22"/>
          <w:szCs w:val="22"/>
        </w:rPr>
        <w:lastRenderedPageBreak/>
        <w:t>3. Stakeholder Analysis</w:t>
      </w:r>
      <w:bookmarkEnd w:id="12"/>
    </w:p>
    <w:p w14:paraId="2D86F953" w14:textId="77777777" w:rsidR="00B435FF" w:rsidRPr="00FF103E" w:rsidRDefault="00B435FF" w:rsidP="00E125E7">
      <w:pPr>
        <w:pStyle w:val="Heading2"/>
        <w:rPr>
          <w:rFonts w:ascii="Arial" w:hAnsi="Arial" w:cs="Arial"/>
          <w:sz w:val="22"/>
          <w:szCs w:val="22"/>
        </w:rPr>
      </w:pPr>
      <w:bookmarkStart w:id="13" w:name="_Toc171279051"/>
      <w:r w:rsidRPr="00FF103E">
        <w:rPr>
          <w:rFonts w:ascii="Arial" w:hAnsi="Arial" w:cs="Arial"/>
          <w:sz w:val="22"/>
          <w:szCs w:val="22"/>
        </w:rPr>
        <w:t>3.1 Identification of Key Stakeholders</w:t>
      </w:r>
      <w:bookmarkEnd w:id="13"/>
    </w:p>
    <w:p w14:paraId="2D96964B" w14:textId="1FC779BE" w:rsidR="00D550A0" w:rsidRPr="00FF103E" w:rsidRDefault="00B435FF" w:rsidP="00D550A0">
      <w:pPr>
        <w:spacing w:line="360" w:lineRule="auto"/>
        <w:rPr>
          <w:rFonts w:ascii="Arial" w:hAnsi="Arial" w:cs="Arial"/>
          <w:sz w:val="22"/>
          <w:szCs w:val="22"/>
        </w:rPr>
      </w:pPr>
      <w:r w:rsidRPr="00FF103E">
        <w:rPr>
          <w:rFonts w:ascii="Arial" w:hAnsi="Arial" w:cs="Arial"/>
          <w:sz w:val="22"/>
          <w:szCs w:val="22"/>
        </w:rPr>
        <w:t xml:space="preserve">The Inkey List interacts with a variety of stakeholders who influence and are influenced by its operations. </w:t>
      </w:r>
      <w:r w:rsidR="00D550A0" w:rsidRPr="00FF103E">
        <w:rPr>
          <w:rFonts w:ascii="Arial" w:hAnsi="Arial" w:cs="Arial"/>
          <w:sz w:val="22"/>
          <w:szCs w:val="22"/>
        </w:rPr>
        <w:t>These parties are generally classified as internal or external stakeholders.</w:t>
      </w:r>
    </w:p>
    <w:p w14:paraId="390290AA" w14:textId="176F8D90" w:rsidR="00B435FF" w:rsidRPr="00FF103E" w:rsidRDefault="00B435FF" w:rsidP="00D550A0">
      <w:pPr>
        <w:spacing w:line="360" w:lineRule="auto"/>
        <w:rPr>
          <w:rFonts w:ascii="Arial" w:hAnsi="Arial" w:cs="Arial"/>
          <w:sz w:val="22"/>
          <w:szCs w:val="22"/>
        </w:rPr>
      </w:pPr>
      <w:r w:rsidRPr="00FF103E">
        <w:rPr>
          <w:rFonts w:ascii="Arial" w:hAnsi="Arial" w:cs="Arial"/>
          <w:sz w:val="22"/>
          <w:szCs w:val="22"/>
        </w:rPr>
        <w:t>Internal Stakeholders:</w:t>
      </w:r>
    </w:p>
    <w:p w14:paraId="32749237"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Employees: Including product development teams, marketing teams, customer service representatives, and management.</w:t>
      </w:r>
    </w:p>
    <w:p w14:paraId="3D1A1442"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Founders/Owners: Colette Laxton and Mark Curry, who provide the vision and strategic direction for the company.</w:t>
      </w:r>
    </w:p>
    <w:p w14:paraId="7836468B" w14:textId="221A402E" w:rsidR="00B435FF" w:rsidRPr="00FF103E" w:rsidRDefault="00B435FF" w:rsidP="00E125E7">
      <w:pPr>
        <w:spacing w:line="360" w:lineRule="auto"/>
        <w:rPr>
          <w:rFonts w:ascii="Arial" w:hAnsi="Arial" w:cs="Arial"/>
          <w:sz w:val="22"/>
          <w:szCs w:val="22"/>
        </w:rPr>
      </w:pPr>
      <w:r w:rsidRPr="00FF103E">
        <w:rPr>
          <w:rFonts w:ascii="Arial" w:hAnsi="Arial" w:cs="Arial"/>
          <w:sz w:val="22"/>
          <w:szCs w:val="22"/>
        </w:rPr>
        <w:t>External Stakeholders:</w:t>
      </w:r>
    </w:p>
    <w:p w14:paraId="553D4000"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Customers: Both existing and potential customers who purchase and use The Inkey List products.</w:t>
      </w:r>
    </w:p>
    <w:p w14:paraId="29CD236E"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Suppliers: Providers of raw materials and packaging for The Inkey List’s products.</w:t>
      </w:r>
    </w:p>
    <w:p w14:paraId="3DD50E39"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Retail Partners: Major retailers like Sephora and Cult Beauty who distribute The Inkey List products.</w:t>
      </w:r>
    </w:p>
    <w:p w14:paraId="318F83B0"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Investors: Financial stakeholders who have invested in the company.</w:t>
      </w:r>
    </w:p>
    <w:p w14:paraId="69BBCEC0"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Regulatory Bodies: Organizations that set and enforce regulations related to product safety, marketing, and environmental standards (KPMG, 2021).</w:t>
      </w:r>
    </w:p>
    <w:p w14:paraId="64F79774"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Community and Environmental Groups: Organizations concerned with the environmental and social impact of The Inkey List’s operations (The Guardian, 2021).</w:t>
      </w:r>
    </w:p>
    <w:p w14:paraId="097A3913" w14:textId="77777777" w:rsidR="00B435FF" w:rsidRPr="00FF103E" w:rsidRDefault="00B435FF" w:rsidP="00E125E7">
      <w:pPr>
        <w:pStyle w:val="Heading2"/>
        <w:rPr>
          <w:rFonts w:ascii="Arial" w:hAnsi="Arial" w:cs="Arial"/>
          <w:sz w:val="22"/>
          <w:szCs w:val="22"/>
        </w:rPr>
      </w:pPr>
      <w:bookmarkStart w:id="14" w:name="_Toc171279052"/>
      <w:r w:rsidRPr="00FF103E">
        <w:rPr>
          <w:rFonts w:ascii="Arial" w:hAnsi="Arial" w:cs="Arial"/>
          <w:sz w:val="22"/>
          <w:szCs w:val="22"/>
        </w:rPr>
        <w:t>3.2 Analysis of Stakeholders' Expectations and Relative Power</w:t>
      </w:r>
      <w:bookmarkEnd w:id="14"/>
    </w:p>
    <w:p w14:paraId="30EC5203" w14:textId="4BCA18AF"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 xml:space="preserve">Employees: Expect fair compensation, career development opportunities, a healthy work environment, and job security. They hold significant power as their satisfaction directly impacts productivity and innovation (Bridge et al., </w:t>
      </w:r>
      <w:r w:rsidR="003E6AF1" w:rsidRPr="00FF103E">
        <w:rPr>
          <w:rFonts w:ascii="Arial" w:hAnsi="Arial" w:cs="Arial"/>
          <w:sz w:val="22"/>
          <w:szCs w:val="22"/>
        </w:rPr>
        <w:t>1998</w:t>
      </w:r>
      <w:r w:rsidRPr="00FF103E">
        <w:rPr>
          <w:rFonts w:ascii="Arial" w:hAnsi="Arial" w:cs="Arial"/>
          <w:sz w:val="22"/>
          <w:szCs w:val="22"/>
        </w:rPr>
        <w:t>).</w:t>
      </w:r>
    </w:p>
    <w:p w14:paraId="75131B32"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Founders/Owners: Seek sustainable growth, profitability, and realization of their vision. Their power is very high as they make strategic decisions and steer the company’s direction (Jones &amp; Tilley, 2018).</w:t>
      </w:r>
    </w:p>
    <w:p w14:paraId="790752C2"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Customers: Demand high-quality, effective, and affordable skincare products, transparency about ingredients, and excellent customer service. They have high power since their purchasing decisions drive the company’s revenue and market reputation (Mintel, 2021).</w:t>
      </w:r>
    </w:p>
    <w:p w14:paraId="28FED796"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lastRenderedPageBreak/>
        <w:t>Suppliers: Expect reliable business relationships, timely payments, and fair trade terms. Their power ranges from medium to high, as they are essential for production but can be replaced if necessary (KPMG, 2021).</w:t>
      </w:r>
    </w:p>
    <w:p w14:paraId="53A159C0"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Retail Partners: Look for consistent supply of products, attractive profit margins, and strong brand support. They hold high power as they provide access to broad customer bases and significantly influence sales volumes (Deloitte, 2020).</w:t>
      </w:r>
    </w:p>
    <w:p w14:paraId="6FFD06CB"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Investors: Expect returns on investment, business growth, and financial transparency. They have high power due to their role in providing the necessary capital for expansion and innovation (McKinsey &amp; Company, 2020).</w:t>
      </w:r>
    </w:p>
    <w:p w14:paraId="58FA971A"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Regulatory Bodies: Require compliance with laws and regulations, including product safety, marketing practices, and environmental standards. Their power is very high as non-compliance can result in legal penalties and damage to reputation (KPMG, 2021).</w:t>
      </w:r>
    </w:p>
    <w:p w14:paraId="208395F1"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Community and Environmental Groups: Demand ethical business practices, environmental sustainability, and social responsibility. Their power is medium, influencing reputation and regulatory pressures indirectly (The Guardian, 2021).</w:t>
      </w:r>
    </w:p>
    <w:p w14:paraId="731BFBB1" w14:textId="77777777" w:rsidR="00B435FF" w:rsidRPr="00FF103E" w:rsidRDefault="00B435FF" w:rsidP="00E125E7">
      <w:pPr>
        <w:pStyle w:val="Heading2"/>
        <w:rPr>
          <w:rFonts w:ascii="Arial" w:hAnsi="Arial" w:cs="Arial"/>
          <w:sz w:val="22"/>
          <w:szCs w:val="22"/>
        </w:rPr>
      </w:pPr>
      <w:bookmarkStart w:id="15" w:name="_Toc171279053"/>
      <w:r w:rsidRPr="00FF103E">
        <w:rPr>
          <w:rFonts w:ascii="Arial" w:hAnsi="Arial" w:cs="Arial"/>
          <w:sz w:val="22"/>
          <w:szCs w:val="22"/>
        </w:rPr>
        <w:t>3.3 Addressing Stakeholder Interests Sustainably Through the New Strategy</w:t>
      </w:r>
      <w:bookmarkEnd w:id="15"/>
    </w:p>
    <w:p w14:paraId="20291B58" w14:textId="0356AA03" w:rsidR="00B435FF" w:rsidRPr="00FF103E" w:rsidRDefault="00B435FF" w:rsidP="00E125E7">
      <w:pPr>
        <w:spacing w:line="360" w:lineRule="auto"/>
        <w:rPr>
          <w:rFonts w:ascii="Arial" w:hAnsi="Arial" w:cs="Arial"/>
          <w:sz w:val="22"/>
          <w:szCs w:val="22"/>
        </w:rPr>
      </w:pPr>
      <w:r w:rsidRPr="00FF103E">
        <w:rPr>
          <w:rFonts w:ascii="Arial" w:hAnsi="Arial" w:cs="Arial"/>
          <w:sz w:val="22"/>
          <w:szCs w:val="22"/>
        </w:rPr>
        <w:t>To address stakeholder interests sustainably, The Inkey List can adopt several strategic initiatives:</w:t>
      </w:r>
    </w:p>
    <w:p w14:paraId="640AB7C3" w14:textId="77777777" w:rsidR="00B435FF" w:rsidRPr="00FF103E" w:rsidRDefault="00B435FF" w:rsidP="00E125E7">
      <w:pPr>
        <w:pStyle w:val="ListParagraph"/>
        <w:numPr>
          <w:ilvl w:val="0"/>
          <w:numId w:val="2"/>
        </w:numPr>
        <w:spacing w:line="360" w:lineRule="auto"/>
        <w:rPr>
          <w:rFonts w:ascii="Arial" w:hAnsi="Arial" w:cs="Arial"/>
          <w:sz w:val="22"/>
          <w:szCs w:val="22"/>
        </w:rPr>
      </w:pPr>
      <w:r w:rsidRPr="00FF103E">
        <w:rPr>
          <w:rFonts w:ascii="Arial" w:hAnsi="Arial" w:cs="Arial"/>
          <w:sz w:val="22"/>
          <w:szCs w:val="22"/>
        </w:rPr>
        <w:t>Sustainability Integration: Invest in sustainable sourcing of ingredients, eco-friendly packaging, and reducing carbon footprints. This aligns with the interests of customers, community, and environmental groups (The Guardian, 2021).</w:t>
      </w:r>
    </w:p>
    <w:p w14:paraId="0A38A7E8" w14:textId="77777777" w:rsidR="00B435FF" w:rsidRPr="00FF103E" w:rsidRDefault="00B435FF" w:rsidP="00E125E7">
      <w:pPr>
        <w:pStyle w:val="ListParagraph"/>
        <w:numPr>
          <w:ilvl w:val="0"/>
          <w:numId w:val="2"/>
        </w:numPr>
        <w:spacing w:line="360" w:lineRule="auto"/>
        <w:rPr>
          <w:rFonts w:ascii="Arial" w:hAnsi="Arial" w:cs="Arial"/>
          <w:sz w:val="22"/>
          <w:szCs w:val="22"/>
        </w:rPr>
      </w:pPr>
      <w:r w:rsidRPr="00FF103E">
        <w:rPr>
          <w:rFonts w:ascii="Arial" w:hAnsi="Arial" w:cs="Arial"/>
          <w:sz w:val="22"/>
          <w:szCs w:val="22"/>
        </w:rPr>
        <w:t>Innovation and Education: Continue to innovate with new product formulations that address emerging skincare needs. Enhance consumer education through digital platforms, engaging customers with personalized skincare advice (</w:t>
      </w:r>
      <w:proofErr w:type="spellStart"/>
      <w:r w:rsidRPr="00FF103E">
        <w:rPr>
          <w:rFonts w:ascii="Arial" w:hAnsi="Arial" w:cs="Arial"/>
          <w:sz w:val="22"/>
          <w:szCs w:val="22"/>
        </w:rPr>
        <w:t>GlobalData</w:t>
      </w:r>
      <w:proofErr w:type="spellEnd"/>
      <w:r w:rsidRPr="00FF103E">
        <w:rPr>
          <w:rFonts w:ascii="Arial" w:hAnsi="Arial" w:cs="Arial"/>
          <w:sz w:val="22"/>
          <w:szCs w:val="22"/>
        </w:rPr>
        <w:t>, 2021).</w:t>
      </w:r>
    </w:p>
    <w:p w14:paraId="3A8E309F" w14:textId="77777777" w:rsidR="00B435FF" w:rsidRPr="00FF103E" w:rsidRDefault="00B435FF" w:rsidP="00E125E7">
      <w:pPr>
        <w:pStyle w:val="ListParagraph"/>
        <w:numPr>
          <w:ilvl w:val="0"/>
          <w:numId w:val="2"/>
        </w:numPr>
        <w:spacing w:line="360" w:lineRule="auto"/>
        <w:rPr>
          <w:rFonts w:ascii="Arial" w:hAnsi="Arial" w:cs="Arial"/>
          <w:sz w:val="22"/>
          <w:szCs w:val="22"/>
        </w:rPr>
      </w:pPr>
      <w:r w:rsidRPr="00FF103E">
        <w:rPr>
          <w:rFonts w:ascii="Arial" w:hAnsi="Arial" w:cs="Arial"/>
          <w:sz w:val="22"/>
          <w:szCs w:val="22"/>
        </w:rPr>
        <w:t>Compliance and Ethical Practices: Maintain strict adherence to regulations and proactively engage with regulatory bodies to stay ahead of legal requirements (KPMG, 2021).</w:t>
      </w:r>
    </w:p>
    <w:p w14:paraId="7BEC0638" w14:textId="77777777" w:rsidR="00B435FF" w:rsidRPr="00FF103E" w:rsidRDefault="00B435FF" w:rsidP="00E125E7">
      <w:pPr>
        <w:pStyle w:val="ListParagraph"/>
        <w:numPr>
          <w:ilvl w:val="0"/>
          <w:numId w:val="2"/>
        </w:numPr>
        <w:spacing w:line="360" w:lineRule="auto"/>
        <w:rPr>
          <w:rFonts w:ascii="Arial" w:hAnsi="Arial" w:cs="Arial"/>
          <w:sz w:val="22"/>
          <w:szCs w:val="22"/>
        </w:rPr>
      </w:pPr>
      <w:r w:rsidRPr="00FF103E">
        <w:rPr>
          <w:rFonts w:ascii="Arial" w:hAnsi="Arial" w:cs="Arial"/>
          <w:sz w:val="22"/>
          <w:szCs w:val="22"/>
        </w:rPr>
        <w:t>Financial Health and Growth: Communicate clear growth strategies and financial health to maintain investor confidence and attract new investments (McKinsey &amp; Company, 2020).</w:t>
      </w:r>
    </w:p>
    <w:p w14:paraId="51DC2016" w14:textId="77777777" w:rsidR="00B435FF" w:rsidRPr="00FF103E" w:rsidRDefault="00B435FF" w:rsidP="00E125E7">
      <w:pPr>
        <w:pStyle w:val="Heading1"/>
        <w:rPr>
          <w:rFonts w:ascii="Arial" w:hAnsi="Arial" w:cs="Arial"/>
          <w:sz w:val="22"/>
          <w:szCs w:val="22"/>
        </w:rPr>
      </w:pPr>
      <w:bookmarkStart w:id="16" w:name="_Toc171279054"/>
      <w:r w:rsidRPr="00FF103E">
        <w:rPr>
          <w:rFonts w:ascii="Arial" w:hAnsi="Arial" w:cs="Arial"/>
          <w:sz w:val="22"/>
          <w:szCs w:val="22"/>
        </w:rPr>
        <w:lastRenderedPageBreak/>
        <w:t>4. Strategic Growth Choices and New Strategy Proposal</w:t>
      </w:r>
      <w:bookmarkEnd w:id="16"/>
    </w:p>
    <w:p w14:paraId="7F538A2B" w14:textId="7D1672E6" w:rsidR="00B435FF" w:rsidRPr="00FF103E" w:rsidRDefault="00B435FF" w:rsidP="0023242A">
      <w:pPr>
        <w:spacing w:line="360" w:lineRule="auto"/>
        <w:rPr>
          <w:rFonts w:ascii="Arial" w:hAnsi="Arial" w:cs="Arial"/>
          <w:sz w:val="22"/>
          <w:szCs w:val="22"/>
        </w:rPr>
      </w:pPr>
      <w:r w:rsidRPr="00FF103E">
        <w:rPr>
          <w:rFonts w:ascii="Arial" w:hAnsi="Arial" w:cs="Arial"/>
          <w:sz w:val="22"/>
          <w:szCs w:val="22"/>
        </w:rPr>
        <w:t>Small and Medium Enterprises (SMEs) like The Inkey List have various strategic growth choices to explore in competitive markets</w:t>
      </w:r>
      <w:r w:rsidR="003E6AF1" w:rsidRPr="00FF103E">
        <w:rPr>
          <w:rFonts w:ascii="Arial" w:hAnsi="Arial" w:cs="Arial"/>
          <w:sz w:val="22"/>
          <w:szCs w:val="22"/>
        </w:rPr>
        <w:t>(Bridge et al., 1998).</w:t>
      </w:r>
      <w:r w:rsidRPr="00FF103E">
        <w:rPr>
          <w:rFonts w:ascii="Arial" w:hAnsi="Arial" w:cs="Arial"/>
          <w:sz w:val="22"/>
          <w:szCs w:val="22"/>
        </w:rPr>
        <w:t xml:space="preserve"> These options include market penetration, market development, product development, and diversification. Each strategy offers different avenues for growth, leveraging existing strengths and exploring new opportunities</w:t>
      </w:r>
      <w:r w:rsidR="0023242A" w:rsidRPr="00FF103E">
        <w:rPr>
          <w:rFonts w:ascii="Arial" w:hAnsi="Arial" w:cs="Arial"/>
          <w:sz w:val="22"/>
          <w:szCs w:val="22"/>
        </w:rPr>
        <w:t xml:space="preserve"> (Ansoff, 1957)</w:t>
      </w:r>
      <w:r w:rsidRPr="00FF103E">
        <w:rPr>
          <w:rFonts w:ascii="Arial" w:hAnsi="Arial" w:cs="Arial"/>
          <w:sz w:val="22"/>
          <w:szCs w:val="22"/>
        </w:rPr>
        <w:t>.</w:t>
      </w:r>
    </w:p>
    <w:p w14:paraId="42E88AD5" w14:textId="77777777" w:rsidR="00B435FF" w:rsidRPr="00FF103E" w:rsidRDefault="00B435FF" w:rsidP="00E125E7">
      <w:pPr>
        <w:pStyle w:val="Heading2"/>
        <w:rPr>
          <w:rFonts w:ascii="Arial" w:hAnsi="Arial" w:cs="Arial"/>
          <w:sz w:val="22"/>
          <w:szCs w:val="22"/>
        </w:rPr>
      </w:pPr>
      <w:bookmarkStart w:id="17" w:name="_Toc171279055"/>
      <w:r w:rsidRPr="00FF103E">
        <w:rPr>
          <w:rFonts w:ascii="Arial" w:hAnsi="Arial" w:cs="Arial"/>
          <w:sz w:val="22"/>
          <w:szCs w:val="22"/>
        </w:rPr>
        <w:t>4.1 Application of Ansoff Matrix</w:t>
      </w:r>
      <w:bookmarkEnd w:id="17"/>
    </w:p>
    <w:p w14:paraId="0C24D575" w14:textId="77777777" w:rsidR="003F5582" w:rsidRPr="00FF103E" w:rsidRDefault="003F5582" w:rsidP="003F5582">
      <w:pPr>
        <w:spacing w:line="360" w:lineRule="auto"/>
        <w:rPr>
          <w:rFonts w:ascii="Arial" w:hAnsi="Arial" w:cs="Arial"/>
          <w:sz w:val="22"/>
          <w:szCs w:val="22"/>
        </w:rPr>
      </w:pPr>
      <w:r w:rsidRPr="00FF103E">
        <w:rPr>
          <w:rFonts w:ascii="Arial" w:hAnsi="Arial" w:cs="Arial"/>
          <w:sz w:val="22"/>
          <w:szCs w:val="22"/>
        </w:rPr>
        <w:t>The Ansoff Matrix is a strategic framework used to assess and determine growth strategies by considering both present and future products and markets. It defines four growth strategies:</w:t>
      </w:r>
    </w:p>
    <w:p w14:paraId="7C1DA4B2" w14:textId="77777777" w:rsidR="003F5582" w:rsidRPr="00FF103E" w:rsidRDefault="003F5582" w:rsidP="003F5582">
      <w:pPr>
        <w:spacing w:line="360" w:lineRule="auto"/>
        <w:rPr>
          <w:rFonts w:ascii="Arial" w:hAnsi="Arial" w:cs="Arial"/>
          <w:sz w:val="22"/>
          <w:szCs w:val="22"/>
        </w:rPr>
      </w:pPr>
      <w:r w:rsidRPr="00FF103E">
        <w:rPr>
          <w:rFonts w:ascii="Arial" w:hAnsi="Arial" w:cs="Arial"/>
          <w:sz w:val="22"/>
          <w:szCs w:val="22"/>
        </w:rPr>
        <w:t>Market Penetration: Expanding market share using existing products.</w:t>
      </w:r>
    </w:p>
    <w:p w14:paraId="18442D8A" w14:textId="77777777" w:rsidR="003F5582" w:rsidRPr="00FF103E" w:rsidRDefault="003F5582" w:rsidP="003F5582">
      <w:pPr>
        <w:spacing w:line="360" w:lineRule="auto"/>
        <w:rPr>
          <w:rFonts w:ascii="Arial" w:hAnsi="Arial" w:cs="Arial"/>
          <w:sz w:val="22"/>
          <w:szCs w:val="22"/>
        </w:rPr>
      </w:pPr>
      <w:r w:rsidRPr="00FF103E">
        <w:rPr>
          <w:rFonts w:ascii="Arial" w:hAnsi="Arial" w:cs="Arial"/>
          <w:sz w:val="22"/>
          <w:szCs w:val="22"/>
        </w:rPr>
        <w:t>Market Development: Finding new markets for existing products.</w:t>
      </w:r>
    </w:p>
    <w:p w14:paraId="0A93B7C4" w14:textId="77777777" w:rsidR="003F5582" w:rsidRPr="00FF103E" w:rsidRDefault="003F5582" w:rsidP="003F5582">
      <w:pPr>
        <w:spacing w:line="360" w:lineRule="auto"/>
        <w:rPr>
          <w:rFonts w:ascii="Arial" w:hAnsi="Arial" w:cs="Arial"/>
          <w:sz w:val="22"/>
          <w:szCs w:val="22"/>
        </w:rPr>
      </w:pPr>
      <w:r w:rsidRPr="00FF103E">
        <w:rPr>
          <w:rFonts w:ascii="Arial" w:hAnsi="Arial" w:cs="Arial"/>
          <w:sz w:val="22"/>
          <w:szCs w:val="22"/>
        </w:rPr>
        <w:t>Product Development: Launching new products within existing markets.</w:t>
      </w:r>
    </w:p>
    <w:p w14:paraId="5FFD8942" w14:textId="77777777" w:rsidR="003F5582" w:rsidRPr="00FF103E" w:rsidRDefault="003F5582" w:rsidP="003F5582">
      <w:pPr>
        <w:spacing w:line="360" w:lineRule="auto"/>
        <w:rPr>
          <w:rFonts w:ascii="Arial" w:hAnsi="Arial" w:cs="Arial"/>
          <w:sz w:val="22"/>
          <w:szCs w:val="22"/>
        </w:rPr>
      </w:pPr>
      <w:r w:rsidRPr="00FF103E">
        <w:rPr>
          <w:rFonts w:ascii="Arial" w:hAnsi="Arial" w:cs="Arial"/>
          <w:sz w:val="22"/>
          <w:szCs w:val="22"/>
        </w:rPr>
        <w:t>Diversification: Entering new markets with new products (Ansoff, 1957).</w:t>
      </w:r>
    </w:p>
    <w:p w14:paraId="68E790DD" w14:textId="77777777" w:rsidR="003F5582" w:rsidRPr="00FF103E" w:rsidRDefault="003F5582" w:rsidP="00B435FF">
      <w:pPr>
        <w:spacing w:line="360" w:lineRule="auto"/>
        <w:rPr>
          <w:rFonts w:ascii="Arial" w:hAnsi="Arial" w:cs="Arial"/>
          <w:sz w:val="22"/>
          <w:szCs w:val="22"/>
        </w:rPr>
      </w:pPr>
      <w:r w:rsidRPr="00FF103E">
        <w:rPr>
          <w:rFonts w:ascii="Arial" w:hAnsi="Arial" w:cs="Arial"/>
          <w:sz w:val="22"/>
          <w:szCs w:val="22"/>
        </w:rPr>
        <w:t>Given The Inkey List's present market position and strategic objective, the Ansoff Matrix can assist in determining the most effective growth plan.</w:t>
      </w:r>
    </w:p>
    <w:p w14:paraId="7185067F" w14:textId="22D88EB6"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Current Strategy Analysis Using Ansoff Matrix</w:t>
      </w:r>
    </w:p>
    <w:p w14:paraId="175728C8" w14:textId="6077D69D"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Market Penetration: The Inkey List has effectively utilized market penetration by increasing its brand presence and market share within the existing skincare market. Through competitive pricing, innovative marketing, and strong retailer partnerships, the company has solidified its position in the market (</w:t>
      </w:r>
      <w:r w:rsidR="003A2E44" w:rsidRPr="00FF103E">
        <w:rPr>
          <w:rFonts w:ascii="Arial" w:hAnsi="Arial" w:cs="Arial"/>
          <w:sz w:val="22"/>
          <w:szCs w:val="22"/>
        </w:rPr>
        <w:t>The key list</w:t>
      </w:r>
      <w:r w:rsidRPr="00FF103E">
        <w:rPr>
          <w:rFonts w:ascii="Arial" w:hAnsi="Arial" w:cs="Arial"/>
          <w:sz w:val="22"/>
          <w:szCs w:val="22"/>
        </w:rPr>
        <w:t xml:space="preserve">, </w:t>
      </w:r>
      <w:proofErr w:type="spellStart"/>
      <w:r w:rsidR="003A2E44" w:rsidRPr="00FF103E">
        <w:rPr>
          <w:rFonts w:ascii="Arial" w:hAnsi="Arial" w:cs="Arial"/>
          <w:sz w:val="22"/>
          <w:szCs w:val="22"/>
        </w:rPr>
        <w:t>nd</w:t>
      </w:r>
      <w:proofErr w:type="spellEnd"/>
      <w:r w:rsidRPr="00FF103E">
        <w:rPr>
          <w:rFonts w:ascii="Arial" w:hAnsi="Arial" w:cs="Arial"/>
          <w:sz w:val="22"/>
          <w:szCs w:val="22"/>
        </w:rPr>
        <w:t>).</w:t>
      </w:r>
    </w:p>
    <w:p w14:paraId="05C430D7"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Market Development: The company has also pursued market development by expanding into new geographical markets. Its partnerships with global retailers like Sephora have enabled it to reach international customers (Deloitte, 2020).</w:t>
      </w:r>
    </w:p>
    <w:p w14:paraId="529253B7"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Product Development: Continuous product innovation is at the core of The Inkey List’s strategy. The company frequently introduces new products that cater to specific skin concerns, ensuring they stay relevant and meet consumer needs (Mintel, 2021).</w:t>
      </w:r>
    </w:p>
    <w:p w14:paraId="52A26261" w14:textId="6F5BEBF6" w:rsidR="00B435FF" w:rsidRDefault="00B435FF" w:rsidP="00B435FF">
      <w:pPr>
        <w:spacing w:line="360" w:lineRule="auto"/>
        <w:rPr>
          <w:rFonts w:ascii="Arial" w:hAnsi="Arial" w:cs="Arial"/>
          <w:sz w:val="22"/>
          <w:szCs w:val="22"/>
        </w:rPr>
      </w:pPr>
      <w:r w:rsidRPr="00FF103E">
        <w:rPr>
          <w:rFonts w:ascii="Arial" w:hAnsi="Arial" w:cs="Arial"/>
          <w:sz w:val="22"/>
          <w:szCs w:val="22"/>
        </w:rPr>
        <w:t>Diversification: While The Inkey List has primarily focused on skincare, there is potential for diversification into related areas such as haircare or wellness products, although this is less explored currently (</w:t>
      </w:r>
      <w:r w:rsidR="00EE6DC4" w:rsidRPr="00FF103E">
        <w:rPr>
          <w:rFonts w:ascii="Arial" w:hAnsi="Arial" w:cs="Arial"/>
          <w:sz w:val="22"/>
          <w:szCs w:val="22"/>
        </w:rPr>
        <w:t xml:space="preserve">The Inkey List, </w:t>
      </w:r>
      <w:proofErr w:type="spellStart"/>
      <w:r w:rsidR="00EE6DC4" w:rsidRPr="00FF103E">
        <w:rPr>
          <w:rFonts w:ascii="Arial" w:hAnsi="Arial" w:cs="Arial"/>
          <w:sz w:val="22"/>
          <w:szCs w:val="22"/>
        </w:rPr>
        <w:t>nd</w:t>
      </w:r>
      <w:proofErr w:type="spellEnd"/>
      <w:r w:rsidRPr="00FF103E">
        <w:rPr>
          <w:rFonts w:ascii="Arial" w:hAnsi="Arial" w:cs="Arial"/>
          <w:sz w:val="22"/>
          <w:szCs w:val="22"/>
        </w:rPr>
        <w:t>).</w:t>
      </w:r>
    </w:p>
    <w:p w14:paraId="79F21459" w14:textId="77777777" w:rsidR="00DA7398" w:rsidRPr="00FF103E" w:rsidRDefault="00DA7398" w:rsidP="00B435FF">
      <w:pPr>
        <w:spacing w:line="360" w:lineRule="auto"/>
        <w:rPr>
          <w:rFonts w:ascii="Arial" w:hAnsi="Arial" w:cs="Arial"/>
          <w:sz w:val="22"/>
          <w:szCs w:val="22"/>
        </w:rPr>
      </w:pPr>
    </w:p>
    <w:p w14:paraId="3AA50758"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lastRenderedPageBreak/>
        <w:t>Chosen Model: Product Development</w:t>
      </w:r>
    </w:p>
    <w:p w14:paraId="69D1B098" w14:textId="570381CF" w:rsidR="00B435FF" w:rsidRPr="00FF103E" w:rsidRDefault="00B435FF" w:rsidP="00DA7398">
      <w:pPr>
        <w:spacing w:line="360" w:lineRule="auto"/>
        <w:rPr>
          <w:rFonts w:ascii="Arial" w:hAnsi="Arial" w:cs="Arial"/>
          <w:sz w:val="22"/>
          <w:szCs w:val="22"/>
        </w:rPr>
      </w:pPr>
      <w:r w:rsidRPr="00FF103E">
        <w:rPr>
          <w:rFonts w:ascii="Arial" w:hAnsi="Arial" w:cs="Arial"/>
          <w:sz w:val="22"/>
          <w:szCs w:val="22"/>
        </w:rPr>
        <w:t>For The Inkey List, the most viable growth strategy within the Ansoff Matrix is Product Development. This strategy aligns with the company’s strengths in innovation and its commitment to providing high-quality, affordable skincare solutions. By focusing on developing new products, The Inkey List can continue to meet evolving consumer needs and maintain its competitive edge (Laxton &amp; Curry, 2021).</w:t>
      </w:r>
    </w:p>
    <w:p w14:paraId="2C70B8C5" w14:textId="343F3BAE" w:rsidR="00B435FF" w:rsidRPr="00FF103E" w:rsidRDefault="00B435FF" w:rsidP="00E125E7">
      <w:pPr>
        <w:pStyle w:val="Heading2"/>
        <w:rPr>
          <w:rFonts w:ascii="Arial" w:hAnsi="Arial" w:cs="Arial"/>
          <w:sz w:val="22"/>
          <w:szCs w:val="22"/>
        </w:rPr>
      </w:pPr>
      <w:bookmarkStart w:id="18" w:name="_Toc171279056"/>
      <w:r w:rsidRPr="00FF103E">
        <w:rPr>
          <w:rFonts w:ascii="Arial" w:hAnsi="Arial" w:cs="Arial"/>
          <w:sz w:val="22"/>
          <w:szCs w:val="22"/>
        </w:rPr>
        <w:t>4.2 Proposal of a New Long-term Strategy</w:t>
      </w:r>
      <w:bookmarkEnd w:id="18"/>
    </w:p>
    <w:p w14:paraId="2846BEB4" w14:textId="56BCDD04"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New Strategy: Expansion into Personalized Skincare Solutions</w:t>
      </w:r>
    </w:p>
    <w:p w14:paraId="7CF88661" w14:textId="61640FBE"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The proposed new strategy for The Inkey List is to expand into personalized skincare solutions. This involves developing products that are tailored to individual skin types and concerns, leveraging technology and data to offer personalized recommendations and formulations.</w:t>
      </w:r>
    </w:p>
    <w:p w14:paraId="1DBA84DA" w14:textId="4A816748"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Implementation Steps:</w:t>
      </w:r>
    </w:p>
    <w:p w14:paraId="41721481" w14:textId="431EEB36"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 xml:space="preserve">Develop Personalized Product Lines: </w:t>
      </w:r>
      <w:r w:rsidR="003F5582" w:rsidRPr="00FF103E">
        <w:rPr>
          <w:rFonts w:ascii="Arial" w:hAnsi="Arial" w:cs="Arial"/>
          <w:sz w:val="22"/>
          <w:szCs w:val="22"/>
        </w:rPr>
        <w:t xml:space="preserve">Allocate resources to research and development to formulate personalized skincare products tailored to various skin types and concerns. </w:t>
      </w:r>
      <w:r w:rsidRPr="00FF103E">
        <w:rPr>
          <w:rFonts w:ascii="Arial" w:hAnsi="Arial" w:cs="Arial"/>
          <w:sz w:val="22"/>
          <w:szCs w:val="22"/>
        </w:rPr>
        <w:t>Utilize data analytics and skin assessments to formulate products that address individual needs (</w:t>
      </w:r>
      <w:proofErr w:type="spellStart"/>
      <w:r w:rsidRPr="00FF103E">
        <w:rPr>
          <w:rFonts w:ascii="Arial" w:hAnsi="Arial" w:cs="Arial"/>
          <w:sz w:val="22"/>
          <w:szCs w:val="22"/>
        </w:rPr>
        <w:t>GlobalData</w:t>
      </w:r>
      <w:proofErr w:type="spellEnd"/>
      <w:r w:rsidRPr="00FF103E">
        <w:rPr>
          <w:rFonts w:ascii="Arial" w:hAnsi="Arial" w:cs="Arial"/>
          <w:sz w:val="22"/>
          <w:szCs w:val="22"/>
        </w:rPr>
        <w:t>, 2021). Leverage Technology for Personalization: Develop a digital platform or app where customers can complete skin assessments and receive personalized product recommendations. Use artificial intelligence and machine learning to continuously improve the personalization process based on user feedback and data (</w:t>
      </w:r>
      <w:proofErr w:type="spellStart"/>
      <w:r w:rsidRPr="00FF103E">
        <w:rPr>
          <w:rFonts w:ascii="Arial" w:hAnsi="Arial" w:cs="Arial"/>
          <w:sz w:val="22"/>
          <w:szCs w:val="22"/>
        </w:rPr>
        <w:t>GlobalData</w:t>
      </w:r>
      <w:proofErr w:type="spellEnd"/>
      <w:r w:rsidRPr="00FF103E">
        <w:rPr>
          <w:rFonts w:ascii="Arial" w:hAnsi="Arial" w:cs="Arial"/>
          <w:sz w:val="22"/>
          <w:szCs w:val="22"/>
        </w:rPr>
        <w:t>, 2021).</w:t>
      </w:r>
    </w:p>
    <w:p w14:paraId="50897553"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Enhance Consumer Education and Engagement: Create educational content to inform customers about the benefits of personalized skincare. Engage customers through digital platforms, offering personalized consultations and advice (Mintel, 2021).</w:t>
      </w:r>
    </w:p>
    <w:p w14:paraId="4466D089"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Strengthen Partnerships with Retailers: Collaborate with retail partners to offer personalized skincare services in-store. Provide training for retail staff to assist customers in finding personalized skincare solutions (Deloitte, 2020).</w:t>
      </w:r>
    </w:p>
    <w:p w14:paraId="375AFA60" w14:textId="2D37C6A1" w:rsidR="00B435FF" w:rsidRPr="00FF103E" w:rsidRDefault="000277F7" w:rsidP="000277F7">
      <w:pPr>
        <w:pStyle w:val="Heading2"/>
        <w:rPr>
          <w:rFonts w:ascii="Arial" w:hAnsi="Arial" w:cs="Arial"/>
          <w:sz w:val="22"/>
          <w:szCs w:val="22"/>
        </w:rPr>
      </w:pPr>
      <w:bookmarkStart w:id="19" w:name="_Toc171279057"/>
      <w:r w:rsidRPr="00FF103E">
        <w:rPr>
          <w:rFonts w:ascii="Arial" w:hAnsi="Arial" w:cs="Arial"/>
          <w:sz w:val="22"/>
          <w:szCs w:val="22"/>
        </w:rPr>
        <w:t xml:space="preserve">4.3 </w:t>
      </w:r>
      <w:r w:rsidR="00B435FF" w:rsidRPr="00FF103E">
        <w:rPr>
          <w:rFonts w:ascii="Arial" w:hAnsi="Arial" w:cs="Arial"/>
          <w:sz w:val="22"/>
          <w:szCs w:val="22"/>
        </w:rPr>
        <w:t>Justification of the New Strategy’s Sustainability and Competitiveness</w:t>
      </w:r>
      <w:bookmarkEnd w:id="19"/>
    </w:p>
    <w:p w14:paraId="262ED191" w14:textId="1E33A172"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Sustainability:</w:t>
      </w:r>
    </w:p>
    <w:p w14:paraId="6D2A7B5E"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Consumer Demand: There is a growing demand for personalized skincare solutions as consumers seek products that are specifically tailored to their needs. This trend is expected to continue, providing a sustainable market for personalized products (</w:t>
      </w:r>
      <w:proofErr w:type="spellStart"/>
      <w:r w:rsidRPr="00FF103E">
        <w:rPr>
          <w:rFonts w:ascii="Arial" w:hAnsi="Arial" w:cs="Arial"/>
          <w:sz w:val="22"/>
          <w:szCs w:val="22"/>
        </w:rPr>
        <w:t>GlobalData</w:t>
      </w:r>
      <w:proofErr w:type="spellEnd"/>
      <w:r w:rsidRPr="00FF103E">
        <w:rPr>
          <w:rFonts w:ascii="Arial" w:hAnsi="Arial" w:cs="Arial"/>
          <w:sz w:val="22"/>
          <w:szCs w:val="22"/>
        </w:rPr>
        <w:t>, 2021).</w:t>
      </w:r>
    </w:p>
    <w:p w14:paraId="11CBC13C"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lastRenderedPageBreak/>
        <w:t>Brand Loyalty: Offering personalized solutions can significantly enhance customer loyalty. When consumers see tangible results from products designed specifically for them, their trust in the brand increases (Mintel, 2021).</w:t>
      </w:r>
    </w:p>
    <w:p w14:paraId="50C0C67B"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Environmental Impact: Personalized skincare can reduce product waste, as customers are more likely to use products that are effective for them, aligning with sustainability goals (The Guardian, 2021).</w:t>
      </w:r>
    </w:p>
    <w:p w14:paraId="0D1F2B36" w14:textId="40A51BB3"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Competitiveness:</w:t>
      </w:r>
    </w:p>
    <w:p w14:paraId="7FC95DE0"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Differentiation: Personalized skincare sets The Inkey List apart from competitors, providing a unique selling proposition that is difficult to replicate (Laxton &amp; Curry, 2021).</w:t>
      </w:r>
    </w:p>
    <w:p w14:paraId="6B236178"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Innovation: Continuously investing in technology and product development ensures that The Inkey List remains at the forefront of industry innovation (</w:t>
      </w:r>
      <w:proofErr w:type="spellStart"/>
      <w:r w:rsidRPr="00FF103E">
        <w:rPr>
          <w:rFonts w:ascii="Arial" w:hAnsi="Arial" w:cs="Arial"/>
          <w:sz w:val="22"/>
          <w:szCs w:val="22"/>
        </w:rPr>
        <w:t>GlobalData</w:t>
      </w:r>
      <w:proofErr w:type="spellEnd"/>
      <w:r w:rsidRPr="00FF103E">
        <w:rPr>
          <w:rFonts w:ascii="Arial" w:hAnsi="Arial" w:cs="Arial"/>
          <w:sz w:val="22"/>
          <w:szCs w:val="22"/>
        </w:rPr>
        <w:t>, 2021).</w:t>
      </w:r>
    </w:p>
    <w:p w14:paraId="475F259D" w14:textId="77777777" w:rsidR="00B435FF" w:rsidRPr="00FF103E" w:rsidRDefault="00B435FF" w:rsidP="00B435FF">
      <w:pPr>
        <w:spacing w:line="360" w:lineRule="auto"/>
        <w:rPr>
          <w:rFonts w:ascii="Arial" w:hAnsi="Arial" w:cs="Arial"/>
          <w:sz w:val="22"/>
          <w:szCs w:val="22"/>
        </w:rPr>
      </w:pPr>
      <w:r w:rsidRPr="00FF103E">
        <w:rPr>
          <w:rFonts w:ascii="Arial" w:hAnsi="Arial" w:cs="Arial"/>
          <w:sz w:val="22"/>
          <w:szCs w:val="22"/>
        </w:rPr>
        <w:t>Market Expansion: The strategy opens up opportunities to enter new segments within the skincare market, such as personalized services and technology-driven skincare solutions (McKinsey &amp; Company, 2020).</w:t>
      </w:r>
    </w:p>
    <w:p w14:paraId="50502735" w14:textId="1DBB1F8F" w:rsidR="00FF103E" w:rsidRPr="00FF103E" w:rsidRDefault="00FF103E" w:rsidP="00FF103E">
      <w:pPr>
        <w:pStyle w:val="Heading1"/>
        <w:rPr>
          <w:rFonts w:ascii="Arial" w:hAnsi="Arial" w:cs="Arial"/>
          <w:sz w:val="22"/>
          <w:szCs w:val="22"/>
        </w:rPr>
      </w:pPr>
      <w:bookmarkStart w:id="20" w:name="_Toc171279058"/>
      <w:r w:rsidRPr="00FF103E">
        <w:rPr>
          <w:rFonts w:ascii="Arial" w:hAnsi="Arial" w:cs="Arial"/>
          <w:sz w:val="22"/>
          <w:szCs w:val="22"/>
        </w:rPr>
        <w:t>5. Key Strategic Recommendations for The Inkey List</w:t>
      </w:r>
      <w:bookmarkEnd w:id="20"/>
    </w:p>
    <w:p w14:paraId="5C180CC9" w14:textId="44368037" w:rsidR="00FF103E" w:rsidRPr="00FF103E" w:rsidRDefault="00FF103E" w:rsidP="00FF103E">
      <w:pPr>
        <w:spacing w:line="360" w:lineRule="auto"/>
        <w:rPr>
          <w:rFonts w:ascii="Arial" w:hAnsi="Arial" w:cs="Arial"/>
          <w:sz w:val="22"/>
          <w:szCs w:val="22"/>
        </w:rPr>
      </w:pPr>
      <w:r w:rsidRPr="00FF103E">
        <w:rPr>
          <w:rFonts w:ascii="Arial" w:hAnsi="Arial" w:cs="Arial"/>
          <w:sz w:val="22"/>
          <w:szCs w:val="22"/>
        </w:rPr>
        <w:t>To ensure the long-term sustainability and competitiveness of The Inkey List, several strategic recommendations are proposed, focusing on future developments and addressing the challenges SMEs encounter in implementing strategic directions.</w:t>
      </w:r>
    </w:p>
    <w:p w14:paraId="21AF6D70" w14:textId="197E240C" w:rsidR="00FF103E" w:rsidRPr="00FF103E" w:rsidRDefault="00FF103E" w:rsidP="00FF103E">
      <w:pPr>
        <w:pStyle w:val="Heading2"/>
        <w:rPr>
          <w:rFonts w:ascii="Arial" w:hAnsi="Arial" w:cs="Arial"/>
          <w:sz w:val="22"/>
          <w:szCs w:val="22"/>
        </w:rPr>
      </w:pPr>
      <w:bookmarkStart w:id="21" w:name="_Toc171279059"/>
      <w:r w:rsidRPr="00FF103E">
        <w:rPr>
          <w:rFonts w:ascii="Arial" w:hAnsi="Arial" w:cs="Arial"/>
          <w:sz w:val="22"/>
          <w:szCs w:val="22"/>
        </w:rPr>
        <w:t>5.1 Strengthening Research and Development (R&amp;D)</w:t>
      </w:r>
      <w:bookmarkEnd w:id="21"/>
    </w:p>
    <w:p w14:paraId="208045BF" w14:textId="6F12EDB7" w:rsidR="00FF103E" w:rsidRPr="00FF103E" w:rsidRDefault="00FF103E" w:rsidP="00FF103E">
      <w:pPr>
        <w:spacing w:line="360" w:lineRule="auto"/>
        <w:rPr>
          <w:rFonts w:ascii="Arial" w:hAnsi="Arial" w:cs="Arial"/>
          <w:sz w:val="22"/>
          <w:szCs w:val="22"/>
        </w:rPr>
      </w:pPr>
      <w:r w:rsidRPr="00FF103E">
        <w:rPr>
          <w:rFonts w:ascii="Arial" w:hAnsi="Arial" w:cs="Arial"/>
          <w:sz w:val="22"/>
          <w:szCs w:val="22"/>
        </w:rPr>
        <w:t>Investing in R&amp;D is critical for maintaining innovation and addressing evolving consumer needs. By leveraging advanced biotechnology and dermatology, The Inkey List can develop cutting-edge skincare solutions tailored to diverse skin concerns. Collaborations with academic institutions and research organizations can enhance innovation capabilities and reduce the burden on internal resources (</w:t>
      </w:r>
      <w:proofErr w:type="spellStart"/>
      <w:r w:rsidRPr="00FF103E">
        <w:rPr>
          <w:rFonts w:ascii="Arial" w:hAnsi="Arial" w:cs="Arial"/>
          <w:sz w:val="22"/>
          <w:szCs w:val="22"/>
        </w:rPr>
        <w:t>GlobalData</w:t>
      </w:r>
      <w:proofErr w:type="spellEnd"/>
      <w:r w:rsidRPr="00FF103E">
        <w:rPr>
          <w:rFonts w:ascii="Arial" w:hAnsi="Arial" w:cs="Arial"/>
          <w:sz w:val="22"/>
          <w:szCs w:val="22"/>
        </w:rPr>
        <w:t>, 2021; KPMG, 2021).</w:t>
      </w:r>
    </w:p>
    <w:p w14:paraId="74008667" w14:textId="108147C0" w:rsidR="00FF103E" w:rsidRPr="00FF103E" w:rsidRDefault="00FF103E" w:rsidP="00FF103E">
      <w:pPr>
        <w:pStyle w:val="Heading2"/>
        <w:rPr>
          <w:rFonts w:ascii="Arial" w:hAnsi="Arial" w:cs="Arial"/>
          <w:sz w:val="22"/>
          <w:szCs w:val="22"/>
        </w:rPr>
      </w:pPr>
      <w:bookmarkStart w:id="22" w:name="_Toc171279060"/>
      <w:r w:rsidRPr="00FF103E">
        <w:rPr>
          <w:rFonts w:ascii="Arial" w:hAnsi="Arial" w:cs="Arial"/>
          <w:sz w:val="22"/>
          <w:szCs w:val="22"/>
        </w:rPr>
        <w:t>5.2 Enhancing Digital Transformation</w:t>
      </w:r>
      <w:bookmarkEnd w:id="22"/>
    </w:p>
    <w:p w14:paraId="1B8CCE11" w14:textId="06A124F1" w:rsidR="00FF103E" w:rsidRPr="00FF103E" w:rsidRDefault="00FF103E" w:rsidP="00FF103E">
      <w:pPr>
        <w:spacing w:line="360" w:lineRule="auto"/>
        <w:rPr>
          <w:rFonts w:ascii="Arial" w:hAnsi="Arial" w:cs="Arial"/>
          <w:sz w:val="22"/>
          <w:szCs w:val="22"/>
        </w:rPr>
      </w:pPr>
      <w:r w:rsidRPr="00FF103E">
        <w:rPr>
          <w:rFonts w:ascii="Arial" w:hAnsi="Arial" w:cs="Arial"/>
          <w:sz w:val="22"/>
          <w:szCs w:val="22"/>
        </w:rPr>
        <w:t>Digital transformation is essential for improving consumer engagement and operational efficiency. The Inkey List should continue to invest in e-commerce platforms, social media marketing, and digital customer service tools. Developing a robust digital infrastructure will facilitate personalized consumer interactions and improve data analytics capabilities for better market insights (Mintel, 2021; Statista, 2021).</w:t>
      </w:r>
    </w:p>
    <w:p w14:paraId="03CA2444" w14:textId="69FE5C97" w:rsidR="00FF103E" w:rsidRPr="00FF103E" w:rsidRDefault="00FF103E" w:rsidP="00FF103E">
      <w:pPr>
        <w:pStyle w:val="Heading2"/>
        <w:rPr>
          <w:rFonts w:ascii="Arial" w:hAnsi="Arial" w:cs="Arial"/>
          <w:sz w:val="22"/>
          <w:szCs w:val="22"/>
        </w:rPr>
      </w:pPr>
      <w:bookmarkStart w:id="23" w:name="_Toc171279061"/>
      <w:r w:rsidRPr="00FF103E">
        <w:rPr>
          <w:rFonts w:ascii="Arial" w:hAnsi="Arial" w:cs="Arial"/>
          <w:sz w:val="22"/>
          <w:szCs w:val="22"/>
        </w:rPr>
        <w:lastRenderedPageBreak/>
        <w:t>5.3 Expanding Market Presence</w:t>
      </w:r>
      <w:bookmarkEnd w:id="23"/>
    </w:p>
    <w:p w14:paraId="6BB780AC" w14:textId="7D9635F6" w:rsidR="00FF103E" w:rsidRPr="00FF103E" w:rsidRDefault="00FF103E" w:rsidP="00FF103E">
      <w:pPr>
        <w:spacing w:line="360" w:lineRule="auto"/>
        <w:rPr>
          <w:rFonts w:ascii="Arial" w:hAnsi="Arial" w:cs="Arial"/>
          <w:sz w:val="22"/>
          <w:szCs w:val="22"/>
        </w:rPr>
      </w:pPr>
      <w:r w:rsidRPr="00FF103E">
        <w:rPr>
          <w:rFonts w:ascii="Arial" w:hAnsi="Arial" w:cs="Arial"/>
          <w:sz w:val="22"/>
          <w:szCs w:val="22"/>
        </w:rPr>
        <w:t>Market development strategies should focus on expanding into new geographical regions and exploring untapped markets. Establishing partnerships with local retailers and leveraging global e-commerce platforms can increase market reach. Additionally, adapting marketing strategies to fit local consumer preferences will be crucial for successful market entry (Deloitte, 2020; Euromonitor International, 2021).</w:t>
      </w:r>
    </w:p>
    <w:p w14:paraId="79D03766" w14:textId="3D12C8BF" w:rsidR="00FF103E" w:rsidRPr="00FF103E" w:rsidRDefault="00FF103E" w:rsidP="00FF103E">
      <w:pPr>
        <w:pStyle w:val="Heading2"/>
        <w:rPr>
          <w:rFonts w:ascii="Arial" w:hAnsi="Arial" w:cs="Arial"/>
          <w:sz w:val="22"/>
          <w:szCs w:val="22"/>
        </w:rPr>
      </w:pPr>
      <w:bookmarkStart w:id="24" w:name="_Toc171279062"/>
      <w:r w:rsidRPr="00FF103E">
        <w:rPr>
          <w:rFonts w:ascii="Arial" w:hAnsi="Arial" w:cs="Arial"/>
          <w:sz w:val="22"/>
          <w:szCs w:val="22"/>
        </w:rPr>
        <w:t>5.4 Emphasizing Sustainability Practices</w:t>
      </w:r>
      <w:bookmarkEnd w:id="24"/>
    </w:p>
    <w:p w14:paraId="0BC27B51" w14:textId="450DD57D" w:rsidR="00FF103E" w:rsidRPr="00FF103E" w:rsidRDefault="00FF103E" w:rsidP="00DA7398">
      <w:pPr>
        <w:spacing w:line="360" w:lineRule="auto"/>
        <w:rPr>
          <w:rFonts w:ascii="Arial" w:hAnsi="Arial" w:cs="Arial"/>
          <w:sz w:val="22"/>
          <w:szCs w:val="22"/>
        </w:rPr>
      </w:pPr>
      <w:r w:rsidRPr="00FF103E">
        <w:rPr>
          <w:rFonts w:ascii="Arial" w:hAnsi="Arial" w:cs="Arial"/>
          <w:sz w:val="22"/>
          <w:szCs w:val="22"/>
        </w:rPr>
        <w:t>Sustainability is increasingly important for consumers and regulators. The Inkey List should enhance its sustainability initiatives, including eco-friendly packaging, sustainable sourcing of ingredients, and reducing carbon footprints. Transparent communication about these efforts can strengthen brand loyalty and appeal to environmentally conscious consumers (The Guardian, 2021; European Commission, 2020).</w:t>
      </w:r>
    </w:p>
    <w:p w14:paraId="3F017D6F" w14:textId="40E3343B" w:rsidR="00FF103E" w:rsidRPr="00FF103E" w:rsidRDefault="00FF103E" w:rsidP="00FF103E">
      <w:pPr>
        <w:pStyle w:val="Heading2"/>
        <w:rPr>
          <w:rFonts w:ascii="Arial" w:hAnsi="Arial" w:cs="Arial"/>
          <w:sz w:val="22"/>
          <w:szCs w:val="22"/>
        </w:rPr>
      </w:pPr>
      <w:bookmarkStart w:id="25" w:name="_Toc171279063"/>
      <w:r w:rsidRPr="00FF103E">
        <w:rPr>
          <w:rFonts w:ascii="Arial" w:hAnsi="Arial" w:cs="Arial"/>
          <w:sz w:val="22"/>
          <w:szCs w:val="22"/>
        </w:rPr>
        <w:t>5.5 Strengthening Stakeholder Engagement</w:t>
      </w:r>
      <w:bookmarkEnd w:id="25"/>
    </w:p>
    <w:p w14:paraId="2B267C9A" w14:textId="5FE55FB9" w:rsidR="00FF103E" w:rsidRPr="00FF103E" w:rsidRDefault="00FF103E" w:rsidP="00FF103E">
      <w:pPr>
        <w:spacing w:line="360" w:lineRule="auto"/>
        <w:rPr>
          <w:rFonts w:ascii="Arial" w:hAnsi="Arial" w:cs="Arial"/>
          <w:sz w:val="22"/>
          <w:szCs w:val="22"/>
        </w:rPr>
      </w:pPr>
      <w:r w:rsidRPr="00FF103E">
        <w:rPr>
          <w:rFonts w:ascii="Arial" w:hAnsi="Arial" w:cs="Arial"/>
          <w:sz w:val="22"/>
          <w:szCs w:val="22"/>
        </w:rPr>
        <w:t>Effective stakeholder management involves regular communication and engagement with all stakeholders, including employees, customers, suppliers, and investors. Implementing feedback mechanisms and fostering collaborative relationships will ensure stakeholder expectations are met and contribute to a positive brand reputation (Jones &amp; Tilley, 2018; Laxton &amp; Curry, 2021).</w:t>
      </w:r>
    </w:p>
    <w:p w14:paraId="7E86EA32" w14:textId="32748AC8" w:rsidR="00FF103E" w:rsidRPr="00FF103E" w:rsidRDefault="00FF103E" w:rsidP="00FF103E">
      <w:pPr>
        <w:pStyle w:val="Heading2"/>
        <w:rPr>
          <w:rFonts w:ascii="Arial" w:hAnsi="Arial" w:cs="Arial"/>
          <w:sz w:val="22"/>
          <w:szCs w:val="22"/>
        </w:rPr>
      </w:pPr>
      <w:bookmarkStart w:id="26" w:name="_Toc171279064"/>
      <w:r w:rsidRPr="00FF103E">
        <w:rPr>
          <w:rFonts w:ascii="Arial" w:hAnsi="Arial" w:cs="Arial"/>
          <w:sz w:val="22"/>
          <w:szCs w:val="22"/>
        </w:rPr>
        <w:t>5.6 Navigating Regulatory Compliance</w:t>
      </w:r>
      <w:bookmarkEnd w:id="26"/>
    </w:p>
    <w:p w14:paraId="42671FE9" w14:textId="18D38098" w:rsidR="00FF103E" w:rsidRDefault="00FF103E" w:rsidP="00FF103E">
      <w:pPr>
        <w:spacing w:line="360" w:lineRule="auto"/>
        <w:rPr>
          <w:rFonts w:ascii="Arial" w:hAnsi="Arial" w:cs="Arial"/>
          <w:sz w:val="22"/>
          <w:szCs w:val="22"/>
        </w:rPr>
      </w:pPr>
      <w:r w:rsidRPr="00FF103E">
        <w:rPr>
          <w:rFonts w:ascii="Arial" w:hAnsi="Arial" w:cs="Arial"/>
          <w:sz w:val="22"/>
          <w:szCs w:val="22"/>
        </w:rPr>
        <w:t>Staying ahead of regulatory changes and ensuring compliance is essential for avoiding legal pitfalls and maintaining market access. The Inkey List should invest in a dedicated regulatory affairs team to monitor and respond to changes in cosmetic regulations, data protection laws, and trade policies (KPMG, 2021; House of Commons Library, 2020).</w:t>
      </w:r>
    </w:p>
    <w:p w14:paraId="23356765" w14:textId="77777777" w:rsidR="00DA7398" w:rsidRDefault="00DA7398" w:rsidP="00FF103E">
      <w:pPr>
        <w:spacing w:line="360" w:lineRule="auto"/>
        <w:rPr>
          <w:rFonts w:ascii="Arial" w:hAnsi="Arial" w:cs="Arial"/>
          <w:sz w:val="22"/>
          <w:szCs w:val="22"/>
        </w:rPr>
      </w:pPr>
    </w:p>
    <w:p w14:paraId="084C102E" w14:textId="77777777" w:rsidR="00DA7398" w:rsidRDefault="00DA7398" w:rsidP="00FF103E">
      <w:pPr>
        <w:spacing w:line="360" w:lineRule="auto"/>
        <w:rPr>
          <w:rFonts w:ascii="Arial" w:hAnsi="Arial" w:cs="Arial"/>
          <w:sz w:val="22"/>
          <w:szCs w:val="22"/>
        </w:rPr>
      </w:pPr>
    </w:p>
    <w:p w14:paraId="4AB3F432" w14:textId="77777777" w:rsidR="00DA7398" w:rsidRDefault="00DA7398" w:rsidP="00FF103E">
      <w:pPr>
        <w:spacing w:line="360" w:lineRule="auto"/>
        <w:rPr>
          <w:rFonts w:ascii="Arial" w:hAnsi="Arial" w:cs="Arial"/>
          <w:sz w:val="22"/>
          <w:szCs w:val="22"/>
        </w:rPr>
      </w:pPr>
    </w:p>
    <w:p w14:paraId="05BF93E9" w14:textId="77777777" w:rsidR="00DA7398" w:rsidRDefault="00DA7398" w:rsidP="00FF103E">
      <w:pPr>
        <w:spacing w:line="360" w:lineRule="auto"/>
        <w:rPr>
          <w:rFonts w:ascii="Arial" w:hAnsi="Arial" w:cs="Arial"/>
          <w:sz w:val="22"/>
          <w:szCs w:val="22"/>
        </w:rPr>
      </w:pPr>
    </w:p>
    <w:p w14:paraId="798E7CAE" w14:textId="77777777" w:rsidR="00DA7398" w:rsidRDefault="00DA7398" w:rsidP="00FF103E">
      <w:pPr>
        <w:spacing w:line="360" w:lineRule="auto"/>
        <w:rPr>
          <w:rFonts w:ascii="Arial" w:hAnsi="Arial" w:cs="Arial"/>
          <w:sz w:val="22"/>
          <w:szCs w:val="22"/>
        </w:rPr>
      </w:pPr>
    </w:p>
    <w:p w14:paraId="5A1A891F" w14:textId="77777777" w:rsidR="00DA7398" w:rsidRDefault="00DA7398" w:rsidP="00FF103E">
      <w:pPr>
        <w:spacing w:line="360" w:lineRule="auto"/>
        <w:rPr>
          <w:rFonts w:ascii="Arial" w:hAnsi="Arial" w:cs="Arial"/>
          <w:sz w:val="22"/>
          <w:szCs w:val="22"/>
        </w:rPr>
      </w:pPr>
    </w:p>
    <w:p w14:paraId="2C1EF8B8" w14:textId="77777777" w:rsidR="00DA7398" w:rsidRPr="00FF103E" w:rsidRDefault="00DA7398" w:rsidP="00FF103E">
      <w:pPr>
        <w:spacing w:line="360" w:lineRule="auto"/>
        <w:rPr>
          <w:rFonts w:ascii="Arial" w:hAnsi="Arial" w:cs="Arial"/>
          <w:sz w:val="22"/>
          <w:szCs w:val="22"/>
        </w:rPr>
      </w:pPr>
    </w:p>
    <w:p w14:paraId="49CFB452" w14:textId="54B145FD" w:rsidR="003F5582" w:rsidRPr="00FF103E" w:rsidRDefault="00B435FF" w:rsidP="003F5582">
      <w:pPr>
        <w:pStyle w:val="Heading1"/>
        <w:rPr>
          <w:rFonts w:ascii="Arial" w:hAnsi="Arial" w:cs="Arial"/>
          <w:sz w:val="22"/>
          <w:szCs w:val="22"/>
        </w:rPr>
      </w:pPr>
      <w:bookmarkStart w:id="27" w:name="_Toc171279065"/>
      <w:r w:rsidRPr="00FF103E">
        <w:rPr>
          <w:rFonts w:ascii="Arial" w:hAnsi="Arial" w:cs="Arial"/>
          <w:sz w:val="22"/>
          <w:szCs w:val="22"/>
        </w:rPr>
        <w:lastRenderedPageBreak/>
        <w:t>Conclusion</w:t>
      </w:r>
      <w:bookmarkEnd w:id="27"/>
    </w:p>
    <w:p w14:paraId="0B025285" w14:textId="44014132" w:rsidR="003F5582" w:rsidRPr="00FF103E" w:rsidRDefault="003F5582" w:rsidP="003F5582">
      <w:pPr>
        <w:spacing w:line="360" w:lineRule="auto"/>
        <w:rPr>
          <w:rFonts w:ascii="Arial" w:hAnsi="Arial" w:cs="Arial"/>
          <w:sz w:val="22"/>
          <w:szCs w:val="22"/>
        </w:rPr>
      </w:pPr>
      <w:r w:rsidRPr="00FF103E">
        <w:rPr>
          <w:rFonts w:ascii="Arial" w:hAnsi="Arial" w:cs="Arial"/>
          <w:sz w:val="22"/>
          <w:szCs w:val="22"/>
        </w:rPr>
        <w:t>The Inkey List has emerged as a prominent player in the skincare industry through its commitment to transparency, affordability, and consumer education. This report has evaluated the company’s current strategic direction and used PESTLE and SWOT analyses to identify the critical factors influencing its operations. Political and legal challenges, such as Brexit and evolving cosmetic regulations, demand careful management to ensure compliance and market access (</w:t>
      </w:r>
      <w:r w:rsidR="00DC55EE" w:rsidRPr="00FF103E">
        <w:rPr>
          <w:rFonts w:ascii="Arial" w:hAnsi="Arial" w:cs="Arial"/>
          <w:sz w:val="22"/>
          <w:szCs w:val="22"/>
        </w:rPr>
        <w:t>Al-Shahmani</w:t>
      </w:r>
      <w:r w:rsidRPr="00FF103E">
        <w:rPr>
          <w:rFonts w:ascii="Arial" w:hAnsi="Arial" w:cs="Arial"/>
          <w:sz w:val="22"/>
          <w:szCs w:val="22"/>
        </w:rPr>
        <w:t xml:space="preserve">, </w:t>
      </w:r>
      <w:r w:rsidR="00DC55EE" w:rsidRPr="00FF103E">
        <w:rPr>
          <w:rFonts w:ascii="Arial" w:hAnsi="Arial" w:cs="Arial"/>
          <w:sz w:val="22"/>
          <w:szCs w:val="22"/>
        </w:rPr>
        <w:t>2018</w:t>
      </w:r>
      <w:r w:rsidRPr="00FF103E">
        <w:rPr>
          <w:rFonts w:ascii="Arial" w:hAnsi="Arial" w:cs="Arial"/>
          <w:sz w:val="22"/>
          <w:szCs w:val="22"/>
        </w:rPr>
        <w:t>; KPMG, 2021). Economic conditions and consumer spending trends also significantly impact the company's strategies (Euromonitor International, 2021).</w:t>
      </w:r>
    </w:p>
    <w:p w14:paraId="582E1212" w14:textId="6E6EF177" w:rsidR="003F5582" w:rsidRPr="00FF103E" w:rsidRDefault="003F5582" w:rsidP="003F5582">
      <w:pPr>
        <w:spacing w:line="360" w:lineRule="auto"/>
        <w:rPr>
          <w:rFonts w:ascii="Arial" w:hAnsi="Arial" w:cs="Arial"/>
          <w:sz w:val="22"/>
          <w:szCs w:val="22"/>
        </w:rPr>
      </w:pPr>
      <w:r w:rsidRPr="00FF103E">
        <w:rPr>
          <w:rFonts w:ascii="Arial" w:hAnsi="Arial" w:cs="Arial"/>
          <w:sz w:val="22"/>
          <w:szCs w:val="22"/>
        </w:rPr>
        <w:t xml:space="preserve">Social trends and technological advancements drive the need for ongoing product innovation and digital engagement (Mintel, 2021; </w:t>
      </w:r>
      <w:proofErr w:type="spellStart"/>
      <w:r w:rsidRPr="00FF103E">
        <w:rPr>
          <w:rFonts w:ascii="Arial" w:hAnsi="Arial" w:cs="Arial"/>
          <w:sz w:val="22"/>
          <w:szCs w:val="22"/>
        </w:rPr>
        <w:t>GlobalData</w:t>
      </w:r>
      <w:proofErr w:type="spellEnd"/>
      <w:r w:rsidRPr="00FF103E">
        <w:rPr>
          <w:rFonts w:ascii="Arial" w:hAnsi="Arial" w:cs="Arial"/>
          <w:sz w:val="22"/>
          <w:szCs w:val="22"/>
        </w:rPr>
        <w:t>, 2021). Emphasizing sustainability and ethical practices is crucial for meeting regulatory standards and consumer expectations (The Guardian, 2021). Integrating these insights helps develop robust strategies that leverage strengths, address weaknesses, and capitalize on opportunities while mitigating threats (Gurel &amp; Tat, 2017).</w:t>
      </w:r>
    </w:p>
    <w:p w14:paraId="6E49BE86" w14:textId="4450E506" w:rsidR="003F5582" w:rsidRPr="00FF103E" w:rsidRDefault="003F5582" w:rsidP="003F5582">
      <w:pPr>
        <w:spacing w:line="360" w:lineRule="auto"/>
        <w:rPr>
          <w:rFonts w:ascii="Arial" w:hAnsi="Arial" w:cs="Arial"/>
          <w:sz w:val="22"/>
          <w:szCs w:val="22"/>
        </w:rPr>
      </w:pPr>
      <w:r w:rsidRPr="00FF103E">
        <w:rPr>
          <w:rFonts w:ascii="Arial" w:hAnsi="Arial" w:cs="Arial"/>
          <w:sz w:val="22"/>
          <w:szCs w:val="22"/>
        </w:rPr>
        <w:t>Stakeholder analysis highlighted the importance of addressing diverse interests through sustainable practices, innovation, compliance, and ethical business conduct. Meeting the expectations of employees, customers, suppliers, retail partners, investors, regulatory bodies, and community groups is vital for long-term success (Jones &amp; Tilley, 2018).</w:t>
      </w:r>
    </w:p>
    <w:p w14:paraId="38B71922" w14:textId="1E1F1DE2" w:rsidR="00B435FF" w:rsidRPr="00FF103E" w:rsidRDefault="003F5582" w:rsidP="003F5582">
      <w:pPr>
        <w:spacing w:line="360" w:lineRule="auto"/>
        <w:rPr>
          <w:rFonts w:ascii="Arial" w:hAnsi="Arial" w:cs="Arial"/>
          <w:sz w:val="22"/>
          <w:szCs w:val="22"/>
        </w:rPr>
      </w:pPr>
      <w:r w:rsidRPr="00FF103E">
        <w:rPr>
          <w:rFonts w:ascii="Arial" w:hAnsi="Arial" w:cs="Arial"/>
          <w:sz w:val="22"/>
          <w:szCs w:val="22"/>
        </w:rPr>
        <w:t>The proposed strategy of expanding into personalized skincare solutions leverages The Inkey List's strengths in innovation and consumer education. This approach differentiates the brand in a competitive market and aligns with evolving consumer demands, ensuring sustainability and competitiveness (Laxton &amp; Curry, 2021). Continuous investment in research and development, coupled with advancements in technology and a commitment to sustainable practices, will maintain The Inkey List’s competitive edge and drive growth. Effective strategy implementation and active stakeholder engagement will help The Inkey List navigate industry complexities and reinforce its position as a leading, trusted brand in the skincare market (Mintel, 2021).</w:t>
      </w:r>
    </w:p>
    <w:p w14:paraId="218CB9EB" w14:textId="77777777" w:rsidR="003F5582" w:rsidRPr="00FF103E" w:rsidRDefault="003F5582" w:rsidP="003F5582">
      <w:pPr>
        <w:spacing w:line="360" w:lineRule="auto"/>
        <w:rPr>
          <w:rFonts w:ascii="Arial" w:hAnsi="Arial" w:cs="Arial"/>
          <w:sz w:val="22"/>
          <w:szCs w:val="22"/>
        </w:rPr>
      </w:pPr>
    </w:p>
    <w:p w14:paraId="5BE213D0" w14:textId="77777777" w:rsidR="003F5582" w:rsidRPr="00FF103E" w:rsidRDefault="003F5582" w:rsidP="003F5582">
      <w:pPr>
        <w:spacing w:line="360" w:lineRule="auto"/>
        <w:rPr>
          <w:rFonts w:ascii="Arial" w:hAnsi="Arial" w:cs="Arial"/>
          <w:sz w:val="22"/>
          <w:szCs w:val="22"/>
        </w:rPr>
      </w:pPr>
    </w:p>
    <w:p w14:paraId="06417B3D" w14:textId="77777777" w:rsidR="003F5582" w:rsidRPr="00FF103E" w:rsidRDefault="003F5582" w:rsidP="003F5582">
      <w:pPr>
        <w:spacing w:line="360" w:lineRule="auto"/>
        <w:rPr>
          <w:rFonts w:ascii="Arial" w:hAnsi="Arial" w:cs="Arial"/>
          <w:sz w:val="22"/>
          <w:szCs w:val="22"/>
        </w:rPr>
      </w:pPr>
    </w:p>
    <w:p w14:paraId="72D2A6F2" w14:textId="77777777" w:rsidR="00A1235C" w:rsidRPr="00FF103E" w:rsidRDefault="00A1235C" w:rsidP="000277F7">
      <w:pPr>
        <w:pStyle w:val="Heading1"/>
        <w:rPr>
          <w:rFonts w:ascii="Arial" w:hAnsi="Arial" w:cs="Arial"/>
          <w:sz w:val="22"/>
          <w:szCs w:val="22"/>
        </w:rPr>
      </w:pPr>
      <w:bookmarkStart w:id="28" w:name="_Toc171279066"/>
      <w:r w:rsidRPr="00FF103E">
        <w:rPr>
          <w:rFonts w:ascii="Arial" w:hAnsi="Arial" w:cs="Arial"/>
          <w:sz w:val="22"/>
          <w:szCs w:val="22"/>
        </w:rPr>
        <w:lastRenderedPageBreak/>
        <w:t>References</w:t>
      </w:r>
      <w:bookmarkEnd w:id="28"/>
    </w:p>
    <w:p w14:paraId="0917676E" w14:textId="2BA88509"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Allen, R. S., &amp; Helms, M. M. (2006) </w:t>
      </w:r>
      <w:r>
        <w:rPr>
          <w:rFonts w:ascii="Arial" w:hAnsi="Arial" w:cs="Arial"/>
          <w:sz w:val="22"/>
          <w:szCs w:val="22"/>
        </w:rPr>
        <w:t>‘</w:t>
      </w:r>
      <w:r w:rsidRPr="00FF103E">
        <w:rPr>
          <w:rFonts w:ascii="Arial" w:hAnsi="Arial" w:cs="Arial"/>
          <w:sz w:val="22"/>
          <w:szCs w:val="22"/>
        </w:rPr>
        <w:t>Linking Strategic Practices and Organizational Performance to Porter's Generic Strategies</w:t>
      </w:r>
      <w:r>
        <w:rPr>
          <w:rFonts w:ascii="Arial" w:hAnsi="Arial" w:cs="Arial"/>
          <w:sz w:val="22"/>
          <w:szCs w:val="22"/>
        </w:rPr>
        <w:t>’,</w:t>
      </w:r>
      <w:r w:rsidRPr="00FF103E">
        <w:rPr>
          <w:rFonts w:ascii="Arial" w:hAnsi="Arial" w:cs="Arial"/>
          <w:sz w:val="22"/>
          <w:szCs w:val="22"/>
        </w:rPr>
        <w:t xml:space="preserve"> </w:t>
      </w:r>
      <w:r w:rsidRPr="00454867">
        <w:rPr>
          <w:rFonts w:ascii="Arial" w:hAnsi="Arial" w:cs="Arial"/>
          <w:i/>
          <w:iCs/>
          <w:sz w:val="22"/>
          <w:szCs w:val="22"/>
        </w:rPr>
        <w:t>Business Process Management Journal</w:t>
      </w:r>
      <w:r w:rsidRPr="00FF103E">
        <w:rPr>
          <w:rFonts w:ascii="Arial" w:hAnsi="Arial" w:cs="Arial"/>
          <w:sz w:val="22"/>
          <w:szCs w:val="22"/>
        </w:rPr>
        <w:t xml:space="preserve">, 12(4), </w:t>
      </w:r>
      <w:r>
        <w:rPr>
          <w:rFonts w:ascii="Arial" w:hAnsi="Arial" w:cs="Arial"/>
          <w:sz w:val="22"/>
          <w:szCs w:val="22"/>
        </w:rPr>
        <w:t xml:space="preserve">pp. </w:t>
      </w:r>
      <w:r w:rsidRPr="00FF103E">
        <w:rPr>
          <w:rFonts w:ascii="Arial" w:hAnsi="Arial" w:cs="Arial"/>
          <w:sz w:val="22"/>
          <w:szCs w:val="22"/>
        </w:rPr>
        <w:t>433-454.</w:t>
      </w:r>
    </w:p>
    <w:p w14:paraId="0BDA9AD9" w14:textId="1106335C"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Ansoff, H. I. (1957) </w:t>
      </w:r>
      <w:r>
        <w:rPr>
          <w:rFonts w:ascii="Arial" w:hAnsi="Arial" w:cs="Arial"/>
          <w:sz w:val="22"/>
          <w:szCs w:val="22"/>
        </w:rPr>
        <w:t>‘</w:t>
      </w:r>
      <w:r w:rsidRPr="00FF103E">
        <w:rPr>
          <w:rFonts w:ascii="Arial" w:hAnsi="Arial" w:cs="Arial"/>
          <w:sz w:val="22"/>
          <w:szCs w:val="22"/>
        </w:rPr>
        <w:t>Strategies for Diversification</w:t>
      </w:r>
      <w:r>
        <w:rPr>
          <w:rFonts w:ascii="Arial" w:hAnsi="Arial" w:cs="Arial"/>
          <w:sz w:val="22"/>
          <w:szCs w:val="22"/>
        </w:rPr>
        <w:t>’,</w:t>
      </w:r>
      <w:r w:rsidRPr="00FF103E">
        <w:rPr>
          <w:rFonts w:ascii="Arial" w:hAnsi="Arial" w:cs="Arial"/>
          <w:sz w:val="22"/>
          <w:szCs w:val="22"/>
        </w:rPr>
        <w:t xml:space="preserve"> </w:t>
      </w:r>
      <w:r w:rsidRPr="00454867">
        <w:rPr>
          <w:rFonts w:ascii="Arial" w:hAnsi="Arial" w:cs="Arial"/>
          <w:i/>
          <w:iCs/>
          <w:sz w:val="22"/>
          <w:szCs w:val="22"/>
        </w:rPr>
        <w:t>Harvard Business Review</w:t>
      </w:r>
      <w:r w:rsidRPr="00FF103E">
        <w:rPr>
          <w:rFonts w:ascii="Arial" w:hAnsi="Arial" w:cs="Arial"/>
          <w:sz w:val="22"/>
          <w:szCs w:val="22"/>
        </w:rPr>
        <w:t xml:space="preserve">, 35(5), </w:t>
      </w:r>
      <w:r>
        <w:rPr>
          <w:rFonts w:ascii="Arial" w:hAnsi="Arial" w:cs="Arial"/>
          <w:sz w:val="22"/>
          <w:szCs w:val="22"/>
        </w:rPr>
        <w:t xml:space="preserve">pp. </w:t>
      </w:r>
      <w:r w:rsidRPr="00FF103E">
        <w:rPr>
          <w:rFonts w:ascii="Arial" w:hAnsi="Arial" w:cs="Arial"/>
          <w:sz w:val="22"/>
          <w:szCs w:val="22"/>
        </w:rPr>
        <w:t>113-124.</w:t>
      </w:r>
    </w:p>
    <w:p w14:paraId="5C732B0E" w14:textId="35ECFE6E"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Bridge, S., O'Neill, K., &amp; Martin, F. (1998) </w:t>
      </w:r>
      <w:r w:rsidRPr="00454867">
        <w:rPr>
          <w:rFonts w:ascii="Arial" w:hAnsi="Arial" w:cs="Arial"/>
          <w:i/>
          <w:iCs/>
          <w:sz w:val="22"/>
          <w:szCs w:val="22"/>
        </w:rPr>
        <w:t>Understanding Enterprise, Entrepreneurship and Small Business</w:t>
      </w:r>
      <w:r w:rsidRPr="00FF103E">
        <w:rPr>
          <w:rFonts w:ascii="Arial" w:hAnsi="Arial" w:cs="Arial"/>
          <w:sz w:val="22"/>
          <w:szCs w:val="22"/>
        </w:rPr>
        <w:t>. Palgrave Macmillan.</w:t>
      </w:r>
    </w:p>
    <w:p w14:paraId="4947A914" w14:textId="5FE989AA"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Burns, P. (2016) </w:t>
      </w:r>
      <w:r w:rsidRPr="00454867">
        <w:rPr>
          <w:rFonts w:ascii="Arial" w:hAnsi="Arial" w:cs="Arial"/>
          <w:i/>
          <w:iCs/>
          <w:sz w:val="22"/>
          <w:szCs w:val="22"/>
        </w:rPr>
        <w:t>Entrepreneurship and Small Business</w:t>
      </w:r>
      <w:r w:rsidRPr="00FF103E">
        <w:rPr>
          <w:rFonts w:ascii="Arial" w:hAnsi="Arial" w:cs="Arial"/>
          <w:sz w:val="22"/>
          <w:szCs w:val="22"/>
        </w:rPr>
        <w:t>. Palgrave Macmillan.</w:t>
      </w:r>
    </w:p>
    <w:p w14:paraId="5D2E3ACE" w14:textId="1292D37A" w:rsidR="00454867" w:rsidRPr="00FF103E" w:rsidRDefault="00454867" w:rsidP="003A2E44">
      <w:pPr>
        <w:spacing w:line="360" w:lineRule="auto"/>
        <w:rPr>
          <w:rFonts w:ascii="Arial" w:hAnsi="Arial" w:cs="Arial"/>
          <w:sz w:val="22"/>
          <w:szCs w:val="22"/>
        </w:rPr>
      </w:pPr>
      <w:r w:rsidRPr="00FF103E">
        <w:rPr>
          <w:rFonts w:ascii="Arial" w:hAnsi="Arial" w:cs="Arial"/>
          <w:sz w:val="22"/>
          <w:szCs w:val="22"/>
        </w:rPr>
        <w:t xml:space="preserve">Cosmetics Business. (2022) The Inkey List to increase prices in 2023 due to the big squeeze. Available at: </w:t>
      </w:r>
      <w:hyperlink r:id="rId8" w:history="1">
        <w:r w:rsidRPr="00FF103E">
          <w:rPr>
            <w:rStyle w:val="Hyperlink"/>
            <w:rFonts w:ascii="Arial" w:hAnsi="Arial" w:cs="Arial"/>
            <w:sz w:val="22"/>
            <w:szCs w:val="22"/>
          </w:rPr>
          <w:t>https://www.cosmeticsbusiness.com/the-inkey-list-to-increase-prices-in-2023-due-to-the-big-squeeze-205435</w:t>
        </w:r>
      </w:hyperlink>
      <w:r w:rsidRPr="00FF103E">
        <w:rPr>
          <w:rFonts w:ascii="Arial" w:hAnsi="Arial" w:cs="Arial"/>
          <w:sz w:val="22"/>
          <w:szCs w:val="22"/>
        </w:rPr>
        <w:t xml:space="preserve"> </w:t>
      </w:r>
      <w:bookmarkStart w:id="29" w:name="_Hlk171278141"/>
      <w:r w:rsidRPr="00454867">
        <w:rPr>
          <w:rFonts w:ascii="Arial" w:hAnsi="Arial" w:cs="Arial"/>
          <w:sz w:val="22"/>
          <w:szCs w:val="22"/>
        </w:rPr>
        <w:t>(Accessed: 27 J</w:t>
      </w:r>
      <w:r>
        <w:rPr>
          <w:rFonts w:ascii="Arial" w:hAnsi="Arial" w:cs="Arial"/>
          <w:sz w:val="22"/>
          <w:szCs w:val="22"/>
        </w:rPr>
        <w:t>une</w:t>
      </w:r>
      <w:r w:rsidRPr="00454867">
        <w:rPr>
          <w:rFonts w:ascii="Arial" w:hAnsi="Arial" w:cs="Arial"/>
          <w:sz w:val="22"/>
          <w:szCs w:val="22"/>
        </w:rPr>
        <w:t xml:space="preserve"> 202</w:t>
      </w:r>
      <w:r>
        <w:rPr>
          <w:rFonts w:ascii="Arial" w:hAnsi="Arial" w:cs="Arial"/>
          <w:sz w:val="22"/>
          <w:szCs w:val="22"/>
        </w:rPr>
        <w:t>4</w:t>
      </w:r>
      <w:r w:rsidRPr="00454867">
        <w:rPr>
          <w:rFonts w:ascii="Arial" w:hAnsi="Arial" w:cs="Arial"/>
          <w:sz w:val="22"/>
          <w:szCs w:val="22"/>
        </w:rPr>
        <w:t>).</w:t>
      </w:r>
      <w:bookmarkEnd w:id="29"/>
    </w:p>
    <w:p w14:paraId="5192E92C" w14:textId="05D04DC6" w:rsidR="00454867" w:rsidRPr="00FF103E" w:rsidRDefault="00454867" w:rsidP="00454867">
      <w:pPr>
        <w:spacing w:line="360" w:lineRule="auto"/>
        <w:rPr>
          <w:rFonts w:ascii="Arial" w:hAnsi="Arial" w:cs="Arial"/>
          <w:sz w:val="22"/>
          <w:szCs w:val="22"/>
        </w:rPr>
      </w:pPr>
      <w:r w:rsidRPr="00FF103E">
        <w:rPr>
          <w:rFonts w:ascii="Arial" w:hAnsi="Arial" w:cs="Arial"/>
          <w:sz w:val="22"/>
          <w:szCs w:val="22"/>
        </w:rPr>
        <w:t xml:space="preserve">Cosmetics Business. (2024) Exclusive: The Inkey List’s AI analysis tool tackling 'oversimplified' acne care. Available at: </w:t>
      </w:r>
      <w:hyperlink r:id="rId9" w:history="1">
        <w:r w:rsidRPr="00FF103E">
          <w:rPr>
            <w:rStyle w:val="Hyperlink"/>
            <w:rFonts w:ascii="Arial" w:hAnsi="Arial" w:cs="Arial"/>
            <w:sz w:val="22"/>
            <w:szCs w:val="22"/>
          </w:rPr>
          <w:t>https://www.cosmeticsbusiness.com/exclusive-the-inkey-list-s-ai-analysis-tool-tackling</w:t>
        </w:r>
      </w:hyperlink>
      <w:r w:rsidRPr="00FF103E">
        <w:rPr>
          <w:rFonts w:ascii="Arial" w:hAnsi="Arial" w:cs="Arial"/>
          <w:sz w:val="22"/>
          <w:szCs w:val="22"/>
        </w:rPr>
        <w:t xml:space="preserve"> </w:t>
      </w:r>
      <w:r w:rsidRPr="00454867">
        <w:rPr>
          <w:rFonts w:ascii="Arial" w:hAnsi="Arial" w:cs="Arial"/>
          <w:sz w:val="22"/>
          <w:szCs w:val="22"/>
        </w:rPr>
        <w:t xml:space="preserve">(Accessed: </w:t>
      </w:r>
      <w:r>
        <w:rPr>
          <w:rFonts w:ascii="Arial" w:hAnsi="Arial" w:cs="Arial"/>
          <w:sz w:val="22"/>
          <w:szCs w:val="22"/>
        </w:rPr>
        <w:t>23</w:t>
      </w:r>
      <w:r w:rsidRPr="00454867">
        <w:rPr>
          <w:rFonts w:ascii="Arial" w:hAnsi="Arial" w:cs="Arial"/>
          <w:sz w:val="22"/>
          <w:szCs w:val="22"/>
        </w:rPr>
        <w:t xml:space="preserve"> </w:t>
      </w:r>
      <w:r>
        <w:rPr>
          <w:rFonts w:ascii="Arial" w:hAnsi="Arial" w:cs="Arial"/>
          <w:sz w:val="22"/>
          <w:szCs w:val="22"/>
        </w:rPr>
        <w:t>June</w:t>
      </w:r>
      <w:r w:rsidRPr="00454867">
        <w:rPr>
          <w:rFonts w:ascii="Arial" w:hAnsi="Arial" w:cs="Arial"/>
          <w:sz w:val="22"/>
          <w:szCs w:val="22"/>
        </w:rPr>
        <w:t xml:space="preserve"> 202</w:t>
      </w:r>
      <w:r>
        <w:rPr>
          <w:rFonts w:ascii="Arial" w:hAnsi="Arial" w:cs="Arial"/>
          <w:sz w:val="22"/>
          <w:szCs w:val="22"/>
        </w:rPr>
        <w:t>4</w:t>
      </w:r>
      <w:r w:rsidRPr="00454867">
        <w:rPr>
          <w:rFonts w:ascii="Arial" w:hAnsi="Arial" w:cs="Arial"/>
          <w:sz w:val="22"/>
          <w:szCs w:val="22"/>
        </w:rPr>
        <w:t>).</w:t>
      </w:r>
    </w:p>
    <w:p w14:paraId="0C080BE3" w14:textId="2556862C"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Daigle, B. and Khan, M. </w:t>
      </w:r>
      <w:r>
        <w:rPr>
          <w:rFonts w:ascii="Arial" w:hAnsi="Arial" w:cs="Arial"/>
          <w:sz w:val="22"/>
          <w:szCs w:val="22"/>
        </w:rPr>
        <w:t>(</w:t>
      </w:r>
      <w:r w:rsidRPr="00FF103E">
        <w:rPr>
          <w:rFonts w:ascii="Arial" w:hAnsi="Arial" w:cs="Arial"/>
          <w:sz w:val="22"/>
          <w:szCs w:val="22"/>
        </w:rPr>
        <w:t>2020</w:t>
      </w:r>
      <w:r>
        <w:rPr>
          <w:rFonts w:ascii="Arial" w:hAnsi="Arial" w:cs="Arial"/>
          <w:sz w:val="22"/>
          <w:szCs w:val="22"/>
        </w:rPr>
        <w:t>)</w:t>
      </w:r>
      <w:r w:rsidRPr="00FF103E">
        <w:rPr>
          <w:rFonts w:ascii="Arial" w:hAnsi="Arial" w:cs="Arial"/>
          <w:sz w:val="22"/>
          <w:szCs w:val="22"/>
        </w:rPr>
        <w:t xml:space="preserve"> </w:t>
      </w:r>
      <w:r>
        <w:rPr>
          <w:rFonts w:ascii="Arial" w:hAnsi="Arial" w:cs="Arial"/>
          <w:sz w:val="22"/>
          <w:szCs w:val="22"/>
        </w:rPr>
        <w:t>‘</w:t>
      </w:r>
      <w:r w:rsidRPr="00FF103E">
        <w:rPr>
          <w:rFonts w:ascii="Arial" w:hAnsi="Arial" w:cs="Arial"/>
          <w:sz w:val="22"/>
          <w:szCs w:val="22"/>
        </w:rPr>
        <w:t xml:space="preserve">The EU general data protection regulation: an analysis of enforcement trends by </w:t>
      </w:r>
      <w:proofErr w:type="spellStart"/>
      <w:r w:rsidRPr="00FF103E">
        <w:rPr>
          <w:rFonts w:ascii="Arial" w:hAnsi="Arial" w:cs="Arial"/>
          <w:sz w:val="22"/>
          <w:szCs w:val="22"/>
        </w:rPr>
        <w:t>eu</w:t>
      </w:r>
      <w:proofErr w:type="spellEnd"/>
      <w:r w:rsidRPr="00FF103E">
        <w:rPr>
          <w:rFonts w:ascii="Arial" w:hAnsi="Arial" w:cs="Arial"/>
          <w:sz w:val="22"/>
          <w:szCs w:val="22"/>
        </w:rPr>
        <w:t xml:space="preserve"> data protection authorities</w:t>
      </w:r>
      <w:r>
        <w:rPr>
          <w:rFonts w:ascii="Arial" w:hAnsi="Arial" w:cs="Arial"/>
          <w:sz w:val="22"/>
          <w:szCs w:val="22"/>
        </w:rPr>
        <w:t>’,</w:t>
      </w:r>
      <w:r w:rsidRPr="00FF103E">
        <w:rPr>
          <w:rFonts w:ascii="Arial" w:hAnsi="Arial" w:cs="Arial"/>
          <w:sz w:val="22"/>
          <w:szCs w:val="22"/>
        </w:rPr>
        <w:t xml:space="preserve"> </w:t>
      </w:r>
      <w:r w:rsidRPr="00454867">
        <w:rPr>
          <w:rFonts w:ascii="Arial" w:hAnsi="Arial" w:cs="Arial"/>
          <w:i/>
          <w:iCs/>
          <w:sz w:val="22"/>
          <w:szCs w:val="22"/>
        </w:rPr>
        <w:t>J. Int'l Com. &amp; Econ</w:t>
      </w:r>
      <w:r w:rsidRPr="00FF103E">
        <w:rPr>
          <w:rFonts w:ascii="Arial" w:hAnsi="Arial" w:cs="Arial"/>
          <w:sz w:val="22"/>
          <w:szCs w:val="22"/>
        </w:rPr>
        <w:t>, p</w:t>
      </w:r>
      <w:r>
        <w:rPr>
          <w:rFonts w:ascii="Arial" w:hAnsi="Arial" w:cs="Arial"/>
          <w:sz w:val="22"/>
          <w:szCs w:val="22"/>
        </w:rPr>
        <w:t>p</w:t>
      </w:r>
      <w:r w:rsidRPr="00FF103E">
        <w:rPr>
          <w:rFonts w:ascii="Arial" w:hAnsi="Arial" w:cs="Arial"/>
          <w:sz w:val="22"/>
          <w:szCs w:val="22"/>
        </w:rPr>
        <w:t xml:space="preserve">.1. </w:t>
      </w:r>
    </w:p>
    <w:p w14:paraId="2BBCC135" w14:textId="125EE42B"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Deloitte. (2020). </w:t>
      </w:r>
      <w:r w:rsidRPr="00454867">
        <w:rPr>
          <w:rFonts w:ascii="Arial" w:hAnsi="Arial" w:cs="Arial"/>
          <w:i/>
          <w:iCs/>
          <w:sz w:val="22"/>
          <w:szCs w:val="22"/>
        </w:rPr>
        <w:t>Global Powers of Retailing 2020</w:t>
      </w:r>
      <w:r w:rsidRPr="00FF103E">
        <w:rPr>
          <w:rFonts w:ascii="Arial" w:hAnsi="Arial" w:cs="Arial"/>
          <w:sz w:val="22"/>
          <w:szCs w:val="22"/>
        </w:rPr>
        <w:t xml:space="preserve">. Deloitte. </w:t>
      </w:r>
      <w:r>
        <w:rPr>
          <w:rFonts w:ascii="Arial" w:hAnsi="Arial" w:cs="Arial"/>
          <w:sz w:val="22"/>
          <w:szCs w:val="22"/>
        </w:rPr>
        <w:t>Available at</w:t>
      </w:r>
      <w:r w:rsidRPr="00FF103E">
        <w:rPr>
          <w:rFonts w:ascii="Arial" w:hAnsi="Arial" w:cs="Arial"/>
          <w:sz w:val="22"/>
          <w:szCs w:val="22"/>
        </w:rPr>
        <w:t xml:space="preserve"> </w:t>
      </w:r>
      <w:hyperlink r:id="rId10" w:history="1">
        <w:r w:rsidRPr="00FF103E">
          <w:rPr>
            <w:rStyle w:val="Hyperlink"/>
            <w:rFonts w:ascii="Arial" w:hAnsi="Arial" w:cs="Arial"/>
            <w:sz w:val="22"/>
            <w:szCs w:val="22"/>
          </w:rPr>
          <w:t>https://www2.deloitte.com/global/en/pages/consumer-business/articles/global-powers-of-retailing.html</w:t>
        </w:r>
      </w:hyperlink>
      <w:r w:rsidRPr="00FF103E">
        <w:rPr>
          <w:rFonts w:ascii="Arial" w:hAnsi="Arial" w:cs="Arial"/>
          <w:sz w:val="22"/>
          <w:szCs w:val="22"/>
        </w:rPr>
        <w:t xml:space="preserve"> </w:t>
      </w:r>
      <w:r w:rsidRPr="00454867">
        <w:rPr>
          <w:rFonts w:ascii="Arial" w:hAnsi="Arial" w:cs="Arial"/>
          <w:sz w:val="22"/>
          <w:szCs w:val="22"/>
        </w:rPr>
        <w:t xml:space="preserve">(Accessed: </w:t>
      </w:r>
      <w:r>
        <w:rPr>
          <w:rFonts w:ascii="Arial" w:hAnsi="Arial" w:cs="Arial"/>
          <w:sz w:val="22"/>
          <w:szCs w:val="22"/>
        </w:rPr>
        <w:t>21</w:t>
      </w:r>
      <w:r w:rsidRPr="00454867">
        <w:rPr>
          <w:rFonts w:ascii="Arial" w:hAnsi="Arial" w:cs="Arial"/>
          <w:sz w:val="22"/>
          <w:szCs w:val="22"/>
        </w:rPr>
        <w:t xml:space="preserve"> </w:t>
      </w:r>
      <w:r>
        <w:rPr>
          <w:rFonts w:ascii="Arial" w:hAnsi="Arial" w:cs="Arial"/>
          <w:sz w:val="22"/>
          <w:szCs w:val="22"/>
        </w:rPr>
        <w:t>June</w:t>
      </w:r>
      <w:r w:rsidRPr="00454867">
        <w:rPr>
          <w:rFonts w:ascii="Arial" w:hAnsi="Arial" w:cs="Arial"/>
          <w:sz w:val="22"/>
          <w:szCs w:val="22"/>
        </w:rPr>
        <w:t xml:space="preserve"> 202</w:t>
      </w:r>
      <w:r>
        <w:rPr>
          <w:rFonts w:ascii="Arial" w:hAnsi="Arial" w:cs="Arial"/>
          <w:sz w:val="22"/>
          <w:szCs w:val="22"/>
        </w:rPr>
        <w:t>4</w:t>
      </w:r>
      <w:r w:rsidRPr="00454867">
        <w:rPr>
          <w:rFonts w:ascii="Arial" w:hAnsi="Arial" w:cs="Arial"/>
          <w:sz w:val="22"/>
          <w:szCs w:val="22"/>
        </w:rPr>
        <w:t>).</w:t>
      </w:r>
    </w:p>
    <w:p w14:paraId="034CDB82" w14:textId="3ACCB1F0"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Euromonitor International. (2021) </w:t>
      </w:r>
      <w:r w:rsidRPr="00454867">
        <w:rPr>
          <w:rFonts w:ascii="Arial" w:hAnsi="Arial" w:cs="Arial"/>
          <w:i/>
          <w:iCs/>
          <w:sz w:val="22"/>
          <w:szCs w:val="22"/>
        </w:rPr>
        <w:t>Markt measurement</w:t>
      </w:r>
      <w:r w:rsidRPr="00FF103E">
        <w:rPr>
          <w:rFonts w:ascii="Arial" w:hAnsi="Arial" w:cs="Arial"/>
          <w:sz w:val="22"/>
          <w:szCs w:val="22"/>
        </w:rPr>
        <w:t xml:space="preserve">. Available at: </w:t>
      </w:r>
      <w:hyperlink r:id="rId11" w:history="1">
        <w:r w:rsidRPr="00FF103E">
          <w:rPr>
            <w:rStyle w:val="Hyperlink"/>
            <w:rFonts w:ascii="Arial" w:hAnsi="Arial" w:cs="Arial"/>
            <w:sz w:val="22"/>
            <w:szCs w:val="22"/>
          </w:rPr>
          <w:t>https://go.euromonitor.com/rs/805-KOK-719/images/csMarketMeasurementv1.3.pdf</w:t>
        </w:r>
      </w:hyperlink>
      <w:r w:rsidRPr="00FF103E">
        <w:rPr>
          <w:rFonts w:ascii="Arial" w:hAnsi="Arial" w:cs="Arial"/>
          <w:sz w:val="22"/>
          <w:szCs w:val="22"/>
        </w:rPr>
        <w:t xml:space="preserve"> </w:t>
      </w:r>
    </w:p>
    <w:p w14:paraId="368DC81E" w14:textId="6243D676" w:rsidR="00454867" w:rsidRPr="00FF103E" w:rsidRDefault="00454867" w:rsidP="00454867">
      <w:pPr>
        <w:spacing w:line="360" w:lineRule="auto"/>
        <w:rPr>
          <w:rFonts w:ascii="Arial" w:hAnsi="Arial" w:cs="Arial"/>
          <w:sz w:val="22"/>
          <w:szCs w:val="22"/>
        </w:rPr>
      </w:pPr>
      <w:r w:rsidRPr="00FF103E">
        <w:rPr>
          <w:rFonts w:ascii="Arial" w:hAnsi="Arial" w:cs="Arial"/>
          <w:sz w:val="22"/>
          <w:szCs w:val="22"/>
        </w:rPr>
        <w:t>European Commission. (2020</w:t>
      </w:r>
      <w:r>
        <w:rPr>
          <w:rFonts w:ascii="Arial" w:hAnsi="Arial" w:cs="Arial"/>
          <w:sz w:val="22"/>
          <w:szCs w:val="22"/>
        </w:rPr>
        <w:t>)</w:t>
      </w:r>
      <w:r w:rsidRPr="00FF103E">
        <w:rPr>
          <w:rFonts w:ascii="Arial" w:hAnsi="Arial" w:cs="Arial"/>
          <w:sz w:val="22"/>
          <w:szCs w:val="22"/>
        </w:rPr>
        <w:t xml:space="preserve"> </w:t>
      </w:r>
      <w:r w:rsidRPr="00454867">
        <w:rPr>
          <w:rFonts w:ascii="Arial" w:hAnsi="Arial" w:cs="Arial"/>
          <w:i/>
          <w:iCs/>
          <w:sz w:val="22"/>
          <w:szCs w:val="22"/>
        </w:rPr>
        <w:t>Annual report on European SMEs 2019/2020</w:t>
      </w:r>
      <w:r w:rsidRPr="00FF103E">
        <w:rPr>
          <w:rFonts w:ascii="Arial" w:hAnsi="Arial" w:cs="Arial"/>
          <w:sz w:val="22"/>
          <w:szCs w:val="22"/>
        </w:rPr>
        <w:t xml:space="preserve">. </w:t>
      </w:r>
      <w:r>
        <w:rPr>
          <w:rFonts w:ascii="Arial" w:hAnsi="Arial" w:cs="Arial"/>
          <w:sz w:val="22"/>
          <w:szCs w:val="22"/>
        </w:rPr>
        <w:t>Available at</w:t>
      </w:r>
      <w:r w:rsidRPr="00FF103E">
        <w:rPr>
          <w:rFonts w:ascii="Arial" w:hAnsi="Arial" w:cs="Arial"/>
          <w:sz w:val="22"/>
          <w:szCs w:val="22"/>
        </w:rPr>
        <w:t xml:space="preserve"> </w:t>
      </w:r>
      <w:hyperlink r:id="rId12" w:history="1">
        <w:r w:rsidRPr="00FF103E">
          <w:rPr>
            <w:rStyle w:val="Hyperlink"/>
            <w:rFonts w:ascii="Arial" w:hAnsi="Arial" w:cs="Arial"/>
            <w:sz w:val="22"/>
            <w:szCs w:val="22"/>
          </w:rPr>
          <w:t>https://ec.europa.eu</w:t>
        </w:r>
      </w:hyperlink>
      <w:r w:rsidRPr="00FF103E">
        <w:rPr>
          <w:rFonts w:ascii="Arial" w:hAnsi="Arial" w:cs="Arial"/>
          <w:sz w:val="22"/>
          <w:szCs w:val="22"/>
        </w:rPr>
        <w:t xml:space="preserve"> </w:t>
      </w:r>
      <w:r w:rsidRPr="00454867">
        <w:rPr>
          <w:rFonts w:ascii="Arial" w:hAnsi="Arial" w:cs="Arial"/>
          <w:sz w:val="22"/>
          <w:szCs w:val="22"/>
        </w:rPr>
        <w:t>(Accessed: 21 June 202</w:t>
      </w:r>
      <w:r>
        <w:rPr>
          <w:rFonts w:ascii="Arial" w:hAnsi="Arial" w:cs="Arial"/>
          <w:sz w:val="22"/>
          <w:szCs w:val="22"/>
        </w:rPr>
        <w:t>4</w:t>
      </w:r>
      <w:r w:rsidRPr="00454867">
        <w:rPr>
          <w:rFonts w:ascii="Arial" w:hAnsi="Arial" w:cs="Arial"/>
          <w:sz w:val="22"/>
          <w:szCs w:val="22"/>
        </w:rPr>
        <w:t>).</w:t>
      </w:r>
    </w:p>
    <w:p w14:paraId="78430216" w14:textId="24B5CE31" w:rsidR="00454867" w:rsidRPr="00FF103E" w:rsidRDefault="00454867" w:rsidP="00B435FF">
      <w:pPr>
        <w:spacing w:line="360" w:lineRule="auto"/>
        <w:rPr>
          <w:rFonts w:ascii="Arial" w:hAnsi="Arial" w:cs="Arial"/>
          <w:sz w:val="22"/>
          <w:szCs w:val="22"/>
        </w:rPr>
      </w:pPr>
      <w:r w:rsidRPr="00454867">
        <w:rPr>
          <w:rFonts w:ascii="Arial" w:hAnsi="Arial" w:cs="Arial"/>
          <w:sz w:val="22"/>
          <w:szCs w:val="22"/>
        </w:rPr>
        <w:t>Global</w:t>
      </w:r>
      <w:r>
        <w:rPr>
          <w:rFonts w:ascii="Arial" w:hAnsi="Arial" w:cs="Arial"/>
          <w:sz w:val="22"/>
          <w:szCs w:val="22"/>
        </w:rPr>
        <w:t xml:space="preserve"> </w:t>
      </w:r>
      <w:r w:rsidRPr="00454867">
        <w:rPr>
          <w:rFonts w:ascii="Arial" w:hAnsi="Arial" w:cs="Arial"/>
          <w:sz w:val="22"/>
          <w:szCs w:val="22"/>
        </w:rPr>
        <w:t xml:space="preserve">Data. (2021) </w:t>
      </w:r>
      <w:r w:rsidRPr="00FF103E">
        <w:rPr>
          <w:rFonts w:ascii="Arial" w:hAnsi="Arial" w:cs="Arial"/>
          <w:sz w:val="22"/>
          <w:szCs w:val="22"/>
        </w:rPr>
        <w:t xml:space="preserve">Tech Trends in Retail Bundle Report Overview. </w:t>
      </w:r>
      <w:proofErr w:type="spellStart"/>
      <w:r w:rsidRPr="00454867">
        <w:rPr>
          <w:rFonts w:ascii="Arial" w:hAnsi="Arial" w:cs="Arial"/>
          <w:sz w:val="22"/>
          <w:szCs w:val="22"/>
        </w:rPr>
        <w:t>GlobalData</w:t>
      </w:r>
      <w:proofErr w:type="spellEnd"/>
      <w:r w:rsidRPr="00454867">
        <w:rPr>
          <w:rFonts w:ascii="Arial" w:hAnsi="Arial" w:cs="Arial"/>
          <w:sz w:val="22"/>
          <w:szCs w:val="22"/>
        </w:rPr>
        <w:t xml:space="preserve">. </w:t>
      </w:r>
      <w:r w:rsidRPr="00FF103E">
        <w:rPr>
          <w:rFonts w:ascii="Arial" w:hAnsi="Arial" w:cs="Arial"/>
          <w:sz w:val="22"/>
          <w:szCs w:val="22"/>
        </w:rPr>
        <w:t xml:space="preserve">Retrieved from </w:t>
      </w:r>
      <w:hyperlink r:id="rId13" w:history="1">
        <w:r w:rsidRPr="00FF103E">
          <w:rPr>
            <w:rStyle w:val="Hyperlink"/>
            <w:rFonts w:ascii="Arial" w:hAnsi="Arial" w:cs="Arial"/>
            <w:sz w:val="22"/>
            <w:szCs w:val="22"/>
          </w:rPr>
          <w:t>https://www.globaldata.com/store/report/tech-trends-in-retail-bundle/</w:t>
        </w:r>
      </w:hyperlink>
      <w:r w:rsidRPr="00FF103E">
        <w:rPr>
          <w:rFonts w:ascii="Arial" w:hAnsi="Arial" w:cs="Arial"/>
          <w:sz w:val="22"/>
          <w:szCs w:val="22"/>
        </w:rPr>
        <w:t xml:space="preserve">  </w:t>
      </w:r>
    </w:p>
    <w:p w14:paraId="3DB3F902" w14:textId="41355058"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Gurel, E., &amp; Tat, M. (2017)</w:t>
      </w:r>
      <w:r>
        <w:rPr>
          <w:rFonts w:ascii="Arial" w:hAnsi="Arial" w:cs="Arial"/>
          <w:sz w:val="22"/>
          <w:szCs w:val="22"/>
        </w:rPr>
        <w:t xml:space="preserve"> ‘</w:t>
      </w:r>
      <w:r w:rsidRPr="00FF103E">
        <w:rPr>
          <w:rFonts w:ascii="Arial" w:hAnsi="Arial" w:cs="Arial"/>
          <w:sz w:val="22"/>
          <w:szCs w:val="22"/>
        </w:rPr>
        <w:t>SWOT Analysis: A Theoretical Review</w:t>
      </w:r>
      <w:r>
        <w:rPr>
          <w:rFonts w:ascii="Arial" w:hAnsi="Arial" w:cs="Arial"/>
          <w:sz w:val="22"/>
          <w:szCs w:val="22"/>
        </w:rPr>
        <w:t>’,</w:t>
      </w:r>
      <w:r w:rsidRPr="00FF103E">
        <w:rPr>
          <w:rFonts w:ascii="Arial" w:hAnsi="Arial" w:cs="Arial"/>
          <w:sz w:val="22"/>
          <w:szCs w:val="22"/>
        </w:rPr>
        <w:t xml:space="preserve"> </w:t>
      </w:r>
      <w:r w:rsidRPr="00454867">
        <w:rPr>
          <w:rFonts w:ascii="Arial" w:hAnsi="Arial" w:cs="Arial"/>
          <w:i/>
          <w:iCs/>
          <w:sz w:val="22"/>
          <w:szCs w:val="22"/>
        </w:rPr>
        <w:t>The Journal of International Social Research</w:t>
      </w:r>
      <w:r w:rsidRPr="00FF103E">
        <w:rPr>
          <w:rFonts w:ascii="Arial" w:hAnsi="Arial" w:cs="Arial"/>
          <w:sz w:val="22"/>
          <w:szCs w:val="22"/>
        </w:rPr>
        <w:t xml:space="preserve">, 10(51), </w:t>
      </w:r>
      <w:r>
        <w:rPr>
          <w:rFonts w:ascii="Arial" w:hAnsi="Arial" w:cs="Arial"/>
          <w:sz w:val="22"/>
          <w:szCs w:val="22"/>
        </w:rPr>
        <w:t xml:space="preserve">pp. </w:t>
      </w:r>
      <w:r w:rsidRPr="00FF103E">
        <w:rPr>
          <w:rFonts w:ascii="Arial" w:hAnsi="Arial" w:cs="Arial"/>
          <w:sz w:val="22"/>
          <w:szCs w:val="22"/>
        </w:rPr>
        <w:t>994-1006.</w:t>
      </w:r>
    </w:p>
    <w:p w14:paraId="3C6494AC" w14:textId="02E18D52" w:rsidR="00454867" w:rsidRPr="00FF103E" w:rsidRDefault="00454867" w:rsidP="00B435FF">
      <w:pPr>
        <w:spacing w:line="360" w:lineRule="auto"/>
        <w:rPr>
          <w:rFonts w:ascii="Arial" w:hAnsi="Arial" w:cs="Arial"/>
          <w:sz w:val="22"/>
          <w:szCs w:val="22"/>
        </w:rPr>
      </w:pPr>
      <w:proofErr w:type="spellStart"/>
      <w:r w:rsidRPr="00FF103E">
        <w:rPr>
          <w:rFonts w:ascii="Arial" w:hAnsi="Arial" w:cs="Arial"/>
          <w:sz w:val="22"/>
          <w:szCs w:val="22"/>
        </w:rPr>
        <w:t>Haspeslagh</w:t>
      </w:r>
      <w:proofErr w:type="spellEnd"/>
      <w:r w:rsidRPr="00FF103E">
        <w:rPr>
          <w:rFonts w:ascii="Arial" w:hAnsi="Arial" w:cs="Arial"/>
          <w:sz w:val="22"/>
          <w:szCs w:val="22"/>
        </w:rPr>
        <w:t xml:space="preserve">, P. (1982) </w:t>
      </w:r>
      <w:r>
        <w:rPr>
          <w:rFonts w:ascii="Arial" w:hAnsi="Arial" w:cs="Arial"/>
          <w:sz w:val="22"/>
          <w:szCs w:val="22"/>
        </w:rPr>
        <w:t>‘</w:t>
      </w:r>
      <w:r w:rsidRPr="00FF103E">
        <w:rPr>
          <w:rFonts w:ascii="Arial" w:hAnsi="Arial" w:cs="Arial"/>
          <w:sz w:val="22"/>
          <w:szCs w:val="22"/>
        </w:rPr>
        <w:t>Portfolio Planning: Uses and Limits</w:t>
      </w:r>
      <w:r>
        <w:rPr>
          <w:rFonts w:ascii="Arial" w:hAnsi="Arial" w:cs="Arial"/>
          <w:sz w:val="22"/>
          <w:szCs w:val="22"/>
        </w:rPr>
        <w:t>’,</w:t>
      </w:r>
      <w:r w:rsidRPr="00FF103E">
        <w:rPr>
          <w:rFonts w:ascii="Arial" w:hAnsi="Arial" w:cs="Arial"/>
          <w:sz w:val="22"/>
          <w:szCs w:val="22"/>
        </w:rPr>
        <w:t xml:space="preserve"> </w:t>
      </w:r>
      <w:r w:rsidRPr="00454867">
        <w:rPr>
          <w:rFonts w:ascii="Arial" w:hAnsi="Arial" w:cs="Arial"/>
          <w:i/>
          <w:iCs/>
          <w:sz w:val="22"/>
          <w:szCs w:val="22"/>
        </w:rPr>
        <w:t>Harvard Business Review</w:t>
      </w:r>
      <w:r w:rsidRPr="00FF103E">
        <w:rPr>
          <w:rFonts w:ascii="Arial" w:hAnsi="Arial" w:cs="Arial"/>
          <w:sz w:val="22"/>
          <w:szCs w:val="22"/>
        </w:rPr>
        <w:t xml:space="preserve">, 60(1), </w:t>
      </w:r>
      <w:r>
        <w:rPr>
          <w:rFonts w:ascii="Arial" w:hAnsi="Arial" w:cs="Arial"/>
          <w:sz w:val="22"/>
          <w:szCs w:val="22"/>
        </w:rPr>
        <w:t xml:space="preserve">pp. </w:t>
      </w:r>
      <w:r w:rsidRPr="00FF103E">
        <w:rPr>
          <w:rFonts w:ascii="Arial" w:hAnsi="Arial" w:cs="Arial"/>
          <w:sz w:val="22"/>
          <w:szCs w:val="22"/>
        </w:rPr>
        <w:t>58-73.</w:t>
      </w:r>
    </w:p>
    <w:p w14:paraId="79A8673E" w14:textId="5CB2D803" w:rsidR="00454867" w:rsidRPr="00FF103E" w:rsidRDefault="00454867" w:rsidP="00B435FF">
      <w:pPr>
        <w:spacing w:line="360" w:lineRule="auto"/>
        <w:rPr>
          <w:rFonts w:ascii="Arial" w:hAnsi="Arial" w:cs="Arial"/>
          <w:sz w:val="22"/>
          <w:szCs w:val="22"/>
        </w:rPr>
      </w:pPr>
      <w:r w:rsidRPr="00454867">
        <w:rPr>
          <w:rFonts w:ascii="Arial" w:hAnsi="Arial" w:cs="Arial"/>
          <w:sz w:val="22"/>
          <w:szCs w:val="22"/>
        </w:rPr>
        <w:lastRenderedPageBreak/>
        <w:t xml:space="preserve">Helms, M. M., &amp; Nixon, J. (2010) </w:t>
      </w:r>
      <w:r>
        <w:rPr>
          <w:rFonts w:ascii="Arial" w:hAnsi="Arial" w:cs="Arial"/>
          <w:sz w:val="22"/>
          <w:szCs w:val="22"/>
        </w:rPr>
        <w:t>‘</w:t>
      </w:r>
      <w:r w:rsidRPr="00FF103E">
        <w:rPr>
          <w:rFonts w:ascii="Arial" w:hAnsi="Arial" w:cs="Arial"/>
          <w:sz w:val="22"/>
          <w:szCs w:val="22"/>
        </w:rPr>
        <w:t>Exploring SWOT Analysis – Where Are We Now? A Review of Academic Research from the Last Decade</w:t>
      </w:r>
      <w:r>
        <w:rPr>
          <w:rFonts w:ascii="Arial" w:hAnsi="Arial" w:cs="Arial"/>
          <w:sz w:val="22"/>
          <w:szCs w:val="22"/>
        </w:rPr>
        <w:t xml:space="preserve">’, </w:t>
      </w:r>
      <w:r w:rsidRPr="00454867">
        <w:rPr>
          <w:rFonts w:ascii="Arial" w:hAnsi="Arial" w:cs="Arial"/>
          <w:i/>
          <w:iCs/>
          <w:sz w:val="22"/>
          <w:szCs w:val="22"/>
        </w:rPr>
        <w:t>Journal of Strategy and Management</w:t>
      </w:r>
      <w:r w:rsidRPr="00FF103E">
        <w:rPr>
          <w:rFonts w:ascii="Arial" w:hAnsi="Arial" w:cs="Arial"/>
          <w:sz w:val="22"/>
          <w:szCs w:val="22"/>
        </w:rPr>
        <w:t xml:space="preserve">, 3(3), </w:t>
      </w:r>
      <w:r>
        <w:rPr>
          <w:rFonts w:ascii="Arial" w:hAnsi="Arial" w:cs="Arial"/>
          <w:sz w:val="22"/>
          <w:szCs w:val="22"/>
        </w:rPr>
        <w:t xml:space="preserve">pp. </w:t>
      </w:r>
      <w:r w:rsidRPr="00FF103E">
        <w:rPr>
          <w:rFonts w:ascii="Arial" w:hAnsi="Arial" w:cs="Arial"/>
          <w:sz w:val="22"/>
          <w:szCs w:val="22"/>
        </w:rPr>
        <w:t>215-251.</w:t>
      </w:r>
    </w:p>
    <w:p w14:paraId="4C8DB0C8" w14:textId="23B97C6D" w:rsidR="00454867" w:rsidRPr="00FF103E" w:rsidRDefault="00454867" w:rsidP="00B435FF">
      <w:pPr>
        <w:spacing w:line="360" w:lineRule="auto"/>
        <w:rPr>
          <w:rFonts w:ascii="Arial" w:hAnsi="Arial" w:cs="Arial"/>
          <w:color w:val="232323"/>
          <w:sz w:val="22"/>
          <w:szCs w:val="22"/>
          <w:shd w:val="clear" w:color="auto" w:fill="FFFFFF"/>
        </w:rPr>
      </w:pPr>
      <w:r w:rsidRPr="00FF103E">
        <w:rPr>
          <w:rFonts w:ascii="Arial" w:hAnsi="Arial" w:cs="Arial"/>
          <w:color w:val="232323"/>
          <w:sz w:val="22"/>
          <w:szCs w:val="22"/>
          <w:shd w:val="clear" w:color="auto" w:fill="FFFFFF"/>
        </w:rPr>
        <w:t xml:space="preserve">Henderson, B. (1970) </w:t>
      </w:r>
      <w:r w:rsidRPr="00454867">
        <w:rPr>
          <w:rFonts w:ascii="Arial" w:hAnsi="Arial" w:cs="Arial"/>
          <w:i/>
          <w:iCs/>
          <w:color w:val="232323"/>
          <w:sz w:val="22"/>
          <w:szCs w:val="22"/>
          <w:shd w:val="clear" w:color="auto" w:fill="FFFFFF"/>
        </w:rPr>
        <w:t>The Product Portfolio</w:t>
      </w:r>
      <w:r w:rsidRPr="00FF103E">
        <w:rPr>
          <w:rFonts w:ascii="Arial" w:hAnsi="Arial" w:cs="Arial"/>
          <w:color w:val="232323"/>
          <w:sz w:val="22"/>
          <w:szCs w:val="22"/>
          <w:shd w:val="clear" w:color="auto" w:fill="FFFFFF"/>
        </w:rPr>
        <w:t>. The Boston Consulting Group</w:t>
      </w:r>
      <w:r>
        <w:rPr>
          <w:rFonts w:ascii="Arial" w:hAnsi="Arial" w:cs="Arial"/>
          <w:color w:val="232323"/>
          <w:sz w:val="22"/>
          <w:szCs w:val="22"/>
          <w:shd w:val="clear" w:color="auto" w:fill="FFFFFF"/>
        </w:rPr>
        <w:t>:</w:t>
      </w:r>
      <w:r w:rsidRPr="00FF103E">
        <w:rPr>
          <w:rFonts w:ascii="Arial" w:hAnsi="Arial" w:cs="Arial"/>
          <w:color w:val="232323"/>
          <w:sz w:val="22"/>
          <w:szCs w:val="22"/>
          <w:shd w:val="clear" w:color="auto" w:fill="FFFFFF"/>
        </w:rPr>
        <w:t xml:space="preserve"> Boston.</w:t>
      </w:r>
    </w:p>
    <w:p w14:paraId="72C3BADA" w14:textId="5415DD21"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Jones, O., &amp; Tilley, F. (2003) </w:t>
      </w:r>
      <w:r w:rsidRPr="00454867">
        <w:rPr>
          <w:rFonts w:ascii="Arial" w:hAnsi="Arial" w:cs="Arial"/>
          <w:i/>
          <w:iCs/>
          <w:sz w:val="22"/>
          <w:szCs w:val="22"/>
        </w:rPr>
        <w:t>Competitive Advantage in SMEs: Organising for Innovation and Change</w:t>
      </w:r>
      <w:r w:rsidRPr="00FF103E">
        <w:rPr>
          <w:rFonts w:ascii="Arial" w:hAnsi="Arial" w:cs="Arial"/>
          <w:sz w:val="22"/>
          <w:szCs w:val="22"/>
        </w:rPr>
        <w:t>. Wiley.</w:t>
      </w:r>
    </w:p>
    <w:p w14:paraId="59E42100" w14:textId="1DE735BF"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Karami, A. (2007) </w:t>
      </w:r>
      <w:r w:rsidRPr="00DA7398">
        <w:rPr>
          <w:rFonts w:ascii="Arial" w:hAnsi="Arial" w:cs="Arial"/>
          <w:i/>
          <w:iCs/>
          <w:sz w:val="22"/>
          <w:szCs w:val="22"/>
        </w:rPr>
        <w:t>Strategy Formulation in Entrepreneurial Firms.</w:t>
      </w:r>
      <w:r w:rsidRPr="00FF103E">
        <w:rPr>
          <w:rFonts w:ascii="Arial" w:hAnsi="Arial" w:cs="Arial"/>
          <w:sz w:val="22"/>
          <w:szCs w:val="22"/>
        </w:rPr>
        <w:t xml:space="preserve"> Routledge.</w:t>
      </w:r>
    </w:p>
    <w:p w14:paraId="1FD2D4BE" w14:textId="2328DADB" w:rsidR="00454867" w:rsidRPr="00454867" w:rsidRDefault="00454867" w:rsidP="00B435FF">
      <w:pPr>
        <w:spacing w:line="360" w:lineRule="auto"/>
        <w:rPr>
          <w:rFonts w:ascii="Arial" w:hAnsi="Arial" w:cs="Arial"/>
          <w:sz w:val="22"/>
          <w:szCs w:val="22"/>
        </w:rPr>
      </w:pPr>
      <w:r w:rsidRPr="00FF103E">
        <w:rPr>
          <w:rFonts w:ascii="Arial" w:hAnsi="Arial" w:cs="Arial"/>
          <w:sz w:val="22"/>
          <w:szCs w:val="22"/>
        </w:rPr>
        <w:t xml:space="preserve">KPMG. (2021) </w:t>
      </w:r>
      <w:r w:rsidRPr="00454867">
        <w:rPr>
          <w:rFonts w:ascii="Arial" w:hAnsi="Arial" w:cs="Arial"/>
          <w:i/>
          <w:iCs/>
          <w:sz w:val="22"/>
          <w:szCs w:val="22"/>
        </w:rPr>
        <w:t>Cosmetic Industry Regulations 2021</w:t>
      </w:r>
      <w:r w:rsidRPr="00FF103E">
        <w:rPr>
          <w:rFonts w:ascii="Arial" w:hAnsi="Arial" w:cs="Arial"/>
          <w:sz w:val="22"/>
          <w:szCs w:val="22"/>
        </w:rPr>
        <w:t xml:space="preserve">. </w:t>
      </w:r>
      <w:r w:rsidRPr="00454867">
        <w:rPr>
          <w:rFonts w:ascii="Arial" w:hAnsi="Arial" w:cs="Arial"/>
          <w:sz w:val="22"/>
          <w:szCs w:val="22"/>
        </w:rPr>
        <w:t>Available at</w:t>
      </w:r>
      <w:r>
        <w:rPr>
          <w:rFonts w:ascii="Arial" w:hAnsi="Arial" w:cs="Arial"/>
          <w:sz w:val="22"/>
          <w:szCs w:val="22"/>
        </w:rPr>
        <w:t xml:space="preserve">: </w:t>
      </w:r>
      <w:r w:rsidRPr="00454867">
        <w:rPr>
          <w:rFonts w:ascii="Arial" w:hAnsi="Arial" w:cs="Arial"/>
          <w:sz w:val="22"/>
          <w:szCs w:val="22"/>
        </w:rPr>
        <w:t xml:space="preserve"> </w:t>
      </w:r>
      <w:hyperlink r:id="rId14" w:history="1">
        <w:r w:rsidRPr="00F71636">
          <w:rPr>
            <w:rStyle w:val="Hyperlink"/>
            <w:rFonts w:ascii="Arial" w:hAnsi="Arial" w:cs="Arial"/>
            <w:sz w:val="22"/>
            <w:szCs w:val="22"/>
          </w:rPr>
          <w:t>https://home.kpmg/xx/en/home/industries/consumer-industrial-markets.html</w:t>
        </w:r>
      </w:hyperlink>
      <w:r>
        <w:rPr>
          <w:rFonts w:ascii="Arial" w:hAnsi="Arial" w:cs="Arial"/>
          <w:sz w:val="22"/>
          <w:szCs w:val="22"/>
        </w:rPr>
        <w:t xml:space="preserve"> </w:t>
      </w:r>
      <w:r w:rsidRPr="00454867">
        <w:rPr>
          <w:rFonts w:ascii="Arial" w:hAnsi="Arial" w:cs="Arial"/>
          <w:sz w:val="22"/>
          <w:szCs w:val="22"/>
        </w:rPr>
        <w:t xml:space="preserve">(Accessed: </w:t>
      </w:r>
      <w:r>
        <w:rPr>
          <w:rFonts w:ascii="Arial" w:hAnsi="Arial" w:cs="Arial"/>
          <w:sz w:val="22"/>
          <w:szCs w:val="22"/>
        </w:rPr>
        <w:t>01July</w:t>
      </w:r>
      <w:r w:rsidRPr="00454867">
        <w:rPr>
          <w:rFonts w:ascii="Arial" w:hAnsi="Arial" w:cs="Arial"/>
          <w:sz w:val="22"/>
          <w:szCs w:val="22"/>
        </w:rPr>
        <w:t xml:space="preserve"> 2024).</w:t>
      </w:r>
    </w:p>
    <w:p w14:paraId="76384B65" w14:textId="66BA1477"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Laxton, C., &amp; Curry, M. (2021) </w:t>
      </w:r>
      <w:r w:rsidRPr="00454867">
        <w:rPr>
          <w:rFonts w:ascii="Arial" w:hAnsi="Arial" w:cs="Arial"/>
          <w:i/>
          <w:iCs/>
          <w:sz w:val="22"/>
          <w:szCs w:val="22"/>
        </w:rPr>
        <w:t>The Inkey List’s Vision for Skincare Accessibility.</w:t>
      </w:r>
      <w:r w:rsidRPr="00FF103E">
        <w:rPr>
          <w:rFonts w:ascii="Arial" w:hAnsi="Arial" w:cs="Arial"/>
          <w:sz w:val="22"/>
          <w:szCs w:val="22"/>
        </w:rPr>
        <w:t xml:space="preserve"> </w:t>
      </w:r>
      <w:r>
        <w:rPr>
          <w:rFonts w:ascii="Arial" w:hAnsi="Arial" w:cs="Arial"/>
          <w:sz w:val="22"/>
          <w:szCs w:val="22"/>
        </w:rPr>
        <w:t>Available at:</w:t>
      </w:r>
      <w:r w:rsidRPr="00FF103E">
        <w:rPr>
          <w:rFonts w:ascii="Arial" w:hAnsi="Arial" w:cs="Arial"/>
          <w:sz w:val="22"/>
          <w:szCs w:val="22"/>
        </w:rPr>
        <w:t xml:space="preserve"> </w:t>
      </w:r>
      <w:hyperlink r:id="rId15" w:history="1">
        <w:r w:rsidRPr="00FF103E">
          <w:rPr>
            <w:rStyle w:val="Hyperlink"/>
            <w:rFonts w:ascii="Arial" w:hAnsi="Arial" w:cs="Arial"/>
            <w:sz w:val="22"/>
            <w:szCs w:val="22"/>
          </w:rPr>
          <w:t>https://beautyindustryjournal.com/</w:t>
        </w:r>
      </w:hyperlink>
      <w:r w:rsidRPr="00FF103E">
        <w:rPr>
          <w:rFonts w:ascii="Arial" w:hAnsi="Arial" w:cs="Arial"/>
          <w:sz w:val="22"/>
          <w:szCs w:val="22"/>
        </w:rPr>
        <w:t xml:space="preserve"> </w:t>
      </w:r>
      <w:r w:rsidRPr="00454867">
        <w:rPr>
          <w:rFonts w:ascii="Arial" w:hAnsi="Arial" w:cs="Arial"/>
          <w:sz w:val="22"/>
          <w:szCs w:val="22"/>
        </w:rPr>
        <w:t>(Accessed: 2</w:t>
      </w:r>
      <w:r w:rsidR="00DA7398">
        <w:rPr>
          <w:rFonts w:ascii="Arial" w:hAnsi="Arial" w:cs="Arial"/>
          <w:sz w:val="22"/>
          <w:szCs w:val="22"/>
        </w:rPr>
        <w:t>8</w:t>
      </w:r>
      <w:r w:rsidRPr="00454867">
        <w:rPr>
          <w:rFonts w:ascii="Arial" w:hAnsi="Arial" w:cs="Arial"/>
          <w:sz w:val="22"/>
          <w:szCs w:val="22"/>
        </w:rPr>
        <w:t xml:space="preserve"> J</w:t>
      </w:r>
      <w:r>
        <w:rPr>
          <w:rFonts w:ascii="Arial" w:hAnsi="Arial" w:cs="Arial"/>
          <w:sz w:val="22"/>
          <w:szCs w:val="22"/>
        </w:rPr>
        <w:t>une</w:t>
      </w:r>
      <w:r w:rsidRPr="00454867">
        <w:rPr>
          <w:rFonts w:ascii="Arial" w:hAnsi="Arial" w:cs="Arial"/>
          <w:sz w:val="22"/>
          <w:szCs w:val="22"/>
        </w:rPr>
        <w:t xml:space="preserve"> 202</w:t>
      </w:r>
      <w:r>
        <w:rPr>
          <w:rFonts w:ascii="Arial" w:hAnsi="Arial" w:cs="Arial"/>
          <w:sz w:val="22"/>
          <w:szCs w:val="22"/>
        </w:rPr>
        <w:t>4</w:t>
      </w:r>
      <w:r w:rsidRPr="00454867">
        <w:rPr>
          <w:rFonts w:ascii="Arial" w:hAnsi="Arial" w:cs="Arial"/>
          <w:sz w:val="22"/>
          <w:szCs w:val="22"/>
        </w:rPr>
        <w:t>).</w:t>
      </w:r>
    </w:p>
    <w:p w14:paraId="68B161BE" w14:textId="5588ABF4"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McKinsey &amp; Company. (2020) </w:t>
      </w:r>
      <w:r w:rsidRPr="00DA7398">
        <w:rPr>
          <w:rFonts w:ascii="Arial" w:hAnsi="Arial" w:cs="Arial"/>
          <w:i/>
          <w:iCs/>
          <w:sz w:val="22"/>
          <w:szCs w:val="22"/>
        </w:rPr>
        <w:t>The State of Fashion 2020</w:t>
      </w:r>
      <w:r w:rsidRPr="00FF103E">
        <w:rPr>
          <w:rFonts w:ascii="Arial" w:hAnsi="Arial" w:cs="Arial"/>
          <w:sz w:val="22"/>
          <w:szCs w:val="22"/>
        </w:rPr>
        <w:t xml:space="preserve">. </w:t>
      </w:r>
      <w:r w:rsidR="00DA7398">
        <w:rPr>
          <w:rFonts w:ascii="Arial" w:hAnsi="Arial" w:cs="Arial"/>
          <w:sz w:val="22"/>
          <w:szCs w:val="22"/>
        </w:rPr>
        <w:t>Available at:</w:t>
      </w:r>
      <w:r w:rsidRPr="00FF103E">
        <w:rPr>
          <w:rFonts w:ascii="Arial" w:hAnsi="Arial" w:cs="Arial"/>
          <w:sz w:val="22"/>
          <w:szCs w:val="22"/>
        </w:rPr>
        <w:t xml:space="preserve"> </w:t>
      </w:r>
      <w:hyperlink r:id="rId16" w:history="1">
        <w:r w:rsidRPr="00FF103E">
          <w:rPr>
            <w:rStyle w:val="Hyperlink"/>
            <w:rFonts w:ascii="Arial" w:hAnsi="Arial" w:cs="Arial"/>
            <w:sz w:val="22"/>
            <w:szCs w:val="22"/>
          </w:rPr>
          <w:t>https://www.mckinsey.com/industries/retail/our-insights/the-state-of-fashion-2020-navigating-uncertainty</w:t>
        </w:r>
      </w:hyperlink>
      <w:r w:rsidRPr="00FF103E">
        <w:rPr>
          <w:rFonts w:ascii="Arial" w:hAnsi="Arial" w:cs="Arial"/>
          <w:sz w:val="22"/>
          <w:szCs w:val="22"/>
        </w:rPr>
        <w:t xml:space="preserve"> </w:t>
      </w:r>
      <w:r w:rsidRPr="00454867">
        <w:rPr>
          <w:rFonts w:ascii="Arial" w:hAnsi="Arial" w:cs="Arial"/>
          <w:sz w:val="22"/>
          <w:szCs w:val="22"/>
        </w:rPr>
        <w:t>(Accessed: 2</w:t>
      </w:r>
      <w:r w:rsidR="00DA7398">
        <w:rPr>
          <w:rFonts w:ascii="Arial" w:hAnsi="Arial" w:cs="Arial"/>
          <w:sz w:val="22"/>
          <w:szCs w:val="22"/>
        </w:rPr>
        <w:t>8</w:t>
      </w:r>
      <w:r w:rsidRPr="00454867">
        <w:rPr>
          <w:rFonts w:ascii="Arial" w:hAnsi="Arial" w:cs="Arial"/>
          <w:sz w:val="22"/>
          <w:szCs w:val="22"/>
        </w:rPr>
        <w:t xml:space="preserve"> J</w:t>
      </w:r>
      <w:r>
        <w:rPr>
          <w:rFonts w:ascii="Arial" w:hAnsi="Arial" w:cs="Arial"/>
          <w:sz w:val="22"/>
          <w:szCs w:val="22"/>
        </w:rPr>
        <w:t>une</w:t>
      </w:r>
      <w:r w:rsidRPr="00454867">
        <w:rPr>
          <w:rFonts w:ascii="Arial" w:hAnsi="Arial" w:cs="Arial"/>
          <w:sz w:val="22"/>
          <w:szCs w:val="22"/>
        </w:rPr>
        <w:t xml:space="preserve"> 202</w:t>
      </w:r>
      <w:r>
        <w:rPr>
          <w:rFonts w:ascii="Arial" w:hAnsi="Arial" w:cs="Arial"/>
          <w:sz w:val="22"/>
          <w:szCs w:val="22"/>
        </w:rPr>
        <w:t>4</w:t>
      </w:r>
      <w:r w:rsidRPr="00454867">
        <w:rPr>
          <w:rFonts w:ascii="Arial" w:hAnsi="Arial" w:cs="Arial"/>
          <w:sz w:val="22"/>
          <w:szCs w:val="22"/>
        </w:rPr>
        <w:t>).</w:t>
      </w:r>
    </w:p>
    <w:p w14:paraId="77FFA032" w14:textId="40CF3D1C"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Mintel. (2021) </w:t>
      </w:r>
      <w:r w:rsidRPr="00DA7398">
        <w:rPr>
          <w:rFonts w:ascii="Arial" w:hAnsi="Arial" w:cs="Arial"/>
          <w:i/>
          <w:iCs/>
          <w:sz w:val="22"/>
          <w:szCs w:val="22"/>
        </w:rPr>
        <w:t>Skincare Trends: The Rise of Transparency and Affordability.</w:t>
      </w:r>
      <w:r w:rsidRPr="00FF103E">
        <w:rPr>
          <w:rFonts w:ascii="Arial" w:hAnsi="Arial" w:cs="Arial"/>
          <w:sz w:val="22"/>
          <w:szCs w:val="22"/>
        </w:rPr>
        <w:t xml:space="preserve"> </w:t>
      </w:r>
      <w:r w:rsidR="00DA7398">
        <w:rPr>
          <w:rFonts w:ascii="Arial" w:hAnsi="Arial" w:cs="Arial"/>
          <w:sz w:val="22"/>
          <w:szCs w:val="22"/>
        </w:rPr>
        <w:t xml:space="preserve">Available at: </w:t>
      </w:r>
      <w:r w:rsidRPr="00FF103E">
        <w:rPr>
          <w:rFonts w:ascii="Arial" w:hAnsi="Arial" w:cs="Arial"/>
          <w:sz w:val="22"/>
          <w:szCs w:val="22"/>
        </w:rPr>
        <w:t xml:space="preserve"> </w:t>
      </w:r>
      <w:hyperlink r:id="rId17" w:history="1">
        <w:r w:rsidRPr="00FF103E">
          <w:rPr>
            <w:rStyle w:val="Hyperlink"/>
            <w:rFonts w:ascii="Arial" w:hAnsi="Arial" w:cs="Arial"/>
            <w:sz w:val="22"/>
            <w:szCs w:val="22"/>
          </w:rPr>
          <w:t>https://www.mintel.com/</w:t>
        </w:r>
      </w:hyperlink>
      <w:r w:rsidRPr="00FF103E">
        <w:rPr>
          <w:rFonts w:ascii="Arial" w:hAnsi="Arial" w:cs="Arial"/>
          <w:sz w:val="22"/>
          <w:szCs w:val="22"/>
        </w:rPr>
        <w:t xml:space="preserve"> </w:t>
      </w:r>
      <w:r w:rsidR="00DA7398">
        <w:rPr>
          <w:rFonts w:ascii="Arial" w:hAnsi="Arial" w:cs="Arial"/>
          <w:sz w:val="22"/>
          <w:szCs w:val="22"/>
        </w:rPr>
        <w:t xml:space="preserve"> </w:t>
      </w:r>
      <w:r w:rsidR="00DA7398" w:rsidRPr="00454867">
        <w:rPr>
          <w:rFonts w:ascii="Arial" w:hAnsi="Arial" w:cs="Arial"/>
          <w:sz w:val="22"/>
          <w:szCs w:val="22"/>
        </w:rPr>
        <w:t>(Accessed: 2</w:t>
      </w:r>
      <w:r w:rsidR="00DA7398">
        <w:rPr>
          <w:rFonts w:ascii="Arial" w:hAnsi="Arial" w:cs="Arial"/>
          <w:sz w:val="22"/>
          <w:szCs w:val="22"/>
        </w:rPr>
        <w:t>9</w:t>
      </w:r>
      <w:r w:rsidR="00DA7398" w:rsidRPr="00454867">
        <w:rPr>
          <w:rFonts w:ascii="Arial" w:hAnsi="Arial" w:cs="Arial"/>
          <w:sz w:val="22"/>
          <w:szCs w:val="22"/>
        </w:rPr>
        <w:t xml:space="preserve"> J</w:t>
      </w:r>
      <w:r w:rsidR="00DA7398">
        <w:rPr>
          <w:rFonts w:ascii="Arial" w:hAnsi="Arial" w:cs="Arial"/>
          <w:sz w:val="22"/>
          <w:szCs w:val="22"/>
        </w:rPr>
        <w:t>une</w:t>
      </w:r>
      <w:r w:rsidR="00DA7398" w:rsidRPr="00454867">
        <w:rPr>
          <w:rFonts w:ascii="Arial" w:hAnsi="Arial" w:cs="Arial"/>
          <w:sz w:val="22"/>
          <w:szCs w:val="22"/>
        </w:rPr>
        <w:t xml:space="preserve"> 202</w:t>
      </w:r>
      <w:r w:rsidR="00DA7398">
        <w:rPr>
          <w:rFonts w:ascii="Arial" w:hAnsi="Arial" w:cs="Arial"/>
          <w:sz w:val="22"/>
          <w:szCs w:val="22"/>
        </w:rPr>
        <w:t>4</w:t>
      </w:r>
      <w:r w:rsidR="00DA7398" w:rsidRPr="00454867">
        <w:rPr>
          <w:rFonts w:ascii="Arial" w:hAnsi="Arial" w:cs="Arial"/>
          <w:sz w:val="22"/>
          <w:szCs w:val="22"/>
        </w:rPr>
        <w:t>).</w:t>
      </w:r>
    </w:p>
    <w:p w14:paraId="24B186C4" w14:textId="4F61C029" w:rsidR="00454867" w:rsidRPr="00FF103E" w:rsidRDefault="00454867" w:rsidP="00B435FF">
      <w:pPr>
        <w:spacing w:line="360" w:lineRule="auto"/>
        <w:rPr>
          <w:rFonts w:ascii="Arial" w:hAnsi="Arial" w:cs="Arial"/>
          <w:sz w:val="22"/>
          <w:szCs w:val="22"/>
        </w:rPr>
      </w:pPr>
      <w:r w:rsidRPr="00FF103E">
        <w:rPr>
          <w:rFonts w:ascii="Arial" w:hAnsi="Arial" w:cs="Arial"/>
          <w:sz w:val="22"/>
          <w:szCs w:val="22"/>
          <w:lang w:val="it-IT"/>
        </w:rPr>
        <w:t xml:space="preserve">Morea, D., Fortunati, S. and Martiniello, L., 2021. </w:t>
      </w:r>
      <w:r w:rsidRPr="00FF103E">
        <w:rPr>
          <w:rFonts w:ascii="Arial" w:hAnsi="Arial" w:cs="Arial"/>
          <w:sz w:val="22"/>
          <w:szCs w:val="22"/>
        </w:rPr>
        <w:t xml:space="preserve">Circular economy and corporate social responsibility: Towards an integrated strategic approach in the multinational cosmetics industry. Journal of Cleaner Production, 315, </w:t>
      </w:r>
      <w:r w:rsidR="00DA7398">
        <w:rPr>
          <w:rFonts w:ascii="Arial" w:hAnsi="Arial" w:cs="Arial"/>
          <w:sz w:val="22"/>
          <w:szCs w:val="22"/>
        </w:rPr>
        <w:t>p</w:t>
      </w:r>
      <w:r w:rsidRPr="00FF103E">
        <w:rPr>
          <w:rFonts w:ascii="Arial" w:hAnsi="Arial" w:cs="Arial"/>
          <w:sz w:val="22"/>
          <w:szCs w:val="22"/>
        </w:rPr>
        <w:t xml:space="preserve">p.128232. </w:t>
      </w:r>
    </w:p>
    <w:p w14:paraId="498BD68F" w14:textId="4AE2C2AD"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OECD. (2019) </w:t>
      </w:r>
      <w:r w:rsidRPr="00DA7398">
        <w:rPr>
          <w:rFonts w:ascii="Arial" w:hAnsi="Arial" w:cs="Arial"/>
          <w:i/>
          <w:iCs/>
          <w:sz w:val="22"/>
          <w:szCs w:val="22"/>
        </w:rPr>
        <w:t>Enhancing the contributions of SMEs in a global and digitalised economy.</w:t>
      </w:r>
      <w:r w:rsidRPr="00FF103E">
        <w:rPr>
          <w:rFonts w:ascii="Arial" w:hAnsi="Arial" w:cs="Arial"/>
          <w:sz w:val="22"/>
          <w:szCs w:val="22"/>
        </w:rPr>
        <w:t xml:space="preserve"> </w:t>
      </w:r>
      <w:proofErr w:type="spellStart"/>
      <w:r w:rsidR="00DA7398">
        <w:rPr>
          <w:rFonts w:ascii="Arial" w:hAnsi="Arial" w:cs="Arial"/>
          <w:sz w:val="22"/>
          <w:szCs w:val="22"/>
        </w:rPr>
        <w:t>Availbe</w:t>
      </w:r>
      <w:proofErr w:type="spellEnd"/>
      <w:r w:rsidR="00DA7398">
        <w:rPr>
          <w:rFonts w:ascii="Arial" w:hAnsi="Arial" w:cs="Arial"/>
          <w:sz w:val="22"/>
          <w:szCs w:val="22"/>
        </w:rPr>
        <w:t xml:space="preserve"> at:</w:t>
      </w:r>
      <w:r w:rsidRPr="00FF103E">
        <w:rPr>
          <w:rFonts w:ascii="Arial" w:hAnsi="Arial" w:cs="Arial"/>
          <w:sz w:val="22"/>
          <w:szCs w:val="22"/>
        </w:rPr>
        <w:t xml:space="preserve"> </w:t>
      </w:r>
      <w:hyperlink r:id="rId18" w:history="1">
        <w:r w:rsidRPr="00FF103E">
          <w:rPr>
            <w:rStyle w:val="Hyperlink"/>
            <w:rFonts w:ascii="Arial" w:hAnsi="Arial" w:cs="Arial"/>
            <w:sz w:val="22"/>
            <w:szCs w:val="22"/>
          </w:rPr>
          <w:t>https://www.oecd.org</w:t>
        </w:r>
      </w:hyperlink>
      <w:r w:rsidRPr="00FF103E">
        <w:rPr>
          <w:rFonts w:ascii="Arial" w:hAnsi="Arial" w:cs="Arial"/>
          <w:sz w:val="22"/>
          <w:szCs w:val="22"/>
        </w:rPr>
        <w:t xml:space="preserve"> </w:t>
      </w:r>
      <w:r w:rsidR="00DA7398" w:rsidRPr="00454867">
        <w:rPr>
          <w:rFonts w:ascii="Arial" w:hAnsi="Arial" w:cs="Arial"/>
          <w:sz w:val="22"/>
          <w:szCs w:val="22"/>
        </w:rPr>
        <w:t>(Accessed: 2</w:t>
      </w:r>
      <w:r w:rsidR="00DA7398">
        <w:rPr>
          <w:rFonts w:ascii="Arial" w:hAnsi="Arial" w:cs="Arial"/>
          <w:sz w:val="22"/>
          <w:szCs w:val="22"/>
        </w:rPr>
        <w:t>5</w:t>
      </w:r>
      <w:r w:rsidR="00DA7398" w:rsidRPr="00454867">
        <w:rPr>
          <w:rFonts w:ascii="Arial" w:hAnsi="Arial" w:cs="Arial"/>
          <w:sz w:val="22"/>
          <w:szCs w:val="22"/>
        </w:rPr>
        <w:t xml:space="preserve"> J</w:t>
      </w:r>
      <w:r w:rsidR="00DA7398">
        <w:rPr>
          <w:rFonts w:ascii="Arial" w:hAnsi="Arial" w:cs="Arial"/>
          <w:sz w:val="22"/>
          <w:szCs w:val="22"/>
        </w:rPr>
        <w:t>une</w:t>
      </w:r>
      <w:r w:rsidR="00DA7398" w:rsidRPr="00454867">
        <w:rPr>
          <w:rFonts w:ascii="Arial" w:hAnsi="Arial" w:cs="Arial"/>
          <w:sz w:val="22"/>
          <w:szCs w:val="22"/>
        </w:rPr>
        <w:t xml:space="preserve"> 202</w:t>
      </w:r>
      <w:r w:rsidR="00DA7398">
        <w:rPr>
          <w:rFonts w:ascii="Arial" w:hAnsi="Arial" w:cs="Arial"/>
          <w:sz w:val="22"/>
          <w:szCs w:val="22"/>
        </w:rPr>
        <w:t>4</w:t>
      </w:r>
      <w:r w:rsidR="00DA7398" w:rsidRPr="00454867">
        <w:rPr>
          <w:rFonts w:ascii="Arial" w:hAnsi="Arial" w:cs="Arial"/>
          <w:sz w:val="22"/>
          <w:szCs w:val="22"/>
        </w:rPr>
        <w:t>).</w:t>
      </w:r>
    </w:p>
    <w:p w14:paraId="14B2FF1F" w14:textId="785355F7"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Perera, R. (2017) </w:t>
      </w:r>
      <w:r w:rsidRPr="00DA7398">
        <w:rPr>
          <w:rFonts w:ascii="Arial" w:hAnsi="Arial" w:cs="Arial"/>
          <w:i/>
          <w:iCs/>
          <w:sz w:val="22"/>
          <w:szCs w:val="22"/>
        </w:rPr>
        <w:t>The PESTLE Analysis</w:t>
      </w:r>
      <w:r w:rsidRPr="00FF103E">
        <w:rPr>
          <w:rFonts w:ascii="Arial" w:hAnsi="Arial" w:cs="Arial"/>
          <w:sz w:val="22"/>
          <w:szCs w:val="22"/>
        </w:rPr>
        <w:t>. Norderstedt: GRIN Verlag.</w:t>
      </w:r>
    </w:p>
    <w:p w14:paraId="31F21391" w14:textId="3015CCE2"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Porter, M. E. (1980) </w:t>
      </w:r>
      <w:r w:rsidRPr="00DA7398">
        <w:rPr>
          <w:rFonts w:ascii="Arial" w:hAnsi="Arial" w:cs="Arial"/>
          <w:i/>
          <w:iCs/>
          <w:sz w:val="22"/>
          <w:szCs w:val="22"/>
        </w:rPr>
        <w:t xml:space="preserve">Competitive Strategy: Techniques for </w:t>
      </w:r>
      <w:proofErr w:type="spellStart"/>
      <w:r w:rsidRPr="00DA7398">
        <w:rPr>
          <w:rFonts w:ascii="Arial" w:hAnsi="Arial" w:cs="Arial"/>
          <w:i/>
          <w:iCs/>
          <w:sz w:val="22"/>
          <w:szCs w:val="22"/>
        </w:rPr>
        <w:t>Analyzing</w:t>
      </w:r>
      <w:proofErr w:type="spellEnd"/>
      <w:r w:rsidRPr="00DA7398">
        <w:rPr>
          <w:rFonts w:ascii="Arial" w:hAnsi="Arial" w:cs="Arial"/>
          <w:i/>
          <w:iCs/>
          <w:sz w:val="22"/>
          <w:szCs w:val="22"/>
        </w:rPr>
        <w:t xml:space="preserve"> Industries and Competitors.</w:t>
      </w:r>
      <w:r w:rsidRPr="00FF103E">
        <w:rPr>
          <w:rFonts w:ascii="Arial" w:hAnsi="Arial" w:cs="Arial"/>
          <w:sz w:val="22"/>
          <w:szCs w:val="22"/>
        </w:rPr>
        <w:t xml:space="preserve"> Free Press.</w:t>
      </w:r>
    </w:p>
    <w:p w14:paraId="2EE56A35" w14:textId="120F9C98" w:rsidR="00454867" w:rsidRPr="00DA7398" w:rsidRDefault="00454867" w:rsidP="00B435FF">
      <w:pPr>
        <w:spacing w:line="360" w:lineRule="auto"/>
        <w:rPr>
          <w:rFonts w:ascii="Arial" w:hAnsi="Arial" w:cs="Arial"/>
          <w:sz w:val="22"/>
          <w:szCs w:val="22"/>
        </w:rPr>
      </w:pPr>
      <w:r w:rsidRPr="00FF103E">
        <w:rPr>
          <w:rFonts w:ascii="Arial" w:hAnsi="Arial" w:cs="Arial"/>
          <w:sz w:val="22"/>
          <w:szCs w:val="22"/>
        </w:rPr>
        <w:t xml:space="preserve">Smith, R. (2019) </w:t>
      </w:r>
      <w:r w:rsidRPr="00DA7398">
        <w:rPr>
          <w:rFonts w:ascii="Arial" w:hAnsi="Arial" w:cs="Arial"/>
          <w:i/>
          <w:iCs/>
          <w:sz w:val="22"/>
          <w:szCs w:val="22"/>
        </w:rPr>
        <w:t>Changes in Cosmetic Ingredient Regulations.</w:t>
      </w:r>
      <w:r w:rsidRPr="00FF103E">
        <w:rPr>
          <w:rFonts w:ascii="Arial" w:hAnsi="Arial" w:cs="Arial"/>
          <w:sz w:val="22"/>
          <w:szCs w:val="22"/>
        </w:rPr>
        <w:t xml:space="preserve"> </w:t>
      </w:r>
      <w:r w:rsidR="00DA7398" w:rsidRPr="00DA7398">
        <w:rPr>
          <w:rFonts w:ascii="Arial" w:hAnsi="Arial" w:cs="Arial"/>
          <w:sz w:val="22"/>
          <w:szCs w:val="22"/>
        </w:rPr>
        <w:t>Available at</w:t>
      </w:r>
      <w:r w:rsidR="00DA7398">
        <w:rPr>
          <w:rFonts w:ascii="Arial" w:hAnsi="Arial" w:cs="Arial"/>
          <w:sz w:val="22"/>
          <w:szCs w:val="22"/>
        </w:rPr>
        <w:t>:</w:t>
      </w:r>
      <w:r w:rsidRPr="00DA7398">
        <w:rPr>
          <w:rFonts w:ascii="Arial" w:hAnsi="Arial" w:cs="Arial"/>
          <w:sz w:val="22"/>
          <w:szCs w:val="22"/>
        </w:rPr>
        <w:t xml:space="preserve"> </w:t>
      </w:r>
      <w:hyperlink r:id="rId19" w:history="1">
        <w:r w:rsidRPr="00DA7398">
          <w:rPr>
            <w:rStyle w:val="Hyperlink"/>
            <w:rFonts w:ascii="Arial" w:hAnsi="Arial" w:cs="Arial"/>
            <w:sz w:val="22"/>
            <w:szCs w:val="22"/>
          </w:rPr>
          <w:t>https://www.raps.org/news-and-articles/news-articles/2019/8/evolving-cosmetic-ingredient-regulations-in-the-eu</w:t>
        </w:r>
      </w:hyperlink>
      <w:r w:rsidRPr="00DA7398">
        <w:rPr>
          <w:rFonts w:ascii="Arial" w:hAnsi="Arial" w:cs="Arial"/>
          <w:sz w:val="22"/>
          <w:szCs w:val="22"/>
        </w:rPr>
        <w:t xml:space="preserve"> </w:t>
      </w:r>
      <w:r w:rsidR="00DA7398" w:rsidRPr="00454867">
        <w:rPr>
          <w:rFonts w:ascii="Arial" w:hAnsi="Arial" w:cs="Arial"/>
          <w:sz w:val="22"/>
          <w:szCs w:val="22"/>
        </w:rPr>
        <w:t xml:space="preserve">(Accessed: </w:t>
      </w:r>
      <w:r w:rsidR="00DA7398">
        <w:rPr>
          <w:rFonts w:ascii="Arial" w:hAnsi="Arial" w:cs="Arial"/>
          <w:sz w:val="22"/>
          <w:szCs w:val="22"/>
        </w:rPr>
        <w:t xml:space="preserve">03 </w:t>
      </w:r>
      <w:r w:rsidR="00DA7398" w:rsidRPr="00454867">
        <w:rPr>
          <w:rFonts w:ascii="Arial" w:hAnsi="Arial" w:cs="Arial"/>
          <w:sz w:val="22"/>
          <w:szCs w:val="22"/>
        </w:rPr>
        <w:t>J</w:t>
      </w:r>
      <w:r w:rsidR="00DA7398">
        <w:rPr>
          <w:rFonts w:ascii="Arial" w:hAnsi="Arial" w:cs="Arial"/>
          <w:sz w:val="22"/>
          <w:szCs w:val="22"/>
        </w:rPr>
        <w:t>u</w:t>
      </w:r>
      <w:r w:rsidR="00DA7398">
        <w:rPr>
          <w:rFonts w:ascii="Arial" w:hAnsi="Arial" w:cs="Arial"/>
          <w:sz w:val="22"/>
          <w:szCs w:val="22"/>
        </w:rPr>
        <w:t>ly</w:t>
      </w:r>
      <w:r w:rsidR="00DA7398" w:rsidRPr="00454867">
        <w:rPr>
          <w:rFonts w:ascii="Arial" w:hAnsi="Arial" w:cs="Arial"/>
          <w:sz w:val="22"/>
          <w:szCs w:val="22"/>
        </w:rPr>
        <w:t xml:space="preserve"> 202</w:t>
      </w:r>
      <w:r w:rsidR="00DA7398">
        <w:rPr>
          <w:rFonts w:ascii="Arial" w:hAnsi="Arial" w:cs="Arial"/>
          <w:sz w:val="22"/>
          <w:szCs w:val="22"/>
        </w:rPr>
        <w:t>4</w:t>
      </w:r>
      <w:r w:rsidR="00DA7398" w:rsidRPr="00454867">
        <w:rPr>
          <w:rFonts w:ascii="Arial" w:hAnsi="Arial" w:cs="Arial"/>
          <w:sz w:val="22"/>
          <w:szCs w:val="22"/>
        </w:rPr>
        <w:t>).</w:t>
      </w:r>
    </w:p>
    <w:p w14:paraId="32284680" w14:textId="1D390534" w:rsidR="00454867" w:rsidRPr="00DA7398" w:rsidRDefault="00454867" w:rsidP="00B435FF">
      <w:pPr>
        <w:spacing w:line="360" w:lineRule="auto"/>
        <w:rPr>
          <w:rFonts w:ascii="Arial" w:hAnsi="Arial" w:cs="Arial"/>
          <w:sz w:val="22"/>
          <w:szCs w:val="22"/>
        </w:rPr>
      </w:pPr>
      <w:r w:rsidRPr="00FF103E">
        <w:rPr>
          <w:rFonts w:ascii="Arial" w:hAnsi="Arial" w:cs="Arial"/>
          <w:sz w:val="22"/>
          <w:szCs w:val="22"/>
        </w:rPr>
        <w:t xml:space="preserve">Statista. (2021) </w:t>
      </w:r>
      <w:r w:rsidRPr="00DA7398">
        <w:rPr>
          <w:rFonts w:ascii="Arial" w:hAnsi="Arial" w:cs="Arial"/>
          <w:i/>
          <w:iCs/>
          <w:sz w:val="22"/>
          <w:szCs w:val="22"/>
        </w:rPr>
        <w:t>E-commerce Trends in the Beauty Industry</w:t>
      </w:r>
      <w:r w:rsidRPr="00FF103E">
        <w:rPr>
          <w:rFonts w:ascii="Arial" w:hAnsi="Arial" w:cs="Arial"/>
          <w:sz w:val="22"/>
          <w:szCs w:val="22"/>
        </w:rPr>
        <w:t xml:space="preserve">. </w:t>
      </w:r>
      <w:r w:rsidR="00DA7398" w:rsidRPr="00DA7398">
        <w:rPr>
          <w:rFonts w:ascii="Arial" w:hAnsi="Arial" w:cs="Arial"/>
          <w:sz w:val="22"/>
          <w:szCs w:val="22"/>
        </w:rPr>
        <w:t>Available at</w:t>
      </w:r>
      <w:r w:rsidR="00DA7398">
        <w:rPr>
          <w:rFonts w:ascii="Arial" w:hAnsi="Arial" w:cs="Arial"/>
          <w:sz w:val="22"/>
          <w:szCs w:val="22"/>
        </w:rPr>
        <w:t xml:space="preserve"> :</w:t>
      </w:r>
      <w:r w:rsidRPr="00DA7398">
        <w:rPr>
          <w:rFonts w:ascii="Arial" w:hAnsi="Arial" w:cs="Arial"/>
          <w:sz w:val="22"/>
          <w:szCs w:val="22"/>
        </w:rPr>
        <w:t xml:space="preserve"> </w:t>
      </w:r>
      <w:hyperlink r:id="rId20" w:history="1">
        <w:r w:rsidRPr="00DA7398">
          <w:rPr>
            <w:rStyle w:val="Hyperlink"/>
            <w:rFonts w:ascii="Arial" w:hAnsi="Arial" w:cs="Arial"/>
            <w:sz w:val="22"/>
            <w:szCs w:val="22"/>
          </w:rPr>
          <w:t>https://www.statista.com/</w:t>
        </w:r>
      </w:hyperlink>
      <w:r w:rsidRPr="00DA7398">
        <w:rPr>
          <w:rFonts w:ascii="Arial" w:hAnsi="Arial" w:cs="Arial"/>
          <w:sz w:val="22"/>
          <w:szCs w:val="22"/>
        </w:rPr>
        <w:t xml:space="preserve"> </w:t>
      </w:r>
      <w:r w:rsidR="00DA7398" w:rsidRPr="00454867">
        <w:rPr>
          <w:rFonts w:ascii="Arial" w:hAnsi="Arial" w:cs="Arial"/>
          <w:sz w:val="22"/>
          <w:szCs w:val="22"/>
        </w:rPr>
        <w:t xml:space="preserve">(Accessed: </w:t>
      </w:r>
      <w:r w:rsidR="00DA7398">
        <w:rPr>
          <w:rFonts w:ascii="Arial" w:hAnsi="Arial" w:cs="Arial"/>
          <w:sz w:val="22"/>
          <w:szCs w:val="22"/>
        </w:rPr>
        <w:t>01</w:t>
      </w:r>
      <w:r w:rsidR="00DA7398" w:rsidRPr="00454867">
        <w:rPr>
          <w:rFonts w:ascii="Arial" w:hAnsi="Arial" w:cs="Arial"/>
          <w:sz w:val="22"/>
          <w:szCs w:val="22"/>
        </w:rPr>
        <w:t xml:space="preserve"> J</w:t>
      </w:r>
      <w:r w:rsidR="00DA7398">
        <w:rPr>
          <w:rFonts w:ascii="Arial" w:hAnsi="Arial" w:cs="Arial"/>
          <w:sz w:val="22"/>
          <w:szCs w:val="22"/>
        </w:rPr>
        <w:t>une</w:t>
      </w:r>
      <w:r w:rsidR="00DA7398" w:rsidRPr="00454867">
        <w:rPr>
          <w:rFonts w:ascii="Arial" w:hAnsi="Arial" w:cs="Arial"/>
          <w:sz w:val="22"/>
          <w:szCs w:val="22"/>
        </w:rPr>
        <w:t xml:space="preserve"> 202</w:t>
      </w:r>
      <w:r w:rsidR="00DA7398">
        <w:rPr>
          <w:rFonts w:ascii="Arial" w:hAnsi="Arial" w:cs="Arial"/>
          <w:sz w:val="22"/>
          <w:szCs w:val="22"/>
        </w:rPr>
        <w:t>4</w:t>
      </w:r>
      <w:r w:rsidR="00DA7398" w:rsidRPr="00454867">
        <w:rPr>
          <w:rFonts w:ascii="Arial" w:hAnsi="Arial" w:cs="Arial"/>
          <w:sz w:val="22"/>
          <w:szCs w:val="22"/>
        </w:rPr>
        <w:t>).</w:t>
      </w:r>
    </w:p>
    <w:p w14:paraId="4E256EC5" w14:textId="38197E44"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Storey, D. J. (2016</w:t>
      </w:r>
      <w:r w:rsidR="00DA7398">
        <w:rPr>
          <w:rFonts w:ascii="Arial" w:hAnsi="Arial" w:cs="Arial"/>
          <w:sz w:val="22"/>
          <w:szCs w:val="22"/>
        </w:rPr>
        <w:t>)</w:t>
      </w:r>
      <w:r w:rsidRPr="00FF103E">
        <w:rPr>
          <w:rFonts w:ascii="Arial" w:hAnsi="Arial" w:cs="Arial"/>
          <w:sz w:val="22"/>
          <w:szCs w:val="22"/>
        </w:rPr>
        <w:t xml:space="preserve"> </w:t>
      </w:r>
      <w:r w:rsidRPr="00DA7398">
        <w:rPr>
          <w:rFonts w:ascii="Arial" w:hAnsi="Arial" w:cs="Arial"/>
          <w:i/>
          <w:iCs/>
          <w:sz w:val="22"/>
          <w:szCs w:val="22"/>
        </w:rPr>
        <w:t>Understanding the Small Business Sector</w:t>
      </w:r>
      <w:r w:rsidRPr="00FF103E">
        <w:rPr>
          <w:rFonts w:ascii="Arial" w:hAnsi="Arial" w:cs="Arial"/>
          <w:sz w:val="22"/>
          <w:szCs w:val="22"/>
        </w:rPr>
        <w:t>. Routledge.</w:t>
      </w:r>
    </w:p>
    <w:p w14:paraId="0D176658" w14:textId="422AFF97" w:rsidR="00454867" w:rsidRPr="00DA7398" w:rsidRDefault="00454867" w:rsidP="00B435FF">
      <w:pPr>
        <w:spacing w:line="360" w:lineRule="auto"/>
        <w:rPr>
          <w:rFonts w:ascii="Arial" w:hAnsi="Arial" w:cs="Arial"/>
          <w:sz w:val="22"/>
          <w:szCs w:val="22"/>
        </w:rPr>
      </w:pPr>
      <w:r w:rsidRPr="00FF103E">
        <w:rPr>
          <w:rFonts w:ascii="Arial" w:hAnsi="Arial" w:cs="Arial"/>
          <w:sz w:val="22"/>
          <w:szCs w:val="22"/>
        </w:rPr>
        <w:lastRenderedPageBreak/>
        <w:t xml:space="preserve">The Guardian. (2021) </w:t>
      </w:r>
      <w:r w:rsidRPr="00DA7398">
        <w:rPr>
          <w:rFonts w:ascii="Arial" w:hAnsi="Arial" w:cs="Arial"/>
          <w:i/>
          <w:iCs/>
          <w:sz w:val="22"/>
          <w:szCs w:val="22"/>
        </w:rPr>
        <w:t>Sustainable Beauty: The Growing Demand for Green Products.</w:t>
      </w:r>
      <w:r w:rsidRPr="00FF103E">
        <w:rPr>
          <w:rFonts w:ascii="Arial" w:hAnsi="Arial" w:cs="Arial"/>
          <w:sz w:val="22"/>
          <w:szCs w:val="22"/>
        </w:rPr>
        <w:t xml:space="preserve"> The Guardian. </w:t>
      </w:r>
      <w:r w:rsidR="00DA7398" w:rsidRPr="00DA7398">
        <w:rPr>
          <w:rFonts w:ascii="Arial" w:hAnsi="Arial" w:cs="Arial"/>
          <w:sz w:val="22"/>
          <w:szCs w:val="22"/>
        </w:rPr>
        <w:t>Available at</w:t>
      </w:r>
      <w:r w:rsidR="00DA7398">
        <w:rPr>
          <w:rFonts w:ascii="Arial" w:hAnsi="Arial" w:cs="Arial"/>
          <w:sz w:val="22"/>
          <w:szCs w:val="22"/>
        </w:rPr>
        <w:t xml:space="preserve"> :</w:t>
      </w:r>
      <w:r w:rsidRPr="00DA7398">
        <w:rPr>
          <w:rFonts w:ascii="Arial" w:hAnsi="Arial" w:cs="Arial"/>
          <w:sz w:val="22"/>
          <w:szCs w:val="22"/>
        </w:rPr>
        <w:t xml:space="preserve"> </w:t>
      </w:r>
      <w:hyperlink r:id="rId21" w:history="1">
        <w:r w:rsidRPr="00DA7398">
          <w:rPr>
            <w:rStyle w:val="Hyperlink"/>
            <w:rFonts w:ascii="Arial" w:hAnsi="Arial" w:cs="Arial"/>
            <w:sz w:val="22"/>
            <w:szCs w:val="22"/>
          </w:rPr>
          <w:t>https://www.theguardian.com/environment/2021/jan/25/sustainable-beauty-the-growing-demand-for-green-products</w:t>
        </w:r>
      </w:hyperlink>
      <w:r w:rsidRPr="00DA7398">
        <w:rPr>
          <w:rFonts w:ascii="Arial" w:hAnsi="Arial" w:cs="Arial"/>
          <w:sz w:val="22"/>
          <w:szCs w:val="22"/>
        </w:rPr>
        <w:t xml:space="preserve"> </w:t>
      </w:r>
      <w:r w:rsidR="00DA7398" w:rsidRPr="00454867">
        <w:rPr>
          <w:rFonts w:ascii="Arial" w:hAnsi="Arial" w:cs="Arial"/>
          <w:sz w:val="22"/>
          <w:szCs w:val="22"/>
        </w:rPr>
        <w:t>(Accessed: 27 J</w:t>
      </w:r>
      <w:r w:rsidR="00DA7398">
        <w:rPr>
          <w:rFonts w:ascii="Arial" w:hAnsi="Arial" w:cs="Arial"/>
          <w:sz w:val="22"/>
          <w:szCs w:val="22"/>
        </w:rPr>
        <w:t>une</w:t>
      </w:r>
      <w:r w:rsidR="00DA7398" w:rsidRPr="00454867">
        <w:rPr>
          <w:rFonts w:ascii="Arial" w:hAnsi="Arial" w:cs="Arial"/>
          <w:sz w:val="22"/>
          <w:szCs w:val="22"/>
        </w:rPr>
        <w:t xml:space="preserve"> 202</w:t>
      </w:r>
      <w:r w:rsidR="00DA7398">
        <w:rPr>
          <w:rFonts w:ascii="Arial" w:hAnsi="Arial" w:cs="Arial"/>
          <w:sz w:val="22"/>
          <w:szCs w:val="22"/>
        </w:rPr>
        <w:t>4</w:t>
      </w:r>
      <w:r w:rsidR="00DA7398" w:rsidRPr="00454867">
        <w:rPr>
          <w:rFonts w:ascii="Arial" w:hAnsi="Arial" w:cs="Arial"/>
          <w:sz w:val="22"/>
          <w:szCs w:val="22"/>
        </w:rPr>
        <w:t>).</w:t>
      </w:r>
    </w:p>
    <w:p w14:paraId="55BDEB39" w14:textId="4141D633" w:rsidR="00454867" w:rsidRPr="00FF103E" w:rsidRDefault="00454867" w:rsidP="003A2E44">
      <w:pPr>
        <w:spacing w:line="360" w:lineRule="auto"/>
        <w:rPr>
          <w:rFonts w:ascii="Arial" w:hAnsi="Arial" w:cs="Arial"/>
          <w:sz w:val="22"/>
          <w:szCs w:val="22"/>
        </w:rPr>
      </w:pPr>
      <w:r w:rsidRPr="00FF103E">
        <w:rPr>
          <w:rFonts w:ascii="Arial" w:hAnsi="Arial" w:cs="Arial"/>
          <w:sz w:val="22"/>
          <w:szCs w:val="22"/>
        </w:rPr>
        <w:t>The Inkey List. (</w:t>
      </w:r>
      <w:proofErr w:type="spellStart"/>
      <w:r w:rsidRPr="00FF103E">
        <w:rPr>
          <w:rFonts w:ascii="Arial" w:hAnsi="Arial" w:cs="Arial"/>
          <w:sz w:val="22"/>
          <w:szCs w:val="22"/>
        </w:rPr>
        <w:t>nd</w:t>
      </w:r>
      <w:proofErr w:type="spellEnd"/>
      <w:r w:rsidRPr="00FF103E">
        <w:rPr>
          <w:rFonts w:ascii="Arial" w:hAnsi="Arial" w:cs="Arial"/>
          <w:sz w:val="22"/>
          <w:szCs w:val="22"/>
        </w:rPr>
        <w:t>)</w:t>
      </w:r>
      <w:r w:rsidR="00DA7398">
        <w:rPr>
          <w:rFonts w:ascii="Arial" w:hAnsi="Arial" w:cs="Arial"/>
          <w:sz w:val="22"/>
          <w:szCs w:val="22"/>
        </w:rPr>
        <w:t xml:space="preserve"> </w:t>
      </w:r>
      <w:r w:rsidR="00DA7398" w:rsidRPr="00DA7398">
        <w:rPr>
          <w:rFonts w:ascii="Arial" w:hAnsi="Arial" w:cs="Arial"/>
          <w:i/>
          <w:iCs/>
          <w:sz w:val="22"/>
          <w:szCs w:val="22"/>
        </w:rPr>
        <w:t>About us</w:t>
      </w:r>
      <w:r w:rsidR="00DA7398">
        <w:rPr>
          <w:rFonts w:ascii="Arial" w:hAnsi="Arial" w:cs="Arial"/>
          <w:sz w:val="22"/>
          <w:szCs w:val="22"/>
        </w:rPr>
        <w:t>.</w:t>
      </w:r>
      <w:r w:rsidRPr="00FF103E">
        <w:rPr>
          <w:rFonts w:ascii="Arial" w:hAnsi="Arial" w:cs="Arial"/>
          <w:sz w:val="22"/>
          <w:szCs w:val="22"/>
        </w:rPr>
        <w:t xml:space="preserve">  Available at: </w:t>
      </w:r>
      <w:hyperlink r:id="rId22" w:history="1">
        <w:r w:rsidRPr="00FF103E">
          <w:rPr>
            <w:rStyle w:val="Hyperlink"/>
            <w:rFonts w:ascii="Arial" w:hAnsi="Arial" w:cs="Arial"/>
            <w:sz w:val="22"/>
            <w:szCs w:val="22"/>
          </w:rPr>
          <w:t>https://uk.theinkeylist.com/pages/about-us</w:t>
        </w:r>
      </w:hyperlink>
      <w:r w:rsidRPr="00FF103E">
        <w:rPr>
          <w:rFonts w:ascii="Arial" w:hAnsi="Arial" w:cs="Arial"/>
          <w:sz w:val="22"/>
          <w:szCs w:val="22"/>
        </w:rPr>
        <w:t xml:space="preserve"> </w:t>
      </w:r>
      <w:r w:rsidR="00DA7398" w:rsidRPr="00454867">
        <w:rPr>
          <w:rFonts w:ascii="Arial" w:hAnsi="Arial" w:cs="Arial"/>
          <w:sz w:val="22"/>
          <w:szCs w:val="22"/>
        </w:rPr>
        <w:t xml:space="preserve">(Accessed: </w:t>
      </w:r>
      <w:r w:rsidR="00DA7398">
        <w:rPr>
          <w:rFonts w:ascii="Arial" w:hAnsi="Arial" w:cs="Arial"/>
          <w:sz w:val="22"/>
          <w:szCs w:val="22"/>
        </w:rPr>
        <w:t>20</w:t>
      </w:r>
      <w:r w:rsidR="00DA7398" w:rsidRPr="00454867">
        <w:rPr>
          <w:rFonts w:ascii="Arial" w:hAnsi="Arial" w:cs="Arial"/>
          <w:sz w:val="22"/>
          <w:szCs w:val="22"/>
        </w:rPr>
        <w:t xml:space="preserve"> J</w:t>
      </w:r>
      <w:r w:rsidR="00DA7398">
        <w:rPr>
          <w:rFonts w:ascii="Arial" w:hAnsi="Arial" w:cs="Arial"/>
          <w:sz w:val="22"/>
          <w:szCs w:val="22"/>
        </w:rPr>
        <w:t>une</w:t>
      </w:r>
      <w:r w:rsidR="00DA7398" w:rsidRPr="00454867">
        <w:rPr>
          <w:rFonts w:ascii="Arial" w:hAnsi="Arial" w:cs="Arial"/>
          <w:sz w:val="22"/>
          <w:szCs w:val="22"/>
        </w:rPr>
        <w:t xml:space="preserve"> 202</w:t>
      </w:r>
      <w:r w:rsidR="00DA7398">
        <w:rPr>
          <w:rFonts w:ascii="Arial" w:hAnsi="Arial" w:cs="Arial"/>
          <w:sz w:val="22"/>
          <w:szCs w:val="22"/>
        </w:rPr>
        <w:t>4</w:t>
      </w:r>
      <w:r w:rsidR="00DA7398" w:rsidRPr="00454867">
        <w:rPr>
          <w:rFonts w:ascii="Arial" w:hAnsi="Arial" w:cs="Arial"/>
          <w:sz w:val="22"/>
          <w:szCs w:val="22"/>
        </w:rPr>
        <w:t>).</w:t>
      </w:r>
    </w:p>
    <w:p w14:paraId="71F5DED1" w14:textId="734119D0" w:rsidR="00454867" w:rsidRPr="00FF103E" w:rsidRDefault="00454867" w:rsidP="003A2E44">
      <w:pPr>
        <w:spacing w:line="360" w:lineRule="auto"/>
        <w:rPr>
          <w:rFonts w:ascii="Arial" w:hAnsi="Arial" w:cs="Arial"/>
          <w:sz w:val="22"/>
          <w:szCs w:val="22"/>
        </w:rPr>
      </w:pPr>
      <w:r w:rsidRPr="00FF103E">
        <w:rPr>
          <w:rFonts w:ascii="Arial" w:hAnsi="Arial" w:cs="Arial"/>
          <w:sz w:val="22"/>
          <w:szCs w:val="22"/>
        </w:rPr>
        <w:t>The Inkey List. (</w:t>
      </w:r>
      <w:proofErr w:type="spellStart"/>
      <w:r w:rsidRPr="00FF103E">
        <w:rPr>
          <w:rFonts w:ascii="Arial" w:hAnsi="Arial" w:cs="Arial"/>
          <w:sz w:val="22"/>
          <w:szCs w:val="22"/>
        </w:rPr>
        <w:t>nd</w:t>
      </w:r>
      <w:proofErr w:type="spellEnd"/>
      <w:r w:rsidRPr="00FF103E">
        <w:rPr>
          <w:rFonts w:ascii="Arial" w:hAnsi="Arial" w:cs="Arial"/>
          <w:sz w:val="22"/>
          <w:szCs w:val="22"/>
        </w:rPr>
        <w:t xml:space="preserve">) Knowledge powers change. Available at: </w:t>
      </w:r>
      <w:hyperlink r:id="rId23" w:history="1">
        <w:r w:rsidRPr="00FF103E">
          <w:rPr>
            <w:rStyle w:val="Hyperlink"/>
            <w:rFonts w:ascii="Arial" w:hAnsi="Arial" w:cs="Arial"/>
            <w:sz w:val="22"/>
            <w:szCs w:val="22"/>
          </w:rPr>
          <w:t>https://uk.theinkeylist.com/pages/knowledge-powers-change</w:t>
        </w:r>
      </w:hyperlink>
      <w:r w:rsidRPr="00FF103E">
        <w:rPr>
          <w:rFonts w:ascii="Arial" w:hAnsi="Arial" w:cs="Arial"/>
          <w:sz w:val="22"/>
          <w:szCs w:val="22"/>
        </w:rPr>
        <w:t xml:space="preserve"> </w:t>
      </w:r>
      <w:r w:rsidR="00DA7398" w:rsidRPr="00454867">
        <w:rPr>
          <w:rFonts w:ascii="Arial" w:hAnsi="Arial" w:cs="Arial"/>
          <w:sz w:val="22"/>
          <w:szCs w:val="22"/>
        </w:rPr>
        <w:t>(Accessed: 2</w:t>
      </w:r>
      <w:r w:rsidR="00DA7398">
        <w:rPr>
          <w:rFonts w:ascii="Arial" w:hAnsi="Arial" w:cs="Arial"/>
          <w:sz w:val="22"/>
          <w:szCs w:val="22"/>
        </w:rPr>
        <w:t>0</w:t>
      </w:r>
      <w:r w:rsidR="00DA7398" w:rsidRPr="00454867">
        <w:rPr>
          <w:rFonts w:ascii="Arial" w:hAnsi="Arial" w:cs="Arial"/>
          <w:sz w:val="22"/>
          <w:szCs w:val="22"/>
        </w:rPr>
        <w:t xml:space="preserve"> J</w:t>
      </w:r>
      <w:r w:rsidR="00DA7398">
        <w:rPr>
          <w:rFonts w:ascii="Arial" w:hAnsi="Arial" w:cs="Arial"/>
          <w:sz w:val="22"/>
          <w:szCs w:val="22"/>
        </w:rPr>
        <w:t>une</w:t>
      </w:r>
      <w:r w:rsidR="00DA7398" w:rsidRPr="00454867">
        <w:rPr>
          <w:rFonts w:ascii="Arial" w:hAnsi="Arial" w:cs="Arial"/>
          <w:sz w:val="22"/>
          <w:szCs w:val="22"/>
        </w:rPr>
        <w:t xml:space="preserve"> 202</w:t>
      </w:r>
      <w:r w:rsidR="00DA7398">
        <w:rPr>
          <w:rFonts w:ascii="Arial" w:hAnsi="Arial" w:cs="Arial"/>
          <w:sz w:val="22"/>
          <w:szCs w:val="22"/>
        </w:rPr>
        <w:t>4</w:t>
      </w:r>
      <w:r w:rsidR="00DA7398" w:rsidRPr="00454867">
        <w:rPr>
          <w:rFonts w:ascii="Arial" w:hAnsi="Arial" w:cs="Arial"/>
          <w:sz w:val="22"/>
          <w:szCs w:val="22"/>
        </w:rPr>
        <w:t>).</w:t>
      </w:r>
    </w:p>
    <w:p w14:paraId="0071F476" w14:textId="0FF2DE26" w:rsidR="00454867" w:rsidRPr="00FF103E" w:rsidRDefault="00454867" w:rsidP="003A2E44">
      <w:pPr>
        <w:spacing w:line="360" w:lineRule="auto"/>
        <w:rPr>
          <w:rFonts w:ascii="Arial" w:hAnsi="Arial" w:cs="Arial"/>
          <w:sz w:val="22"/>
          <w:szCs w:val="22"/>
        </w:rPr>
      </w:pPr>
      <w:r w:rsidRPr="00FF103E">
        <w:rPr>
          <w:rFonts w:ascii="Arial" w:hAnsi="Arial" w:cs="Arial"/>
          <w:sz w:val="22"/>
          <w:szCs w:val="22"/>
        </w:rPr>
        <w:t>The Inkey List. (</w:t>
      </w:r>
      <w:proofErr w:type="spellStart"/>
      <w:r w:rsidRPr="00FF103E">
        <w:rPr>
          <w:rFonts w:ascii="Arial" w:hAnsi="Arial" w:cs="Arial"/>
          <w:sz w:val="22"/>
          <w:szCs w:val="22"/>
        </w:rPr>
        <w:t>nd</w:t>
      </w:r>
      <w:proofErr w:type="spellEnd"/>
      <w:r w:rsidRPr="00FF103E">
        <w:rPr>
          <w:rFonts w:ascii="Arial" w:hAnsi="Arial" w:cs="Arial"/>
          <w:sz w:val="22"/>
          <w:szCs w:val="22"/>
        </w:rPr>
        <w:t>)</w:t>
      </w:r>
      <w:r w:rsidR="00DA7398">
        <w:rPr>
          <w:rFonts w:ascii="Arial" w:hAnsi="Arial" w:cs="Arial"/>
          <w:sz w:val="22"/>
          <w:szCs w:val="22"/>
        </w:rPr>
        <w:t xml:space="preserve"> </w:t>
      </w:r>
      <w:r w:rsidRPr="00DA7398">
        <w:rPr>
          <w:rFonts w:ascii="Arial" w:hAnsi="Arial" w:cs="Arial"/>
          <w:i/>
          <w:iCs/>
          <w:sz w:val="22"/>
          <w:szCs w:val="22"/>
        </w:rPr>
        <w:t>People</w:t>
      </w:r>
      <w:r w:rsidRPr="00FF103E">
        <w:rPr>
          <w:rFonts w:ascii="Arial" w:hAnsi="Arial" w:cs="Arial"/>
          <w:sz w:val="22"/>
          <w:szCs w:val="22"/>
        </w:rPr>
        <w:t xml:space="preserve">. Available at: </w:t>
      </w:r>
      <w:hyperlink r:id="rId24" w:history="1">
        <w:r w:rsidRPr="00FF103E">
          <w:rPr>
            <w:rStyle w:val="Hyperlink"/>
            <w:rFonts w:ascii="Arial" w:hAnsi="Arial" w:cs="Arial"/>
            <w:sz w:val="22"/>
            <w:szCs w:val="22"/>
          </w:rPr>
          <w:t>https://uk.theinkeylist.com/pages/people</w:t>
        </w:r>
      </w:hyperlink>
      <w:r w:rsidRPr="00FF103E">
        <w:rPr>
          <w:rFonts w:ascii="Arial" w:hAnsi="Arial" w:cs="Arial"/>
          <w:sz w:val="22"/>
          <w:szCs w:val="22"/>
        </w:rPr>
        <w:t xml:space="preserve"> </w:t>
      </w:r>
      <w:r w:rsidR="00DA7398" w:rsidRPr="00454867">
        <w:rPr>
          <w:rFonts w:ascii="Arial" w:hAnsi="Arial" w:cs="Arial"/>
          <w:sz w:val="22"/>
          <w:szCs w:val="22"/>
        </w:rPr>
        <w:t>(Accessed: 2</w:t>
      </w:r>
      <w:r w:rsidR="00DA7398">
        <w:rPr>
          <w:rFonts w:ascii="Arial" w:hAnsi="Arial" w:cs="Arial"/>
          <w:sz w:val="22"/>
          <w:szCs w:val="22"/>
        </w:rPr>
        <w:t>3</w:t>
      </w:r>
      <w:r w:rsidR="00DA7398" w:rsidRPr="00454867">
        <w:rPr>
          <w:rFonts w:ascii="Arial" w:hAnsi="Arial" w:cs="Arial"/>
          <w:sz w:val="22"/>
          <w:szCs w:val="22"/>
        </w:rPr>
        <w:t xml:space="preserve"> J</w:t>
      </w:r>
      <w:r w:rsidR="00DA7398">
        <w:rPr>
          <w:rFonts w:ascii="Arial" w:hAnsi="Arial" w:cs="Arial"/>
          <w:sz w:val="22"/>
          <w:szCs w:val="22"/>
        </w:rPr>
        <w:t>une</w:t>
      </w:r>
      <w:r w:rsidR="00DA7398" w:rsidRPr="00454867">
        <w:rPr>
          <w:rFonts w:ascii="Arial" w:hAnsi="Arial" w:cs="Arial"/>
          <w:sz w:val="22"/>
          <w:szCs w:val="22"/>
        </w:rPr>
        <w:t xml:space="preserve"> 202</w:t>
      </w:r>
      <w:r w:rsidR="00DA7398">
        <w:rPr>
          <w:rFonts w:ascii="Arial" w:hAnsi="Arial" w:cs="Arial"/>
          <w:sz w:val="22"/>
          <w:szCs w:val="22"/>
        </w:rPr>
        <w:t>4</w:t>
      </w:r>
      <w:r w:rsidR="00DA7398" w:rsidRPr="00454867">
        <w:rPr>
          <w:rFonts w:ascii="Arial" w:hAnsi="Arial" w:cs="Arial"/>
          <w:sz w:val="22"/>
          <w:szCs w:val="22"/>
        </w:rPr>
        <w:t>).</w:t>
      </w:r>
    </w:p>
    <w:p w14:paraId="2EBC0226" w14:textId="7E5648E5" w:rsidR="00454867" w:rsidRPr="00FF103E" w:rsidRDefault="00454867" w:rsidP="00B435FF">
      <w:pPr>
        <w:spacing w:line="360" w:lineRule="auto"/>
        <w:rPr>
          <w:rFonts w:ascii="Arial" w:hAnsi="Arial" w:cs="Arial"/>
          <w:sz w:val="22"/>
          <w:szCs w:val="22"/>
        </w:rPr>
      </w:pPr>
      <w:r w:rsidRPr="00FF103E">
        <w:rPr>
          <w:rFonts w:ascii="Arial" w:hAnsi="Arial" w:cs="Arial"/>
          <w:sz w:val="22"/>
          <w:szCs w:val="22"/>
        </w:rPr>
        <w:t xml:space="preserve">Yüksel, I. (2012) </w:t>
      </w:r>
      <w:r w:rsidR="00DA7398">
        <w:rPr>
          <w:rFonts w:ascii="Arial" w:hAnsi="Arial" w:cs="Arial"/>
          <w:sz w:val="22"/>
          <w:szCs w:val="22"/>
        </w:rPr>
        <w:t>‘</w:t>
      </w:r>
      <w:r w:rsidRPr="00FF103E">
        <w:rPr>
          <w:rFonts w:ascii="Arial" w:hAnsi="Arial" w:cs="Arial"/>
          <w:sz w:val="22"/>
          <w:szCs w:val="22"/>
        </w:rPr>
        <w:t>Developing a Multi-Criteria Decision Making Model for PESTEL Analysis</w:t>
      </w:r>
      <w:r w:rsidR="00DA7398">
        <w:rPr>
          <w:rFonts w:ascii="Arial" w:hAnsi="Arial" w:cs="Arial"/>
          <w:sz w:val="22"/>
          <w:szCs w:val="22"/>
        </w:rPr>
        <w:t>’,</w:t>
      </w:r>
      <w:r w:rsidRPr="00FF103E">
        <w:rPr>
          <w:rFonts w:ascii="Arial" w:hAnsi="Arial" w:cs="Arial"/>
          <w:sz w:val="22"/>
          <w:szCs w:val="22"/>
        </w:rPr>
        <w:t xml:space="preserve"> </w:t>
      </w:r>
      <w:r w:rsidRPr="00DA7398">
        <w:rPr>
          <w:rFonts w:ascii="Arial" w:hAnsi="Arial" w:cs="Arial"/>
          <w:i/>
          <w:iCs/>
          <w:sz w:val="22"/>
          <w:szCs w:val="22"/>
        </w:rPr>
        <w:t>International Journal of Business and Management</w:t>
      </w:r>
      <w:r w:rsidRPr="00FF103E">
        <w:rPr>
          <w:rFonts w:ascii="Arial" w:hAnsi="Arial" w:cs="Arial"/>
          <w:sz w:val="22"/>
          <w:szCs w:val="22"/>
        </w:rPr>
        <w:t xml:space="preserve">, 7(24), </w:t>
      </w:r>
      <w:r w:rsidR="00DA7398">
        <w:rPr>
          <w:rFonts w:ascii="Arial" w:hAnsi="Arial" w:cs="Arial"/>
          <w:sz w:val="22"/>
          <w:szCs w:val="22"/>
        </w:rPr>
        <w:t xml:space="preserve">pp. </w:t>
      </w:r>
      <w:r w:rsidRPr="00FF103E">
        <w:rPr>
          <w:rFonts w:ascii="Arial" w:hAnsi="Arial" w:cs="Arial"/>
          <w:sz w:val="22"/>
          <w:szCs w:val="22"/>
        </w:rPr>
        <w:t>52-66.</w:t>
      </w:r>
    </w:p>
    <w:sectPr w:rsidR="00454867" w:rsidRPr="00FF10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17E3C" w14:textId="77777777" w:rsidR="007E4672" w:rsidRDefault="007E4672" w:rsidP="00454867">
      <w:pPr>
        <w:spacing w:after="0" w:line="240" w:lineRule="auto"/>
      </w:pPr>
      <w:r>
        <w:separator/>
      </w:r>
    </w:p>
  </w:endnote>
  <w:endnote w:type="continuationSeparator" w:id="0">
    <w:p w14:paraId="545CFA5D" w14:textId="77777777" w:rsidR="007E4672" w:rsidRDefault="007E4672" w:rsidP="004548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90835" w14:textId="77777777" w:rsidR="007E4672" w:rsidRDefault="007E4672" w:rsidP="00454867">
      <w:pPr>
        <w:spacing w:after="0" w:line="240" w:lineRule="auto"/>
      </w:pPr>
      <w:r>
        <w:separator/>
      </w:r>
    </w:p>
  </w:footnote>
  <w:footnote w:type="continuationSeparator" w:id="0">
    <w:p w14:paraId="58211830" w14:textId="77777777" w:rsidR="007E4672" w:rsidRDefault="007E4672" w:rsidP="004548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E486A"/>
    <w:multiLevelType w:val="hybridMultilevel"/>
    <w:tmpl w:val="80944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0B4B3C"/>
    <w:multiLevelType w:val="hybridMultilevel"/>
    <w:tmpl w:val="F702B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5495703">
    <w:abstractNumId w:val="0"/>
  </w:num>
  <w:num w:numId="2" w16cid:durableId="11326023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35C"/>
    <w:rsid w:val="00012BF1"/>
    <w:rsid w:val="000277F7"/>
    <w:rsid w:val="00167222"/>
    <w:rsid w:val="0023242A"/>
    <w:rsid w:val="00244FE9"/>
    <w:rsid w:val="002C6DE5"/>
    <w:rsid w:val="00315650"/>
    <w:rsid w:val="003A2E44"/>
    <w:rsid w:val="003E6AF1"/>
    <w:rsid w:val="003F5582"/>
    <w:rsid w:val="004411A2"/>
    <w:rsid w:val="00454867"/>
    <w:rsid w:val="004E746E"/>
    <w:rsid w:val="006A044B"/>
    <w:rsid w:val="007E4672"/>
    <w:rsid w:val="009C3ED2"/>
    <w:rsid w:val="009D5B92"/>
    <w:rsid w:val="009D5E31"/>
    <w:rsid w:val="00A1235C"/>
    <w:rsid w:val="00A83812"/>
    <w:rsid w:val="00B16D11"/>
    <w:rsid w:val="00B435FF"/>
    <w:rsid w:val="00BF0ED8"/>
    <w:rsid w:val="00D550A0"/>
    <w:rsid w:val="00DA7398"/>
    <w:rsid w:val="00DC55EE"/>
    <w:rsid w:val="00E125E7"/>
    <w:rsid w:val="00E57907"/>
    <w:rsid w:val="00EE6DC4"/>
    <w:rsid w:val="00F756DC"/>
    <w:rsid w:val="00FF10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C9E6AA"/>
  <w15:chartTrackingRefBased/>
  <w15:docId w15:val="{3A3DD4E6-5A0F-46B0-BE13-FB219B3B5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23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123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123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23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23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23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23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23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23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3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123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123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23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23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23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23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23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235C"/>
    <w:rPr>
      <w:rFonts w:eastAsiaTheme="majorEastAsia" w:cstheme="majorBidi"/>
      <w:color w:val="272727" w:themeColor="text1" w:themeTint="D8"/>
    </w:rPr>
  </w:style>
  <w:style w:type="paragraph" w:styleId="Title">
    <w:name w:val="Title"/>
    <w:basedOn w:val="Normal"/>
    <w:next w:val="Normal"/>
    <w:link w:val="TitleChar"/>
    <w:uiPriority w:val="10"/>
    <w:qFormat/>
    <w:rsid w:val="00A123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23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23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23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235C"/>
    <w:pPr>
      <w:spacing w:before="160"/>
      <w:jc w:val="center"/>
    </w:pPr>
    <w:rPr>
      <w:i/>
      <w:iCs/>
      <w:color w:val="404040" w:themeColor="text1" w:themeTint="BF"/>
    </w:rPr>
  </w:style>
  <w:style w:type="character" w:customStyle="1" w:styleId="QuoteChar">
    <w:name w:val="Quote Char"/>
    <w:basedOn w:val="DefaultParagraphFont"/>
    <w:link w:val="Quote"/>
    <w:uiPriority w:val="29"/>
    <w:rsid w:val="00A1235C"/>
    <w:rPr>
      <w:i/>
      <w:iCs/>
      <w:color w:val="404040" w:themeColor="text1" w:themeTint="BF"/>
    </w:rPr>
  </w:style>
  <w:style w:type="paragraph" w:styleId="ListParagraph">
    <w:name w:val="List Paragraph"/>
    <w:basedOn w:val="Normal"/>
    <w:uiPriority w:val="34"/>
    <w:qFormat/>
    <w:rsid w:val="00A1235C"/>
    <w:pPr>
      <w:ind w:left="720"/>
      <w:contextualSpacing/>
    </w:pPr>
  </w:style>
  <w:style w:type="character" w:styleId="IntenseEmphasis">
    <w:name w:val="Intense Emphasis"/>
    <w:basedOn w:val="DefaultParagraphFont"/>
    <w:uiPriority w:val="21"/>
    <w:qFormat/>
    <w:rsid w:val="00A1235C"/>
    <w:rPr>
      <w:i/>
      <w:iCs/>
      <w:color w:val="0F4761" w:themeColor="accent1" w:themeShade="BF"/>
    </w:rPr>
  </w:style>
  <w:style w:type="paragraph" w:styleId="IntenseQuote">
    <w:name w:val="Intense Quote"/>
    <w:basedOn w:val="Normal"/>
    <w:next w:val="Normal"/>
    <w:link w:val="IntenseQuoteChar"/>
    <w:uiPriority w:val="30"/>
    <w:qFormat/>
    <w:rsid w:val="00A123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235C"/>
    <w:rPr>
      <w:i/>
      <w:iCs/>
      <w:color w:val="0F4761" w:themeColor="accent1" w:themeShade="BF"/>
    </w:rPr>
  </w:style>
  <w:style w:type="character" w:styleId="IntenseReference">
    <w:name w:val="Intense Reference"/>
    <w:basedOn w:val="DefaultParagraphFont"/>
    <w:uiPriority w:val="32"/>
    <w:qFormat/>
    <w:rsid w:val="00A1235C"/>
    <w:rPr>
      <w:b/>
      <w:bCs/>
      <w:smallCaps/>
      <w:color w:val="0F4761" w:themeColor="accent1" w:themeShade="BF"/>
      <w:spacing w:val="5"/>
    </w:rPr>
  </w:style>
  <w:style w:type="character" w:styleId="Hyperlink">
    <w:name w:val="Hyperlink"/>
    <w:basedOn w:val="DefaultParagraphFont"/>
    <w:uiPriority w:val="99"/>
    <w:unhideWhenUsed/>
    <w:rsid w:val="00A1235C"/>
    <w:rPr>
      <w:color w:val="467886" w:themeColor="hyperlink"/>
      <w:u w:val="single"/>
    </w:rPr>
  </w:style>
  <w:style w:type="character" w:styleId="UnresolvedMention">
    <w:name w:val="Unresolved Mention"/>
    <w:basedOn w:val="DefaultParagraphFont"/>
    <w:uiPriority w:val="99"/>
    <w:semiHidden/>
    <w:unhideWhenUsed/>
    <w:rsid w:val="00A1235C"/>
    <w:rPr>
      <w:color w:val="605E5C"/>
      <w:shd w:val="clear" w:color="auto" w:fill="E1DFDD"/>
    </w:rPr>
  </w:style>
  <w:style w:type="paragraph" w:styleId="NoSpacing">
    <w:name w:val="No Spacing"/>
    <w:uiPriority w:val="1"/>
    <w:qFormat/>
    <w:rsid w:val="00B435FF"/>
    <w:pPr>
      <w:spacing w:after="0" w:line="240" w:lineRule="auto"/>
    </w:pPr>
  </w:style>
  <w:style w:type="paragraph" w:styleId="TOCHeading">
    <w:name w:val="TOC Heading"/>
    <w:basedOn w:val="Heading1"/>
    <w:next w:val="Normal"/>
    <w:uiPriority w:val="39"/>
    <w:unhideWhenUsed/>
    <w:qFormat/>
    <w:rsid w:val="00E125E7"/>
    <w:pPr>
      <w:spacing w:before="240" w:after="0" w:line="259" w:lineRule="auto"/>
      <w:outlineLvl w:val="9"/>
    </w:pPr>
    <w:rPr>
      <w:kern w:val="0"/>
      <w:sz w:val="32"/>
      <w:szCs w:val="32"/>
      <w:lang w:val="en-US" w:eastAsia="en-US"/>
    </w:rPr>
  </w:style>
  <w:style w:type="paragraph" w:styleId="TOC3">
    <w:name w:val="toc 3"/>
    <w:basedOn w:val="Normal"/>
    <w:next w:val="Normal"/>
    <w:autoRedefine/>
    <w:uiPriority w:val="39"/>
    <w:unhideWhenUsed/>
    <w:rsid w:val="00E125E7"/>
    <w:pPr>
      <w:spacing w:after="100"/>
      <w:ind w:left="480"/>
    </w:pPr>
  </w:style>
  <w:style w:type="paragraph" w:styleId="TOC1">
    <w:name w:val="toc 1"/>
    <w:basedOn w:val="Normal"/>
    <w:next w:val="Normal"/>
    <w:autoRedefine/>
    <w:uiPriority w:val="39"/>
    <w:unhideWhenUsed/>
    <w:rsid w:val="00E125E7"/>
    <w:pPr>
      <w:spacing w:after="100"/>
    </w:pPr>
  </w:style>
  <w:style w:type="paragraph" w:styleId="TOC2">
    <w:name w:val="toc 2"/>
    <w:basedOn w:val="Normal"/>
    <w:next w:val="Normal"/>
    <w:autoRedefine/>
    <w:uiPriority w:val="39"/>
    <w:unhideWhenUsed/>
    <w:rsid w:val="00E125E7"/>
    <w:pPr>
      <w:spacing w:after="100"/>
      <w:ind w:left="240"/>
    </w:pPr>
  </w:style>
  <w:style w:type="character" w:styleId="FollowedHyperlink">
    <w:name w:val="FollowedHyperlink"/>
    <w:basedOn w:val="DefaultParagraphFont"/>
    <w:uiPriority w:val="99"/>
    <w:semiHidden/>
    <w:unhideWhenUsed/>
    <w:rsid w:val="00DC55EE"/>
    <w:rPr>
      <w:color w:val="96607D" w:themeColor="followedHyperlink"/>
      <w:u w:val="single"/>
    </w:rPr>
  </w:style>
  <w:style w:type="paragraph" w:styleId="BodyText">
    <w:name w:val="Body Text"/>
    <w:basedOn w:val="Normal"/>
    <w:link w:val="BodyTextChar"/>
    <w:uiPriority w:val="1"/>
    <w:qFormat/>
    <w:rsid w:val="002C6DE5"/>
    <w:pPr>
      <w:widowControl w:val="0"/>
      <w:autoSpaceDE w:val="0"/>
      <w:autoSpaceDN w:val="0"/>
      <w:spacing w:after="0" w:line="240" w:lineRule="auto"/>
    </w:pPr>
    <w:rPr>
      <w:rFonts w:ascii="Arial" w:eastAsia="Arial" w:hAnsi="Arial" w:cs="Arial"/>
      <w:kern w:val="0"/>
      <w:sz w:val="19"/>
      <w:szCs w:val="19"/>
      <w:lang w:val="en-US" w:eastAsia="en-US"/>
      <w14:ligatures w14:val="none"/>
    </w:rPr>
  </w:style>
  <w:style w:type="character" w:customStyle="1" w:styleId="BodyTextChar">
    <w:name w:val="Body Text Char"/>
    <w:basedOn w:val="DefaultParagraphFont"/>
    <w:link w:val="BodyText"/>
    <w:uiPriority w:val="1"/>
    <w:rsid w:val="002C6DE5"/>
    <w:rPr>
      <w:rFonts w:ascii="Arial" w:eastAsia="Arial" w:hAnsi="Arial" w:cs="Arial"/>
      <w:kern w:val="0"/>
      <w:sz w:val="19"/>
      <w:szCs w:val="19"/>
      <w:lang w:val="en-US" w:eastAsia="en-US"/>
      <w14:ligatures w14:val="none"/>
    </w:rPr>
  </w:style>
  <w:style w:type="paragraph" w:customStyle="1" w:styleId="TableParagraph">
    <w:name w:val="Table Paragraph"/>
    <w:basedOn w:val="Normal"/>
    <w:uiPriority w:val="1"/>
    <w:qFormat/>
    <w:rsid w:val="002C6DE5"/>
    <w:pPr>
      <w:widowControl w:val="0"/>
      <w:autoSpaceDE w:val="0"/>
      <w:autoSpaceDN w:val="0"/>
      <w:spacing w:after="0" w:line="240" w:lineRule="auto"/>
    </w:pPr>
    <w:rPr>
      <w:rFonts w:ascii="Arial" w:eastAsia="Arial" w:hAnsi="Arial" w:cs="Arial"/>
      <w:kern w:val="0"/>
      <w:sz w:val="22"/>
      <w:szCs w:val="22"/>
      <w:lang w:val="en-US" w:eastAsia="en-US"/>
    </w:rPr>
  </w:style>
  <w:style w:type="character" w:customStyle="1" w:styleId="normaltextrun">
    <w:name w:val="normaltextrun"/>
    <w:basedOn w:val="DefaultParagraphFont"/>
    <w:rsid w:val="002C6DE5"/>
  </w:style>
  <w:style w:type="paragraph" w:styleId="Header">
    <w:name w:val="header"/>
    <w:basedOn w:val="Normal"/>
    <w:link w:val="HeaderChar"/>
    <w:uiPriority w:val="99"/>
    <w:unhideWhenUsed/>
    <w:rsid w:val="004548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4867"/>
  </w:style>
  <w:style w:type="paragraph" w:styleId="Footer">
    <w:name w:val="footer"/>
    <w:basedOn w:val="Normal"/>
    <w:link w:val="FooterChar"/>
    <w:uiPriority w:val="99"/>
    <w:unhideWhenUsed/>
    <w:rsid w:val="004548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48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59605">
      <w:bodyDiv w:val="1"/>
      <w:marLeft w:val="0"/>
      <w:marRight w:val="0"/>
      <w:marTop w:val="0"/>
      <w:marBottom w:val="0"/>
      <w:divBdr>
        <w:top w:val="none" w:sz="0" w:space="0" w:color="auto"/>
        <w:left w:val="none" w:sz="0" w:space="0" w:color="auto"/>
        <w:bottom w:val="none" w:sz="0" w:space="0" w:color="auto"/>
        <w:right w:val="none" w:sz="0" w:space="0" w:color="auto"/>
      </w:divBdr>
    </w:div>
    <w:div w:id="125632742">
      <w:bodyDiv w:val="1"/>
      <w:marLeft w:val="0"/>
      <w:marRight w:val="0"/>
      <w:marTop w:val="0"/>
      <w:marBottom w:val="0"/>
      <w:divBdr>
        <w:top w:val="none" w:sz="0" w:space="0" w:color="auto"/>
        <w:left w:val="none" w:sz="0" w:space="0" w:color="auto"/>
        <w:bottom w:val="none" w:sz="0" w:space="0" w:color="auto"/>
        <w:right w:val="none" w:sz="0" w:space="0" w:color="auto"/>
      </w:divBdr>
    </w:div>
    <w:div w:id="125858850">
      <w:bodyDiv w:val="1"/>
      <w:marLeft w:val="0"/>
      <w:marRight w:val="0"/>
      <w:marTop w:val="0"/>
      <w:marBottom w:val="0"/>
      <w:divBdr>
        <w:top w:val="none" w:sz="0" w:space="0" w:color="auto"/>
        <w:left w:val="none" w:sz="0" w:space="0" w:color="auto"/>
        <w:bottom w:val="none" w:sz="0" w:space="0" w:color="auto"/>
        <w:right w:val="none" w:sz="0" w:space="0" w:color="auto"/>
      </w:divBdr>
    </w:div>
    <w:div w:id="238518029">
      <w:bodyDiv w:val="1"/>
      <w:marLeft w:val="0"/>
      <w:marRight w:val="0"/>
      <w:marTop w:val="0"/>
      <w:marBottom w:val="0"/>
      <w:divBdr>
        <w:top w:val="none" w:sz="0" w:space="0" w:color="auto"/>
        <w:left w:val="none" w:sz="0" w:space="0" w:color="auto"/>
        <w:bottom w:val="none" w:sz="0" w:space="0" w:color="auto"/>
        <w:right w:val="none" w:sz="0" w:space="0" w:color="auto"/>
      </w:divBdr>
    </w:div>
    <w:div w:id="306403545">
      <w:bodyDiv w:val="1"/>
      <w:marLeft w:val="0"/>
      <w:marRight w:val="0"/>
      <w:marTop w:val="0"/>
      <w:marBottom w:val="0"/>
      <w:divBdr>
        <w:top w:val="none" w:sz="0" w:space="0" w:color="auto"/>
        <w:left w:val="none" w:sz="0" w:space="0" w:color="auto"/>
        <w:bottom w:val="none" w:sz="0" w:space="0" w:color="auto"/>
        <w:right w:val="none" w:sz="0" w:space="0" w:color="auto"/>
      </w:divBdr>
    </w:div>
    <w:div w:id="307907063">
      <w:bodyDiv w:val="1"/>
      <w:marLeft w:val="0"/>
      <w:marRight w:val="0"/>
      <w:marTop w:val="0"/>
      <w:marBottom w:val="0"/>
      <w:divBdr>
        <w:top w:val="none" w:sz="0" w:space="0" w:color="auto"/>
        <w:left w:val="none" w:sz="0" w:space="0" w:color="auto"/>
        <w:bottom w:val="none" w:sz="0" w:space="0" w:color="auto"/>
        <w:right w:val="none" w:sz="0" w:space="0" w:color="auto"/>
      </w:divBdr>
    </w:div>
    <w:div w:id="369233805">
      <w:bodyDiv w:val="1"/>
      <w:marLeft w:val="0"/>
      <w:marRight w:val="0"/>
      <w:marTop w:val="0"/>
      <w:marBottom w:val="0"/>
      <w:divBdr>
        <w:top w:val="none" w:sz="0" w:space="0" w:color="auto"/>
        <w:left w:val="none" w:sz="0" w:space="0" w:color="auto"/>
        <w:bottom w:val="none" w:sz="0" w:space="0" w:color="auto"/>
        <w:right w:val="none" w:sz="0" w:space="0" w:color="auto"/>
      </w:divBdr>
    </w:div>
    <w:div w:id="376201541">
      <w:bodyDiv w:val="1"/>
      <w:marLeft w:val="0"/>
      <w:marRight w:val="0"/>
      <w:marTop w:val="0"/>
      <w:marBottom w:val="0"/>
      <w:divBdr>
        <w:top w:val="none" w:sz="0" w:space="0" w:color="auto"/>
        <w:left w:val="none" w:sz="0" w:space="0" w:color="auto"/>
        <w:bottom w:val="none" w:sz="0" w:space="0" w:color="auto"/>
        <w:right w:val="none" w:sz="0" w:space="0" w:color="auto"/>
      </w:divBdr>
    </w:div>
    <w:div w:id="398525638">
      <w:bodyDiv w:val="1"/>
      <w:marLeft w:val="0"/>
      <w:marRight w:val="0"/>
      <w:marTop w:val="0"/>
      <w:marBottom w:val="0"/>
      <w:divBdr>
        <w:top w:val="none" w:sz="0" w:space="0" w:color="auto"/>
        <w:left w:val="none" w:sz="0" w:space="0" w:color="auto"/>
        <w:bottom w:val="none" w:sz="0" w:space="0" w:color="auto"/>
        <w:right w:val="none" w:sz="0" w:space="0" w:color="auto"/>
      </w:divBdr>
    </w:div>
    <w:div w:id="423258848">
      <w:bodyDiv w:val="1"/>
      <w:marLeft w:val="0"/>
      <w:marRight w:val="0"/>
      <w:marTop w:val="0"/>
      <w:marBottom w:val="0"/>
      <w:divBdr>
        <w:top w:val="none" w:sz="0" w:space="0" w:color="auto"/>
        <w:left w:val="none" w:sz="0" w:space="0" w:color="auto"/>
        <w:bottom w:val="none" w:sz="0" w:space="0" w:color="auto"/>
        <w:right w:val="none" w:sz="0" w:space="0" w:color="auto"/>
      </w:divBdr>
    </w:div>
    <w:div w:id="424039721">
      <w:bodyDiv w:val="1"/>
      <w:marLeft w:val="0"/>
      <w:marRight w:val="0"/>
      <w:marTop w:val="0"/>
      <w:marBottom w:val="0"/>
      <w:divBdr>
        <w:top w:val="none" w:sz="0" w:space="0" w:color="auto"/>
        <w:left w:val="none" w:sz="0" w:space="0" w:color="auto"/>
        <w:bottom w:val="none" w:sz="0" w:space="0" w:color="auto"/>
        <w:right w:val="none" w:sz="0" w:space="0" w:color="auto"/>
      </w:divBdr>
    </w:div>
    <w:div w:id="461121580">
      <w:bodyDiv w:val="1"/>
      <w:marLeft w:val="0"/>
      <w:marRight w:val="0"/>
      <w:marTop w:val="0"/>
      <w:marBottom w:val="0"/>
      <w:divBdr>
        <w:top w:val="none" w:sz="0" w:space="0" w:color="auto"/>
        <w:left w:val="none" w:sz="0" w:space="0" w:color="auto"/>
        <w:bottom w:val="none" w:sz="0" w:space="0" w:color="auto"/>
        <w:right w:val="none" w:sz="0" w:space="0" w:color="auto"/>
      </w:divBdr>
    </w:div>
    <w:div w:id="470053688">
      <w:bodyDiv w:val="1"/>
      <w:marLeft w:val="0"/>
      <w:marRight w:val="0"/>
      <w:marTop w:val="0"/>
      <w:marBottom w:val="0"/>
      <w:divBdr>
        <w:top w:val="none" w:sz="0" w:space="0" w:color="auto"/>
        <w:left w:val="none" w:sz="0" w:space="0" w:color="auto"/>
        <w:bottom w:val="none" w:sz="0" w:space="0" w:color="auto"/>
        <w:right w:val="none" w:sz="0" w:space="0" w:color="auto"/>
      </w:divBdr>
    </w:div>
    <w:div w:id="475875398">
      <w:bodyDiv w:val="1"/>
      <w:marLeft w:val="0"/>
      <w:marRight w:val="0"/>
      <w:marTop w:val="0"/>
      <w:marBottom w:val="0"/>
      <w:divBdr>
        <w:top w:val="none" w:sz="0" w:space="0" w:color="auto"/>
        <w:left w:val="none" w:sz="0" w:space="0" w:color="auto"/>
        <w:bottom w:val="none" w:sz="0" w:space="0" w:color="auto"/>
        <w:right w:val="none" w:sz="0" w:space="0" w:color="auto"/>
      </w:divBdr>
    </w:div>
    <w:div w:id="619923781">
      <w:bodyDiv w:val="1"/>
      <w:marLeft w:val="0"/>
      <w:marRight w:val="0"/>
      <w:marTop w:val="0"/>
      <w:marBottom w:val="0"/>
      <w:divBdr>
        <w:top w:val="none" w:sz="0" w:space="0" w:color="auto"/>
        <w:left w:val="none" w:sz="0" w:space="0" w:color="auto"/>
        <w:bottom w:val="none" w:sz="0" w:space="0" w:color="auto"/>
        <w:right w:val="none" w:sz="0" w:space="0" w:color="auto"/>
      </w:divBdr>
    </w:div>
    <w:div w:id="692347218">
      <w:bodyDiv w:val="1"/>
      <w:marLeft w:val="0"/>
      <w:marRight w:val="0"/>
      <w:marTop w:val="0"/>
      <w:marBottom w:val="0"/>
      <w:divBdr>
        <w:top w:val="none" w:sz="0" w:space="0" w:color="auto"/>
        <w:left w:val="none" w:sz="0" w:space="0" w:color="auto"/>
        <w:bottom w:val="none" w:sz="0" w:space="0" w:color="auto"/>
        <w:right w:val="none" w:sz="0" w:space="0" w:color="auto"/>
      </w:divBdr>
    </w:div>
    <w:div w:id="843780750">
      <w:bodyDiv w:val="1"/>
      <w:marLeft w:val="0"/>
      <w:marRight w:val="0"/>
      <w:marTop w:val="0"/>
      <w:marBottom w:val="0"/>
      <w:divBdr>
        <w:top w:val="none" w:sz="0" w:space="0" w:color="auto"/>
        <w:left w:val="none" w:sz="0" w:space="0" w:color="auto"/>
        <w:bottom w:val="none" w:sz="0" w:space="0" w:color="auto"/>
        <w:right w:val="none" w:sz="0" w:space="0" w:color="auto"/>
      </w:divBdr>
    </w:div>
    <w:div w:id="1161696459">
      <w:bodyDiv w:val="1"/>
      <w:marLeft w:val="0"/>
      <w:marRight w:val="0"/>
      <w:marTop w:val="0"/>
      <w:marBottom w:val="0"/>
      <w:divBdr>
        <w:top w:val="none" w:sz="0" w:space="0" w:color="auto"/>
        <w:left w:val="none" w:sz="0" w:space="0" w:color="auto"/>
        <w:bottom w:val="none" w:sz="0" w:space="0" w:color="auto"/>
        <w:right w:val="none" w:sz="0" w:space="0" w:color="auto"/>
      </w:divBdr>
    </w:div>
    <w:div w:id="1195971091">
      <w:bodyDiv w:val="1"/>
      <w:marLeft w:val="0"/>
      <w:marRight w:val="0"/>
      <w:marTop w:val="0"/>
      <w:marBottom w:val="0"/>
      <w:divBdr>
        <w:top w:val="none" w:sz="0" w:space="0" w:color="auto"/>
        <w:left w:val="none" w:sz="0" w:space="0" w:color="auto"/>
        <w:bottom w:val="none" w:sz="0" w:space="0" w:color="auto"/>
        <w:right w:val="none" w:sz="0" w:space="0" w:color="auto"/>
      </w:divBdr>
    </w:div>
    <w:div w:id="1339968257">
      <w:bodyDiv w:val="1"/>
      <w:marLeft w:val="0"/>
      <w:marRight w:val="0"/>
      <w:marTop w:val="0"/>
      <w:marBottom w:val="0"/>
      <w:divBdr>
        <w:top w:val="none" w:sz="0" w:space="0" w:color="auto"/>
        <w:left w:val="none" w:sz="0" w:space="0" w:color="auto"/>
        <w:bottom w:val="none" w:sz="0" w:space="0" w:color="auto"/>
        <w:right w:val="none" w:sz="0" w:space="0" w:color="auto"/>
      </w:divBdr>
    </w:div>
    <w:div w:id="1502112850">
      <w:bodyDiv w:val="1"/>
      <w:marLeft w:val="0"/>
      <w:marRight w:val="0"/>
      <w:marTop w:val="0"/>
      <w:marBottom w:val="0"/>
      <w:divBdr>
        <w:top w:val="none" w:sz="0" w:space="0" w:color="auto"/>
        <w:left w:val="none" w:sz="0" w:space="0" w:color="auto"/>
        <w:bottom w:val="none" w:sz="0" w:space="0" w:color="auto"/>
        <w:right w:val="none" w:sz="0" w:space="0" w:color="auto"/>
      </w:divBdr>
    </w:div>
    <w:div w:id="1641223605">
      <w:bodyDiv w:val="1"/>
      <w:marLeft w:val="0"/>
      <w:marRight w:val="0"/>
      <w:marTop w:val="0"/>
      <w:marBottom w:val="0"/>
      <w:divBdr>
        <w:top w:val="none" w:sz="0" w:space="0" w:color="auto"/>
        <w:left w:val="none" w:sz="0" w:space="0" w:color="auto"/>
        <w:bottom w:val="none" w:sz="0" w:space="0" w:color="auto"/>
        <w:right w:val="none" w:sz="0" w:space="0" w:color="auto"/>
      </w:divBdr>
    </w:div>
    <w:div w:id="1680228344">
      <w:bodyDiv w:val="1"/>
      <w:marLeft w:val="0"/>
      <w:marRight w:val="0"/>
      <w:marTop w:val="0"/>
      <w:marBottom w:val="0"/>
      <w:divBdr>
        <w:top w:val="none" w:sz="0" w:space="0" w:color="auto"/>
        <w:left w:val="none" w:sz="0" w:space="0" w:color="auto"/>
        <w:bottom w:val="none" w:sz="0" w:space="0" w:color="auto"/>
        <w:right w:val="none" w:sz="0" w:space="0" w:color="auto"/>
      </w:divBdr>
      <w:divsChild>
        <w:div w:id="289358738">
          <w:marLeft w:val="0"/>
          <w:marRight w:val="0"/>
          <w:marTop w:val="0"/>
          <w:marBottom w:val="0"/>
          <w:divBdr>
            <w:top w:val="none" w:sz="0" w:space="0" w:color="auto"/>
            <w:left w:val="none" w:sz="0" w:space="0" w:color="auto"/>
            <w:bottom w:val="none" w:sz="0" w:space="0" w:color="auto"/>
            <w:right w:val="none" w:sz="0" w:space="0" w:color="auto"/>
          </w:divBdr>
          <w:divsChild>
            <w:div w:id="861018411">
              <w:marLeft w:val="0"/>
              <w:marRight w:val="0"/>
              <w:marTop w:val="0"/>
              <w:marBottom w:val="0"/>
              <w:divBdr>
                <w:top w:val="none" w:sz="0" w:space="0" w:color="auto"/>
                <w:left w:val="none" w:sz="0" w:space="0" w:color="auto"/>
                <w:bottom w:val="none" w:sz="0" w:space="0" w:color="auto"/>
                <w:right w:val="none" w:sz="0" w:space="0" w:color="auto"/>
              </w:divBdr>
              <w:divsChild>
                <w:div w:id="531842551">
                  <w:marLeft w:val="0"/>
                  <w:marRight w:val="0"/>
                  <w:marTop w:val="0"/>
                  <w:marBottom w:val="0"/>
                  <w:divBdr>
                    <w:top w:val="none" w:sz="0" w:space="0" w:color="auto"/>
                    <w:left w:val="none" w:sz="0" w:space="0" w:color="auto"/>
                    <w:bottom w:val="none" w:sz="0" w:space="0" w:color="auto"/>
                    <w:right w:val="none" w:sz="0" w:space="0" w:color="auto"/>
                  </w:divBdr>
                  <w:divsChild>
                    <w:div w:id="2138067477">
                      <w:marLeft w:val="0"/>
                      <w:marRight w:val="0"/>
                      <w:marTop w:val="0"/>
                      <w:marBottom w:val="0"/>
                      <w:divBdr>
                        <w:top w:val="none" w:sz="0" w:space="0" w:color="auto"/>
                        <w:left w:val="none" w:sz="0" w:space="0" w:color="auto"/>
                        <w:bottom w:val="none" w:sz="0" w:space="0" w:color="auto"/>
                        <w:right w:val="none" w:sz="0" w:space="0" w:color="auto"/>
                      </w:divBdr>
                      <w:divsChild>
                        <w:div w:id="1530801695">
                          <w:marLeft w:val="0"/>
                          <w:marRight w:val="0"/>
                          <w:marTop w:val="0"/>
                          <w:marBottom w:val="0"/>
                          <w:divBdr>
                            <w:top w:val="none" w:sz="0" w:space="0" w:color="auto"/>
                            <w:left w:val="none" w:sz="0" w:space="0" w:color="auto"/>
                            <w:bottom w:val="none" w:sz="0" w:space="0" w:color="auto"/>
                            <w:right w:val="none" w:sz="0" w:space="0" w:color="auto"/>
                          </w:divBdr>
                          <w:divsChild>
                            <w:div w:id="107192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0077195">
      <w:bodyDiv w:val="1"/>
      <w:marLeft w:val="0"/>
      <w:marRight w:val="0"/>
      <w:marTop w:val="0"/>
      <w:marBottom w:val="0"/>
      <w:divBdr>
        <w:top w:val="none" w:sz="0" w:space="0" w:color="auto"/>
        <w:left w:val="none" w:sz="0" w:space="0" w:color="auto"/>
        <w:bottom w:val="none" w:sz="0" w:space="0" w:color="auto"/>
        <w:right w:val="none" w:sz="0" w:space="0" w:color="auto"/>
      </w:divBdr>
    </w:div>
    <w:div w:id="1863085346">
      <w:bodyDiv w:val="1"/>
      <w:marLeft w:val="0"/>
      <w:marRight w:val="0"/>
      <w:marTop w:val="0"/>
      <w:marBottom w:val="0"/>
      <w:divBdr>
        <w:top w:val="none" w:sz="0" w:space="0" w:color="auto"/>
        <w:left w:val="none" w:sz="0" w:space="0" w:color="auto"/>
        <w:bottom w:val="none" w:sz="0" w:space="0" w:color="auto"/>
        <w:right w:val="none" w:sz="0" w:space="0" w:color="auto"/>
      </w:divBdr>
    </w:div>
    <w:div w:id="1921519193">
      <w:bodyDiv w:val="1"/>
      <w:marLeft w:val="0"/>
      <w:marRight w:val="0"/>
      <w:marTop w:val="0"/>
      <w:marBottom w:val="0"/>
      <w:divBdr>
        <w:top w:val="none" w:sz="0" w:space="0" w:color="auto"/>
        <w:left w:val="none" w:sz="0" w:space="0" w:color="auto"/>
        <w:bottom w:val="none" w:sz="0" w:space="0" w:color="auto"/>
        <w:right w:val="none" w:sz="0" w:space="0" w:color="auto"/>
      </w:divBdr>
    </w:div>
    <w:div w:id="1948341878">
      <w:bodyDiv w:val="1"/>
      <w:marLeft w:val="0"/>
      <w:marRight w:val="0"/>
      <w:marTop w:val="0"/>
      <w:marBottom w:val="0"/>
      <w:divBdr>
        <w:top w:val="none" w:sz="0" w:space="0" w:color="auto"/>
        <w:left w:val="none" w:sz="0" w:space="0" w:color="auto"/>
        <w:bottom w:val="none" w:sz="0" w:space="0" w:color="auto"/>
        <w:right w:val="none" w:sz="0" w:space="0" w:color="auto"/>
      </w:divBdr>
    </w:div>
    <w:div w:id="1962496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smeticsbusiness.com/the-inkey-list-to-increase-prices-in-2023-due-to-the-big-squeeze-205435" TargetMode="External"/><Relationship Id="rId13" Type="http://schemas.openxmlformats.org/officeDocument/2006/relationships/hyperlink" Target="https://www.globaldata.com/store/report/tech-trends-in-retail-bundle/" TargetMode="External"/><Relationship Id="rId18" Type="http://schemas.openxmlformats.org/officeDocument/2006/relationships/hyperlink" Target="https://www.oecd.org"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guardian.com/environment/2021/jan/25/sustainable-beauty-the-growing-demand-for-green-products" TargetMode="External"/><Relationship Id="rId7" Type="http://schemas.openxmlformats.org/officeDocument/2006/relationships/endnotes" Target="endnotes.xml"/><Relationship Id="rId12" Type="http://schemas.openxmlformats.org/officeDocument/2006/relationships/hyperlink" Target="https://ec.europa.eu" TargetMode="External"/><Relationship Id="rId17" Type="http://schemas.openxmlformats.org/officeDocument/2006/relationships/hyperlink" Target="https://www.mintel.co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ckinsey.com/industries/retail/our-insights/the-state-of-fashion-2020-navigating-uncertainty" TargetMode="External"/><Relationship Id="rId20" Type="http://schemas.openxmlformats.org/officeDocument/2006/relationships/hyperlink" Target="https://www.statista.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euromonitor.com/rs/805-KOK-719/images/csMarketMeasurementv1.3.pdf" TargetMode="External"/><Relationship Id="rId24" Type="http://schemas.openxmlformats.org/officeDocument/2006/relationships/hyperlink" Target="https://uk.theinkeylist.com/pages/people" TargetMode="External"/><Relationship Id="rId5" Type="http://schemas.openxmlformats.org/officeDocument/2006/relationships/webSettings" Target="webSettings.xml"/><Relationship Id="rId15" Type="http://schemas.openxmlformats.org/officeDocument/2006/relationships/hyperlink" Target="https://beautyindustryjournal.com/" TargetMode="External"/><Relationship Id="rId23" Type="http://schemas.openxmlformats.org/officeDocument/2006/relationships/hyperlink" Target="https://uk.theinkeylist.com/pages/knowledge-powers-change" TargetMode="External"/><Relationship Id="rId10" Type="http://schemas.openxmlformats.org/officeDocument/2006/relationships/hyperlink" Target="https://www2.deloitte.com/global/en/pages/consumer-business/articles/global-powers-of-retailing.html" TargetMode="External"/><Relationship Id="rId19" Type="http://schemas.openxmlformats.org/officeDocument/2006/relationships/hyperlink" Target="https://www.raps.org/news-and-articles/news-articles/2019/8/evolving-cosmetic-ingredient-regulations-in-the-eu" TargetMode="External"/><Relationship Id="rId4" Type="http://schemas.openxmlformats.org/officeDocument/2006/relationships/settings" Target="settings.xml"/><Relationship Id="rId9" Type="http://schemas.openxmlformats.org/officeDocument/2006/relationships/hyperlink" Target="https://www.cosmeticsbusiness.com/exclusive-the-inkey-list-s-ai-analysis-tool-tackling" TargetMode="External"/><Relationship Id="rId14" Type="http://schemas.openxmlformats.org/officeDocument/2006/relationships/hyperlink" Target="https://home.kpmg/xx/en/home/industries/consumer-industrial-markets.html" TargetMode="External"/><Relationship Id="rId22" Type="http://schemas.openxmlformats.org/officeDocument/2006/relationships/hyperlink" Target="https://uk.theinkeylist.com/pages/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D21D53-ACFF-4EA6-ACC8-064B51CB2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5626</Words>
  <Characters>32073</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 Mhanna (2119514)</dc:creator>
  <cp:keywords/>
  <dc:description/>
  <cp:lastModifiedBy>Samir Mhanna (2119514)</cp:lastModifiedBy>
  <cp:revision>7</cp:revision>
  <dcterms:created xsi:type="dcterms:W3CDTF">2024-07-04T19:36:00Z</dcterms:created>
  <dcterms:modified xsi:type="dcterms:W3CDTF">2024-07-07T20:11:00Z</dcterms:modified>
</cp:coreProperties>
</file>