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555F7CF" w14:textId="77777777" w:rsidR="00670DA8" w:rsidRDefault="00000000">
      <w:pPr>
        <w:spacing w:line="259" w:lineRule="auto"/>
        <w:jc w:val="center"/>
      </w:pPr>
      <w:r>
        <w:rPr>
          <w:noProof/>
        </w:rPr>
        <w:drawing>
          <wp:inline distT="0" distB="0" distL="0" distR="0" wp14:anchorId="1EAD8836" wp14:editId="024F2F20">
            <wp:extent cx="2742617" cy="1037238"/>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6"/>
                    <a:srcRect t="16596" b="15329"/>
                    <a:stretch>
                      <a:fillRect/>
                    </a:stretch>
                  </pic:blipFill>
                  <pic:spPr>
                    <a:xfrm>
                      <a:off x="0" y="0"/>
                      <a:ext cx="2742617" cy="1037238"/>
                    </a:xfrm>
                    <a:prstGeom prst="rect">
                      <a:avLst/>
                    </a:prstGeom>
                    <a:ln/>
                  </pic:spPr>
                </pic:pic>
              </a:graphicData>
            </a:graphic>
          </wp:inline>
        </w:drawing>
      </w:r>
    </w:p>
    <w:p w14:paraId="5E10ABCB" w14:textId="77777777" w:rsidR="00670DA8" w:rsidRDefault="00000000">
      <w:pPr>
        <w:jc w:val="center"/>
        <w:rPr>
          <w:sz w:val="32"/>
          <w:szCs w:val="32"/>
        </w:rPr>
      </w:pPr>
      <w:r>
        <w:rPr>
          <w:b/>
          <w:sz w:val="32"/>
          <w:szCs w:val="32"/>
        </w:rPr>
        <w:t>BA Business Management</w:t>
      </w:r>
    </w:p>
    <w:p w14:paraId="409B84A8" w14:textId="77777777" w:rsidR="00670DA8" w:rsidRDefault="00000000">
      <w:pPr>
        <w:jc w:val="center"/>
        <w:rPr>
          <w:sz w:val="32"/>
          <w:szCs w:val="32"/>
        </w:rPr>
      </w:pPr>
      <w:r>
        <w:rPr>
          <w:b/>
          <w:sz w:val="32"/>
          <w:szCs w:val="32"/>
        </w:rPr>
        <w:t>Module: LCBB6001 International Business Communications</w:t>
      </w:r>
      <w:r>
        <w:rPr>
          <w:b/>
          <w:sz w:val="32"/>
          <w:szCs w:val="32"/>
        </w:rPr>
        <w:br/>
        <w:t>Component 2</w:t>
      </w:r>
    </w:p>
    <w:p w14:paraId="293CE8D0" w14:textId="77777777" w:rsidR="00670DA8" w:rsidRDefault="00000000">
      <w:pPr>
        <w:jc w:val="center"/>
        <w:rPr>
          <w:sz w:val="32"/>
          <w:szCs w:val="32"/>
        </w:rPr>
      </w:pPr>
      <w:r>
        <w:rPr>
          <w:b/>
          <w:sz w:val="32"/>
          <w:szCs w:val="32"/>
        </w:rPr>
        <w:t>Practical: Presentation</w:t>
      </w:r>
    </w:p>
    <w:p w14:paraId="20BC4DDA" w14:textId="77777777" w:rsidR="00670DA8" w:rsidRDefault="00670DA8">
      <w:pPr>
        <w:spacing w:line="259" w:lineRule="auto"/>
        <w:jc w:val="left"/>
        <w:rPr>
          <w:b/>
        </w:rPr>
      </w:pPr>
    </w:p>
    <w:p w14:paraId="73037950" w14:textId="77777777" w:rsidR="00670DA8" w:rsidRDefault="00670DA8">
      <w:pPr>
        <w:spacing w:line="259" w:lineRule="auto"/>
        <w:jc w:val="left"/>
        <w:rPr>
          <w:b/>
        </w:rPr>
      </w:pPr>
    </w:p>
    <w:p w14:paraId="6751D916" w14:textId="77777777" w:rsidR="00670DA8" w:rsidRDefault="00670DA8">
      <w:pPr>
        <w:spacing w:line="259" w:lineRule="auto"/>
        <w:jc w:val="left"/>
        <w:rPr>
          <w:b/>
        </w:rPr>
      </w:pPr>
    </w:p>
    <w:p w14:paraId="4A0217E7" w14:textId="77777777" w:rsidR="00670DA8" w:rsidRDefault="00670DA8">
      <w:pPr>
        <w:spacing w:line="259" w:lineRule="auto"/>
        <w:jc w:val="left"/>
        <w:rPr>
          <w:b/>
        </w:rPr>
      </w:pPr>
    </w:p>
    <w:p w14:paraId="4D5BDCDF" w14:textId="77777777" w:rsidR="00670DA8" w:rsidRDefault="00670DA8">
      <w:pPr>
        <w:spacing w:line="259" w:lineRule="auto"/>
        <w:jc w:val="left"/>
        <w:rPr>
          <w:b/>
        </w:rPr>
      </w:pPr>
    </w:p>
    <w:p w14:paraId="58353CB0" w14:textId="77777777" w:rsidR="00670DA8" w:rsidRDefault="00670DA8">
      <w:pPr>
        <w:spacing w:line="259" w:lineRule="auto"/>
        <w:jc w:val="left"/>
        <w:rPr>
          <w:b/>
        </w:rPr>
      </w:pPr>
    </w:p>
    <w:p w14:paraId="0D661870" w14:textId="0D00719E" w:rsidR="00670DA8" w:rsidRDefault="00000000">
      <w:pPr>
        <w:spacing w:line="259" w:lineRule="auto"/>
        <w:jc w:val="left"/>
        <w:rPr>
          <w:sz w:val="28"/>
          <w:szCs w:val="28"/>
        </w:rPr>
      </w:pPr>
      <w:r>
        <w:rPr>
          <w:b/>
          <w:sz w:val="28"/>
          <w:szCs w:val="28"/>
        </w:rPr>
        <w:t>Student Name:</w:t>
      </w:r>
      <w:r w:rsidR="004B2C80">
        <w:rPr>
          <w:b/>
          <w:sz w:val="28"/>
          <w:szCs w:val="28"/>
        </w:rPr>
        <w:t xml:space="preserve">  GINA Velicu</w:t>
      </w:r>
    </w:p>
    <w:p w14:paraId="20C434C4" w14:textId="64D36306" w:rsidR="00670DA8" w:rsidRDefault="00000000">
      <w:pPr>
        <w:spacing w:line="259" w:lineRule="auto"/>
        <w:jc w:val="left"/>
        <w:rPr>
          <w:sz w:val="28"/>
          <w:szCs w:val="28"/>
        </w:rPr>
      </w:pPr>
      <w:r>
        <w:rPr>
          <w:b/>
          <w:sz w:val="28"/>
          <w:szCs w:val="28"/>
        </w:rPr>
        <w:t>Student ID:</w:t>
      </w:r>
      <w:r w:rsidR="004B2C80">
        <w:rPr>
          <w:b/>
          <w:sz w:val="28"/>
          <w:szCs w:val="28"/>
        </w:rPr>
        <w:t xml:space="preserve">  2028707</w:t>
      </w:r>
    </w:p>
    <w:p w14:paraId="2228FFE6" w14:textId="77777777" w:rsidR="00670DA8" w:rsidRDefault="00000000">
      <w:pPr>
        <w:spacing w:line="259" w:lineRule="auto"/>
        <w:jc w:val="left"/>
      </w:pPr>
      <w:r>
        <w:br w:type="page"/>
      </w:r>
    </w:p>
    <w:p w14:paraId="19EDD2FA" w14:textId="77777777" w:rsidR="00670DA8" w:rsidRDefault="00000000">
      <w:pPr>
        <w:keepNext/>
        <w:keepLines/>
        <w:pBdr>
          <w:top w:val="nil"/>
          <w:left w:val="nil"/>
          <w:bottom w:val="nil"/>
          <w:right w:val="nil"/>
          <w:between w:val="nil"/>
        </w:pBdr>
        <w:spacing w:before="240" w:after="0" w:line="259" w:lineRule="auto"/>
        <w:jc w:val="left"/>
        <w:rPr>
          <w:rFonts w:ascii="Play" w:eastAsia="Play" w:hAnsi="Play" w:cs="Play"/>
          <w:color w:val="0F4761"/>
          <w:sz w:val="32"/>
          <w:szCs w:val="32"/>
        </w:rPr>
      </w:pPr>
      <w:r>
        <w:rPr>
          <w:rFonts w:ascii="Play" w:eastAsia="Play" w:hAnsi="Play" w:cs="Play"/>
          <w:color w:val="0F4761"/>
          <w:sz w:val="32"/>
          <w:szCs w:val="32"/>
        </w:rPr>
        <w:lastRenderedPageBreak/>
        <w:t>Contents</w:t>
      </w:r>
    </w:p>
    <w:sdt>
      <w:sdtPr>
        <w:id w:val="-2129380357"/>
        <w:docPartObj>
          <w:docPartGallery w:val="Table of Contents"/>
          <w:docPartUnique/>
        </w:docPartObj>
      </w:sdtPr>
      <w:sdtContent>
        <w:p w14:paraId="53C3920B" w14:textId="77777777" w:rsidR="00670DA8" w:rsidRDefault="00000000">
          <w:pPr>
            <w:pBdr>
              <w:top w:val="nil"/>
              <w:left w:val="nil"/>
              <w:bottom w:val="nil"/>
              <w:right w:val="nil"/>
              <w:between w:val="nil"/>
            </w:pBdr>
            <w:tabs>
              <w:tab w:val="right" w:leader="dot" w:pos="9350"/>
            </w:tabs>
            <w:spacing w:after="100"/>
            <w:rPr>
              <w:color w:val="000000"/>
            </w:rPr>
          </w:pPr>
          <w:r>
            <w:fldChar w:fldCharType="begin"/>
          </w:r>
          <w:r>
            <w:instrText xml:space="preserve"> TOC \h \u \z \t "Heading 1,1,Heading 2,2,Heading 3,3,"</w:instrText>
          </w:r>
          <w:r>
            <w:fldChar w:fldCharType="separate"/>
          </w:r>
          <w:hyperlink w:anchor="_gjdgxs">
            <w:r>
              <w:rPr>
                <w:color w:val="000000"/>
              </w:rPr>
              <w:t>Introduction</w:t>
            </w:r>
            <w:r>
              <w:rPr>
                <w:color w:val="000000"/>
              </w:rPr>
              <w:tab/>
              <w:t>3</w:t>
            </w:r>
          </w:hyperlink>
        </w:p>
        <w:p w14:paraId="10C685F1" w14:textId="77777777" w:rsidR="00670DA8" w:rsidRDefault="00000000">
          <w:pPr>
            <w:pBdr>
              <w:top w:val="nil"/>
              <w:left w:val="nil"/>
              <w:bottom w:val="nil"/>
              <w:right w:val="nil"/>
              <w:between w:val="nil"/>
            </w:pBdr>
            <w:tabs>
              <w:tab w:val="right" w:leader="dot" w:pos="9350"/>
            </w:tabs>
            <w:spacing w:after="100"/>
            <w:rPr>
              <w:color w:val="000000"/>
            </w:rPr>
          </w:pPr>
          <w:hyperlink w:anchor="_30j0zll">
            <w:r>
              <w:rPr>
                <w:color w:val="000000"/>
              </w:rPr>
              <w:t>Overview of Ferguson Plc</w:t>
            </w:r>
            <w:r>
              <w:rPr>
                <w:color w:val="000000"/>
              </w:rPr>
              <w:tab/>
              <w:t>4</w:t>
            </w:r>
          </w:hyperlink>
        </w:p>
        <w:p w14:paraId="2B0D2F24" w14:textId="77777777" w:rsidR="00670DA8" w:rsidRDefault="00000000">
          <w:pPr>
            <w:pBdr>
              <w:top w:val="nil"/>
              <w:left w:val="nil"/>
              <w:bottom w:val="nil"/>
              <w:right w:val="nil"/>
              <w:between w:val="nil"/>
            </w:pBdr>
            <w:tabs>
              <w:tab w:val="right" w:leader="dot" w:pos="9350"/>
            </w:tabs>
            <w:spacing w:after="100"/>
            <w:rPr>
              <w:color w:val="000000"/>
            </w:rPr>
          </w:pPr>
          <w:hyperlink w:anchor="_1fob9te">
            <w:r>
              <w:rPr>
                <w:color w:val="000000"/>
              </w:rPr>
              <w:t>Rationale For Choosing Germany</w:t>
            </w:r>
            <w:r>
              <w:rPr>
                <w:color w:val="000000"/>
              </w:rPr>
              <w:tab/>
              <w:t>5</w:t>
            </w:r>
          </w:hyperlink>
        </w:p>
        <w:p w14:paraId="33D64195" w14:textId="77777777" w:rsidR="00670DA8" w:rsidRDefault="00000000">
          <w:pPr>
            <w:pBdr>
              <w:top w:val="nil"/>
              <w:left w:val="nil"/>
              <w:bottom w:val="nil"/>
              <w:right w:val="nil"/>
              <w:between w:val="nil"/>
            </w:pBdr>
            <w:tabs>
              <w:tab w:val="right" w:leader="dot" w:pos="9350"/>
            </w:tabs>
            <w:spacing w:after="100"/>
            <w:rPr>
              <w:color w:val="000000"/>
            </w:rPr>
          </w:pPr>
          <w:hyperlink w:anchor="_3znysh7">
            <w:r>
              <w:rPr>
                <w:color w:val="000000"/>
              </w:rPr>
              <w:t>German Business Culture</w:t>
            </w:r>
            <w:r>
              <w:rPr>
                <w:color w:val="000000"/>
              </w:rPr>
              <w:tab/>
              <w:t>6</w:t>
            </w:r>
          </w:hyperlink>
        </w:p>
        <w:p w14:paraId="3D9ED23D" w14:textId="77777777" w:rsidR="00670DA8" w:rsidRDefault="00000000">
          <w:pPr>
            <w:pBdr>
              <w:top w:val="nil"/>
              <w:left w:val="nil"/>
              <w:bottom w:val="nil"/>
              <w:right w:val="nil"/>
              <w:between w:val="nil"/>
            </w:pBdr>
            <w:tabs>
              <w:tab w:val="right" w:leader="dot" w:pos="9350"/>
            </w:tabs>
            <w:spacing w:after="100"/>
            <w:rPr>
              <w:color w:val="000000"/>
            </w:rPr>
          </w:pPr>
          <w:hyperlink w:anchor="_2et92p0">
            <w:r>
              <w:rPr>
                <w:color w:val="000000"/>
              </w:rPr>
              <w:t>British Business Culture</w:t>
            </w:r>
            <w:r>
              <w:rPr>
                <w:color w:val="000000"/>
              </w:rPr>
              <w:tab/>
              <w:t>7</w:t>
            </w:r>
          </w:hyperlink>
        </w:p>
        <w:p w14:paraId="10F43139" w14:textId="77777777" w:rsidR="00670DA8" w:rsidRDefault="00000000">
          <w:pPr>
            <w:pBdr>
              <w:top w:val="nil"/>
              <w:left w:val="nil"/>
              <w:bottom w:val="nil"/>
              <w:right w:val="nil"/>
              <w:between w:val="nil"/>
            </w:pBdr>
            <w:tabs>
              <w:tab w:val="right" w:leader="dot" w:pos="9350"/>
            </w:tabs>
            <w:spacing w:after="100"/>
            <w:rPr>
              <w:color w:val="000000"/>
            </w:rPr>
          </w:pPr>
          <w:hyperlink w:anchor="_tyjcwt">
            <w:r>
              <w:rPr>
                <w:color w:val="000000"/>
              </w:rPr>
              <w:t>Communication Barriers</w:t>
            </w:r>
            <w:r>
              <w:rPr>
                <w:color w:val="000000"/>
              </w:rPr>
              <w:tab/>
              <w:t>8</w:t>
            </w:r>
          </w:hyperlink>
        </w:p>
        <w:p w14:paraId="031120FE" w14:textId="77777777" w:rsidR="00670DA8" w:rsidRDefault="00000000">
          <w:pPr>
            <w:pBdr>
              <w:top w:val="nil"/>
              <w:left w:val="nil"/>
              <w:bottom w:val="nil"/>
              <w:right w:val="nil"/>
              <w:between w:val="nil"/>
            </w:pBdr>
            <w:tabs>
              <w:tab w:val="right" w:leader="dot" w:pos="9350"/>
            </w:tabs>
            <w:spacing w:after="100"/>
            <w:rPr>
              <w:color w:val="000000"/>
            </w:rPr>
          </w:pPr>
          <w:hyperlink w:anchor="_3dy6vkm">
            <w:r>
              <w:rPr>
                <w:color w:val="000000"/>
              </w:rPr>
              <w:t>Strategies to Overcome Barriers</w:t>
            </w:r>
            <w:r>
              <w:rPr>
                <w:color w:val="000000"/>
              </w:rPr>
              <w:tab/>
              <w:t>9</w:t>
            </w:r>
          </w:hyperlink>
        </w:p>
        <w:p w14:paraId="432B561D" w14:textId="77777777" w:rsidR="00670DA8" w:rsidRDefault="00000000">
          <w:pPr>
            <w:pBdr>
              <w:top w:val="nil"/>
              <w:left w:val="nil"/>
              <w:bottom w:val="nil"/>
              <w:right w:val="nil"/>
              <w:between w:val="nil"/>
            </w:pBdr>
            <w:tabs>
              <w:tab w:val="right" w:leader="dot" w:pos="9350"/>
            </w:tabs>
            <w:spacing w:after="100"/>
            <w:rPr>
              <w:color w:val="000000"/>
            </w:rPr>
          </w:pPr>
          <w:hyperlink w:anchor="_1t3h5sf">
            <w:r>
              <w:rPr>
                <w:color w:val="000000"/>
              </w:rPr>
              <w:t>Conclusion</w:t>
            </w:r>
            <w:r>
              <w:rPr>
                <w:color w:val="000000"/>
              </w:rPr>
              <w:tab/>
              <w:t>10</w:t>
            </w:r>
          </w:hyperlink>
        </w:p>
        <w:p w14:paraId="709365F5" w14:textId="77777777" w:rsidR="00670DA8" w:rsidRDefault="00000000">
          <w:pPr>
            <w:pBdr>
              <w:top w:val="nil"/>
              <w:left w:val="nil"/>
              <w:bottom w:val="nil"/>
              <w:right w:val="nil"/>
              <w:between w:val="nil"/>
            </w:pBdr>
            <w:tabs>
              <w:tab w:val="right" w:leader="dot" w:pos="9350"/>
            </w:tabs>
            <w:spacing w:after="100"/>
            <w:rPr>
              <w:color w:val="000000"/>
            </w:rPr>
          </w:pPr>
          <w:hyperlink w:anchor="_4d34og8">
            <w:r>
              <w:rPr>
                <w:color w:val="000000"/>
              </w:rPr>
              <w:t>References</w:t>
            </w:r>
            <w:r>
              <w:rPr>
                <w:color w:val="000000"/>
              </w:rPr>
              <w:tab/>
              <w:t>11</w:t>
            </w:r>
          </w:hyperlink>
        </w:p>
        <w:p w14:paraId="61BB6D86" w14:textId="77777777" w:rsidR="00670DA8" w:rsidRDefault="00000000">
          <w:r>
            <w:fldChar w:fldCharType="end"/>
          </w:r>
        </w:p>
      </w:sdtContent>
    </w:sdt>
    <w:p w14:paraId="6E65A1E4" w14:textId="77777777" w:rsidR="00670DA8" w:rsidRDefault="00000000">
      <w:pPr>
        <w:spacing w:line="259" w:lineRule="auto"/>
        <w:jc w:val="left"/>
      </w:pPr>
      <w:r>
        <w:br w:type="page"/>
      </w:r>
    </w:p>
    <w:p w14:paraId="4C009D77" w14:textId="77777777" w:rsidR="00670DA8" w:rsidRDefault="00000000">
      <w:r>
        <w:rPr>
          <w:noProof/>
        </w:rPr>
        <w:lastRenderedPageBreak/>
        <w:drawing>
          <wp:inline distT="0" distB="0" distL="0" distR="0" wp14:anchorId="32CF983F" wp14:editId="61107683">
            <wp:extent cx="5739263" cy="3228554"/>
            <wp:effectExtent l="0" t="0" r="0" b="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7"/>
                    <a:srcRect/>
                    <a:stretch>
                      <a:fillRect/>
                    </a:stretch>
                  </pic:blipFill>
                  <pic:spPr>
                    <a:xfrm>
                      <a:off x="0" y="0"/>
                      <a:ext cx="5739263" cy="3228554"/>
                    </a:xfrm>
                    <a:prstGeom prst="rect">
                      <a:avLst/>
                    </a:prstGeom>
                    <a:ln/>
                  </pic:spPr>
                </pic:pic>
              </a:graphicData>
            </a:graphic>
          </wp:inline>
        </w:drawing>
      </w:r>
    </w:p>
    <w:p w14:paraId="4EA5BEF6" w14:textId="77777777" w:rsidR="00670DA8" w:rsidRDefault="00000000">
      <w:pPr>
        <w:pStyle w:val="Heading1"/>
      </w:pPr>
      <w:bookmarkStart w:id="0" w:name="_gjdgxs" w:colFirst="0" w:colLast="0"/>
      <w:bookmarkEnd w:id="0"/>
      <w:r>
        <w:t>Introduction</w:t>
      </w:r>
    </w:p>
    <w:p w14:paraId="479BD050" w14:textId="77777777" w:rsidR="00670DA8" w:rsidRDefault="00000000">
      <w:r>
        <w:t xml:space="preserve">Ferguson Plc is one of the biggest UK-based multinationals that has interest in expanding its management office overseas to cater for the strong German market. As a part of this presentation, Paradigms of Intercultural Communication Between the UK and Germany, comparative analysis of cultural differences between the two countries will be discussed in detail. In our case, we shall discuss the cultural issues for the organization and give guidelines to avoid the pitfalls of expansion. Knowledge of these subtleties and shades is important for the further development of a </w:t>
      </w:r>
      <w:proofErr w:type="spellStart"/>
      <w:r>
        <w:t>favourable</w:t>
      </w:r>
      <w:proofErr w:type="spellEnd"/>
      <w:r>
        <w:t xml:space="preserve"> business climate and subsequent success in the chosen market.</w:t>
      </w:r>
    </w:p>
    <w:p w14:paraId="3F936AF3" w14:textId="77777777" w:rsidR="00670DA8" w:rsidRDefault="00000000">
      <w:pPr>
        <w:spacing w:line="259" w:lineRule="auto"/>
        <w:jc w:val="left"/>
        <w:rPr>
          <w:b/>
          <w:sz w:val="32"/>
          <w:szCs w:val="32"/>
        </w:rPr>
      </w:pPr>
      <w:r>
        <w:br w:type="page"/>
      </w:r>
      <w:r>
        <w:rPr>
          <w:noProof/>
        </w:rPr>
        <w:lastRenderedPageBreak/>
        <w:drawing>
          <wp:inline distT="0" distB="0" distL="0" distR="0" wp14:anchorId="4F9F7753" wp14:editId="33B18F08">
            <wp:extent cx="5599847" cy="3150126"/>
            <wp:effectExtent l="0" t="0" r="0" b="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8"/>
                    <a:srcRect/>
                    <a:stretch>
                      <a:fillRect/>
                    </a:stretch>
                  </pic:blipFill>
                  <pic:spPr>
                    <a:xfrm>
                      <a:off x="0" y="0"/>
                      <a:ext cx="5599847" cy="3150126"/>
                    </a:xfrm>
                    <a:prstGeom prst="rect">
                      <a:avLst/>
                    </a:prstGeom>
                    <a:ln/>
                  </pic:spPr>
                </pic:pic>
              </a:graphicData>
            </a:graphic>
          </wp:inline>
        </w:drawing>
      </w:r>
    </w:p>
    <w:p w14:paraId="157AB69C" w14:textId="77777777" w:rsidR="00670DA8" w:rsidRDefault="00000000">
      <w:pPr>
        <w:pStyle w:val="Heading1"/>
      </w:pPr>
      <w:bookmarkStart w:id="1" w:name="_30j0zll" w:colFirst="0" w:colLast="0"/>
      <w:bookmarkEnd w:id="1"/>
      <w:r>
        <w:t>Overview of Ferguson Plc</w:t>
      </w:r>
    </w:p>
    <w:p w14:paraId="1FBC3958" w14:textId="77777777" w:rsidR="00670DA8" w:rsidRDefault="00000000">
      <w:r>
        <w:t>Ferguson Plc is UK based multinational company dealing in plumbing and heating products throughout the world. Ferguson was started in 1887 and has expanded to be a large company supplying construction materials and building services in North America and the United Kingdom (Ferguson, 2024). It is established with a reputation for the provision of innovative solutions, quality products, and a customer-centered orientation. Ferguson plans to extend its operations geographically due to a strategic concentration on sustainability and technological advancement. The proposed establishment of a management office in Germany is consistent with Ferguson’s strategic objectives to improve its market position in Europe, tap into the German industrial fundamentals and position the company for sustainable future growth and profitability.</w:t>
      </w:r>
    </w:p>
    <w:p w14:paraId="12F0A110" w14:textId="77777777" w:rsidR="00670DA8" w:rsidRDefault="00000000">
      <w:pPr>
        <w:spacing w:line="259" w:lineRule="auto"/>
        <w:jc w:val="left"/>
        <w:rPr>
          <w:b/>
          <w:sz w:val="32"/>
          <w:szCs w:val="32"/>
        </w:rPr>
      </w:pPr>
      <w:r>
        <w:br w:type="page"/>
      </w:r>
      <w:r>
        <w:rPr>
          <w:noProof/>
        </w:rPr>
        <w:lastRenderedPageBreak/>
        <w:drawing>
          <wp:inline distT="0" distB="0" distL="0" distR="0" wp14:anchorId="3DC9049E" wp14:editId="63C2EBA7">
            <wp:extent cx="5492798" cy="3089908"/>
            <wp:effectExtent l="0" t="0" r="0" b="0"/>
            <wp:docPr id="10"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9"/>
                    <a:srcRect/>
                    <a:stretch>
                      <a:fillRect/>
                    </a:stretch>
                  </pic:blipFill>
                  <pic:spPr>
                    <a:xfrm>
                      <a:off x="0" y="0"/>
                      <a:ext cx="5492798" cy="3089908"/>
                    </a:xfrm>
                    <a:prstGeom prst="rect">
                      <a:avLst/>
                    </a:prstGeom>
                    <a:ln/>
                  </pic:spPr>
                </pic:pic>
              </a:graphicData>
            </a:graphic>
          </wp:inline>
        </w:drawing>
      </w:r>
    </w:p>
    <w:p w14:paraId="345FB037" w14:textId="77777777" w:rsidR="00670DA8" w:rsidRDefault="00000000">
      <w:pPr>
        <w:pStyle w:val="Heading1"/>
      </w:pPr>
      <w:bookmarkStart w:id="2" w:name="_1fob9te" w:colFirst="0" w:colLast="0"/>
      <w:bookmarkEnd w:id="2"/>
      <w:r>
        <w:t>Rationale For Choosing Germany</w:t>
      </w:r>
    </w:p>
    <w:p w14:paraId="55F7F9CF" w14:textId="77777777" w:rsidR="00670DA8" w:rsidRDefault="00000000">
      <w:bookmarkStart w:id="3" w:name="_2s8eyo1" w:colFirst="0" w:colLast="0"/>
      <w:bookmarkEnd w:id="3"/>
      <w:r>
        <w:t xml:space="preserve">Currently Germany has the largest economy in the EU with a GDP stand at £4.121 trillion in 2023 and is recognized for having a strong industrial sector and technological advancements (Glunz and </w:t>
      </w:r>
      <w:proofErr w:type="spellStart"/>
      <w:r>
        <w:t>Prittwitz</w:t>
      </w:r>
      <w:proofErr w:type="spellEnd"/>
      <w:r>
        <w:t xml:space="preserve">, 2023). The country is one of the acknowledged </w:t>
      </w:r>
      <w:proofErr w:type="spellStart"/>
      <w:r>
        <w:t>centres</w:t>
      </w:r>
      <w:proofErr w:type="spellEnd"/>
      <w:r>
        <w:t xml:space="preserve"> of manufacturing, automotive, and engineering industries where Ferguson Plc’s plumbing and heating products are likely to find a profitable market. Due to its geographical position, Germany provides easy access to a large European market of over 450 million consumers within the EU (Berlin Partner for Business and Technology, 2024).</w:t>
      </w:r>
    </w:p>
    <w:p w14:paraId="25374D26" w14:textId="77777777" w:rsidR="00670DA8" w:rsidRDefault="00000000">
      <w:r>
        <w:t xml:space="preserve">Foreign direct investment in Germany was £34.8 billion in 2023 due to their stability in the economy as well as investor satisfaction (Hazeley, 2024). Siemens and Bosch are examples of such companies that have benefited from skilled </w:t>
      </w:r>
      <w:proofErr w:type="spellStart"/>
      <w:r>
        <w:t>labour</w:t>
      </w:r>
      <w:proofErr w:type="spellEnd"/>
      <w:r>
        <w:t xml:space="preserve"> in Germany and focus on intense research activities. Foreign firms can potentially identify these strengths to form a more competitive edge for them and to reach great market growth in Germany. Creating a management office in Germany is in tune with the long-term strategy of Ferguson, including consolidating the company’s position in Europe and achieving profitable consistent growth.</w:t>
      </w:r>
    </w:p>
    <w:p w14:paraId="55976134" w14:textId="77777777" w:rsidR="00670DA8" w:rsidRDefault="00000000">
      <w:pPr>
        <w:spacing w:line="259" w:lineRule="auto"/>
        <w:jc w:val="left"/>
        <w:rPr>
          <w:b/>
          <w:sz w:val="32"/>
          <w:szCs w:val="32"/>
        </w:rPr>
      </w:pPr>
      <w:r>
        <w:br w:type="page"/>
      </w:r>
      <w:r>
        <w:rPr>
          <w:noProof/>
        </w:rPr>
        <w:lastRenderedPageBreak/>
        <w:drawing>
          <wp:inline distT="0" distB="0" distL="0" distR="0" wp14:anchorId="47D73FBB" wp14:editId="27B4CF83">
            <wp:extent cx="5255347" cy="2956332"/>
            <wp:effectExtent l="0" t="0" r="0" b="0"/>
            <wp:docPr id="9"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0"/>
                    <a:srcRect/>
                    <a:stretch>
                      <a:fillRect/>
                    </a:stretch>
                  </pic:blipFill>
                  <pic:spPr>
                    <a:xfrm>
                      <a:off x="0" y="0"/>
                      <a:ext cx="5255347" cy="2956332"/>
                    </a:xfrm>
                    <a:prstGeom prst="rect">
                      <a:avLst/>
                    </a:prstGeom>
                    <a:ln/>
                  </pic:spPr>
                </pic:pic>
              </a:graphicData>
            </a:graphic>
          </wp:inline>
        </w:drawing>
      </w:r>
    </w:p>
    <w:p w14:paraId="2B78DCC9" w14:textId="77777777" w:rsidR="00670DA8" w:rsidRDefault="00000000">
      <w:pPr>
        <w:pStyle w:val="Heading1"/>
      </w:pPr>
      <w:bookmarkStart w:id="4" w:name="_3znysh7" w:colFirst="0" w:colLast="0"/>
      <w:bookmarkEnd w:id="4"/>
      <w:r>
        <w:t>German Business Culture</w:t>
      </w:r>
    </w:p>
    <w:p w14:paraId="56BADD24" w14:textId="77777777" w:rsidR="00670DA8" w:rsidRDefault="00000000">
      <w:r>
        <w:t>The German business etiquette is quite formal, accurate, and timely. Meetings are organized, and punctuality is highly regarded, as schedules are followed without compromise. Based on the analysis of available data in 2023, Germany has displayed high workforce productivity, which underlies the country’s stable economic indicators.</w:t>
      </w:r>
    </w:p>
    <w:p w14:paraId="59C28AEA" w14:textId="77777777" w:rsidR="00670DA8" w:rsidRDefault="00000000">
      <w:r>
        <w:t>Germany has a Power Distance of 35 according to Hofstede’s cultural dimensions, which means people in this country value equal distribution of power and employee involvement in decision making processes (Foster, 2015). The country earns a paltry 67 in the Individualism index, showing that self-reliance and self-employment in organizations are highly valued.</w:t>
      </w:r>
    </w:p>
    <w:p w14:paraId="17580EDF" w14:textId="77777777" w:rsidR="00670DA8" w:rsidRDefault="00000000">
      <w:r>
        <w:t xml:space="preserve">What is unique about Germans is that they tend to be straightforward in their communication and, thus, may come off as rude to people of other cultures. Organizational structures are often formalized and centralized, though feedback is welcome from all levels of the workforce (Pearce, 2023). One of the examples of successful </w:t>
      </w:r>
      <w:proofErr w:type="spellStart"/>
      <w:r>
        <w:t>organisation</w:t>
      </w:r>
      <w:proofErr w:type="spellEnd"/>
      <w:r>
        <w:t xml:space="preserve"> with clear structures and straight communication is Volkswagen. It is important for Ferguson Plc to embrace and accommodate these cultural aspects to enhance its integration and performance in Germany.</w:t>
      </w:r>
    </w:p>
    <w:p w14:paraId="283F4F04" w14:textId="77777777" w:rsidR="00670DA8" w:rsidRDefault="00000000">
      <w:pPr>
        <w:spacing w:line="259" w:lineRule="auto"/>
        <w:jc w:val="left"/>
        <w:rPr>
          <w:b/>
          <w:sz w:val="32"/>
          <w:szCs w:val="32"/>
        </w:rPr>
      </w:pPr>
      <w:r>
        <w:br w:type="page"/>
      </w:r>
      <w:r>
        <w:rPr>
          <w:noProof/>
        </w:rPr>
        <w:lastRenderedPageBreak/>
        <w:drawing>
          <wp:inline distT="0" distB="0" distL="0" distR="0" wp14:anchorId="5E89A19D" wp14:editId="6109F9BF">
            <wp:extent cx="5479308" cy="3082318"/>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479308" cy="3082318"/>
                    </a:xfrm>
                    <a:prstGeom prst="rect">
                      <a:avLst/>
                    </a:prstGeom>
                    <a:ln/>
                  </pic:spPr>
                </pic:pic>
              </a:graphicData>
            </a:graphic>
          </wp:inline>
        </w:drawing>
      </w:r>
    </w:p>
    <w:p w14:paraId="1FC7034E" w14:textId="77777777" w:rsidR="00670DA8" w:rsidRDefault="00000000">
      <w:pPr>
        <w:pStyle w:val="Heading1"/>
      </w:pPr>
      <w:bookmarkStart w:id="5" w:name="_2et92p0" w:colFirst="0" w:colLast="0"/>
      <w:bookmarkEnd w:id="5"/>
      <w:r>
        <w:t>British Business Culture</w:t>
      </w:r>
    </w:p>
    <w:p w14:paraId="30D67950" w14:textId="77777777" w:rsidR="00670DA8" w:rsidRDefault="00000000">
      <w:r>
        <w:t>Some key aspects of business culture in Britain include politeness, indirect communication, and flexibility. Information sharing, unlike in Germany, the meetings are relatively informal, and the main aim is to arrive at a consensus. Hofstede’s cultural dimensions highlight that the UK has a score of 35 in Power Distance the same as Germany challenging high power distance (Hofstede Insights, 2024). The Index of Individualism stands at 89 for the UK which is higher than Germany signifying the culture of individualism and personal achievement orientation.</w:t>
      </w:r>
    </w:p>
    <w:p w14:paraId="2EF8D1D2" w14:textId="77777777" w:rsidR="00670DA8" w:rsidRDefault="00000000">
      <w:r>
        <w:t>It was established that British people are not very direct in their communication and prefer to avoid confrontations. This approach may create a healthy working relationship but may sometimes result in some confusion (Pearce, 2023). For instance, companies such as Barclays and Unilever perform well because of the emphasis placed on teamwork and communication with equal regard to different opinions.</w:t>
      </w:r>
    </w:p>
    <w:p w14:paraId="1A964460" w14:textId="77777777" w:rsidR="00670DA8" w:rsidRDefault="00000000">
      <w:r>
        <w:t xml:space="preserve">In British workplaces, subtlety and diplomacy in communication are valued, often avoiding direct confrontation. This approach fosters a harmonious working environment but can sometimes lead to ambiguity. For example, British companies like Barclays and Unilever excel by </w:t>
      </w:r>
      <w:proofErr w:type="spellStart"/>
      <w:r>
        <w:t>prioritising</w:t>
      </w:r>
      <w:proofErr w:type="spellEnd"/>
      <w:r>
        <w:t xml:space="preserve"> teamwork and effective communication, ensuring all voices are heard.</w:t>
      </w:r>
    </w:p>
    <w:p w14:paraId="11C9DD9C" w14:textId="77777777" w:rsidR="00670DA8" w:rsidRDefault="00000000">
      <w:pPr>
        <w:spacing w:line="259" w:lineRule="auto"/>
        <w:jc w:val="left"/>
        <w:rPr>
          <w:b/>
          <w:sz w:val="32"/>
          <w:szCs w:val="32"/>
        </w:rPr>
      </w:pPr>
      <w:r>
        <w:br w:type="page"/>
      </w:r>
      <w:r>
        <w:rPr>
          <w:noProof/>
        </w:rPr>
        <w:lastRenderedPageBreak/>
        <w:drawing>
          <wp:inline distT="0" distB="0" distL="0" distR="0" wp14:anchorId="56BEFBF0" wp14:editId="77D40113">
            <wp:extent cx="5494106" cy="3090644"/>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494106" cy="3090644"/>
                    </a:xfrm>
                    <a:prstGeom prst="rect">
                      <a:avLst/>
                    </a:prstGeom>
                    <a:ln/>
                  </pic:spPr>
                </pic:pic>
              </a:graphicData>
            </a:graphic>
          </wp:inline>
        </w:drawing>
      </w:r>
    </w:p>
    <w:p w14:paraId="08476F22" w14:textId="77777777" w:rsidR="00670DA8" w:rsidRDefault="00000000">
      <w:pPr>
        <w:pStyle w:val="Heading1"/>
      </w:pPr>
      <w:bookmarkStart w:id="6" w:name="_tyjcwt" w:colFirst="0" w:colLast="0"/>
      <w:bookmarkEnd w:id="6"/>
      <w:r>
        <w:t>Communication Barriers</w:t>
      </w:r>
    </w:p>
    <w:p w14:paraId="377F2D70" w14:textId="77777777" w:rsidR="00670DA8" w:rsidRDefault="00000000">
      <w:r>
        <w:t>There are several communication barriers that Ferguson Plc faces when expanding into Germany. In this case, one of the challenges is that the two parties use different communication patterns. This causes conflicts because while Germans prefer straight forward, no-nonsense communication style (Franklin, 2019), the British employees interpret this as being rude and crude. Such a discrepancy can cause misunderstandings and conflicts.</w:t>
      </w:r>
    </w:p>
    <w:p w14:paraId="24FF0379" w14:textId="77777777" w:rsidR="00670DA8" w:rsidRDefault="00000000">
      <w:r>
        <w:t xml:space="preserve">Language is another barrier. Although a significant number of Germans may be able to speak English, the level of fluency </w:t>
      </w:r>
      <w:proofErr w:type="gramStart"/>
      <w:r>
        <w:t>differs</w:t>
      </w:r>
      <w:proofErr w:type="gramEnd"/>
      <w:r>
        <w:t xml:space="preserve"> and some essential details may not be understood properly (</w:t>
      </w:r>
      <w:proofErr w:type="spellStart"/>
      <w:r>
        <w:t>Henners</w:t>
      </w:r>
      <w:proofErr w:type="spellEnd"/>
      <w:r>
        <w:t>, 2005). Official documents and regulations are usually in German which presents difficulties to people who do not understand the language.</w:t>
      </w:r>
    </w:p>
    <w:p w14:paraId="6634EE01" w14:textId="77777777" w:rsidR="00670DA8" w:rsidRDefault="00000000">
      <w:r>
        <w:t xml:space="preserve">There are also differences in terms of formality and hierarchy. As for German business culture, it is </w:t>
      </w:r>
      <w:proofErr w:type="gramStart"/>
      <w:r>
        <w:t>more strict and bureaucratic</w:t>
      </w:r>
      <w:proofErr w:type="gramEnd"/>
      <w:r>
        <w:t xml:space="preserve"> compared to British business culture which is rather equal and rather non-formal (CIORTESCU, 2017). British employees might offend their international counterparts through incompetence by using slang language in writing or addressing senior employees without appraising them properly.</w:t>
      </w:r>
    </w:p>
    <w:p w14:paraId="179B8D48" w14:textId="77777777" w:rsidR="00670DA8" w:rsidRDefault="00000000">
      <w:pPr>
        <w:spacing w:line="259" w:lineRule="auto"/>
        <w:jc w:val="left"/>
        <w:rPr>
          <w:b/>
          <w:sz w:val="32"/>
          <w:szCs w:val="32"/>
        </w:rPr>
      </w:pPr>
      <w:r>
        <w:br w:type="page"/>
      </w:r>
      <w:r>
        <w:rPr>
          <w:noProof/>
        </w:rPr>
        <w:lastRenderedPageBreak/>
        <w:drawing>
          <wp:inline distT="0" distB="0" distL="0" distR="0" wp14:anchorId="1B3A1C68" wp14:editId="1F6087D7">
            <wp:extent cx="5560115" cy="3127775"/>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5560115" cy="3127775"/>
                    </a:xfrm>
                    <a:prstGeom prst="rect">
                      <a:avLst/>
                    </a:prstGeom>
                    <a:ln/>
                  </pic:spPr>
                </pic:pic>
              </a:graphicData>
            </a:graphic>
          </wp:inline>
        </w:drawing>
      </w:r>
    </w:p>
    <w:p w14:paraId="4587D2BB" w14:textId="77777777" w:rsidR="00670DA8" w:rsidRDefault="00000000">
      <w:pPr>
        <w:pStyle w:val="Heading1"/>
      </w:pPr>
      <w:bookmarkStart w:id="7" w:name="_3dy6vkm" w:colFirst="0" w:colLast="0"/>
      <w:bookmarkEnd w:id="7"/>
      <w:r>
        <w:t>Strategies to Overcome Barriers</w:t>
      </w:r>
    </w:p>
    <w:p w14:paraId="06AC2608" w14:textId="77777777" w:rsidR="00670DA8" w:rsidRDefault="00000000">
      <w:r>
        <w:t>Cultural Training: Include extensive cultural sensitivity training sessions that will help the employees master German business etiquette, assertive communications, and titling techniques (</w:t>
      </w:r>
      <w:proofErr w:type="spellStart"/>
      <w:r>
        <w:t>Henners</w:t>
      </w:r>
      <w:proofErr w:type="spellEnd"/>
      <w:r>
        <w:t xml:space="preserve">, 2005). This will assist in reducing preconceptions and building positive attitudes and </w:t>
      </w:r>
      <w:proofErr w:type="gramStart"/>
      <w:r>
        <w:t>perception</w:t>
      </w:r>
      <w:proofErr w:type="gramEnd"/>
      <w:r>
        <w:t xml:space="preserve"> towards each other.</w:t>
      </w:r>
    </w:p>
    <w:p w14:paraId="153BA912" w14:textId="77777777" w:rsidR="00670DA8" w:rsidRDefault="00000000">
      <w:r>
        <w:t>Language Proficiency: Language gaps should be addressed by attending German language courses by key staff and hiring bilingual employees (</w:t>
      </w:r>
      <w:proofErr w:type="spellStart"/>
      <w:r>
        <w:t>Henners</w:t>
      </w:r>
      <w:proofErr w:type="spellEnd"/>
      <w:r>
        <w:t>, 2005). This will ensure there is a good understanding between the two, particularly in contractual and technical issues.</w:t>
      </w:r>
    </w:p>
    <w:p w14:paraId="2CD1D8CE" w14:textId="77777777" w:rsidR="00670DA8" w:rsidRDefault="00000000">
      <w:r>
        <w:t xml:space="preserve">Localized Communication Practices: Modify internal communication practices </w:t>
      </w:r>
      <w:proofErr w:type="gramStart"/>
      <w:r>
        <w:t>with regard to</w:t>
      </w:r>
      <w:proofErr w:type="gramEnd"/>
      <w:r>
        <w:t xml:space="preserve"> German standards (Bovee and Thill, 2020). Provide a direct style of feedback and clear, detailed reports that correspond to its business environment.</w:t>
      </w:r>
    </w:p>
    <w:p w14:paraId="09771255" w14:textId="77777777" w:rsidR="00670DA8" w:rsidRDefault="00000000">
      <w:r>
        <w:t xml:space="preserve">Building Relationships: Leverage local firms by engaging them in getting market intelligence information about Germany and its </w:t>
      </w:r>
      <w:proofErr w:type="gramStart"/>
      <w:r>
        <w:t>regulations .</w:t>
      </w:r>
      <w:proofErr w:type="gramEnd"/>
      <w:r>
        <w:t xml:space="preserve"> Establish trust-based connections by actively participating in regional business-related gatherings and mixers.</w:t>
      </w:r>
    </w:p>
    <w:p w14:paraId="380702E6" w14:textId="77777777" w:rsidR="00670DA8" w:rsidRDefault="00000000">
      <w:pPr>
        <w:spacing w:line="259" w:lineRule="auto"/>
        <w:jc w:val="left"/>
        <w:rPr>
          <w:b/>
          <w:sz w:val="32"/>
          <w:szCs w:val="32"/>
        </w:rPr>
      </w:pPr>
      <w:r>
        <w:br w:type="page"/>
      </w:r>
      <w:r>
        <w:rPr>
          <w:noProof/>
        </w:rPr>
        <w:lastRenderedPageBreak/>
        <w:drawing>
          <wp:inline distT="0" distB="0" distL="0" distR="0" wp14:anchorId="55481693" wp14:editId="4996EC94">
            <wp:extent cx="5425189" cy="3051875"/>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a:srcRect/>
                    <a:stretch>
                      <a:fillRect/>
                    </a:stretch>
                  </pic:blipFill>
                  <pic:spPr>
                    <a:xfrm>
                      <a:off x="0" y="0"/>
                      <a:ext cx="5425189" cy="3051875"/>
                    </a:xfrm>
                    <a:prstGeom prst="rect">
                      <a:avLst/>
                    </a:prstGeom>
                    <a:ln/>
                  </pic:spPr>
                </pic:pic>
              </a:graphicData>
            </a:graphic>
          </wp:inline>
        </w:drawing>
      </w:r>
    </w:p>
    <w:p w14:paraId="0006F7FE" w14:textId="77777777" w:rsidR="00670DA8" w:rsidRDefault="00000000">
      <w:pPr>
        <w:pStyle w:val="Heading1"/>
      </w:pPr>
      <w:bookmarkStart w:id="8" w:name="_1t3h5sf" w:colFirst="0" w:colLast="0"/>
      <w:bookmarkEnd w:id="8"/>
      <w:r>
        <w:t>Conclusion</w:t>
      </w:r>
    </w:p>
    <w:p w14:paraId="266474DC" w14:textId="77777777" w:rsidR="00670DA8" w:rsidRDefault="00000000">
      <w:r>
        <w:t xml:space="preserve">Entrance into Germany can be viewed as a strategic opportunity for Ferguson Plc to improve its market position and benefit from the potential of Germany’s economy. The cultural differences regarding the ways of communication, the level of formality, and language matter significantly for success. Subsequently, Ferguson can overcome these challenges by providing cultural training, and language support and establishing strong partnerships in Germany. The above strategies will make the integration process seamless, the employees happy, and the business profitable in the long run. Implementing the </w:t>
      </w:r>
      <w:proofErr w:type="gramStart"/>
      <w:r>
        <w:t>aforementioned recommendations</w:t>
      </w:r>
      <w:proofErr w:type="gramEnd"/>
      <w:r>
        <w:t xml:space="preserve"> will prepare Ferguson Plc for successful market expansion and sustainable development in Germany.</w:t>
      </w:r>
    </w:p>
    <w:p w14:paraId="76E3EE7E" w14:textId="77777777" w:rsidR="00670DA8" w:rsidRDefault="00000000">
      <w:pPr>
        <w:spacing w:line="259" w:lineRule="auto"/>
        <w:jc w:val="left"/>
      </w:pPr>
      <w:r>
        <w:br w:type="page"/>
      </w:r>
      <w:r>
        <w:rPr>
          <w:noProof/>
        </w:rPr>
        <w:lastRenderedPageBreak/>
        <w:drawing>
          <wp:inline distT="0" distB="0" distL="0" distR="0" wp14:anchorId="3DFEC82D" wp14:editId="72523B17">
            <wp:extent cx="5617166" cy="3159869"/>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5"/>
                    <a:srcRect/>
                    <a:stretch>
                      <a:fillRect/>
                    </a:stretch>
                  </pic:blipFill>
                  <pic:spPr>
                    <a:xfrm>
                      <a:off x="0" y="0"/>
                      <a:ext cx="5617166" cy="3159869"/>
                    </a:xfrm>
                    <a:prstGeom prst="rect">
                      <a:avLst/>
                    </a:prstGeom>
                    <a:ln/>
                  </pic:spPr>
                </pic:pic>
              </a:graphicData>
            </a:graphic>
          </wp:inline>
        </w:drawing>
      </w:r>
    </w:p>
    <w:p w14:paraId="214145B2" w14:textId="77777777" w:rsidR="00670DA8" w:rsidRDefault="00000000">
      <w:pPr>
        <w:pStyle w:val="Heading1"/>
      </w:pPr>
      <w:bookmarkStart w:id="9" w:name="_4d34og8" w:colFirst="0" w:colLast="0"/>
      <w:bookmarkEnd w:id="9"/>
      <w:r>
        <w:t>References</w:t>
      </w:r>
    </w:p>
    <w:p w14:paraId="601B831F" w14:textId="77777777" w:rsidR="00670DA8" w:rsidRDefault="00000000">
      <w:pPr>
        <w:pBdr>
          <w:top w:val="nil"/>
          <w:left w:val="nil"/>
          <w:bottom w:val="nil"/>
          <w:right w:val="nil"/>
          <w:between w:val="nil"/>
        </w:pBdr>
        <w:spacing w:after="240"/>
        <w:rPr>
          <w:color w:val="000000"/>
        </w:rPr>
      </w:pPr>
      <w:r>
        <w:rPr>
          <w:color w:val="000000"/>
        </w:rPr>
        <w:t xml:space="preserve">Berlin Partner for Business and Technology (2024). </w:t>
      </w:r>
      <w:r>
        <w:rPr>
          <w:i/>
          <w:color w:val="000000"/>
        </w:rPr>
        <w:t>Investing in Germany</w:t>
      </w:r>
      <w:r>
        <w:rPr>
          <w:color w:val="000000"/>
        </w:rPr>
        <w:t>. [online] www.businesslocationcenter.de. Available at: https://www.businesslocationcenter.de/en/business-location/berlin-at-a-glance/investing-in-germany#:~:text=Germany [Accessed 17 Jul. 2024].</w:t>
      </w:r>
    </w:p>
    <w:p w14:paraId="1A8224B7" w14:textId="77777777" w:rsidR="00670DA8" w:rsidRDefault="00000000">
      <w:pPr>
        <w:pBdr>
          <w:top w:val="nil"/>
          <w:left w:val="nil"/>
          <w:bottom w:val="nil"/>
          <w:right w:val="nil"/>
          <w:between w:val="nil"/>
        </w:pBdr>
        <w:spacing w:after="240"/>
        <w:rPr>
          <w:color w:val="000000"/>
        </w:rPr>
      </w:pPr>
      <w:r>
        <w:rPr>
          <w:color w:val="000000"/>
        </w:rPr>
        <w:t xml:space="preserve">Bovee, C.L. and Thill, J.V. (2020). </w:t>
      </w:r>
      <w:r>
        <w:rPr>
          <w:i/>
          <w:color w:val="000000"/>
        </w:rPr>
        <w:t>Business Communication Today</w:t>
      </w:r>
      <w:r>
        <w:rPr>
          <w:color w:val="000000"/>
        </w:rPr>
        <w:t>. 15th ed. Pearson.</w:t>
      </w:r>
    </w:p>
    <w:p w14:paraId="0DC73BE7" w14:textId="77777777" w:rsidR="00670DA8" w:rsidRDefault="00000000">
      <w:pPr>
        <w:pBdr>
          <w:top w:val="nil"/>
          <w:left w:val="nil"/>
          <w:bottom w:val="nil"/>
          <w:right w:val="nil"/>
          <w:between w:val="nil"/>
        </w:pBdr>
        <w:spacing w:after="240"/>
        <w:rPr>
          <w:color w:val="000000"/>
        </w:rPr>
      </w:pPr>
      <w:r>
        <w:rPr>
          <w:color w:val="000000"/>
        </w:rPr>
        <w:t xml:space="preserve">CIORTESCU, E. (2017). Business Communication - British and German Perspectives. </w:t>
      </w:r>
      <w:r>
        <w:rPr>
          <w:i/>
          <w:color w:val="000000"/>
        </w:rPr>
        <w:t>Logos Universality Mentality Education Novelty: Political Sciences &amp; European Studies</w:t>
      </w:r>
      <w:r>
        <w:rPr>
          <w:color w:val="000000"/>
        </w:rPr>
        <w:t xml:space="preserve">, 4(1), pp.55–63. </w:t>
      </w:r>
      <w:proofErr w:type="spellStart"/>
      <w:proofErr w:type="gramStart"/>
      <w:r>
        <w:rPr>
          <w:color w:val="000000"/>
        </w:rPr>
        <w:t>doi:https</w:t>
      </w:r>
      <w:proofErr w:type="spellEnd"/>
      <w:r>
        <w:rPr>
          <w:color w:val="000000"/>
        </w:rPr>
        <w:t>://doi.org/10.18662/lumenpses.2017.0401.05</w:t>
      </w:r>
      <w:proofErr w:type="gramEnd"/>
      <w:r>
        <w:rPr>
          <w:color w:val="000000"/>
        </w:rPr>
        <w:t>.</w:t>
      </w:r>
    </w:p>
    <w:p w14:paraId="2F51C1F8" w14:textId="77777777" w:rsidR="00670DA8" w:rsidRDefault="00000000">
      <w:pPr>
        <w:pBdr>
          <w:top w:val="nil"/>
          <w:left w:val="nil"/>
          <w:bottom w:val="nil"/>
          <w:right w:val="nil"/>
          <w:between w:val="nil"/>
        </w:pBdr>
        <w:spacing w:after="240"/>
        <w:rPr>
          <w:color w:val="000000"/>
        </w:rPr>
      </w:pPr>
      <w:r>
        <w:rPr>
          <w:color w:val="000000"/>
        </w:rPr>
        <w:t xml:space="preserve">Ferguson (2024). </w:t>
      </w:r>
      <w:r>
        <w:rPr>
          <w:i/>
          <w:color w:val="000000"/>
        </w:rPr>
        <w:t>Ferguson - About Us - About Us</w:t>
      </w:r>
      <w:r>
        <w:rPr>
          <w:color w:val="000000"/>
        </w:rPr>
        <w:t>. [online] www.corporate.ferguson.com. Available at: https://www.corporate.ferguson.com/about-us/about-us/default.aspx [Accessed 17 Jul. 2024].</w:t>
      </w:r>
    </w:p>
    <w:p w14:paraId="6E8B11A5" w14:textId="77777777" w:rsidR="00670DA8" w:rsidRDefault="00000000">
      <w:pPr>
        <w:pBdr>
          <w:top w:val="nil"/>
          <w:left w:val="nil"/>
          <w:bottom w:val="nil"/>
          <w:right w:val="nil"/>
          <w:between w:val="nil"/>
        </w:pBdr>
        <w:spacing w:after="240"/>
        <w:rPr>
          <w:color w:val="000000"/>
        </w:rPr>
      </w:pPr>
      <w:r>
        <w:rPr>
          <w:color w:val="000000"/>
        </w:rPr>
        <w:t xml:space="preserve">Foster, B. (2015). </w:t>
      </w:r>
      <w:r>
        <w:rPr>
          <w:i/>
          <w:color w:val="000000"/>
        </w:rPr>
        <w:t>How culture makes a difference in management: Applying Geert Hofstede’s cultural dimensions to management in Germany and China</w:t>
      </w:r>
      <w:r>
        <w:rPr>
          <w:color w:val="000000"/>
        </w:rPr>
        <w:t xml:space="preserve">. [online] </w:t>
      </w:r>
      <w:r>
        <w:rPr>
          <w:i/>
          <w:color w:val="000000"/>
        </w:rPr>
        <w:t>Eastern Michigan University</w:t>
      </w:r>
      <w:r>
        <w:rPr>
          <w:color w:val="000000"/>
        </w:rPr>
        <w:t xml:space="preserve">, pp.5–8. Available at: </w:t>
      </w:r>
      <w:r>
        <w:rPr>
          <w:color w:val="000000"/>
        </w:rPr>
        <w:lastRenderedPageBreak/>
        <w:t>https://commons.emich.edu/cgi/viewcontent.cgi?referer=&amp;httpsredir=1&amp;article=1445&amp;context=honors [Accessed 17 Jul. 2024].</w:t>
      </w:r>
    </w:p>
    <w:p w14:paraId="6830DCE0" w14:textId="77777777" w:rsidR="00670DA8" w:rsidRDefault="00000000">
      <w:pPr>
        <w:pBdr>
          <w:top w:val="nil"/>
          <w:left w:val="nil"/>
          <w:bottom w:val="nil"/>
          <w:right w:val="nil"/>
          <w:between w:val="nil"/>
        </w:pBdr>
        <w:spacing w:after="240"/>
        <w:rPr>
          <w:color w:val="000000"/>
        </w:rPr>
      </w:pPr>
      <w:r>
        <w:rPr>
          <w:color w:val="000000"/>
        </w:rPr>
        <w:t xml:space="preserve">Franklin, P. (2019). </w:t>
      </w:r>
      <w:r>
        <w:rPr>
          <w:i/>
          <w:color w:val="000000"/>
        </w:rPr>
        <w:t>‘Brits may appear chaotic to Germans’</w:t>
      </w:r>
      <w:r>
        <w:rPr>
          <w:color w:val="000000"/>
        </w:rPr>
        <w:t>. [online] www.business-spotlight.de. Available at: https://www.business-spotlight.de/business-englisch-lesen/brits-may-appear-chaotic-germans#:~:text=Whereas%20Germans%20typically%20value%20direct [Accessed 17 Jul. 2024].</w:t>
      </w:r>
    </w:p>
    <w:p w14:paraId="359679FB" w14:textId="77777777" w:rsidR="00670DA8" w:rsidRDefault="00000000">
      <w:pPr>
        <w:pBdr>
          <w:top w:val="nil"/>
          <w:left w:val="nil"/>
          <w:bottom w:val="nil"/>
          <w:right w:val="nil"/>
          <w:between w:val="nil"/>
        </w:pBdr>
        <w:spacing w:after="240"/>
        <w:rPr>
          <w:color w:val="000000"/>
        </w:rPr>
      </w:pPr>
      <w:r>
        <w:rPr>
          <w:color w:val="000000"/>
        </w:rPr>
        <w:t xml:space="preserve">Glunz, A. and </w:t>
      </w:r>
      <w:proofErr w:type="spellStart"/>
      <w:r>
        <w:rPr>
          <w:color w:val="000000"/>
        </w:rPr>
        <w:t>Prittwitz</w:t>
      </w:r>
      <w:proofErr w:type="spellEnd"/>
      <w:r>
        <w:rPr>
          <w:color w:val="000000"/>
        </w:rPr>
        <w:t xml:space="preserve">, J. von (2023). </w:t>
      </w:r>
      <w:r>
        <w:rPr>
          <w:i/>
          <w:color w:val="000000"/>
        </w:rPr>
        <w:t>Economic Key Facts Germany - KPMG Germany</w:t>
      </w:r>
      <w:r>
        <w:rPr>
          <w:color w:val="000000"/>
        </w:rPr>
        <w:t>. [online] KPMG. Available at: https://kpmg.com/de/en/home/insights/overview/economic-key-facts-germany.html [Accessed 17 Jul. 2024].</w:t>
      </w:r>
    </w:p>
    <w:p w14:paraId="68D26EA5" w14:textId="77777777" w:rsidR="00670DA8" w:rsidRDefault="00000000">
      <w:pPr>
        <w:pBdr>
          <w:top w:val="nil"/>
          <w:left w:val="nil"/>
          <w:bottom w:val="nil"/>
          <w:right w:val="nil"/>
          <w:between w:val="nil"/>
        </w:pBdr>
        <w:spacing w:after="240"/>
        <w:rPr>
          <w:color w:val="000000"/>
        </w:rPr>
      </w:pPr>
      <w:r>
        <w:rPr>
          <w:color w:val="000000"/>
        </w:rPr>
        <w:t xml:space="preserve">Hazeley, C. (2024). </w:t>
      </w:r>
      <w:r>
        <w:rPr>
          <w:i/>
          <w:color w:val="000000"/>
        </w:rPr>
        <w:t>Germany Welcomes Record £34.8 Billion In Foreign Investment</w:t>
      </w:r>
      <w:r>
        <w:rPr>
          <w:color w:val="000000"/>
        </w:rPr>
        <w:t xml:space="preserve">. [online] </w:t>
      </w:r>
      <w:proofErr w:type="spellStart"/>
      <w:r>
        <w:rPr>
          <w:color w:val="000000"/>
        </w:rPr>
        <w:t>Finimize</w:t>
      </w:r>
      <w:proofErr w:type="spellEnd"/>
      <w:r>
        <w:rPr>
          <w:color w:val="000000"/>
        </w:rPr>
        <w:t>. Available at: https://finimize.com/content/germany-welcomes-record-348-billion-in-foreign-investment [Accessed 17 Jul. 2024].</w:t>
      </w:r>
    </w:p>
    <w:p w14:paraId="6BEB8F53" w14:textId="77777777" w:rsidR="00670DA8" w:rsidRDefault="00000000">
      <w:pPr>
        <w:pBdr>
          <w:top w:val="nil"/>
          <w:left w:val="nil"/>
          <w:bottom w:val="nil"/>
          <w:right w:val="nil"/>
          <w:between w:val="nil"/>
        </w:pBdr>
        <w:spacing w:after="240"/>
        <w:rPr>
          <w:color w:val="000000"/>
        </w:rPr>
      </w:pPr>
      <w:proofErr w:type="spellStart"/>
      <w:r>
        <w:rPr>
          <w:color w:val="000000"/>
        </w:rPr>
        <w:t>Henners</w:t>
      </w:r>
      <w:proofErr w:type="spellEnd"/>
      <w:r>
        <w:rPr>
          <w:color w:val="000000"/>
        </w:rPr>
        <w:t xml:space="preserve">, D. (2005). </w:t>
      </w:r>
      <w:r>
        <w:rPr>
          <w:i/>
          <w:color w:val="000000"/>
        </w:rPr>
        <w:t>British and German business culture</w:t>
      </w:r>
      <w:r>
        <w:rPr>
          <w:color w:val="000000"/>
        </w:rPr>
        <w:t>. [online] Munich: GRIN Verlag, pp.10–13. Available at: https://www.grin.com/document/72609?lang=en [Accessed 17 Jul. 2024].</w:t>
      </w:r>
    </w:p>
    <w:p w14:paraId="46E645C2" w14:textId="77777777" w:rsidR="00670DA8" w:rsidRDefault="00000000">
      <w:pPr>
        <w:pBdr>
          <w:top w:val="nil"/>
          <w:left w:val="nil"/>
          <w:bottom w:val="nil"/>
          <w:right w:val="nil"/>
          <w:between w:val="nil"/>
        </w:pBdr>
        <w:spacing w:after="240"/>
        <w:rPr>
          <w:color w:val="000000"/>
        </w:rPr>
      </w:pPr>
      <w:r>
        <w:rPr>
          <w:color w:val="000000"/>
        </w:rPr>
        <w:t xml:space="preserve">Hofstede Insights (2024). </w:t>
      </w:r>
      <w:r>
        <w:rPr>
          <w:i/>
          <w:color w:val="000000"/>
        </w:rPr>
        <w:t>Country comparison tool</w:t>
      </w:r>
      <w:r>
        <w:rPr>
          <w:color w:val="000000"/>
        </w:rPr>
        <w:t>. [online] www.hofstede-insights.com. Available at: https://www.hofstede-insights.com/country-comparison-tool?countries=united+kingdom [Accessed 17 Jul. 2024].</w:t>
      </w:r>
    </w:p>
    <w:p w14:paraId="0B0EFED1" w14:textId="77777777" w:rsidR="00670DA8" w:rsidRDefault="00000000">
      <w:pPr>
        <w:pBdr>
          <w:top w:val="nil"/>
          <w:left w:val="nil"/>
          <w:bottom w:val="nil"/>
          <w:right w:val="nil"/>
          <w:between w:val="nil"/>
        </w:pBdr>
        <w:spacing w:after="240"/>
        <w:rPr>
          <w:color w:val="000000"/>
        </w:rPr>
      </w:pPr>
      <w:r>
        <w:rPr>
          <w:color w:val="000000"/>
        </w:rPr>
        <w:t xml:space="preserve">Milne, S. (2023). </w:t>
      </w:r>
      <w:r>
        <w:rPr>
          <w:i/>
          <w:color w:val="000000"/>
        </w:rPr>
        <w:t>A guide to business culture in the United Kingdom | Expatica</w:t>
      </w:r>
      <w:r>
        <w:rPr>
          <w:color w:val="000000"/>
        </w:rPr>
        <w:t>. [online] Expat Guide to the United Kingdom | Expatica. Available at: https://www.expatica.com/uk/working/employment-basics/uk-business-culture-103182/ [Accessed 17 Jul. 2024].</w:t>
      </w:r>
    </w:p>
    <w:p w14:paraId="59525B83" w14:textId="77777777" w:rsidR="00670DA8" w:rsidRDefault="00000000">
      <w:pPr>
        <w:pBdr>
          <w:top w:val="nil"/>
          <w:left w:val="nil"/>
          <w:bottom w:val="nil"/>
          <w:right w:val="nil"/>
          <w:between w:val="nil"/>
        </w:pBdr>
        <w:spacing w:after="240"/>
        <w:rPr>
          <w:color w:val="000000"/>
        </w:rPr>
      </w:pPr>
      <w:r>
        <w:rPr>
          <w:color w:val="000000"/>
        </w:rPr>
        <w:t xml:space="preserve">Pearce, V. (2023). </w:t>
      </w:r>
      <w:r>
        <w:rPr>
          <w:i/>
          <w:color w:val="000000"/>
        </w:rPr>
        <w:t>Understanding German business culture | Expatica</w:t>
      </w:r>
      <w:r>
        <w:rPr>
          <w:color w:val="000000"/>
        </w:rPr>
        <w:t>. [online] Expat Guide to Germany | Expatica. Available at: https://www.expatica.com/de/working/employment-basics/german-business-culture-100983/ [Accessed 17 Jul. 2024].</w:t>
      </w:r>
    </w:p>
    <w:p w14:paraId="478D8449" w14:textId="77777777" w:rsidR="00670DA8" w:rsidRDefault="00670DA8"/>
    <w:p w14:paraId="1B18BA3D" w14:textId="77777777" w:rsidR="00670DA8" w:rsidRDefault="00670DA8"/>
    <w:sectPr w:rsidR="00670DA8">
      <w:footerReference w:type="default" r:id="rId1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27D5FFA" w14:textId="77777777" w:rsidR="003F686B" w:rsidRDefault="003F686B">
      <w:pPr>
        <w:spacing w:after="0" w:line="240" w:lineRule="auto"/>
      </w:pPr>
      <w:r>
        <w:separator/>
      </w:r>
    </w:p>
  </w:endnote>
  <w:endnote w:type="continuationSeparator" w:id="0">
    <w:p w14:paraId="089DAF0B" w14:textId="77777777" w:rsidR="003F686B" w:rsidRDefault="003F68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Play">
    <w:altName w:val="Calibri"/>
    <w:charset w:val="00"/>
    <w:family w:val="auto"/>
    <w:pitch w:val="default"/>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6E355B5" w14:textId="77777777" w:rsidR="00670DA8" w:rsidRDefault="00000000">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4B2C80">
      <w:rPr>
        <w:noProof/>
        <w:color w:val="000000"/>
      </w:rPr>
      <w:t>1</w:t>
    </w:r>
    <w:r>
      <w:rPr>
        <w:color w:val="000000"/>
      </w:rPr>
      <w:fldChar w:fldCharType="end"/>
    </w:r>
  </w:p>
  <w:p w14:paraId="5A5BA9BD" w14:textId="77777777" w:rsidR="00670DA8" w:rsidRDefault="00670DA8">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C7AD248" w14:textId="77777777" w:rsidR="003F686B" w:rsidRDefault="003F686B">
      <w:pPr>
        <w:spacing w:after="0" w:line="240" w:lineRule="auto"/>
      </w:pPr>
      <w:r>
        <w:separator/>
      </w:r>
    </w:p>
  </w:footnote>
  <w:footnote w:type="continuationSeparator" w:id="0">
    <w:p w14:paraId="2860B041" w14:textId="77777777" w:rsidR="003F686B" w:rsidRDefault="003F686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70DA8"/>
    <w:rsid w:val="003F686B"/>
    <w:rsid w:val="004B2C80"/>
    <w:rsid w:val="005C0E66"/>
    <w:rsid w:val="00670D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A06835"/>
  <w15:docId w15:val="{4689EFCE-1983-4D41-919F-85BC701B56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US"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after="0"/>
      <w:outlineLvl w:val="0"/>
    </w:pPr>
    <w:rPr>
      <w:b/>
      <w:sz w:val="32"/>
      <w:szCs w:val="32"/>
    </w:rPr>
  </w:style>
  <w:style w:type="paragraph" w:styleId="Heading2">
    <w:name w:val="heading 2"/>
    <w:basedOn w:val="Normal"/>
    <w:next w:val="Normal"/>
    <w:uiPriority w:val="9"/>
    <w:semiHidden/>
    <w:unhideWhenUsed/>
    <w:qFormat/>
    <w:pPr>
      <w:keepNext/>
      <w:keepLines/>
      <w:spacing w:before="160" w:after="80"/>
      <w:outlineLvl w:val="1"/>
    </w:pPr>
    <w:rPr>
      <w:sz w:val="28"/>
      <w:szCs w:val="28"/>
    </w:rPr>
  </w:style>
  <w:style w:type="paragraph" w:styleId="Heading3">
    <w:name w:val="heading 3"/>
    <w:basedOn w:val="Normal"/>
    <w:next w:val="Normal"/>
    <w:uiPriority w:val="9"/>
    <w:semiHidden/>
    <w:unhideWhenUsed/>
    <w:qFormat/>
    <w:pPr>
      <w:keepNext/>
      <w:keepLines/>
      <w:spacing w:before="160" w:after="80"/>
      <w:outlineLvl w:val="2"/>
    </w:pPr>
    <w:rPr>
      <w:sz w:val="26"/>
      <w:szCs w:val="26"/>
    </w:rPr>
  </w:style>
  <w:style w:type="paragraph" w:styleId="Heading4">
    <w:name w:val="heading 4"/>
    <w:basedOn w:val="Normal"/>
    <w:next w:val="Normal"/>
    <w:uiPriority w:val="9"/>
    <w:semiHidden/>
    <w:unhideWhenUsed/>
    <w:qFormat/>
    <w:pPr>
      <w:keepNext/>
      <w:keepLines/>
      <w:spacing w:before="80" w:after="40"/>
      <w:outlineLvl w:val="3"/>
    </w:pPr>
    <w:rPr>
      <w:rFonts w:ascii="Aptos" w:eastAsia="Aptos" w:hAnsi="Aptos" w:cs="Aptos"/>
      <w:i/>
      <w:color w:val="0F4761"/>
    </w:rPr>
  </w:style>
  <w:style w:type="paragraph" w:styleId="Heading5">
    <w:name w:val="heading 5"/>
    <w:basedOn w:val="Normal"/>
    <w:next w:val="Normal"/>
    <w:uiPriority w:val="9"/>
    <w:semiHidden/>
    <w:unhideWhenUsed/>
    <w:qFormat/>
    <w:pPr>
      <w:keepNext/>
      <w:keepLines/>
      <w:spacing w:before="80" w:after="40"/>
      <w:outlineLvl w:val="4"/>
    </w:pPr>
    <w:rPr>
      <w:rFonts w:ascii="Aptos" w:eastAsia="Aptos" w:hAnsi="Aptos" w:cs="Aptos"/>
      <w:color w:val="0F4761"/>
    </w:rPr>
  </w:style>
  <w:style w:type="paragraph" w:styleId="Heading6">
    <w:name w:val="heading 6"/>
    <w:basedOn w:val="Normal"/>
    <w:next w:val="Normal"/>
    <w:uiPriority w:val="9"/>
    <w:semiHidden/>
    <w:unhideWhenUsed/>
    <w:qFormat/>
    <w:pPr>
      <w:keepNext/>
      <w:keepLines/>
      <w:spacing w:before="40" w:after="0"/>
      <w:outlineLvl w:val="5"/>
    </w:pPr>
    <w:rPr>
      <w:rFonts w:ascii="Aptos" w:eastAsia="Aptos" w:hAnsi="Aptos" w:cs="Aptos"/>
      <w:i/>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80" w:line="240" w:lineRule="auto"/>
    </w:pPr>
    <w:rPr>
      <w:rFonts w:ascii="Play" w:eastAsia="Play" w:hAnsi="Play" w:cs="Play"/>
      <w:sz w:val="56"/>
      <w:szCs w:val="56"/>
    </w:rPr>
  </w:style>
  <w:style w:type="paragraph" w:styleId="Subtitle">
    <w:name w:val="Subtitle"/>
    <w:basedOn w:val="Normal"/>
    <w:next w:val="Normal"/>
    <w:uiPriority w:val="11"/>
    <w:qFormat/>
    <w:rPr>
      <w:rFonts w:ascii="Aptos" w:eastAsia="Aptos" w:hAnsi="Aptos" w:cs="Aptos"/>
      <w:color w:val="595959"/>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1776</Words>
  <Characters>10128</Characters>
  <Application>Microsoft Office Word</Application>
  <DocSecurity>0</DocSecurity>
  <Lines>84</Lines>
  <Paragraphs>23</Paragraphs>
  <ScaleCrop>false</ScaleCrop>
  <Company/>
  <LinksUpToDate>false</LinksUpToDate>
  <CharactersWithSpaces>11881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narcis nicu gavril</cp:lastModifiedBy>
  <cp:revision>3</cp:revision>
  <dcterms:created xsi:type="dcterms:W3CDTF">2024-07-26T06:41:00Z</dcterms:created>
  <dcterms:modified xsi:type="dcterms:W3CDTF">2024-07-26T06:42:00Z</dcterms:modified>
</cp:coreProperties>
</file>