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287C" w:rsidRPr="006B1524" w:rsidRDefault="00666D26" w:rsidP="0022539A">
      <w:pPr>
        <w:tabs>
          <w:tab w:val="left" w:pos="4111"/>
        </w:tabs>
        <w:spacing w:after="0" w:line="480" w:lineRule="auto"/>
        <w:jc w:val="center"/>
        <w:rPr>
          <w:sz w:val="24"/>
          <w:u w:val="single"/>
        </w:rPr>
      </w:pPr>
      <w:r w:rsidRPr="006B1524">
        <w:rPr>
          <w:sz w:val="24"/>
          <w:u w:val="single"/>
        </w:rPr>
        <w:t>Theory and Methodology for the Study of Classics (CLCL7005)</w:t>
      </w:r>
    </w:p>
    <w:p w:rsidR="007A287C" w:rsidRPr="006B1524" w:rsidRDefault="00BB7D60" w:rsidP="0022539A">
      <w:pPr>
        <w:tabs>
          <w:tab w:val="left" w:pos="4111"/>
        </w:tabs>
        <w:spacing w:after="0" w:line="480" w:lineRule="auto"/>
        <w:jc w:val="center"/>
        <w:rPr>
          <w:sz w:val="24"/>
          <w:u w:val="single"/>
        </w:rPr>
      </w:pPr>
      <w:r w:rsidRPr="006B1524">
        <w:rPr>
          <w:sz w:val="24"/>
          <w:u w:val="single"/>
        </w:rPr>
        <w:t>Theory / Methodology Discussion</w:t>
      </w:r>
    </w:p>
    <w:p w:rsidR="00573655" w:rsidRPr="006B1524" w:rsidRDefault="00AC784C" w:rsidP="0022539A">
      <w:pPr>
        <w:spacing w:after="0" w:line="480" w:lineRule="auto"/>
        <w:rPr>
          <w:sz w:val="24"/>
        </w:rPr>
      </w:pPr>
      <w:r w:rsidRPr="006B1524">
        <w:rPr>
          <w:b/>
          <w:sz w:val="24"/>
        </w:rPr>
        <w:t>Research Outline</w:t>
      </w:r>
    </w:p>
    <w:p w:rsidR="00B90FCB" w:rsidRPr="006B1524" w:rsidRDefault="00573655" w:rsidP="0022539A">
      <w:pPr>
        <w:spacing w:after="0" w:line="480" w:lineRule="auto"/>
        <w:rPr>
          <w:sz w:val="24"/>
        </w:rPr>
      </w:pPr>
      <w:r w:rsidRPr="006B1524">
        <w:rPr>
          <w:sz w:val="24"/>
        </w:rPr>
        <w:t xml:space="preserve">The research undertaken has been done to illustrate the events and reception of the events during the years immediately preceding and during the period known as the Peloponnesian War, with a view to understanding the causes and therefore being able to </w:t>
      </w:r>
      <w:r w:rsidR="008622F2" w:rsidRPr="006B1524">
        <w:rPr>
          <w:sz w:val="24"/>
        </w:rPr>
        <w:t>correctly</w:t>
      </w:r>
      <w:r w:rsidRPr="006B1524">
        <w:rPr>
          <w:sz w:val="24"/>
        </w:rPr>
        <w:t xml:space="preserve"> attribute culpability for the war</w:t>
      </w:r>
      <w:r w:rsidR="008622F2" w:rsidRPr="006B1524">
        <w:rPr>
          <w:sz w:val="24"/>
        </w:rPr>
        <w:t xml:space="preserve"> if there is in fact culpability to be attributed.</w:t>
      </w:r>
      <w:r w:rsidRPr="006B1524">
        <w:rPr>
          <w:sz w:val="24"/>
        </w:rPr>
        <w:t xml:space="preserve"> More generally,</w:t>
      </w:r>
      <w:r w:rsidR="008622F2" w:rsidRPr="006B1524">
        <w:rPr>
          <w:sz w:val="24"/>
        </w:rPr>
        <w:t xml:space="preserve"> Athenian behaviours that can</w:t>
      </w:r>
      <w:r w:rsidR="0034758E" w:rsidRPr="006B1524">
        <w:rPr>
          <w:sz w:val="24"/>
        </w:rPr>
        <w:t>,</w:t>
      </w:r>
      <w:r w:rsidR="008622F2" w:rsidRPr="006B1524">
        <w:rPr>
          <w:sz w:val="24"/>
        </w:rPr>
        <w:t xml:space="preserve"> to some ext</w:t>
      </w:r>
      <w:r w:rsidR="0034758E" w:rsidRPr="006B1524">
        <w:rPr>
          <w:sz w:val="24"/>
        </w:rPr>
        <w:t>ent, be c</w:t>
      </w:r>
      <w:r w:rsidR="008622F2" w:rsidRPr="006B1524">
        <w:rPr>
          <w:sz w:val="24"/>
        </w:rPr>
        <w:t xml:space="preserve">onsidered </w:t>
      </w:r>
      <w:r w:rsidR="0034758E" w:rsidRPr="006B1524">
        <w:rPr>
          <w:sz w:val="24"/>
        </w:rPr>
        <w:t xml:space="preserve">‘imperialistic’ </w:t>
      </w:r>
      <w:r w:rsidR="00662994" w:rsidRPr="006B1524">
        <w:rPr>
          <w:sz w:val="24"/>
        </w:rPr>
        <w:t xml:space="preserve">and </w:t>
      </w:r>
      <w:r w:rsidR="0034758E" w:rsidRPr="006B1524">
        <w:rPr>
          <w:sz w:val="24"/>
        </w:rPr>
        <w:t xml:space="preserve">that, as Hammond writes, are an “attempt by a given people forcefully to establish its racial, political, cultural, or economic domination over other peoples,” </w:t>
      </w:r>
      <w:r w:rsidR="0034758E" w:rsidRPr="006B1524">
        <w:rPr>
          <w:rStyle w:val="FootnoteReference"/>
          <w:sz w:val="24"/>
        </w:rPr>
        <w:footnoteReference w:id="1"/>
      </w:r>
      <w:r w:rsidR="0034758E" w:rsidRPr="006B1524">
        <w:rPr>
          <w:sz w:val="24"/>
        </w:rPr>
        <w:t xml:space="preserve"> have been studied, </w:t>
      </w:r>
      <w:r w:rsidRPr="006B1524">
        <w:rPr>
          <w:sz w:val="24"/>
        </w:rPr>
        <w:t xml:space="preserve">however </w:t>
      </w:r>
      <w:r w:rsidR="00662994" w:rsidRPr="006B1524">
        <w:rPr>
          <w:sz w:val="24"/>
        </w:rPr>
        <w:t xml:space="preserve">the specific focus during the study has been </w:t>
      </w:r>
      <w:r w:rsidRPr="006B1524">
        <w:rPr>
          <w:sz w:val="24"/>
        </w:rPr>
        <w:t>on Athenian economic coercion and imperialism as a cause for the Peloponnesian War.</w:t>
      </w:r>
      <w:r w:rsidR="0034758E" w:rsidRPr="006B1524">
        <w:rPr>
          <w:sz w:val="24"/>
        </w:rPr>
        <w:t xml:space="preserve"> </w:t>
      </w:r>
    </w:p>
    <w:p w:rsidR="0066311F" w:rsidRPr="006B1524" w:rsidRDefault="0066311F" w:rsidP="0022539A">
      <w:pPr>
        <w:spacing w:after="0" w:line="480" w:lineRule="auto"/>
        <w:rPr>
          <w:sz w:val="24"/>
        </w:rPr>
      </w:pPr>
    </w:p>
    <w:p w:rsidR="0066311F" w:rsidRPr="006B1524" w:rsidRDefault="0066311F" w:rsidP="0022539A">
      <w:pPr>
        <w:spacing w:after="0" w:line="480" w:lineRule="auto"/>
        <w:rPr>
          <w:sz w:val="24"/>
        </w:rPr>
      </w:pPr>
      <w:r w:rsidRPr="006B1524">
        <w:rPr>
          <w:sz w:val="24"/>
        </w:rPr>
        <w:t>Economic imperialism is defined by the</w:t>
      </w:r>
      <w:r w:rsidR="004C3F09" w:rsidRPr="006B1524">
        <w:rPr>
          <w:sz w:val="24"/>
        </w:rPr>
        <w:t xml:space="preserve"> online</w:t>
      </w:r>
      <w:r w:rsidRPr="006B1524">
        <w:rPr>
          <w:sz w:val="24"/>
        </w:rPr>
        <w:t xml:space="preserve"> </w:t>
      </w:r>
      <w:r w:rsidR="004C3F09" w:rsidRPr="006B1524">
        <w:rPr>
          <w:sz w:val="24"/>
        </w:rPr>
        <w:t>financial dictionary as the “deliberate or implied policy in which one country makes another dependent upon the first country's resources. This effectively gives one country control over another.”</w:t>
      </w:r>
      <w:r w:rsidRPr="006B1524">
        <w:rPr>
          <w:sz w:val="24"/>
        </w:rPr>
        <w:t xml:space="preserve"> </w:t>
      </w:r>
      <w:r w:rsidR="004C3F09" w:rsidRPr="006B1524">
        <w:rPr>
          <w:rStyle w:val="FootnoteReference"/>
          <w:sz w:val="24"/>
        </w:rPr>
        <w:footnoteReference w:id="2"/>
      </w:r>
      <w:r w:rsidR="004C3F09" w:rsidRPr="006B1524">
        <w:rPr>
          <w:sz w:val="24"/>
        </w:rPr>
        <w:t xml:space="preserve"> With this definition in mind, this study will aim to identify any Athenian economic policies or behaviours that in any way attempt to, or </w:t>
      </w:r>
      <w:r w:rsidR="000C1D6F">
        <w:rPr>
          <w:sz w:val="24"/>
        </w:rPr>
        <w:t xml:space="preserve">are </w:t>
      </w:r>
      <w:r w:rsidR="004C3F09" w:rsidRPr="006B1524">
        <w:rPr>
          <w:sz w:val="24"/>
        </w:rPr>
        <w:t>successful</w:t>
      </w:r>
      <w:r w:rsidR="000C1D6F">
        <w:rPr>
          <w:sz w:val="24"/>
        </w:rPr>
        <w:t xml:space="preserve"> in</w:t>
      </w:r>
      <w:r w:rsidR="004C3F09" w:rsidRPr="006B1524">
        <w:rPr>
          <w:sz w:val="24"/>
        </w:rPr>
        <w:t>, bring</w:t>
      </w:r>
      <w:r w:rsidR="000C1D6F">
        <w:rPr>
          <w:sz w:val="24"/>
        </w:rPr>
        <w:t>ing</w:t>
      </w:r>
      <w:r w:rsidR="004C3F09" w:rsidRPr="006B1524">
        <w:rPr>
          <w:sz w:val="24"/>
        </w:rPr>
        <w:t xml:space="preserve"> allied Delian League states under </w:t>
      </w:r>
      <w:r w:rsidR="000C1D6F">
        <w:rPr>
          <w:sz w:val="24"/>
        </w:rPr>
        <w:t xml:space="preserve">direct </w:t>
      </w:r>
      <w:r w:rsidR="004C3F09" w:rsidRPr="006B1524">
        <w:rPr>
          <w:sz w:val="24"/>
        </w:rPr>
        <w:t>Athenian control</w:t>
      </w:r>
      <w:r w:rsidR="000C1D6F">
        <w:rPr>
          <w:sz w:val="24"/>
        </w:rPr>
        <w:t xml:space="preserve"> or are placed in a position of heavy reliance upon Athens</w:t>
      </w:r>
      <w:r w:rsidR="004C3F09" w:rsidRPr="006B1524">
        <w:rPr>
          <w:sz w:val="24"/>
        </w:rPr>
        <w:t>. Furthermore, this study will</w:t>
      </w:r>
      <w:r w:rsidR="000C1D6F">
        <w:rPr>
          <w:sz w:val="24"/>
        </w:rPr>
        <w:t xml:space="preserve"> aim to</w:t>
      </w:r>
      <w:r w:rsidR="004C3F09" w:rsidRPr="006B1524">
        <w:rPr>
          <w:sz w:val="24"/>
        </w:rPr>
        <w:t xml:space="preserve"> look at reactions to these policies or behaviours and aim to determine whether this </w:t>
      </w:r>
      <w:r w:rsidR="003F6399" w:rsidRPr="006B1524">
        <w:rPr>
          <w:sz w:val="24"/>
        </w:rPr>
        <w:t xml:space="preserve">could have led to the outbreak or escalation of the Peloponnesian War. </w:t>
      </w:r>
    </w:p>
    <w:p w:rsidR="00B90FCB" w:rsidRPr="006B1524" w:rsidRDefault="00B90FCB" w:rsidP="0022539A">
      <w:pPr>
        <w:spacing w:after="0" w:line="480" w:lineRule="auto"/>
        <w:rPr>
          <w:sz w:val="24"/>
        </w:rPr>
      </w:pPr>
    </w:p>
    <w:p w:rsidR="00DE6A73" w:rsidRPr="006B1524" w:rsidRDefault="00DE6A73" w:rsidP="0022539A">
      <w:pPr>
        <w:spacing w:after="0" w:line="480" w:lineRule="auto"/>
        <w:rPr>
          <w:sz w:val="24"/>
        </w:rPr>
      </w:pPr>
      <w:r w:rsidRPr="006B1524">
        <w:rPr>
          <w:b/>
          <w:sz w:val="24"/>
        </w:rPr>
        <w:t>Research Design</w:t>
      </w:r>
    </w:p>
    <w:p w:rsidR="00D86D53" w:rsidRPr="006B1524" w:rsidRDefault="00352838" w:rsidP="0022539A">
      <w:pPr>
        <w:spacing w:after="0" w:line="480" w:lineRule="auto"/>
        <w:rPr>
          <w:sz w:val="24"/>
        </w:rPr>
      </w:pPr>
      <w:r w:rsidRPr="006B1524">
        <w:rPr>
          <w:sz w:val="24"/>
          <w:szCs w:val="24"/>
        </w:rPr>
        <w:t xml:space="preserve">Throughout the study the </w:t>
      </w:r>
      <w:r w:rsidR="0034758E" w:rsidRPr="006B1524">
        <w:rPr>
          <w:sz w:val="24"/>
          <w:szCs w:val="24"/>
        </w:rPr>
        <w:t>h</w:t>
      </w:r>
      <w:r w:rsidRPr="006B1524">
        <w:rPr>
          <w:sz w:val="24"/>
          <w:szCs w:val="24"/>
        </w:rPr>
        <w:t>istorical</w:t>
      </w:r>
      <w:r w:rsidR="000E4DA5" w:rsidRPr="006B1524">
        <w:rPr>
          <w:sz w:val="24"/>
          <w:szCs w:val="24"/>
        </w:rPr>
        <w:t>,</w:t>
      </w:r>
      <w:r w:rsidRPr="006B1524">
        <w:rPr>
          <w:sz w:val="24"/>
          <w:szCs w:val="24"/>
        </w:rPr>
        <w:t xml:space="preserve"> qu</w:t>
      </w:r>
      <w:r w:rsidR="000E4DA5" w:rsidRPr="006B1524">
        <w:rPr>
          <w:sz w:val="24"/>
          <w:szCs w:val="24"/>
        </w:rPr>
        <w:t>alitative research method</w:t>
      </w:r>
      <w:r w:rsidR="00AD574A" w:rsidRPr="006B1524">
        <w:rPr>
          <w:sz w:val="24"/>
          <w:szCs w:val="24"/>
        </w:rPr>
        <w:t xml:space="preserve"> has been utilised</w:t>
      </w:r>
      <w:r w:rsidR="000E4DA5" w:rsidRPr="006B1524">
        <w:rPr>
          <w:sz w:val="24"/>
          <w:szCs w:val="24"/>
        </w:rPr>
        <w:t xml:space="preserve">, which </w:t>
      </w:r>
      <w:r w:rsidR="00B34F6B" w:rsidRPr="006B1524">
        <w:rPr>
          <w:sz w:val="24"/>
          <w:szCs w:val="24"/>
        </w:rPr>
        <w:t xml:space="preserve">for the purposes of this paper </w:t>
      </w:r>
      <w:r w:rsidR="000E4DA5" w:rsidRPr="006B1524">
        <w:rPr>
          <w:sz w:val="24"/>
          <w:szCs w:val="24"/>
        </w:rPr>
        <w:t xml:space="preserve">can be </w:t>
      </w:r>
      <w:r w:rsidR="0034758E" w:rsidRPr="006B1524">
        <w:rPr>
          <w:sz w:val="24"/>
          <w:szCs w:val="24"/>
        </w:rPr>
        <w:t>defined</w:t>
      </w:r>
      <w:r w:rsidR="004603FB" w:rsidRPr="006B1524">
        <w:rPr>
          <w:sz w:val="24"/>
          <w:szCs w:val="24"/>
        </w:rPr>
        <w:t>,</w:t>
      </w:r>
      <w:r w:rsidR="0034758E" w:rsidRPr="006B1524">
        <w:rPr>
          <w:sz w:val="24"/>
          <w:szCs w:val="24"/>
        </w:rPr>
        <w:t xml:space="preserve"> as Kerlinger </w:t>
      </w:r>
      <w:r w:rsidR="002F02CF" w:rsidRPr="006B1524">
        <w:rPr>
          <w:sz w:val="24"/>
          <w:szCs w:val="24"/>
        </w:rPr>
        <w:t>(quoted in Sharma)</w:t>
      </w:r>
      <w:r w:rsidR="004603FB" w:rsidRPr="006B1524">
        <w:rPr>
          <w:sz w:val="24"/>
          <w:szCs w:val="24"/>
        </w:rPr>
        <w:t>,</w:t>
      </w:r>
      <w:r w:rsidR="0034758E" w:rsidRPr="006B1524">
        <w:rPr>
          <w:sz w:val="24"/>
          <w:szCs w:val="24"/>
        </w:rPr>
        <w:t xml:space="preserve"> </w:t>
      </w:r>
      <w:r w:rsidR="000C1D6F">
        <w:rPr>
          <w:sz w:val="24"/>
          <w:szCs w:val="24"/>
        </w:rPr>
        <w:t>states</w:t>
      </w:r>
      <w:r w:rsidR="007B7A14" w:rsidRPr="006B1524">
        <w:rPr>
          <w:sz w:val="24"/>
          <w:szCs w:val="24"/>
        </w:rPr>
        <w:t xml:space="preserve"> “the application of the scientific method of inquiry to historical problems</w:t>
      </w:r>
      <w:r w:rsidR="00917D90" w:rsidRPr="006B1524">
        <w:rPr>
          <w:sz w:val="24"/>
          <w:szCs w:val="24"/>
        </w:rPr>
        <w:t>.</w:t>
      </w:r>
      <w:r w:rsidR="00AD574A" w:rsidRPr="006B1524">
        <w:rPr>
          <w:sz w:val="24"/>
          <w:szCs w:val="24"/>
        </w:rPr>
        <w:t xml:space="preserve">" </w:t>
      </w:r>
      <w:r w:rsidR="00AD574A" w:rsidRPr="006B1524">
        <w:rPr>
          <w:rStyle w:val="FootnoteReference"/>
          <w:sz w:val="24"/>
          <w:szCs w:val="24"/>
        </w:rPr>
        <w:footnoteReference w:id="3"/>
      </w:r>
      <w:r w:rsidR="00662994" w:rsidRPr="006B1524">
        <w:rPr>
          <w:sz w:val="24"/>
          <w:szCs w:val="24"/>
        </w:rPr>
        <w:t xml:space="preserve"> </w:t>
      </w:r>
      <w:r w:rsidR="00917D90" w:rsidRPr="006B1524">
        <w:rPr>
          <w:sz w:val="24"/>
          <w:szCs w:val="24"/>
        </w:rPr>
        <w:t xml:space="preserve">This objective, unobtrusive and scientific approach to the study of past events </w:t>
      </w:r>
      <w:r w:rsidR="00662994" w:rsidRPr="006B1524">
        <w:rPr>
          <w:sz w:val="24"/>
          <w:szCs w:val="24"/>
        </w:rPr>
        <w:t>has been chosen specifically as it</w:t>
      </w:r>
      <w:r w:rsidR="00D86D53" w:rsidRPr="006B1524">
        <w:rPr>
          <w:sz w:val="24"/>
          <w:szCs w:val="24"/>
        </w:rPr>
        <w:t>s</w:t>
      </w:r>
      <w:r w:rsidR="00662994" w:rsidRPr="006B1524">
        <w:rPr>
          <w:sz w:val="24"/>
          <w:szCs w:val="24"/>
        </w:rPr>
        <w:t xml:space="preserve"> aim is to “provide a detailed understanding into human </w:t>
      </w:r>
      <w:r w:rsidR="00662994" w:rsidRPr="006B1524">
        <w:rPr>
          <w:sz w:val="24"/>
          <w:szCs w:val="24"/>
        </w:rPr>
        <w:lastRenderedPageBreak/>
        <w:t>behaviour, emotion, attitudes, and experiences”</w:t>
      </w:r>
      <w:r w:rsidR="00D86D53" w:rsidRPr="006B1524">
        <w:rPr>
          <w:sz w:val="24"/>
          <w:szCs w:val="24"/>
        </w:rPr>
        <w:t xml:space="preserve"> </w:t>
      </w:r>
      <w:r w:rsidR="00662994" w:rsidRPr="006B1524">
        <w:rPr>
          <w:rStyle w:val="FootnoteReference"/>
          <w:sz w:val="24"/>
          <w:szCs w:val="24"/>
        </w:rPr>
        <w:footnoteReference w:id="4"/>
      </w:r>
      <w:r w:rsidR="00D86D53" w:rsidRPr="006B1524">
        <w:rPr>
          <w:sz w:val="24"/>
          <w:szCs w:val="24"/>
        </w:rPr>
        <w:t xml:space="preserve"> and the analyses of these criterions are beyond important when considering how the various causal factors during the Peloponnesian War were received and how they affected the ongoing human experience of the war, </w:t>
      </w:r>
      <w:r w:rsidR="00EF2520" w:rsidRPr="006B1524">
        <w:rPr>
          <w:sz w:val="24"/>
          <w:szCs w:val="24"/>
        </w:rPr>
        <w:t xml:space="preserve">which is key to providing the </w:t>
      </w:r>
      <w:r w:rsidR="00D86D53" w:rsidRPr="006B1524">
        <w:rPr>
          <w:sz w:val="24"/>
        </w:rPr>
        <w:t>deep understanding of the</w:t>
      </w:r>
      <w:r w:rsidR="000C1D6F">
        <w:rPr>
          <w:sz w:val="24"/>
        </w:rPr>
        <w:t xml:space="preserve"> events that we need. Put simply, if we are able to ascertain an understanding of human emotion and attitudes based on their experience, we can also look at their reactions based on these experiences. </w:t>
      </w:r>
    </w:p>
    <w:p w:rsidR="002A52AA" w:rsidRPr="006B1524" w:rsidRDefault="002A52AA" w:rsidP="0022539A">
      <w:pPr>
        <w:spacing w:after="0" w:line="480" w:lineRule="auto"/>
        <w:rPr>
          <w:sz w:val="24"/>
        </w:rPr>
      </w:pPr>
    </w:p>
    <w:p w:rsidR="00BE7171" w:rsidRPr="006B1524" w:rsidRDefault="002A52AA" w:rsidP="0022539A">
      <w:pPr>
        <w:spacing w:after="0" w:line="480" w:lineRule="auto"/>
        <w:rPr>
          <w:sz w:val="24"/>
        </w:rPr>
      </w:pPr>
      <w:r w:rsidRPr="006B1524">
        <w:rPr>
          <w:sz w:val="24"/>
        </w:rPr>
        <w:t xml:space="preserve">The historical method involves the </w:t>
      </w:r>
      <w:r w:rsidR="00D61D0F" w:rsidRPr="006B1524">
        <w:rPr>
          <w:sz w:val="24"/>
        </w:rPr>
        <w:t xml:space="preserve">in depth </w:t>
      </w:r>
      <w:r w:rsidRPr="006B1524">
        <w:rPr>
          <w:sz w:val="24"/>
        </w:rPr>
        <w:t>scrutiny</w:t>
      </w:r>
      <w:r w:rsidR="00637772" w:rsidRPr="006B1524">
        <w:rPr>
          <w:sz w:val="24"/>
        </w:rPr>
        <w:t xml:space="preserve"> of primary sources, </w:t>
      </w:r>
      <w:r w:rsidR="00D61D0F" w:rsidRPr="006B1524">
        <w:rPr>
          <w:sz w:val="24"/>
        </w:rPr>
        <w:t xml:space="preserve">which as </w:t>
      </w:r>
      <w:proofErr w:type="gramStart"/>
      <w:r w:rsidR="002D3998" w:rsidRPr="006B1524">
        <w:rPr>
          <w:sz w:val="24"/>
        </w:rPr>
        <w:t>Given</w:t>
      </w:r>
      <w:proofErr w:type="gramEnd"/>
      <w:r w:rsidR="00D61D0F" w:rsidRPr="006B1524">
        <w:rPr>
          <w:sz w:val="24"/>
        </w:rPr>
        <w:t xml:space="preserve"> states are “original artefacts, documents and items related to the direct outcomes of an event or an experience.” </w:t>
      </w:r>
      <w:r w:rsidR="00D61D0F" w:rsidRPr="006B1524">
        <w:rPr>
          <w:rStyle w:val="FootnoteReference"/>
          <w:sz w:val="24"/>
        </w:rPr>
        <w:footnoteReference w:id="5"/>
      </w:r>
      <w:r w:rsidR="00D61D0F" w:rsidRPr="006B1524">
        <w:rPr>
          <w:sz w:val="24"/>
        </w:rPr>
        <w:t xml:space="preserve"> This scrutiny therefore seeks to, as Good suggests "test the truthfulness of the reports of observations made by others." </w:t>
      </w:r>
      <w:r w:rsidR="00D61D0F" w:rsidRPr="006B1524">
        <w:rPr>
          <w:rStyle w:val="FootnoteReference"/>
          <w:sz w:val="24"/>
        </w:rPr>
        <w:footnoteReference w:id="6"/>
      </w:r>
      <w:r w:rsidR="00D61D0F" w:rsidRPr="006B1524">
        <w:rPr>
          <w:sz w:val="24"/>
        </w:rPr>
        <w:t xml:space="preserve"> </w:t>
      </w:r>
      <w:r w:rsidR="00BE7171" w:rsidRPr="006B1524">
        <w:rPr>
          <w:sz w:val="24"/>
        </w:rPr>
        <w:t xml:space="preserve">This high level of scrutiny of the primary sources is paramount in ensuring that the primary source material is accurate, and therefore the conclusions that we arrive at as historians are also accurate. To ensure that </w:t>
      </w:r>
      <w:r w:rsidR="009F28AC" w:rsidRPr="006B1524">
        <w:rPr>
          <w:sz w:val="24"/>
        </w:rPr>
        <w:t xml:space="preserve">any </w:t>
      </w:r>
      <w:r w:rsidR="00BE7171" w:rsidRPr="006B1524">
        <w:rPr>
          <w:sz w:val="24"/>
        </w:rPr>
        <w:t>conclusion</w:t>
      </w:r>
      <w:r w:rsidR="00C0663C" w:rsidRPr="006B1524">
        <w:rPr>
          <w:sz w:val="24"/>
        </w:rPr>
        <w:t>s</w:t>
      </w:r>
      <w:r w:rsidR="00BE7171" w:rsidRPr="006B1524">
        <w:rPr>
          <w:sz w:val="24"/>
        </w:rPr>
        <w:t xml:space="preserve"> drawn from primary source materials are accurate, </w:t>
      </w:r>
      <w:proofErr w:type="spellStart"/>
      <w:r w:rsidR="00BE7171" w:rsidRPr="006B1524">
        <w:rPr>
          <w:sz w:val="24"/>
        </w:rPr>
        <w:t>Garraghan</w:t>
      </w:r>
      <w:proofErr w:type="spellEnd"/>
      <w:r w:rsidR="00BE7171" w:rsidRPr="006B1524">
        <w:rPr>
          <w:sz w:val="24"/>
        </w:rPr>
        <w:t xml:space="preserve"> suggests that primary source analysis should </w:t>
      </w:r>
      <w:r w:rsidR="00652E99" w:rsidRPr="006B1524">
        <w:rPr>
          <w:sz w:val="24"/>
        </w:rPr>
        <w:t>include</w:t>
      </w:r>
      <w:r w:rsidR="00BE7171" w:rsidRPr="006B1524">
        <w:rPr>
          <w:sz w:val="24"/>
        </w:rPr>
        <w:t xml:space="preserve"> six ‘inquiries’</w:t>
      </w:r>
      <w:r w:rsidR="00652E99" w:rsidRPr="006B1524">
        <w:rPr>
          <w:sz w:val="24"/>
        </w:rPr>
        <w:t xml:space="preserve">, which are; date produced, where it was produced, who produced it, from what existing material it was produced, in what form it is, and what is its value as evidence. </w:t>
      </w:r>
      <w:r w:rsidR="00652E99" w:rsidRPr="006B1524">
        <w:rPr>
          <w:rStyle w:val="FootnoteReference"/>
          <w:sz w:val="24"/>
        </w:rPr>
        <w:footnoteReference w:id="7"/>
      </w:r>
      <w:r w:rsidR="00652E99" w:rsidRPr="006B1524">
        <w:rPr>
          <w:sz w:val="24"/>
        </w:rPr>
        <w:t xml:space="preserve"> These</w:t>
      </w:r>
      <w:r w:rsidR="000C1D6F">
        <w:rPr>
          <w:sz w:val="24"/>
        </w:rPr>
        <w:t xml:space="preserve"> aforementioned ‘</w:t>
      </w:r>
      <w:r w:rsidR="00734A2A" w:rsidRPr="006B1524">
        <w:rPr>
          <w:sz w:val="24"/>
        </w:rPr>
        <w:t>i</w:t>
      </w:r>
      <w:r w:rsidR="00652E99" w:rsidRPr="006B1524">
        <w:rPr>
          <w:sz w:val="24"/>
        </w:rPr>
        <w:t>nquiries</w:t>
      </w:r>
      <w:r w:rsidR="000C1D6F">
        <w:rPr>
          <w:sz w:val="24"/>
        </w:rPr>
        <w:t>’</w:t>
      </w:r>
      <w:r w:rsidR="00652E99" w:rsidRPr="006B1524">
        <w:rPr>
          <w:sz w:val="24"/>
        </w:rPr>
        <w:t xml:space="preserve"> have also been</w:t>
      </w:r>
      <w:r w:rsidR="00734A2A" w:rsidRPr="006B1524">
        <w:rPr>
          <w:sz w:val="24"/>
        </w:rPr>
        <w:t xml:space="preserve"> utilised throughout the study.</w:t>
      </w:r>
    </w:p>
    <w:p w:rsidR="00341820" w:rsidRPr="006B1524" w:rsidRDefault="00341820" w:rsidP="0022539A">
      <w:pPr>
        <w:spacing w:after="0" w:line="480" w:lineRule="auto"/>
        <w:rPr>
          <w:sz w:val="24"/>
        </w:rPr>
      </w:pPr>
    </w:p>
    <w:p w:rsidR="00341820" w:rsidRPr="006B1524" w:rsidRDefault="00341820" w:rsidP="0022539A">
      <w:pPr>
        <w:autoSpaceDE w:val="0"/>
        <w:autoSpaceDN w:val="0"/>
        <w:adjustRightInd w:val="0"/>
        <w:spacing w:after="0" w:line="480" w:lineRule="auto"/>
        <w:rPr>
          <w:sz w:val="24"/>
          <w:szCs w:val="24"/>
        </w:rPr>
      </w:pPr>
      <w:r w:rsidRPr="006B1524">
        <w:rPr>
          <w:sz w:val="24"/>
          <w:szCs w:val="24"/>
        </w:rPr>
        <w:t xml:space="preserve">The collection of </w:t>
      </w:r>
      <w:r w:rsidR="00193BD7" w:rsidRPr="006B1524">
        <w:rPr>
          <w:sz w:val="24"/>
          <w:szCs w:val="24"/>
        </w:rPr>
        <w:t xml:space="preserve">information through </w:t>
      </w:r>
      <w:r w:rsidRPr="006B1524">
        <w:rPr>
          <w:sz w:val="24"/>
          <w:szCs w:val="24"/>
        </w:rPr>
        <w:t xml:space="preserve">and </w:t>
      </w:r>
      <w:r w:rsidR="00193BD7" w:rsidRPr="006B1524">
        <w:rPr>
          <w:sz w:val="24"/>
          <w:szCs w:val="24"/>
        </w:rPr>
        <w:t>scrutiny</w:t>
      </w:r>
      <w:r w:rsidRPr="006B1524">
        <w:rPr>
          <w:sz w:val="24"/>
          <w:szCs w:val="24"/>
        </w:rPr>
        <w:t xml:space="preserve"> of primary </w:t>
      </w:r>
      <w:r w:rsidR="00193BD7" w:rsidRPr="006B1524">
        <w:rPr>
          <w:sz w:val="24"/>
          <w:szCs w:val="24"/>
        </w:rPr>
        <w:t>sources must also be complimented by secondary sources</w:t>
      </w:r>
      <w:r w:rsidR="00B4438E" w:rsidRPr="006B1524">
        <w:rPr>
          <w:sz w:val="24"/>
          <w:szCs w:val="24"/>
        </w:rPr>
        <w:t xml:space="preserve">, which </w:t>
      </w:r>
      <w:r w:rsidR="00223403" w:rsidRPr="006B1524">
        <w:rPr>
          <w:sz w:val="24"/>
          <w:szCs w:val="24"/>
        </w:rPr>
        <w:t>according to</w:t>
      </w:r>
      <w:r w:rsidR="001F765C" w:rsidRPr="006B1524">
        <w:rPr>
          <w:sz w:val="24"/>
          <w:szCs w:val="24"/>
        </w:rPr>
        <w:t xml:space="preserve"> </w:t>
      </w:r>
      <w:proofErr w:type="spellStart"/>
      <w:r w:rsidR="009A1D12" w:rsidRPr="006B1524">
        <w:rPr>
          <w:sz w:val="24"/>
        </w:rPr>
        <w:t>Schaps</w:t>
      </w:r>
      <w:proofErr w:type="spellEnd"/>
      <w:r w:rsidR="001F765C" w:rsidRPr="006B1524">
        <w:rPr>
          <w:sz w:val="24"/>
          <w:szCs w:val="24"/>
        </w:rPr>
        <w:t>, are "</w:t>
      </w:r>
      <w:r w:rsidR="009A1D12" w:rsidRPr="006B1524">
        <w:rPr>
          <w:sz w:val="24"/>
          <w:szCs w:val="24"/>
        </w:rPr>
        <w:t>all books written about the ancient world by modern scholars</w:t>
      </w:r>
      <w:r w:rsidR="001F765C" w:rsidRPr="006B1524">
        <w:rPr>
          <w:sz w:val="24"/>
          <w:szCs w:val="24"/>
        </w:rPr>
        <w:t xml:space="preserve">." </w:t>
      </w:r>
      <w:r w:rsidR="001F765C" w:rsidRPr="006B1524">
        <w:rPr>
          <w:rStyle w:val="FootnoteReference"/>
          <w:sz w:val="24"/>
          <w:szCs w:val="24"/>
        </w:rPr>
        <w:footnoteReference w:id="8"/>
      </w:r>
      <w:r w:rsidR="009A1D12" w:rsidRPr="006B1524">
        <w:rPr>
          <w:sz w:val="24"/>
          <w:szCs w:val="24"/>
        </w:rPr>
        <w:t xml:space="preserve"> </w:t>
      </w:r>
      <w:r w:rsidR="001F765C" w:rsidRPr="006B1524">
        <w:rPr>
          <w:sz w:val="24"/>
          <w:szCs w:val="24"/>
        </w:rPr>
        <w:t>I say ‘complemented</w:t>
      </w:r>
      <w:r w:rsidR="000C1D6F">
        <w:rPr>
          <w:sz w:val="24"/>
          <w:szCs w:val="24"/>
        </w:rPr>
        <w:t xml:space="preserve"> by</w:t>
      </w:r>
      <w:r w:rsidR="001F765C" w:rsidRPr="006B1524">
        <w:rPr>
          <w:sz w:val="24"/>
          <w:szCs w:val="24"/>
        </w:rPr>
        <w:t xml:space="preserve">’, as </w:t>
      </w:r>
      <w:r w:rsidR="00B4438E" w:rsidRPr="006B1524">
        <w:rPr>
          <w:sz w:val="24"/>
          <w:szCs w:val="24"/>
        </w:rPr>
        <w:t xml:space="preserve">according to Kerlinger; the biggest mistake in historiography is using a secondary source if it is possible for the researcher to use </w:t>
      </w:r>
      <w:r w:rsidR="001F765C" w:rsidRPr="006B1524">
        <w:rPr>
          <w:sz w:val="24"/>
          <w:szCs w:val="24"/>
        </w:rPr>
        <w:t>a primary source,</w:t>
      </w:r>
      <w:r w:rsidR="00B4438E" w:rsidRPr="006B1524">
        <w:rPr>
          <w:sz w:val="24"/>
          <w:szCs w:val="24"/>
        </w:rPr>
        <w:t xml:space="preserve"> </w:t>
      </w:r>
      <w:r w:rsidR="00B4438E" w:rsidRPr="006B1524">
        <w:rPr>
          <w:rStyle w:val="FootnoteReference"/>
          <w:sz w:val="24"/>
          <w:szCs w:val="24"/>
        </w:rPr>
        <w:footnoteReference w:id="9"/>
      </w:r>
      <w:r w:rsidR="00B4438E" w:rsidRPr="006B1524">
        <w:rPr>
          <w:sz w:val="24"/>
          <w:szCs w:val="24"/>
        </w:rPr>
        <w:t xml:space="preserve"> </w:t>
      </w:r>
      <w:r w:rsidR="001F765C" w:rsidRPr="006B1524">
        <w:rPr>
          <w:sz w:val="24"/>
          <w:szCs w:val="24"/>
        </w:rPr>
        <w:t xml:space="preserve">and so wherever possible primary sources have been </w:t>
      </w:r>
      <w:r w:rsidR="00CA4F2C" w:rsidRPr="006B1524">
        <w:rPr>
          <w:sz w:val="24"/>
          <w:szCs w:val="24"/>
        </w:rPr>
        <w:t>used</w:t>
      </w:r>
      <w:r w:rsidR="001F765C" w:rsidRPr="006B1524">
        <w:rPr>
          <w:sz w:val="24"/>
          <w:szCs w:val="24"/>
        </w:rPr>
        <w:t xml:space="preserve"> and s</w:t>
      </w:r>
      <w:r w:rsidR="00193BD7" w:rsidRPr="006B1524">
        <w:rPr>
          <w:sz w:val="24"/>
          <w:szCs w:val="24"/>
        </w:rPr>
        <w:t>econdary sources</w:t>
      </w:r>
      <w:r w:rsidR="001F765C" w:rsidRPr="006B1524">
        <w:rPr>
          <w:sz w:val="24"/>
          <w:szCs w:val="24"/>
        </w:rPr>
        <w:t xml:space="preserve"> have been used in a supplementary manner to support </w:t>
      </w:r>
      <w:r w:rsidR="00162A84" w:rsidRPr="006B1524">
        <w:rPr>
          <w:sz w:val="24"/>
          <w:szCs w:val="24"/>
        </w:rPr>
        <w:t xml:space="preserve">any </w:t>
      </w:r>
      <w:r w:rsidR="001F765C" w:rsidRPr="006B1524">
        <w:rPr>
          <w:sz w:val="24"/>
          <w:szCs w:val="24"/>
        </w:rPr>
        <w:t>conclusion</w:t>
      </w:r>
      <w:r w:rsidR="00162A84" w:rsidRPr="006B1524">
        <w:rPr>
          <w:sz w:val="24"/>
          <w:szCs w:val="24"/>
        </w:rPr>
        <w:t>s</w:t>
      </w:r>
      <w:r w:rsidR="001F765C" w:rsidRPr="006B1524">
        <w:rPr>
          <w:sz w:val="24"/>
          <w:szCs w:val="24"/>
        </w:rPr>
        <w:t xml:space="preserve"> m</w:t>
      </w:r>
      <w:r w:rsidR="00BC3FC9" w:rsidRPr="006B1524">
        <w:rPr>
          <w:sz w:val="24"/>
          <w:szCs w:val="24"/>
        </w:rPr>
        <w:t>ade.</w:t>
      </w:r>
    </w:p>
    <w:p w:rsidR="000E7259" w:rsidRPr="006B1524" w:rsidRDefault="000E7259" w:rsidP="0022539A">
      <w:pPr>
        <w:autoSpaceDE w:val="0"/>
        <w:autoSpaceDN w:val="0"/>
        <w:adjustRightInd w:val="0"/>
        <w:spacing w:after="0" w:line="480" w:lineRule="auto"/>
        <w:rPr>
          <w:sz w:val="24"/>
          <w:szCs w:val="24"/>
        </w:rPr>
      </w:pPr>
      <w:r w:rsidRPr="006B1524">
        <w:rPr>
          <w:sz w:val="24"/>
          <w:szCs w:val="24"/>
        </w:rPr>
        <w:t xml:space="preserve">An ongoing issue with the research that has been closely considered is that of the identification and / or separation of economically imperialistic behaviours from imperialistic behaviours in general. If the study is to be successful in evaluating the extent to which economic imperialism caused the Peloponnesian War, instances of economic coercion and imperialism will need to be specifically identified and </w:t>
      </w:r>
      <w:r w:rsidR="00C0663C" w:rsidRPr="006B1524">
        <w:rPr>
          <w:sz w:val="24"/>
          <w:szCs w:val="24"/>
        </w:rPr>
        <w:t>analysed.</w:t>
      </w:r>
      <w:r w:rsidRPr="006B1524">
        <w:rPr>
          <w:sz w:val="24"/>
          <w:szCs w:val="24"/>
        </w:rPr>
        <w:t xml:space="preserve"> </w:t>
      </w:r>
    </w:p>
    <w:p w:rsidR="000E7259" w:rsidRPr="006B1524" w:rsidRDefault="000E7259" w:rsidP="0022539A">
      <w:pPr>
        <w:autoSpaceDE w:val="0"/>
        <w:autoSpaceDN w:val="0"/>
        <w:adjustRightInd w:val="0"/>
        <w:spacing w:after="0" w:line="480" w:lineRule="auto"/>
        <w:rPr>
          <w:sz w:val="24"/>
          <w:szCs w:val="24"/>
        </w:rPr>
      </w:pPr>
    </w:p>
    <w:p w:rsidR="00D61D0F" w:rsidRPr="006B1524" w:rsidRDefault="00D61D0F" w:rsidP="0022539A">
      <w:pPr>
        <w:spacing w:after="0" w:line="480" w:lineRule="auto"/>
        <w:rPr>
          <w:sz w:val="24"/>
        </w:rPr>
      </w:pPr>
      <w:r w:rsidRPr="006B1524">
        <w:rPr>
          <w:sz w:val="24"/>
        </w:rPr>
        <w:t>With</w:t>
      </w:r>
      <w:r w:rsidR="00652E99" w:rsidRPr="006B1524">
        <w:rPr>
          <w:sz w:val="24"/>
        </w:rPr>
        <w:t xml:space="preserve"> the prior information </w:t>
      </w:r>
      <w:r w:rsidRPr="006B1524">
        <w:rPr>
          <w:sz w:val="24"/>
        </w:rPr>
        <w:t xml:space="preserve">in mind, the sources used in and </w:t>
      </w:r>
      <w:r w:rsidR="00652E99" w:rsidRPr="006B1524">
        <w:rPr>
          <w:sz w:val="24"/>
        </w:rPr>
        <w:t>their</w:t>
      </w:r>
      <w:r w:rsidRPr="006B1524">
        <w:rPr>
          <w:sz w:val="24"/>
        </w:rPr>
        <w:t xml:space="preserve"> relevance to this this study will now be outlined. </w:t>
      </w:r>
    </w:p>
    <w:p w:rsidR="00662994" w:rsidRPr="006B1524" w:rsidRDefault="00662994" w:rsidP="0022539A">
      <w:pPr>
        <w:spacing w:after="0" w:line="480" w:lineRule="auto"/>
        <w:rPr>
          <w:sz w:val="24"/>
          <w:szCs w:val="24"/>
        </w:rPr>
      </w:pPr>
    </w:p>
    <w:p w:rsidR="00B90FCB" w:rsidRPr="006B1524" w:rsidRDefault="00B90FCB" w:rsidP="0022539A">
      <w:pPr>
        <w:spacing w:after="0" w:line="480" w:lineRule="auto"/>
        <w:rPr>
          <w:b/>
          <w:sz w:val="24"/>
        </w:rPr>
      </w:pPr>
      <w:r w:rsidRPr="006B1524">
        <w:rPr>
          <w:b/>
          <w:sz w:val="24"/>
        </w:rPr>
        <w:t>Data Collection</w:t>
      </w:r>
    </w:p>
    <w:p w:rsidR="00162A84" w:rsidRPr="006B1524" w:rsidRDefault="00162A84" w:rsidP="0022539A">
      <w:pPr>
        <w:spacing w:after="0" w:line="480" w:lineRule="auto"/>
        <w:rPr>
          <w:sz w:val="24"/>
        </w:rPr>
      </w:pPr>
      <w:r w:rsidRPr="006B1524">
        <w:rPr>
          <w:sz w:val="24"/>
        </w:rPr>
        <w:t>The data collected for this study falls in to the two aforementioned categories of primary source</w:t>
      </w:r>
      <w:r w:rsidR="00F72405" w:rsidRPr="006B1524">
        <w:rPr>
          <w:sz w:val="24"/>
        </w:rPr>
        <w:t xml:space="preserve">s </w:t>
      </w:r>
      <w:r w:rsidRPr="006B1524">
        <w:rPr>
          <w:sz w:val="24"/>
        </w:rPr>
        <w:t>and secondary</w:t>
      </w:r>
      <w:r w:rsidR="00F72405" w:rsidRPr="006B1524">
        <w:rPr>
          <w:sz w:val="24"/>
        </w:rPr>
        <w:t xml:space="preserve"> sources. </w:t>
      </w:r>
    </w:p>
    <w:p w:rsidR="00162A84" w:rsidRPr="006B1524" w:rsidRDefault="00162A84" w:rsidP="0022539A">
      <w:pPr>
        <w:spacing w:after="0" w:line="480" w:lineRule="auto"/>
        <w:rPr>
          <w:sz w:val="24"/>
        </w:rPr>
      </w:pPr>
    </w:p>
    <w:p w:rsidR="00D61D0F" w:rsidRPr="006B1524" w:rsidRDefault="00162A84" w:rsidP="0022539A">
      <w:pPr>
        <w:spacing w:after="0" w:line="480" w:lineRule="auto"/>
        <w:rPr>
          <w:b/>
          <w:sz w:val="24"/>
        </w:rPr>
      </w:pPr>
      <w:r w:rsidRPr="006B1524">
        <w:rPr>
          <w:b/>
          <w:sz w:val="24"/>
        </w:rPr>
        <w:t>Primary Sources</w:t>
      </w:r>
      <w:r w:rsidR="00D61D0F" w:rsidRPr="006B1524">
        <w:rPr>
          <w:b/>
          <w:sz w:val="24"/>
        </w:rPr>
        <w:t xml:space="preserve"> </w:t>
      </w:r>
    </w:p>
    <w:p w:rsidR="00F72405" w:rsidRPr="006B1524" w:rsidRDefault="00F72405" w:rsidP="0022539A">
      <w:pPr>
        <w:spacing w:after="0" w:line="480" w:lineRule="auto"/>
        <w:rPr>
          <w:sz w:val="24"/>
        </w:rPr>
      </w:pPr>
      <w:r w:rsidRPr="006B1524">
        <w:rPr>
          <w:sz w:val="24"/>
        </w:rPr>
        <w:t xml:space="preserve">"Primary sources are the original documents or remains, the first witness to a fact” and are therefore “the only solid basis of historical work." </w:t>
      </w:r>
      <w:r w:rsidRPr="006B1524">
        <w:rPr>
          <w:rStyle w:val="FootnoteReference"/>
          <w:sz w:val="24"/>
        </w:rPr>
        <w:footnoteReference w:id="10"/>
      </w:r>
      <w:r w:rsidRPr="006B1524">
        <w:rPr>
          <w:sz w:val="24"/>
        </w:rPr>
        <w:t xml:space="preserve"> If we consider the period of the Peloponnesian War we have a number of primary sources</w:t>
      </w:r>
      <w:r w:rsidR="008363C0" w:rsidRPr="006B1524">
        <w:rPr>
          <w:sz w:val="24"/>
        </w:rPr>
        <w:t xml:space="preserve"> that can provide the solid basis needed for study. </w:t>
      </w:r>
    </w:p>
    <w:p w:rsidR="00F72405" w:rsidRPr="006B1524" w:rsidRDefault="00F72405" w:rsidP="0022539A">
      <w:pPr>
        <w:spacing w:after="0" w:line="480" w:lineRule="auto"/>
        <w:rPr>
          <w:sz w:val="24"/>
        </w:rPr>
      </w:pPr>
    </w:p>
    <w:p w:rsidR="0055254F" w:rsidRPr="006B1524" w:rsidRDefault="00F72405" w:rsidP="0022539A">
      <w:pPr>
        <w:spacing w:after="0" w:line="480" w:lineRule="auto"/>
        <w:rPr>
          <w:sz w:val="24"/>
        </w:rPr>
      </w:pPr>
      <w:r w:rsidRPr="006B1524">
        <w:rPr>
          <w:sz w:val="24"/>
        </w:rPr>
        <w:t xml:space="preserve">Primary </w:t>
      </w:r>
      <w:r w:rsidR="00036C71" w:rsidRPr="006B1524">
        <w:rPr>
          <w:sz w:val="24"/>
        </w:rPr>
        <w:t>l</w:t>
      </w:r>
      <w:r w:rsidRPr="006B1524">
        <w:rPr>
          <w:sz w:val="24"/>
        </w:rPr>
        <w:t xml:space="preserve">iterary </w:t>
      </w:r>
      <w:r w:rsidR="00036C71" w:rsidRPr="006B1524">
        <w:rPr>
          <w:sz w:val="24"/>
        </w:rPr>
        <w:t>s</w:t>
      </w:r>
      <w:r w:rsidR="00E3762E" w:rsidRPr="006B1524">
        <w:rPr>
          <w:sz w:val="24"/>
        </w:rPr>
        <w:t xml:space="preserve">ources, </w:t>
      </w:r>
      <w:r w:rsidR="002A0521" w:rsidRPr="006B1524">
        <w:rPr>
          <w:sz w:val="24"/>
        </w:rPr>
        <w:t>predominantly</w:t>
      </w:r>
      <w:r w:rsidR="00E3762E" w:rsidRPr="006B1524">
        <w:rPr>
          <w:sz w:val="24"/>
        </w:rPr>
        <w:t xml:space="preserve"> </w:t>
      </w:r>
      <w:r w:rsidR="00DE6A73" w:rsidRPr="006B1524">
        <w:rPr>
          <w:sz w:val="24"/>
        </w:rPr>
        <w:t>Thucydides</w:t>
      </w:r>
      <w:r w:rsidRPr="006B1524">
        <w:rPr>
          <w:sz w:val="24"/>
        </w:rPr>
        <w:t xml:space="preserve">’ History of the Peloponnesian War </w:t>
      </w:r>
      <w:r w:rsidR="0055254F" w:rsidRPr="006B1524">
        <w:rPr>
          <w:sz w:val="24"/>
        </w:rPr>
        <w:t xml:space="preserve">and </w:t>
      </w:r>
      <w:proofErr w:type="spellStart"/>
      <w:r w:rsidR="00DE6A73" w:rsidRPr="006B1524">
        <w:rPr>
          <w:sz w:val="24"/>
        </w:rPr>
        <w:t>Xenopohon</w:t>
      </w:r>
      <w:r w:rsidR="0055254F" w:rsidRPr="006B1524">
        <w:rPr>
          <w:sz w:val="24"/>
        </w:rPr>
        <w:t>’s</w:t>
      </w:r>
      <w:proofErr w:type="spellEnd"/>
      <w:r w:rsidR="0055254F" w:rsidRPr="006B1524">
        <w:rPr>
          <w:sz w:val="24"/>
        </w:rPr>
        <w:t xml:space="preserve"> Hellenica, which is considered a continuation of Thucydides’ work, have been used in the study to create a </w:t>
      </w:r>
      <w:r w:rsidR="002A7353" w:rsidRPr="006B1524">
        <w:rPr>
          <w:sz w:val="24"/>
        </w:rPr>
        <w:t xml:space="preserve">reliable </w:t>
      </w:r>
      <w:r w:rsidR="0055254F" w:rsidRPr="006B1524">
        <w:rPr>
          <w:sz w:val="24"/>
        </w:rPr>
        <w:t xml:space="preserve">chronology of the events of the war with a view to then identifying causal factors. </w:t>
      </w:r>
      <w:r w:rsidR="00036C71" w:rsidRPr="006B1524">
        <w:rPr>
          <w:sz w:val="24"/>
        </w:rPr>
        <w:t xml:space="preserve">A number of translations of the original texts have been accessed with a view to minimising the effects of difficult translations and potential translation bias and to therefore increase accuracy of </w:t>
      </w:r>
      <w:r w:rsidR="00E3762E" w:rsidRPr="006B1524">
        <w:rPr>
          <w:sz w:val="24"/>
        </w:rPr>
        <w:t xml:space="preserve">any </w:t>
      </w:r>
      <w:r w:rsidR="00036C71" w:rsidRPr="006B1524">
        <w:rPr>
          <w:sz w:val="24"/>
        </w:rPr>
        <w:t>conclusion</w:t>
      </w:r>
      <w:r w:rsidR="00E3762E" w:rsidRPr="006B1524">
        <w:rPr>
          <w:sz w:val="24"/>
        </w:rPr>
        <w:t xml:space="preserve">s drawn from these texts. </w:t>
      </w:r>
    </w:p>
    <w:p w:rsidR="000C1D6F" w:rsidRDefault="000C1D6F" w:rsidP="0022539A">
      <w:pPr>
        <w:spacing w:after="0" w:line="480" w:lineRule="auto"/>
        <w:rPr>
          <w:sz w:val="24"/>
        </w:rPr>
      </w:pPr>
    </w:p>
    <w:p w:rsidR="0021706E" w:rsidRPr="006B1524" w:rsidRDefault="00E3762E" w:rsidP="0022539A">
      <w:pPr>
        <w:spacing w:after="0" w:line="480" w:lineRule="auto"/>
        <w:rPr>
          <w:sz w:val="24"/>
        </w:rPr>
      </w:pPr>
      <w:r w:rsidRPr="006B1524">
        <w:rPr>
          <w:sz w:val="24"/>
        </w:rPr>
        <w:t>Primary e</w:t>
      </w:r>
      <w:r w:rsidR="00B90FCB" w:rsidRPr="006B1524">
        <w:rPr>
          <w:sz w:val="24"/>
        </w:rPr>
        <w:t>pigraphic sources</w:t>
      </w:r>
      <w:r w:rsidRPr="006B1524">
        <w:rPr>
          <w:sz w:val="24"/>
        </w:rPr>
        <w:t xml:space="preserve"> are also very useful in considering this period</w:t>
      </w:r>
      <w:r w:rsidR="0021706E" w:rsidRPr="006B1524">
        <w:rPr>
          <w:sz w:val="24"/>
        </w:rPr>
        <w:t xml:space="preserve">. Scrutinising the contemporary inscriptions will enable an insight in to the workings of the relationships between the </w:t>
      </w:r>
      <w:proofErr w:type="gramStart"/>
      <w:r w:rsidR="0021706E" w:rsidRPr="006B1524">
        <w:rPr>
          <w:sz w:val="24"/>
        </w:rPr>
        <w:t>city</w:t>
      </w:r>
      <w:proofErr w:type="gramEnd"/>
      <w:r w:rsidR="0021706E" w:rsidRPr="006B1524">
        <w:rPr>
          <w:sz w:val="24"/>
        </w:rPr>
        <w:t xml:space="preserve"> states during the period studied. </w:t>
      </w:r>
      <w:r w:rsidR="00F2797C" w:rsidRPr="006B1524">
        <w:rPr>
          <w:sz w:val="24"/>
        </w:rPr>
        <w:t xml:space="preserve">Using epigraphic sources to cross reference the aforementioned primary literary sources will have a consolidating effect on any conclusions or data drawn from either source. </w:t>
      </w:r>
    </w:p>
    <w:p w:rsidR="008363C0" w:rsidRPr="006B1524" w:rsidRDefault="008363C0" w:rsidP="0022539A">
      <w:pPr>
        <w:spacing w:after="0" w:line="480" w:lineRule="auto"/>
        <w:rPr>
          <w:sz w:val="24"/>
        </w:rPr>
      </w:pPr>
    </w:p>
    <w:p w:rsidR="0021706E" w:rsidRPr="006B1524" w:rsidRDefault="008363C0" w:rsidP="0022539A">
      <w:pPr>
        <w:spacing w:after="0" w:line="480" w:lineRule="auto"/>
        <w:rPr>
          <w:sz w:val="24"/>
        </w:rPr>
      </w:pPr>
      <w:r w:rsidRPr="006B1524">
        <w:rPr>
          <w:sz w:val="24"/>
        </w:rPr>
        <w:t xml:space="preserve">There are a number of particularly important inscriptions that this study will scrutinise. </w:t>
      </w:r>
      <w:r w:rsidR="00407C6A" w:rsidRPr="006B1524">
        <w:rPr>
          <w:sz w:val="24"/>
        </w:rPr>
        <w:t>Firstly,</w:t>
      </w:r>
      <w:r w:rsidR="00CF05B5" w:rsidRPr="006B1524">
        <w:rPr>
          <w:sz w:val="24"/>
        </w:rPr>
        <w:t xml:space="preserve"> many Attic inscriptions are available and can be used to understand the relationships between Athens and allied city states. T</w:t>
      </w:r>
      <w:r w:rsidR="001B2A36" w:rsidRPr="006B1524">
        <w:rPr>
          <w:sz w:val="24"/>
        </w:rPr>
        <w:t>he ‘Decree enforcing use of Athenian coins, weights and measures’</w:t>
      </w:r>
      <w:r w:rsidR="00407C6A" w:rsidRPr="006B1524">
        <w:rPr>
          <w:sz w:val="24"/>
        </w:rPr>
        <w:t xml:space="preserve"> can certainly provide some data regarding Athenian economic imper</w:t>
      </w:r>
      <w:r w:rsidR="009A5469" w:rsidRPr="006B1524">
        <w:rPr>
          <w:sz w:val="24"/>
        </w:rPr>
        <w:t>ialism and the fact that</w:t>
      </w:r>
      <w:r w:rsidR="00407C6A" w:rsidRPr="006B1524">
        <w:rPr>
          <w:sz w:val="24"/>
        </w:rPr>
        <w:t xml:space="preserve"> </w:t>
      </w:r>
      <w:r w:rsidR="009A5469" w:rsidRPr="006B1524">
        <w:rPr>
          <w:sz w:val="24"/>
        </w:rPr>
        <w:t xml:space="preserve">specific </w:t>
      </w:r>
      <w:r w:rsidR="00407C6A" w:rsidRPr="006B1524">
        <w:rPr>
          <w:sz w:val="24"/>
        </w:rPr>
        <w:t xml:space="preserve">penalties </w:t>
      </w:r>
      <w:r w:rsidR="009A5469" w:rsidRPr="006B1524">
        <w:rPr>
          <w:sz w:val="24"/>
        </w:rPr>
        <w:t>of “</w:t>
      </w:r>
      <w:r w:rsidR="00407C6A" w:rsidRPr="006B1524">
        <w:rPr>
          <w:sz w:val="24"/>
        </w:rPr>
        <w:t>10,000 dr.</w:t>
      </w:r>
      <w:r w:rsidR="009A5469" w:rsidRPr="006B1524">
        <w:rPr>
          <w:sz w:val="24"/>
        </w:rPr>
        <w:t xml:space="preserve">” and loss of civil rights and property </w:t>
      </w:r>
      <w:r w:rsidR="009A5469" w:rsidRPr="006B1524">
        <w:rPr>
          <w:rStyle w:val="FootnoteReference"/>
          <w:sz w:val="24"/>
        </w:rPr>
        <w:footnoteReference w:id="11"/>
      </w:r>
      <w:r w:rsidR="009A5469" w:rsidRPr="006B1524">
        <w:rPr>
          <w:sz w:val="24"/>
        </w:rPr>
        <w:t xml:space="preserve"> are included in this inscription positions Athens as the state in command of the agreement. </w:t>
      </w:r>
      <w:r w:rsidR="00F2797C" w:rsidRPr="006B1524">
        <w:rPr>
          <w:sz w:val="24"/>
        </w:rPr>
        <w:t>Throughout t</w:t>
      </w:r>
      <w:r w:rsidR="0021706E" w:rsidRPr="006B1524">
        <w:rPr>
          <w:sz w:val="24"/>
        </w:rPr>
        <w:t>he Chalcis decree</w:t>
      </w:r>
      <w:r w:rsidRPr="006B1524">
        <w:rPr>
          <w:sz w:val="24"/>
        </w:rPr>
        <w:t xml:space="preserve"> too</w:t>
      </w:r>
      <w:r w:rsidR="00F2797C" w:rsidRPr="006B1524">
        <w:rPr>
          <w:sz w:val="24"/>
        </w:rPr>
        <w:t>,</w:t>
      </w:r>
      <w:r w:rsidRPr="006B1524">
        <w:rPr>
          <w:sz w:val="24"/>
        </w:rPr>
        <w:t xml:space="preserve"> the language of</w:t>
      </w:r>
      <w:r w:rsidR="00F2797C" w:rsidRPr="006B1524">
        <w:rPr>
          <w:sz w:val="24"/>
        </w:rPr>
        <w:t xml:space="preserve"> Athenian</w:t>
      </w:r>
      <w:r w:rsidR="0021706E" w:rsidRPr="006B1524">
        <w:rPr>
          <w:sz w:val="24"/>
        </w:rPr>
        <w:t xml:space="preserve"> dom</w:t>
      </w:r>
      <w:r w:rsidRPr="006B1524">
        <w:rPr>
          <w:sz w:val="24"/>
        </w:rPr>
        <w:t>inance is unambiguous</w:t>
      </w:r>
      <w:r w:rsidR="0021706E" w:rsidRPr="006B1524">
        <w:rPr>
          <w:sz w:val="24"/>
        </w:rPr>
        <w:t>. The references to obedience</w:t>
      </w:r>
      <w:r w:rsidR="00D14F77" w:rsidRPr="006B1524">
        <w:rPr>
          <w:sz w:val="24"/>
        </w:rPr>
        <w:t>,</w:t>
      </w:r>
      <w:r w:rsidR="0021706E" w:rsidRPr="006B1524">
        <w:rPr>
          <w:sz w:val="24"/>
        </w:rPr>
        <w:t xml:space="preserve"> “I shall obey the Athenian People” </w:t>
      </w:r>
      <w:r w:rsidR="00D14F77" w:rsidRPr="006B1524">
        <w:rPr>
          <w:rStyle w:val="FootnoteReference"/>
          <w:sz w:val="24"/>
        </w:rPr>
        <w:footnoteReference w:id="12"/>
      </w:r>
      <w:r w:rsidR="00D14F77" w:rsidRPr="006B1524">
        <w:rPr>
          <w:sz w:val="24"/>
        </w:rPr>
        <w:t xml:space="preserve"> </w:t>
      </w:r>
      <w:r w:rsidR="0021706E" w:rsidRPr="006B1524">
        <w:rPr>
          <w:sz w:val="24"/>
        </w:rPr>
        <w:t>and Athenian interests</w:t>
      </w:r>
      <w:r w:rsidR="00D14F77" w:rsidRPr="006B1524">
        <w:rPr>
          <w:sz w:val="24"/>
        </w:rPr>
        <w:t>,</w:t>
      </w:r>
      <w:r w:rsidR="0021706E" w:rsidRPr="006B1524">
        <w:rPr>
          <w:sz w:val="24"/>
        </w:rPr>
        <w:t xml:space="preserve"> “take care of that as best they can in the best interests of the Athenians” are overt and </w:t>
      </w:r>
      <w:r w:rsidR="00D14F77" w:rsidRPr="006B1524">
        <w:rPr>
          <w:sz w:val="24"/>
        </w:rPr>
        <w:t>can therefore shed light on relationships within the Delian League</w:t>
      </w:r>
      <w:r w:rsidR="000C1D6F">
        <w:rPr>
          <w:sz w:val="24"/>
        </w:rPr>
        <w:t xml:space="preserve"> and also how Athenian economic control was being established. </w:t>
      </w:r>
    </w:p>
    <w:p w:rsidR="008D4BC9" w:rsidRPr="006B1524" w:rsidRDefault="008D4BC9" w:rsidP="0022539A">
      <w:pPr>
        <w:spacing w:after="0" w:line="480" w:lineRule="auto"/>
        <w:rPr>
          <w:sz w:val="24"/>
        </w:rPr>
      </w:pPr>
    </w:p>
    <w:p w:rsidR="00F620DA" w:rsidRPr="006B1524" w:rsidRDefault="00F620DA" w:rsidP="0022539A">
      <w:pPr>
        <w:spacing w:after="0" w:line="480" w:lineRule="auto"/>
        <w:rPr>
          <w:sz w:val="24"/>
        </w:rPr>
      </w:pPr>
      <w:r w:rsidRPr="006B1524">
        <w:rPr>
          <w:sz w:val="24"/>
        </w:rPr>
        <w:t>There are also numerous inscriptions from outside of Attica that can present an alternative view of Athenian economic policy and can enable us to build a far more balanced picture of events to draw conclusions from. In particular, t</w:t>
      </w:r>
      <w:r w:rsidR="00DE6A73" w:rsidRPr="006B1524">
        <w:rPr>
          <w:sz w:val="24"/>
        </w:rPr>
        <w:t>he</w:t>
      </w:r>
      <w:r w:rsidR="00570A5B" w:rsidRPr="006B1524">
        <w:rPr>
          <w:sz w:val="24"/>
        </w:rPr>
        <w:t xml:space="preserve"> so called</w:t>
      </w:r>
      <w:r w:rsidR="006C6634" w:rsidRPr="006B1524">
        <w:rPr>
          <w:sz w:val="24"/>
        </w:rPr>
        <w:t xml:space="preserve"> ‘Spartan War Fund’ inscription</w:t>
      </w:r>
      <w:r w:rsidRPr="006B1524">
        <w:rPr>
          <w:sz w:val="24"/>
        </w:rPr>
        <w:t xml:space="preserve"> can tell us about the way Sparta may have been perceived prior to the outbreak of the Peloponnesian War. There were contributions made by non-members of the Peloponnesian League, who were not obligated to support Sparta. The inscription sets into stone the Spartans’ image of fighting the oppression of Athenian imperialism. The inclusion of “The Melians gave to the </w:t>
      </w:r>
      <w:proofErr w:type="spellStart"/>
      <w:r w:rsidRPr="006B1524">
        <w:rPr>
          <w:sz w:val="24"/>
        </w:rPr>
        <w:t>Lacedaimonians</w:t>
      </w:r>
      <w:proofErr w:type="spellEnd"/>
      <w:r w:rsidRPr="006B1524">
        <w:rPr>
          <w:sz w:val="24"/>
        </w:rPr>
        <w:t xml:space="preserve"> twenty </w:t>
      </w:r>
      <w:proofErr w:type="spellStart"/>
      <w:r w:rsidRPr="006B1524">
        <w:rPr>
          <w:sz w:val="24"/>
        </w:rPr>
        <w:t>mnas</w:t>
      </w:r>
      <w:proofErr w:type="spellEnd"/>
      <w:r w:rsidRPr="006B1524">
        <w:rPr>
          <w:sz w:val="24"/>
        </w:rPr>
        <w:t xml:space="preserve"> of silver”</w:t>
      </w:r>
      <w:r w:rsidR="00570A5B" w:rsidRPr="006B1524">
        <w:rPr>
          <w:sz w:val="24"/>
        </w:rPr>
        <w:t xml:space="preserve"> </w:t>
      </w:r>
      <w:r w:rsidR="00570A5B" w:rsidRPr="006B1524">
        <w:rPr>
          <w:rStyle w:val="FootnoteReference"/>
          <w:sz w:val="24"/>
        </w:rPr>
        <w:footnoteReference w:id="13"/>
      </w:r>
      <w:r w:rsidRPr="006B1524">
        <w:rPr>
          <w:sz w:val="24"/>
        </w:rPr>
        <w:t xml:space="preserve"> on the inscription shows us that even states that were non-affiliated and neutral were contr</w:t>
      </w:r>
      <w:r w:rsidR="00570A5B" w:rsidRPr="006B1524">
        <w:rPr>
          <w:sz w:val="24"/>
        </w:rPr>
        <w:t xml:space="preserve">ibuting to Sparta’s war effort , which </w:t>
      </w:r>
      <w:r w:rsidR="00351DE0" w:rsidRPr="006B1524">
        <w:rPr>
          <w:sz w:val="24"/>
        </w:rPr>
        <w:t xml:space="preserve">supports the idea that Sparta are the </w:t>
      </w:r>
      <w:r w:rsidR="00570A5B" w:rsidRPr="006B1524">
        <w:rPr>
          <w:sz w:val="24"/>
        </w:rPr>
        <w:t>defenders of Greece against Athenian imperialism in its various forms.</w:t>
      </w:r>
    </w:p>
    <w:p w:rsidR="00844633" w:rsidRPr="006B1524" w:rsidRDefault="00570A5B" w:rsidP="0022539A">
      <w:pPr>
        <w:spacing w:after="0" w:line="480" w:lineRule="auto"/>
        <w:rPr>
          <w:sz w:val="24"/>
        </w:rPr>
      </w:pPr>
      <w:r w:rsidRPr="006B1524">
        <w:rPr>
          <w:sz w:val="24"/>
        </w:rPr>
        <w:t xml:space="preserve">Archaeological sources are also extant </w:t>
      </w:r>
      <w:r w:rsidR="00351DE0" w:rsidRPr="006B1524">
        <w:rPr>
          <w:sz w:val="24"/>
        </w:rPr>
        <w:t xml:space="preserve">that will be used to further support this research. In particular, the military ports of </w:t>
      </w:r>
      <w:proofErr w:type="spellStart"/>
      <w:r w:rsidR="00B90FCB" w:rsidRPr="006B1524">
        <w:rPr>
          <w:sz w:val="24"/>
        </w:rPr>
        <w:t>Zea</w:t>
      </w:r>
      <w:proofErr w:type="spellEnd"/>
      <w:r w:rsidR="00B90FCB" w:rsidRPr="006B1524">
        <w:rPr>
          <w:sz w:val="24"/>
        </w:rPr>
        <w:t xml:space="preserve"> and </w:t>
      </w:r>
      <w:proofErr w:type="spellStart"/>
      <w:r w:rsidR="00B90FCB" w:rsidRPr="006B1524">
        <w:rPr>
          <w:sz w:val="24"/>
        </w:rPr>
        <w:t>Mounichia</w:t>
      </w:r>
      <w:proofErr w:type="spellEnd"/>
      <w:r w:rsidR="00B90FCB" w:rsidRPr="006B1524">
        <w:rPr>
          <w:sz w:val="24"/>
        </w:rPr>
        <w:t xml:space="preserve"> in Piraeus</w:t>
      </w:r>
      <w:r w:rsidR="0077278F" w:rsidRPr="006B1524">
        <w:rPr>
          <w:sz w:val="24"/>
        </w:rPr>
        <w:t xml:space="preserve">, which can assist in outlining potential reasons for </w:t>
      </w:r>
      <w:r w:rsidR="00351DE0" w:rsidRPr="006B1524">
        <w:rPr>
          <w:sz w:val="24"/>
        </w:rPr>
        <w:t xml:space="preserve">Athenian economic imperialism. </w:t>
      </w:r>
      <w:r w:rsidR="00844633" w:rsidRPr="006B1524">
        <w:rPr>
          <w:sz w:val="24"/>
        </w:rPr>
        <w:t>Samons writes</w:t>
      </w:r>
      <w:r w:rsidR="00351DE0" w:rsidRPr="006B1524">
        <w:rPr>
          <w:sz w:val="24"/>
        </w:rPr>
        <w:t xml:space="preserve"> that </w:t>
      </w:r>
      <w:r w:rsidR="00844633" w:rsidRPr="006B1524">
        <w:rPr>
          <w:sz w:val="24"/>
        </w:rPr>
        <w:t>“</w:t>
      </w:r>
      <w:r w:rsidR="00351DE0" w:rsidRPr="006B1524">
        <w:rPr>
          <w:sz w:val="24"/>
        </w:rPr>
        <w:t>Often, scholars have attributed Athens’ ability to finance some, if not all of these programs (</w:t>
      </w:r>
      <w:r w:rsidR="00351DE0" w:rsidRPr="006B1524">
        <w:rPr>
          <w:i/>
          <w:sz w:val="24"/>
        </w:rPr>
        <w:t>referring to the aforementioned building programmes</w:t>
      </w:r>
      <w:r w:rsidR="00351DE0" w:rsidRPr="006B1524">
        <w:rPr>
          <w:sz w:val="24"/>
        </w:rPr>
        <w:t xml:space="preserve">) to the accumulated reserve fund </w:t>
      </w:r>
      <w:r w:rsidR="00844633" w:rsidRPr="006B1524">
        <w:rPr>
          <w:sz w:val="24"/>
        </w:rPr>
        <w:t xml:space="preserve">of the so-called Delian League.” </w:t>
      </w:r>
      <w:r w:rsidR="00844633" w:rsidRPr="006B1524">
        <w:rPr>
          <w:rStyle w:val="FootnoteReference"/>
          <w:sz w:val="24"/>
        </w:rPr>
        <w:footnoteReference w:id="14"/>
      </w:r>
      <w:r w:rsidR="00844633" w:rsidRPr="006B1524">
        <w:rPr>
          <w:sz w:val="24"/>
        </w:rPr>
        <w:t xml:space="preserve"> This evidence suggests that</w:t>
      </w:r>
      <w:r w:rsidR="00351DE0" w:rsidRPr="006B1524">
        <w:rPr>
          <w:sz w:val="24"/>
        </w:rPr>
        <w:t xml:space="preserve"> Athens used Delian league tribute funds for their own individual </w:t>
      </w:r>
      <w:r w:rsidR="00844633" w:rsidRPr="006B1524">
        <w:rPr>
          <w:sz w:val="24"/>
        </w:rPr>
        <w:t>expansion;</w:t>
      </w:r>
      <w:r w:rsidR="00351DE0" w:rsidRPr="006B1524">
        <w:rPr>
          <w:sz w:val="24"/>
        </w:rPr>
        <w:t xml:space="preserve"> </w:t>
      </w:r>
      <w:r w:rsidR="00844633" w:rsidRPr="006B1524">
        <w:rPr>
          <w:sz w:val="24"/>
        </w:rPr>
        <w:t>and also goes some way to outlining Athenian rationale for economic expansion.</w:t>
      </w:r>
      <w:r w:rsidR="0077278F" w:rsidRPr="006B1524">
        <w:rPr>
          <w:sz w:val="24"/>
        </w:rPr>
        <w:t xml:space="preserve"> Again, archaeological sources will be used in combination with other primary sources to cross reference and ensure that any conclusions made are accurate. </w:t>
      </w:r>
    </w:p>
    <w:p w:rsidR="00351DE0" w:rsidRPr="006B1524" w:rsidRDefault="00844633" w:rsidP="0022539A">
      <w:pPr>
        <w:spacing w:after="0" w:line="480" w:lineRule="auto"/>
        <w:rPr>
          <w:sz w:val="24"/>
        </w:rPr>
      </w:pPr>
      <w:r w:rsidRPr="006B1524">
        <w:rPr>
          <w:sz w:val="24"/>
        </w:rPr>
        <w:t xml:space="preserve"> </w:t>
      </w:r>
    </w:p>
    <w:p w:rsidR="00B90FCB" w:rsidRPr="006B1524" w:rsidRDefault="00B90FCB" w:rsidP="0022539A">
      <w:pPr>
        <w:spacing w:after="0" w:line="480" w:lineRule="auto"/>
        <w:rPr>
          <w:b/>
          <w:sz w:val="24"/>
        </w:rPr>
      </w:pPr>
      <w:r w:rsidRPr="006B1524">
        <w:rPr>
          <w:b/>
          <w:sz w:val="24"/>
        </w:rPr>
        <w:t>Secondary Sources</w:t>
      </w:r>
    </w:p>
    <w:p w:rsidR="00F93FDB" w:rsidRPr="006B1524" w:rsidRDefault="0077278F" w:rsidP="0022539A">
      <w:pPr>
        <w:spacing w:after="0" w:line="480" w:lineRule="auto"/>
        <w:rPr>
          <w:sz w:val="24"/>
        </w:rPr>
      </w:pPr>
      <w:r w:rsidRPr="006B1524">
        <w:rPr>
          <w:sz w:val="24"/>
        </w:rPr>
        <w:t xml:space="preserve">A great number of secondary sources have been </w:t>
      </w:r>
      <w:r w:rsidR="002835F4" w:rsidRPr="006B1524">
        <w:rPr>
          <w:sz w:val="24"/>
        </w:rPr>
        <w:t>utilised to support this s</w:t>
      </w:r>
      <w:r w:rsidR="00B9176A" w:rsidRPr="006B1524">
        <w:rPr>
          <w:sz w:val="24"/>
        </w:rPr>
        <w:t xml:space="preserve">tudy, but as </w:t>
      </w:r>
      <w:proofErr w:type="spellStart"/>
      <w:r w:rsidR="00B9176A" w:rsidRPr="006B1524">
        <w:rPr>
          <w:sz w:val="24"/>
        </w:rPr>
        <w:t>Schaps</w:t>
      </w:r>
      <w:proofErr w:type="spellEnd"/>
      <w:r w:rsidR="00B9176A" w:rsidRPr="006B1524">
        <w:rPr>
          <w:sz w:val="24"/>
        </w:rPr>
        <w:t xml:space="preserve"> states, “the secondary source, by definition can know nothing more than what was in the primary sources” </w:t>
      </w:r>
      <w:r w:rsidR="00B9176A" w:rsidRPr="006B1524">
        <w:rPr>
          <w:rStyle w:val="FootnoteReference"/>
          <w:sz w:val="24"/>
        </w:rPr>
        <w:footnoteReference w:id="15"/>
      </w:r>
      <w:r w:rsidR="00B9176A" w:rsidRPr="006B1524">
        <w:rPr>
          <w:sz w:val="24"/>
        </w:rPr>
        <w:t xml:space="preserve"> and so we must therefore “base ourselves on the primary sources”. That being said, there are a number of secondary works that have been helpful in enhancing </w:t>
      </w:r>
      <w:r w:rsidR="008D4BC9" w:rsidRPr="006B1524">
        <w:rPr>
          <w:sz w:val="24"/>
        </w:rPr>
        <w:t xml:space="preserve">the </w:t>
      </w:r>
      <w:r w:rsidR="00B9176A" w:rsidRPr="006B1524">
        <w:rPr>
          <w:sz w:val="24"/>
        </w:rPr>
        <w:t xml:space="preserve">understanding </w:t>
      </w:r>
      <w:r w:rsidR="008D4BC9" w:rsidRPr="006B1524">
        <w:rPr>
          <w:sz w:val="24"/>
        </w:rPr>
        <w:t xml:space="preserve">of and the overall reliability of </w:t>
      </w:r>
      <w:r w:rsidR="00B9176A" w:rsidRPr="006B1524">
        <w:rPr>
          <w:sz w:val="24"/>
        </w:rPr>
        <w:t xml:space="preserve">the primary sources previously mentioned. </w:t>
      </w:r>
    </w:p>
    <w:p w:rsidR="00DE6A73" w:rsidRPr="006B1524" w:rsidRDefault="00DE6A73" w:rsidP="0022539A">
      <w:pPr>
        <w:spacing w:after="0" w:line="480" w:lineRule="auto"/>
        <w:rPr>
          <w:sz w:val="24"/>
        </w:rPr>
      </w:pPr>
    </w:p>
    <w:p w:rsidR="008D4BC9" w:rsidRPr="006B1524" w:rsidRDefault="008D4BC9" w:rsidP="0022539A">
      <w:pPr>
        <w:spacing w:after="0" w:line="480" w:lineRule="auto"/>
        <w:rPr>
          <w:b/>
          <w:sz w:val="24"/>
        </w:rPr>
      </w:pPr>
      <w:r w:rsidRPr="006B1524">
        <w:rPr>
          <w:b/>
          <w:sz w:val="24"/>
        </w:rPr>
        <w:t>Analysis and criticism of sources</w:t>
      </w:r>
    </w:p>
    <w:p w:rsidR="00082885" w:rsidRPr="006B1524" w:rsidRDefault="00D11E13" w:rsidP="0022539A">
      <w:pPr>
        <w:spacing w:after="0" w:line="480" w:lineRule="auto"/>
        <w:rPr>
          <w:sz w:val="24"/>
        </w:rPr>
      </w:pPr>
      <w:r w:rsidRPr="006B1524">
        <w:rPr>
          <w:sz w:val="24"/>
        </w:rPr>
        <w:t xml:space="preserve">In this study, there is inevitably an over dependence on the </w:t>
      </w:r>
      <w:r w:rsidR="00082885" w:rsidRPr="006B1524">
        <w:rPr>
          <w:sz w:val="24"/>
        </w:rPr>
        <w:t xml:space="preserve">testimony </w:t>
      </w:r>
      <w:r w:rsidRPr="006B1524">
        <w:rPr>
          <w:sz w:val="24"/>
        </w:rPr>
        <w:t>of very view literary primary sources and therefore, o</w:t>
      </w:r>
      <w:r w:rsidR="00082885" w:rsidRPr="006B1524">
        <w:rPr>
          <w:sz w:val="24"/>
        </w:rPr>
        <w:t>ne cannot</w:t>
      </w:r>
      <w:r w:rsidRPr="006B1524">
        <w:rPr>
          <w:sz w:val="24"/>
        </w:rPr>
        <w:t>, with any great deal of accuracy</w:t>
      </w:r>
      <w:r w:rsidR="00082885" w:rsidRPr="006B1524">
        <w:rPr>
          <w:sz w:val="24"/>
        </w:rPr>
        <w:t xml:space="preserve"> say how va</w:t>
      </w:r>
      <w:r w:rsidRPr="006B1524">
        <w:rPr>
          <w:sz w:val="24"/>
        </w:rPr>
        <w:t>lid or reliable the conclusion</w:t>
      </w:r>
      <w:r w:rsidR="00C83938" w:rsidRPr="006B1524">
        <w:rPr>
          <w:sz w:val="24"/>
        </w:rPr>
        <w:t>s drawn</w:t>
      </w:r>
      <w:r w:rsidRPr="006B1524">
        <w:rPr>
          <w:sz w:val="24"/>
        </w:rPr>
        <w:t xml:space="preserve"> are unless careful analysis is made of these primary texts. </w:t>
      </w:r>
      <w:r w:rsidR="00E23BBC" w:rsidRPr="006B1524">
        <w:rPr>
          <w:sz w:val="24"/>
        </w:rPr>
        <w:t xml:space="preserve">There will, therefore, need to be robust historiographical analysis in place </w:t>
      </w:r>
      <w:r w:rsidR="00C83938" w:rsidRPr="006B1524">
        <w:rPr>
          <w:sz w:val="24"/>
        </w:rPr>
        <w:t>to ensure that any conclusions</w:t>
      </w:r>
      <w:r w:rsidR="00E23BBC" w:rsidRPr="006B1524">
        <w:rPr>
          <w:sz w:val="24"/>
        </w:rPr>
        <w:t xml:space="preserve"> arrived at are in fact trustworthy and for the purposes of this study, the</w:t>
      </w:r>
      <w:r w:rsidR="00082885" w:rsidRPr="006B1524">
        <w:rPr>
          <w:sz w:val="24"/>
        </w:rPr>
        <w:t xml:space="preserve"> </w:t>
      </w:r>
      <w:r w:rsidR="00E23BBC" w:rsidRPr="006B1524">
        <w:rPr>
          <w:sz w:val="24"/>
        </w:rPr>
        <w:t xml:space="preserve">method </w:t>
      </w:r>
      <w:r w:rsidR="00082885" w:rsidRPr="006B1524">
        <w:rPr>
          <w:sz w:val="24"/>
        </w:rPr>
        <w:t>of internal</w:t>
      </w:r>
      <w:r w:rsidR="00E23BBC" w:rsidRPr="006B1524">
        <w:rPr>
          <w:sz w:val="24"/>
        </w:rPr>
        <w:t xml:space="preserve"> </w:t>
      </w:r>
      <w:r w:rsidR="00917D90" w:rsidRPr="006B1524">
        <w:rPr>
          <w:sz w:val="24"/>
        </w:rPr>
        <w:t>or</w:t>
      </w:r>
      <w:r w:rsidR="00E23BBC" w:rsidRPr="006B1524">
        <w:rPr>
          <w:sz w:val="24"/>
        </w:rPr>
        <w:t xml:space="preserve"> higher criticism will be utilised. </w:t>
      </w:r>
    </w:p>
    <w:p w:rsidR="00082885" w:rsidRPr="006B1524" w:rsidRDefault="00082885" w:rsidP="0022539A">
      <w:pPr>
        <w:spacing w:after="0" w:line="480" w:lineRule="auto"/>
        <w:rPr>
          <w:sz w:val="24"/>
        </w:rPr>
      </w:pPr>
    </w:p>
    <w:p w:rsidR="00AC784C" w:rsidRPr="006B1524" w:rsidRDefault="00E23BBC" w:rsidP="0022539A">
      <w:pPr>
        <w:spacing w:after="0" w:line="480" w:lineRule="auto"/>
        <w:rPr>
          <w:sz w:val="24"/>
        </w:rPr>
      </w:pPr>
      <w:r w:rsidRPr="006B1524">
        <w:rPr>
          <w:sz w:val="24"/>
        </w:rPr>
        <w:t xml:space="preserve">Higher </w:t>
      </w:r>
      <w:r w:rsidR="00917D90" w:rsidRPr="006B1524">
        <w:rPr>
          <w:sz w:val="24"/>
        </w:rPr>
        <w:t>or</w:t>
      </w:r>
      <w:r w:rsidRPr="006B1524">
        <w:rPr>
          <w:sz w:val="24"/>
        </w:rPr>
        <w:t xml:space="preserve"> </w:t>
      </w:r>
      <w:r w:rsidR="00917D90" w:rsidRPr="006B1524">
        <w:rPr>
          <w:sz w:val="24"/>
        </w:rPr>
        <w:t>i</w:t>
      </w:r>
      <w:r w:rsidR="00082885" w:rsidRPr="006B1524">
        <w:rPr>
          <w:sz w:val="24"/>
        </w:rPr>
        <w:t xml:space="preserve">nternal </w:t>
      </w:r>
      <w:r w:rsidR="008A1BCE" w:rsidRPr="006B1524">
        <w:rPr>
          <w:sz w:val="24"/>
        </w:rPr>
        <w:t>c</w:t>
      </w:r>
      <w:r w:rsidR="00082885" w:rsidRPr="006B1524">
        <w:rPr>
          <w:sz w:val="24"/>
        </w:rPr>
        <w:t>riticism</w:t>
      </w:r>
      <w:r w:rsidR="008A1BCE" w:rsidRPr="006B1524">
        <w:rPr>
          <w:sz w:val="24"/>
        </w:rPr>
        <w:t xml:space="preserve"> “deals with the meaning and trustworthiness of statements that remain within the document," </w:t>
      </w:r>
      <w:r w:rsidR="008A1BCE" w:rsidRPr="006B1524">
        <w:rPr>
          <w:rStyle w:val="FootnoteReference"/>
          <w:sz w:val="24"/>
        </w:rPr>
        <w:footnoteReference w:id="16"/>
      </w:r>
      <w:r w:rsidR="008A1BCE" w:rsidRPr="006B1524">
        <w:rPr>
          <w:sz w:val="24"/>
        </w:rPr>
        <w:t xml:space="preserve"> and this level of scrutiny </w:t>
      </w:r>
      <w:r w:rsidR="00917D90" w:rsidRPr="006B1524">
        <w:rPr>
          <w:sz w:val="24"/>
        </w:rPr>
        <w:t>is very much needed when considering the primary literary texts which form the basis of this study</w:t>
      </w:r>
      <w:r w:rsidR="008A1BCE" w:rsidRPr="006B1524">
        <w:rPr>
          <w:sz w:val="24"/>
        </w:rPr>
        <w:t xml:space="preserve">. </w:t>
      </w:r>
      <w:r w:rsidR="0066311F" w:rsidRPr="006B1524">
        <w:rPr>
          <w:sz w:val="24"/>
        </w:rPr>
        <w:t>I</w:t>
      </w:r>
      <w:r w:rsidR="008A1BCE" w:rsidRPr="006B1524">
        <w:rPr>
          <w:sz w:val="24"/>
        </w:rPr>
        <w:t xml:space="preserve">n some instances, such as Thucydides’ account of the fall of Amphipolis, </w:t>
      </w:r>
      <w:r w:rsidR="00F326EE" w:rsidRPr="006B1524">
        <w:rPr>
          <w:sz w:val="24"/>
        </w:rPr>
        <w:t xml:space="preserve">we are told by </w:t>
      </w:r>
      <w:proofErr w:type="spellStart"/>
      <w:r w:rsidR="00F326EE" w:rsidRPr="006B1524">
        <w:rPr>
          <w:sz w:val="24"/>
        </w:rPr>
        <w:t>Schaps</w:t>
      </w:r>
      <w:proofErr w:type="spellEnd"/>
      <w:r w:rsidR="00F326EE" w:rsidRPr="006B1524">
        <w:rPr>
          <w:sz w:val="24"/>
        </w:rPr>
        <w:t xml:space="preserve"> that we must “remember that he (Thucydides) has a clear interest in telling us the story in that particular way</w:t>
      </w:r>
      <w:r w:rsidR="0066311F" w:rsidRPr="006B1524">
        <w:rPr>
          <w:sz w:val="24"/>
        </w:rPr>
        <w:t>,</w:t>
      </w:r>
      <w:r w:rsidR="00F326EE" w:rsidRPr="006B1524">
        <w:rPr>
          <w:sz w:val="24"/>
        </w:rPr>
        <w:t xml:space="preserve">” </w:t>
      </w:r>
      <w:r w:rsidR="00F326EE" w:rsidRPr="006B1524">
        <w:rPr>
          <w:rStyle w:val="FootnoteReference"/>
          <w:sz w:val="24"/>
        </w:rPr>
        <w:footnoteReference w:id="17"/>
      </w:r>
      <w:r w:rsidR="0066311F" w:rsidRPr="006B1524">
        <w:rPr>
          <w:sz w:val="24"/>
        </w:rPr>
        <w:t xml:space="preserve"> and it is for these instances that an in depth and rigorous</w:t>
      </w:r>
      <w:r w:rsidR="004C3F09" w:rsidRPr="006B1524">
        <w:rPr>
          <w:sz w:val="24"/>
        </w:rPr>
        <w:t xml:space="preserve"> higher criticism is required so as to counter-act any biases</w:t>
      </w:r>
      <w:r w:rsidR="004F5F04" w:rsidRPr="006B1524">
        <w:rPr>
          <w:sz w:val="24"/>
        </w:rPr>
        <w:t xml:space="preserve"> that may occur in the sources.</w:t>
      </w:r>
    </w:p>
    <w:p w:rsidR="004F5F04" w:rsidRPr="006B1524" w:rsidRDefault="004F5F04" w:rsidP="0022539A">
      <w:pPr>
        <w:spacing w:after="0" w:line="480" w:lineRule="auto"/>
        <w:rPr>
          <w:sz w:val="24"/>
        </w:rPr>
      </w:pPr>
    </w:p>
    <w:p w:rsidR="00AC784C" w:rsidRPr="006B1524" w:rsidRDefault="00AC784C" w:rsidP="0022539A">
      <w:pPr>
        <w:spacing w:after="0" w:line="480" w:lineRule="auto"/>
        <w:rPr>
          <w:b/>
          <w:sz w:val="24"/>
        </w:rPr>
      </w:pPr>
      <w:r w:rsidRPr="006B1524">
        <w:rPr>
          <w:b/>
          <w:sz w:val="24"/>
        </w:rPr>
        <w:t>Conclusion</w:t>
      </w:r>
    </w:p>
    <w:p w:rsidR="004C3F09" w:rsidRPr="006B1524" w:rsidRDefault="004F5F04" w:rsidP="0022539A">
      <w:pPr>
        <w:spacing w:after="0" w:line="480" w:lineRule="auto"/>
        <w:rPr>
          <w:sz w:val="24"/>
        </w:rPr>
      </w:pPr>
      <w:r w:rsidRPr="006B1524">
        <w:rPr>
          <w:sz w:val="24"/>
        </w:rPr>
        <w:t>In conclusion</w:t>
      </w:r>
      <w:r w:rsidR="00800D9C" w:rsidRPr="006B1524">
        <w:rPr>
          <w:sz w:val="24"/>
        </w:rPr>
        <w:t xml:space="preserve"> then</w:t>
      </w:r>
      <w:r w:rsidRPr="006B1524">
        <w:rPr>
          <w:sz w:val="24"/>
        </w:rPr>
        <w:t xml:space="preserve">, the historical method of qualitative research has provided an objective a scientific approach to the study of </w:t>
      </w:r>
      <w:r w:rsidR="002A0521" w:rsidRPr="006B1524">
        <w:rPr>
          <w:sz w:val="24"/>
        </w:rPr>
        <w:t>primary sources that were produced immediately preceding and during the period known as the Peloponnesian War. P</w:t>
      </w:r>
      <w:r w:rsidRPr="006B1524">
        <w:rPr>
          <w:sz w:val="24"/>
        </w:rPr>
        <w:t xml:space="preserve">rimary source material </w:t>
      </w:r>
      <w:r w:rsidR="002A0521" w:rsidRPr="006B1524">
        <w:rPr>
          <w:sz w:val="24"/>
        </w:rPr>
        <w:t xml:space="preserve">has been analysed using established methods and the validity of the </w:t>
      </w:r>
      <w:bookmarkStart w:id="0" w:name="_GoBack"/>
      <w:r w:rsidR="002A0521" w:rsidRPr="006B1524">
        <w:rPr>
          <w:sz w:val="24"/>
        </w:rPr>
        <w:t xml:space="preserve">sources </w:t>
      </w:r>
      <w:bookmarkEnd w:id="0"/>
      <w:r w:rsidR="002A0521" w:rsidRPr="006B1524">
        <w:rPr>
          <w:sz w:val="24"/>
        </w:rPr>
        <w:t>has been discussed and ensured. Secondary sources have been used to supplement primary source research and therefore any conclusions arrived at through the undertaking of this research methodology can be relied upon to a certain degree.</w:t>
      </w:r>
    </w:p>
    <w:p w:rsidR="0077278F" w:rsidRPr="006B1524" w:rsidRDefault="0077278F" w:rsidP="0022539A">
      <w:pPr>
        <w:spacing w:after="0" w:line="480" w:lineRule="auto"/>
        <w:rPr>
          <w:sz w:val="24"/>
        </w:rPr>
      </w:pPr>
    </w:p>
    <w:p w:rsidR="004F5F04" w:rsidRPr="006B1524" w:rsidRDefault="004F5F04" w:rsidP="0022539A">
      <w:pPr>
        <w:spacing w:line="480" w:lineRule="auto"/>
        <w:rPr>
          <w:b/>
          <w:sz w:val="24"/>
        </w:rPr>
      </w:pPr>
      <w:r w:rsidRPr="006B1524">
        <w:rPr>
          <w:b/>
          <w:sz w:val="24"/>
        </w:rPr>
        <w:br w:type="page"/>
      </w:r>
    </w:p>
    <w:p w:rsidR="0077278F" w:rsidRPr="006B1524" w:rsidRDefault="0077278F" w:rsidP="0022539A">
      <w:pPr>
        <w:spacing w:after="0" w:line="240" w:lineRule="auto"/>
        <w:rPr>
          <w:sz w:val="24"/>
        </w:rPr>
      </w:pPr>
      <w:r w:rsidRPr="006B1524">
        <w:rPr>
          <w:b/>
          <w:sz w:val="24"/>
        </w:rPr>
        <w:t>Bibliography</w:t>
      </w:r>
    </w:p>
    <w:p w:rsidR="00697CEF" w:rsidRPr="006B1524" w:rsidRDefault="00697CEF" w:rsidP="0022539A">
      <w:pPr>
        <w:spacing w:after="0" w:line="240" w:lineRule="auto"/>
        <w:rPr>
          <w:b/>
          <w:sz w:val="24"/>
          <w:u w:val="single"/>
        </w:rPr>
      </w:pPr>
    </w:p>
    <w:p w:rsidR="00B76446" w:rsidRPr="006B1524" w:rsidRDefault="00B76446" w:rsidP="0022539A">
      <w:pPr>
        <w:spacing w:after="0" w:line="240" w:lineRule="auto"/>
        <w:rPr>
          <w:b/>
          <w:sz w:val="24"/>
        </w:rPr>
      </w:pPr>
      <w:r w:rsidRPr="006B1524">
        <w:rPr>
          <w:b/>
          <w:sz w:val="24"/>
        </w:rPr>
        <w:t>Primary Sources</w:t>
      </w:r>
    </w:p>
    <w:p w:rsidR="00B76446" w:rsidRPr="006B1524" w:rsidRDefault="00B76446" w:rsidP="0022539A">
      <w:pPr>
        <w:spacing w:after="0" w:line="240" w:lineRule="auto"/>
        <w:rPr>
          <w:b/>
          <w:sz w:val="24"/>
          <w:u w:val="single"/>
        </w:rPr>
      </w:pPr>
    </w:p>
    <w:p w:rsidR="00B76446" w:rsidRPr="006B1524" w:rsidRDefault="00B76446" w:rsidP="00B76446">
      <w:pPr>
        <w:rPr>
          <w:sz w:val="24"/>
        </w:rPr>
      </w:pPr>
      <w:r w:rsidRPr="006B1524">
        <w:rPr>
          <w:i/>
          <w:sz w:val="24"/>
        </w:rPr>
        <w:t xml:space="preserve">Athenian relations with </w:t>
      </w:r>
      <w:proofErr w:type="spellStart"/>
      <w:r w:rsidRPr="006B1524">
        <w:rPr>
          <w:i/>
          <w:sz w:val="24"/>
        </w:rPr>
        <w:t>Chalkis</w:t>
      </w:r>
      <w:proofErr w:type="spellEnd"/>
      <w:r w:rsidRPr="006B1524">
        <w:rPr>
          <w:sz w:val="24"/>
        </w:rPr>
        <w:t xml:space="preserve">, Date: 446/5 (or 424/3?) BC. </w:t>
      </w:r>
      <w:proofErr w:type="spellStart"/>
      <w:proofErr w:type="gramStart"/>
      <w:r w:rsidRPr="006B1524">
        <w:rPr>
          <w:sz w:val="24"/>
        </w:rPr>
        <w:t>Inscriptiones</w:t>
      </w:r>
      <w:proofErr w:type="spellEnd"/>
      <w:r w:rsidRPr="006B1524">
        <w:rPr>
          <w:sz w:val="24"/>
        </w:rPr>
        <w:t xml:space="preserve"> </w:t>
      </w:r>
      <w:proofErr w:type="spellStart"/>
      <w:r w:rsidRPr="006B1524">
        <w:rPr>
          <w:sz w:val="24"/>
        </w:rPr>
        <w:t>Graecae</w:t>
      </w:r>
      <w:proofErr w:type="spellEnd"/>
      <w:r w:rsidRPr="006B1524">
        <w:rPr>
          <w:sz w:val="24"/>
        </w:rPr>
        <w:t>, Volume 1, Part 3, no.40.</w:t>
      </w:r>
      <w:proofErr w:type="gramEnd"/>
      <w:r w:rsidRPr="006B1524">
        <w:rPr>
          <w:sz w:val="24"/>
        </w:rPr>
        <w:t xml:space="preserve"> Translation by: Stephen Lambert, Robin Osborne.</w:t>
      </w:r>
    </w:p>
    <w:p w:rsidR="00B76446" w:rsidRPr="006B1524" w:rsidRDefault="00B76446" w:rsidP="00B76446">
      <w:pPr>
        <w:rPr>
          <w:sz w:val="24"/>
        </w:rPr>
      </w:pPr>
      <w:proofErr w:type="gramStart"/>
      <w:r w:rsidRPr="006B1524">
        <w:rPr>
          <w:i/>
          <w:sz w:val="24"/>
        </w:rPr>
        <w:t>Decrees about reassessment of tribute of the Delian League.</w:t>
      </w:r>
      <w:proofErr w:type="gramEnd"/>
      <w:r w:rsidRPr="006B1524">
        <w:rPr>
          <w:sz w:val="24"/>
        </w:rPr>
        <w:t xml:space="preserve"> Date: 425/4 BC. </w:t>
      </w:r>
      <w:proofErr w:type="spellStart"/>
      <w:proofErr w:type="gramStart"/>
      <w:r w:rsidRPr="006B1524">
        <w:rPr>
          <w:sz w:val="24"/>
        </w:rPr>
        <w:t>Inscriptiones</w:t>
      </w:r>
      <w:proofErr w:type="spellEnd"/>
      <w:r w:rsidRPr="006B1524">
        <w:rPr>
          <w:sz w:val="24"/>
        </w:rPr>
        <w:t xml:space="preserve"> </w:t>
      </w:r>
      <w:proofErr w:type="spellStart"/>
      <w:r w:rsidRPr="006B1524">
        <w:rPr>
          <w:sz w:val="24"/>
        </w:rPr>
        <w:t>Graecae</w:t>
      </w:r>
      <w:proofErr w:type="spellEnd"/>
      <w:r w:rsidRPr="006B1524">
        <w:rPr>
          <w:sz w:val="24"/>
        </w:rPr>
        <w:t>, Volume 1, Part 3, no.71.</w:t>
      </w:r>
      <w:proofErr w:type="gramEnd"/>
      <w:r w:rsidRPr="006B1524">
        <w:rPr>
          <w:sz w:val="24"/>
        </w:rPr>
        <w:t xml:space="preserve"> Translation by: Stephen Lambert, P. J. Rhodes.</w:t>
      </w:r>
    </w:p>
    <w:p w:rsidR="00B76446" w:rsidRPr="006B1524" w:rsidRDefault="00B76446" w:rsidP="00B76446">
      <w:pPr>
        <w:rPr>
          <w:sz w:val="24"/>
        </w:rPr>
      </w:pPr>
      <w:proofErr w:type="gramStart"/>
      <w:r w:rsidRPr="006B1524">
        <w:rPr>
          <w:i/>
          <w:sz w:val="24"/>
        </w:rPr>
        <w:t>The Spartan War Fund inscription.</w:t>
      </w:r>
      <w:proofErr w:type="gramEnd"/>
      <w:r w:rsidRPr="006B1524">
        <w:rPr>
          <w:i/>
          <w:sz w:val="24"/>
        </w:rPr>
        <w:t xml:space="preserve"> </w:t>
      </w:r>
      <w:r w:rsidRPr="006B1524">
        <w:rPr>
          <w:sz w:val="24"/>
        </w:rPr>
        <w:t xml:space="preserve">Date: 428-421 BC. </w:t>
      </w:r>
      <w:proofErr w:type="spellStart"/>
      <w:r w:rsidRPr="006B1524">
        <w:rPr>
          <w:sz w:val="24"/>
        </w:rPr>
        <w:t>Inscriptiones</w:t>
      </w:r>
      <w:proofErr w:type="spellEnd"/>
      <w:r w:rsidRPr="006B1524">
        <w:rPr>
          <w:sz w:val="24"/>
        </w:rPr>
        <w:t xml:space="preserve"> </w:t>
      </w:r>
      <w:proofErr w:type="spellStart"/>
      <w:r w:rsidRPr="006B1524">
        <w:rPr>
          <w:sz w:val="24"/>
        </w:rPr>
        <w:t>Graecae</w:t>
      </w:r>
      <w:proofErr w:type="spellEnd"/>
      <w:r w:rsidRPr="006B1524">
        <w:rPr>
          <w:sz w:val="24"/>
        </w:rPr>
        <w:t xml:space="preserve">, Volume 1. </w:t>
      </w:r>
      <w:proofErr w:type="spellStart"/>
      <w:r w:rsidRPr="006B1524">
        <w:rPr>
          <w:sz w:val="24"/>
        </w:rPr>
        <w:t>Inscriptiones</w:t>
      </w:r>
      <w:proofErr w:type="spellEnd"/>
      <w:r w:rsidRPr="006B1524">
        <w:rPr>
          <w:sz w:val="24"/>
        </w:rPr>
        <w:t xml:space="preserve"> </w:t>
      </w:r>
      <w:proofErr w:type="spellStart"/>
      <w:r w:rsidRPr="006B1524">
        <w:rPr>
          <w:sz w:val="24"/>
        </w:rPr>
        <w:t>Laconiae</w:t>
      </w:r>
      <w:proofErr w:type="spellEnd"/>
      <w:r w:rsidRPr="006B1524">
        <w:rPr>
          <w:sz w:val="24"/>
        </w:rPr>
        <w:t xml:space="preserve"> </w:t>
      </w:r>
      <w:proofErr w:type="gramStart"/>
      <w:r w:rsidRPr="006B1524">
        <w:rPr>
          <w:sz w:val="24"/>
        </w:rPr>
        <w:t>et</w:t>
      </w:r>
      <w:proofErr w:type="gramEnd"/>
      <w:r w:rsidRPr="006B1524">
        <w:rPr>
          <w:sz w:val="24"/>
        </w:rPr>
        <w:t xml:space="preserve"> </w:t>
      </w:r>
      <w:proofErr w:type="spellStart"/>
      <w:r w:rsidRPr="006B1524">
        <w:rPr>
          <w:sz w:val="24"/>
        </w:rPr>
        <w:t>Messeniae</w:t>
      </w:r>
      <w:proofErr w:type="spellEnd"/>
      <w:r w:rsidRPr="006B1524">
        <w:rPr>
          <w:sz w:val="24"/>
        </w:rPr>
        <w:t>, ed. Walter Kolbe. Berlin 1913.</w:t>
      </w:r>
    </w:p>
    <w:p w:rsidR="00B76446" w:rsidRPr="006B1524" w:rsidRDefault="00B76446" w:rsidP="0022539A">
      <w:pPr>
        <w:spacing w:after="0" w:line="240" w:lineRule="auto"/>
        <w:rPr>
          <w:b/>
          <w:sz w:val="24"/>
          <w:u w:val="single"/>
        </w:rPr>
      </w:pPr>
    </w:p>
    <w:p w:rsidR="00B76446" w:rsidRPr="006B1524" w:rsidRDefault="00B76446" w:rsidP="00B76446">
      <w:pPr>
        <w:spacing w:after="0" w:line="240" w:lineRule="auto"/>
        <w:rPr>
          <w:b/>
          <w:sz w:val="24"/>
        </w:rPr>
      </w:pPr>
      <w:r w:rsidRPr="006B1524">
        <w:rPr>
          <w:b/>
          <w:sz w:val="24"/>
        </w:rPr>
        <w:t>Secondary</w:t>
      </w:r>
      <w:r w:rsidRPr="006B1524">
        <w:rPr>
          <w:b/>
          <w:sz w:val="24"/>
        </w:rPr>
        <w:t xml:space="preserve"> Sources</w:t>
      </w:r>
    </w:p>
    <w:p w:rsidR="00B76446" w:rsidRPr="006B1524" w:rsidRDefault="00B76446" w:rsidP="0022539A">
      <w:pPr>
        <w:spacing w:after="0" w:line="240" w:lineRule="auto"/>
        <w:rPr>
          <w:b/>
          <w:sz w:val="24"/>
          <w:u w:val="single"/>
        </w:rPr>
      </w:pPr>
    </w:p>
    <w:p w:rsidR="00BE4C38" w:rsidRPr="006B1524" w:rsidRDefault="00217944" w:rsidP="0022539A">
      <w:pPr>
        <w:spacing w:after="0" w:line="240" w:lineRule="auto"/>
        <w:rPr>
          <w:rFonts w:cs="Arial"/>
          <w:sz w:val="24"/>
          <w:szCs w:val="24"/>
          <w:shd w:val="clear" w:color="auto" w:fill="FFFFFF"/>
        </w:rPr>
      </w:pPr>
      <w:proofErr w:type="gramStart"/>
      <w:r w:rsidRPr="006B1524">
        <w:rPr>
          <w:rFonts w:cs="Arial"/>
          <w:sz w:val="24"/>
          <w:szCs w:val="24"/>
          <w:shd w:val="clear" w:color="auto" w:fill="FFFFFF"/>
        </w:rPr>
        <w:t>TheFreeDictionary.com. (2019).</w:t>
      </w:r>
      <w:proofErr w:type="gramEnd"/>
      <w:r w:rsidRPr="006B1524">
        <w:rPr>
          <w:rFonts w:cs="Arial"/>
          <w:sz w:val="24"/>
          <w:szCs w:val="24"/>
          <w:shd w:val="clear" w:color="auto" w:fill="FFFFFF"/>
        </w:rPr>
        <w:t> </w:t>
      </w:r>
      <w:proofErr w:type="gramStart"/>
      <w:r w:rsidRPr="006B1524">
        <w:rPr>
          <w:rFonts w:cs="Arial"/>
          <w:i/>
          <w:iCs/>
          <w:sz w:val="24"/>
          <w:szCs w:val="24"/>
          <w:shd w:val="clear" w:color="auto" w:fill="FFFFFF"/>
        </w:rPr>
        <w:t>Economic Imperialism</w:t>
      </w:r>
      <w:r w:rsidRPr="006B1524">
        <w:rPr>
          <w:rFonts w:cs="Arial"/>
          <w:sz w:val="24"/>
          <w:szCs w:val="24"/>
          <w:shd w:val="clear" w:color="auto" w:fill="FFFFFF"/>
        </w:rPr>
        <w:t>.</w:t>
      </w:r>
      <w:proofErr w:type="gramEnd"/>
      <w:r w:rsidRPr="006B1524">
        <w:rPr>
          <w:rFonts w:cs="Arial"/>
          <w:sz w:val="24"/>
          <w:szCs w:val="24"/>
          <w:shd w:val="clear" w:color="auto" w:fill="FFFFFF"/>
        </w:rPr>
        <w:t xml:space="preserve"> [</w:t>
      </w:r>
      <w:proofErr w:type="gramStart"/>
      <w:r w:rsidRPr="006B1524">
        <w:rPr>
          <w:rFonts w:cs="Arial"/>
          <w:sz w:val="24"/>
          <w:szCs w:val="24"/>
          <w:shd w:val="clear" w:color="auto" w:fill="FFFFFF"/>
        </w:rPr>
        <w:t>online</w:t>
      </w:r>
      <w:proofErr w:type="gramEnd"/>
      <w:r w:rsidRPr="006B1524">
        <w:rPr>
          <w:rFonts w:cs="Arial"/>
          <w:sz w:val="24"/>
          <w:szCs w:val="24"/>
          <w:shd w:val="clear" w:color="auto" w:fill="FFFFFF"/>
        </w:rPr>
        <w:t>] Available at: https://financial-dictionary.thefreedictionary.com/Economic+Imperialism [Accessed 15 May 2019].</w:t>
      </w:r>
    </w:p>
    <w:p w:rsidR="00217944" w:rsidRPr="006B1524" w:rsidRDefault="00217944" w:rsidP="0022539A">
      <w:pPr>
        <w:spacing w:after="0" w:line="240" w:lineRule="auto"/>
        <w:rPr>
          <w:rFonts w:cs="Arial"/>
          <w:sz w:val="24"/>
          <w:szCs w:val="24"/>
          <w:shd w:val="clear" w:color="auto" w:fill="FFFFFF"/>
        </w:rPr>
      </w:pPr>
    </w:p>
    <w:p w:rsidR="00217944" w:rsidRPr="006B1524" w:rsidRDefault="00217944" w:rsidP="0022539A">
      <w:pPr>
        <w:spacing w:after="0" w:line="240" w:lineRule="auto"/>
        <w:rPr>
          <w:rFonts w:cs="Arial"/>
          <w:sz w:val="24"/>
          <w:szCs w:val="24"/>
          <w:shd w:val="clear" w:color="auto" w:fill="FFFFFF"/>
        </w:rPr>
      </w:pPr>
      <w:proofErr w:type="spellStart"/>
      <w:proofErr w:type="gramStart"/>
      <w:r w:rsidRPr="006B1524">
        <w:rPr>
          <w:rFonts w:cs="Arial"/>
          <w:sz w:val="24"/>
          <w:szCs w:val="24"/>
          <w:shd w:val="clear" w:color="auto" w:fill="FFFFFF"/>
        </w:rPr>
        <w:t>Garrag</w:t>
      </w:r>
      <w:r w:rsidR="005847F8" w:rsidRPr="006B1524">
        <w:rPr>
          <w:rFonts w:cs="Arial"/>
          <w:sz w:val="24"/>
          <w:szCs w:val="24"/>
          <w:shd w:val="clear" w:color="auto" w:fill="FFFFFF"/>
        </w:rPr>
        <w:t>han</w:t>
      </w:r>
      <w:proofErr w:type="spellEnd"/>
      <w:r w:rsidR="005847F8" w:rsidRPr="006B1524">
        <w:rPr>
          <w:rFonts w:cs="Arial"/>
          <w:sz w:val="24"/>
          <w:szCs w:val="24"/>
          <w:shd w:val="clear" w:color="auto" w:fill="FFFFFF"/>
        </w:rPr>
        <w:t xml:space="preserve">, G. and </w:t>
      </w:r>
      <w:proofErr w:type="spellStart"/>
      <w:r w:rsidR="005847F8" w:rsidRPr="006B1524">
        <w:rPr>
          <w:rFonts w:cs="Arial"/>
          <w:sz w:val="24"/>
          <w:szCs w:val="24"/>
          <w:shd w:val="clear" w:color="auto" w:fill="FFFFFF"/>
        </w:rPr>
        <w:t>Delanglez</w:t>
      </w:r>
      <w:proofErr w:type="spellEnd"/>
      <w:r w:rsidRPr="006B1524">
        <w:rPr>
          <w:rFonts w:cs="Arial"/>
          <w:sz w:val="24"/>
          <w:szCs w:val="24"/>
          <w:shd w:val="clear" w:color="auto" w:fill="FFFFFF"/>
        </w:rPr>
        <w:t>.</w:t>
      </w:r>
      <w:proofErr w:type="gramEnd"/>
      <w:r w:rsidRPr="006B1524">
        <w:rPr>
          <w:rFonts w:cs="Arial"/>
          <w:sz w:val="24"/>
          <w:szCs w:val="24"/>
          <w:shd w:val="clear" w:color="auto" w:fill="FFFFFF"/>
        </w:rPr>
        <w:t> </w:t>
      </w:r>
      <w:proofErr w:type="gramStart"/>
      <w:r w:rsidRPr="006B1524">
        <w:rPr>
          <w:rFonts w:cs="Arial"/>
          <w:i/>
          <w:iCs/>
          <w:sz w:val="24"/>
          <w:szCs w:val="24"/>
          <w:shd w:val="clear" w:color="auto" w:fill="FFFFFF"/>
        </w:rPr>
        <w:t>A guide to historical method</w:t>
      </w:r>
      <w:r w:rsidR="005847F8" w:rsidRPr="006B1524">
        <w:rPr>
          <w:rFonts w:cs="Arial"/>
          <w:sz w:val="24"/>
          <w:szCs w:val="24"/>
          <w:shd w:val="clear" w:color="auto" w:fill="FFFFFF"/>
        </w:rPr>
        <w:t>.</w:t>
      </w:r>
      <w:proofErr w:type="gramEnd"/>
      <w:r w:rsidR="005847F8" w:rsidRPr="006B1524">
        <w:rPr>
          <w:rFonts w:cs="Arial"/>
          <w:sz w:val="24"/>
          <w:szCs w:val="24"/>
          <w:shd w:val="clear" w:color="auto" w:fill="FFFFFF"/>
        </w:rPr>
        <w:t xml:space="preserve"> </w:t>
      </w:r>
      <w:proofErr w:type="gramStart"/>
      <w:r w:rsidR="005847F8" w:rsidRPr="006B1524">
        <w:rPr>
          <w:rFonts w:cs="Arial"/>
          <w:sz w:val="24"/>
          <w:szCs w:val="24"/>
          <w:shd w:val="clear" w:color="auto" w:fill="FFFFFF"/>
        </w:rPr>
        <w:t>1st ed. (</w:t>
      </w:r>
      <w:r w:rsidRPr="006B1524">
        <w:rPr>
          <w:rFonts w:cs="Arial"/>
          <w:sz w:val="24"/>
          <w:szCs w:val="24"/>
          <w:shd w:val="clear" w:color="auto" w:fill="FFFFFF"/>
        </w:rPr>
        <w:t>New York</w:t>
      </w:r>
      <w:r w:rsidR="005847F8" w:rsidRPr="006B1524">
        <w:rPr>
          <w:rFonts w:cs="Arial"/>
          <w:sz w:val="24"/>
          <w:szCs w:val="24"/>
          <w:shd w:val="clear" w:color="auto" w:fill="FFFFFF"/>
        </w:rPr>
        <w:t xml:space="preserve">, </w:t>
      </w:r>
      <w:r w:rsidRPr="006B1524">
        <w:rPr>
          <w:rFonts w:cs="Arial"/>
          <w:sz w:val="24"/>
          <w:szCs w:val="24"/>
          <w:shd w:val="clear" w:color="auto" w:fill="FFFFFF"/>
        </w:rPr>
        <w:t>Fordham Univ. Press,</w:t>
      </w:r>
      <w:r w:rsidR="005847F8" w:rsidRPr="006B1524">
        <w:rPr>
          <w:rFonts w:cs="Arial"/>
          <w:sz w:val="24"/>
          <w:szCs w:val="24"/>
          <w:shd w:val="clear" w:color="auto" w:fill="FFFFFF"/>
        </w:rPr>
        <w:t xml:space="preserve"> 1951)</w:t>
      </w:r>
      <w:r w:rsidRPr="006B1524">
        <w:rPr>
          <w:rFonts w:cs="Arial"/>
          <w:sz w:val="24"/>
          <w:szCs w:val="24"/>
          <w:shd w:val="clear" w:color="auto" w:fill="FFFFFF"/>
        </w:rPr>
        <w:t xml:space="preserve"> p.168.</w:t>
      </w:r>
      <w:proofErr w:type="gramEnd"/>
    </w:p>
    <w:p w:rsidR="00217944" w:rsidRPr="006B1524" w:rsidRDefault="00217944" w:rsidP="0022539A">
      <w:pPr>
        <w:spacing w:after="0" w:line="240" w:lineRule="auto"/>
        <w:rPr>
          <w:b/>
          <w:sz w:val="24"/>
          <w:szCs w:val="24"/>
          <w:u w:val="single"/>
        </w:rPr>
      </w:pPr>
    </w:p>
    <w:p w:rsidR="00217944" w:rsidRPr="006B1524" w:rsidRDefault="00901243" w:rsidP="0022539A">
      <w:pPr>
        <w:spacing w:after="0" w:line="240" w:lineRule="auto"/>
        <w:rPr>
          <w:b/>
          <w:sz w:val="24"/>
          <w:szCs w:val="24"/>
          <w:u w:val="single"/>
        </w:rPr>
      </w:pPr>
      <w:r w:rsidRPr="006B1524">
        <w:rPr>
          <w:rFonts w:cs="Arial"/>
          <w:sz w:val="24"/>
          <w:szCs w:val="24"/>
          <w:shd w:val="clear" w:color="auto" w:fill="FFFFFF"/>
        </w:rPr>
        <w:t xml:space="preserve">Given, L., </w:t>
      </w:r>
      <w:r w:rsidR="00217944" w:rsidRPr="006B1524">
        <w:rPr>
          <w:rFonts w:cs="Arial"/>
          <w:i/>
          <w:iCs/>
          <w:sz w:val="24"/>
          <w:szCs w:val="24"/>
          <w:shd w:val="clear" w:color="auto" w:fill="FFFFFF"/>
        </w:rPr>
        <w:t xml:space="preserve">The Sage </w:t>
      </w:r>
      <w:proofErr w:type="spellStart"/>
      <w:r w:rsidR="00217944" w:rsidRPr="006B1524">
        <w:rPr>
          <w:rFonts w:cs="Arial"/>
          <w:i/>
          <w:iCs/>
          <w:sz w:val="24"/>
          <w:szCs w:val="24"/>
          <w:shd w:val="clear" w:color="auto" w:fill="FFFFFF"/>
        </w:rPr>
        <w:t>encyclopedia</w:t>
      </w:r>
      <w:proofErr w:type="spellEnd"/>
      <w:r w:rsidR="00217944" w:rsidRPr="006B1524">
        <w:rPr>
          <w:rFonts w:cs="Arial"/>
          <w:i/>
          <w:iCs/>
          <w:sz w:val="24"/>
          <w:szCs w:val="24"/>
          <w:shd w:val="clear" w:color="auto" w:fill="FFFFFF"/>
        </w:rPr>
        <w:t xml:space="preserve"> of qualitative research methods</w:t>
      </w:r>
      <w:r w:rsidR="00217944" w:rsidRPr="006B1524">
        <w:rPr>
          <w:rFonts w:cs="Arial"/>
          <w:sz w:val="24"/>
          <w:szCs w:val="24"/>
          <w:shd w:val="clear" w:color="auto" w:fill="FFFFFF"/>
        </w:rPr>
        <w:t xml:space="preserve">. 2nd ed. </w:t>
      </w:r>
      <w:r w:rsidRPr="006B1524">
        <w:rPr>
          <w:rFonts w:cs="Arial"/>
          <w:sz w:val="24"/>
          <w:szCs w:val="24"/>
          <w:shd w:val="clear" w:color="auto" w:fill="FFFFFF"/>
        </w:rPr>
        <w:t>(</w:t>
      </w:r>
      <w:r w:rsidR="00217944" w:rsidRPr="006B1524">
        <w:rPr>
          <w:rFonts w:cs="Arial"/>
          <w:sz w:val="24"/>
          <w:szCs w:val="24"/>
          <w:shd w:val="clear" w:color="auto" w:fill="FFFFFF"/>
        </w:rPr>
        <w:t xml:space="preserve">Los Angeles, </w:t>
      </w:r>
      <w:r w:rsidRPr="006B1524">
        <w:rPr>
          <w:rFonts w:cs="Arial"/>
          <w:sz w:val="24"/>
          <w:szCs w:val="24"/>
          <w:shd w:val="clear" w:color="auto" w:fill="FFFFFF"/>
        </w:rPr>
        <w:t>Sage Publications, 2008)</w:t>
      </w:r>
      <w:r w:rsidRPr="006B1524">
        <w:rPr>
          <w:rFonts w:cs="Arial"/>
          <w:sz w:val="24"/>
          <w:szCs w:val="24"/>
          <w:shd w:val="clear" w:color="auto" w:fill="FFFFFF"/>
        </w:rPr>
        <w:t> </w:t>
      </w:r>
    </w:p>
    <w:p w:rsidR="00217944" w:rsidRPr="006B1524" w:rsidRDefault="00217944" w:rsidP="0022539A">
      <w:pPr>
        <w:spacing w:after="0" w:line="240" w:lineRule="auto"/>
        <w:rPr>
          <w:b/>
          <w:sz w:val="24"/>
          <w:szCs w:val="24"/>
          <w:u w:val="single"/>
        </w:rPr>
      </w:pPr>
    </w:p>
    <w:p w:rsidR="00217944" w:rsidRPr="006B1524" w:rsidRDefault="00901243" w:rsidP="0022539A">
      <w:pPr>
        <w:spacing w:after="0" w:line="240" w:lineRule="auto"/>
        <w:rPr>
          <w:b/>
          <w:sz w:val="24"/>
          <w:szCs w:val="24"/>
          <w:u w:val="single"/>
        </w:rPr>
      </w:pPr>
      <w:r w:rsidRPr="006B1524">
        <w:rPr>
          <w:rFonts w:cs="Arial"/>
          <w:sz w:val="24"/>
          <w:szCs w:val="24"/>
          <w:shd w:val="clear" w:color="auto" w:fill="FFFFFF"/>
        </w:rPr>
        <w:t xml:space="preserve">Good, C. and </w:t>
      </w:r>
      <w:proofErr w:type="spellStart"/>
      <w:r w:rsidRPr="006B1524">
        <w:rPr>
          <w:rFonts w:cs="Arial"/>
          <w:sz w:val="24"/>
          <w:szCs w:val="24"/>
          <w:shd w:val="clear" w:color="auto" w:fill="FFFFFF"/>
        </w:rPr>
        <w:t>Scates</w:t>
      </w:r>
      <w:proofErr w:type="spellEnd"/>
      <w:r w:rsidRPr="006B1524">
        <w:rPr>
          <w:rFonts w:cs="Arial"/>
          <w:sz w:val="24"/>
          <w:szCs w:val="24"/>
          <w:shd w:val="clear" w:color="auto" w:fill="FFFFFF"/>
        </w:rPr>
        <w:t>, D.,</w:t>
      </w:r>
      <w:r w:rsidR="00217944" w:rsidRPr="006B1524">
        <w:rPr>
          <w:rFonts w:cs="Arial"/>
          <w:sz w:val="24"/>
          <w:szCs w:val="24"/>
          <w:shd w:val="clear" w:color="auto" w:fill="FFFFFF"/>
        </w:rPr>
        <w:t> </w:t>
      </w:r>
      <w:r w:rsidR="00217944" w:rsidRPr="006B1524">
        <w:rPr>
          <w:rFonts w:cs="Arial"/>
          <w:i/>
          <w:iCs/>
          <w:sz w:val="24"/>
          <w:szCs w:val="24"/>
          <w:shd w:val="clear" w:color="auto" w:fill="FFFFFF"/>
        </w:rPr>
        <w:t>Methods of research</w:t>
      </w:r>
      <w:r w:rsidR="00217944" w:rsidRPr="006B1524">
        <w:rPr>
          <w:rFonts w:cs="Arial"/>
          <w:sz w:val="24"/>
          <w:szCs w:val="24"/>
          <w:shd w:val="clear" w:color="auto" w:fill="FFFFFF"/>
        </w:rPr>
        <w:t xml:space="preserve">. </w:t>
      </w:r>
      <w:r w:rsidRPr="006B1524">
        <w:rPr>
          <w:rFonts w:cs="Arial"/>
          <w:sz w:val="24"/>
          <w:szCs w:val="24"/>
          <w:shd w:val="clear" w:color="auto" w:fill="FFFFFF"/>
        </w:rPr>
        <w:t>(</w:t>
      </w:r>
      <w:r w:rsidR="00217944" w:rsidRPr="006B1524">
        <w:rPr>
          <w:rFonts w:cs="Arial"/>
          <w:sz w:val="24"/>
          <w:szCs w:val="24"/>
          <w:shd w:val="clear" w:color="auto" w:fill="FFFFFF"/>
        </w:rPr>
        <w:t>New Yo</w:t>
      </w:r>
      <w:r w:rsidRPr="006B1524">
        <w:rPr>
          <w:rFonts w:cs="Arial"/>
          <w:sz w:val="24"/>
          <w:szCs w:val="24"/>
          <w:shd w:val="clear" w:color="auto" w:fill="FFFFFF"/>
        </w:rPr>
        <w:t>rk: Appleton-Century-Crofts, 1954)</w:t>
      </w:r>
    </w:p>
    <w:p w:rsidR="00217944" w:rsidRPr="006B1524" w:rsidRDefault="00217944" w:rsidP="0022539A">
      <w:pPr>
        <w:spacing w:after="0" w:line="240" w:lineRule="auto"/>
        <w:rPr>
          <w:b/>
          <w:sz w:val="24"/>
          <w:szCs w:val="24"/>
          <w:u w:val="single"/>
        </w:rPr>
      </w:pPr>
    </w:p>
    <w:p w:rsidR="00217944" w:rsidRPr="006B1524" w:rsidRDefault="00217944" w:rsidP="0022539A">
      <w:pPr>
        <w:spacing w:after="0" w:line="240" w:lineRule="auto"/>
        <w:rPr>
          <w:b/>
          <w:sz w:val="24"/>
          <w:szCs w:val="24"/>
          <w:u w:val="single"/>
        </w:rPr>
      </w:pPr>
      <w:r w:rsidRPr="006B1524">
        <w:rPr>
          <w:rFonts w:cs="Arial"/>
          <w:sz w:val="24"/>
          <w:szCs w:val="24"/>
          <w:shd w:val="clear" w:color="auto" w:fill="FFFFFF"/>
        </w:rPr>
        <w:t>Hammond, M. Ancient Imperialism: Contemporary Justifications. </w:t>
      </w:r>
      <w:r w:rsidRPr="006B1524">
        <w:rPr>
          <w:rFonts w:cs="Arial"/>
          <w:i/>
          <w:iCs/>
          <w:sz w:val="24"/>
          <w:szCs w:val="24"/>
          <w:shd w:val="clear" w:color="auto" w:fill="FFFFFF"/>
        </w:rPr>
        <w:t>Harvard Studies in Classical Philology</w:t>
      </w:r>
      <w:r w:rsidRPr="006B1524">
        <w:rPr>
          <w:rFonts w:cs="Arial"/>
          <w:sz w:val="24"/>
          <w:szCs w:val="24"/>
          <w:shd w:val="clear" w:color="auto" w:fill="FFFFFF"/>
        </w:rPr>
        <w:t>, [online] 58,</w:t>
      </w:r>
      <w:r w:rsidR="00901243" w:rsidRPr="006B1524">
        <w:rPr>
          <w:rFonts w:cs="Arial"/>
          <w:sz w:val="24"/>
          <w:szCs w:val="24"/>
          <w:shd w:val="clear" w:color="auto" w:fill="FFFFFF"/>
        </w:rPr>
        <w:t xml:space="preserve"> 1948,</w:t>
      </w:r>
      <w:r w:rsidR="00901243" w:rsidRPr="006B1524">
        <w:rPr>
          <w:rFonts w:cs="Arial"/>
          <w:sz w:val="24"/>
          <w:szCs w:val="24"/>
          <w:shd w:val="clear" w:color="auto" w:fill="FFFFFF"/>
        </w:rPr>
        <w:t xml:space="preserve"> </w:t>
      </w:r>
      <w:r w:rsidRPr="006B1524">
        <w:rPr>
          <w:rFonts w:cs="Arial"/>
          <w:sz w:val="24"/>
          <w:szCs w:val="24"/>
          <w:shd w:val="clear" w:color="auto" w:fill="FFFFFF"/>
        </w:rPr>
        <w:t>pp.105-161. Available at: https://www.jstor.org/stable/310948 [Accessed 15 May 2019].</w:t>
      </w:r>
    </w:p>
    <w:p w:rsidR="00217944" w:rsidRPr="006B1524" w:rsidRDefault="00217944" w:rsidP="0022539A">
      <w:pPr>
        <w:spacing w:after="0" w:line="240" w:lineRule="auto"/>
        <w:rPr>
          <w:b/>
          <w:sz w:val="24"/>
          <w:szCs w:val="24"/>
          <w:u w:val="single"/>
        </w:rPr>
      </w:pPr>
    </w:p>
    <w:p w:rsidR="00217944" w:rsidRPr="006B1524" w:rsidRDefault="00901243" w:rsidP="0022539A">
      <w:pPr>
        <w:spacing w:after="0" w:line="240" w:lineRule="auto"/>
        <w:rPr>
          <w:b/>
          <w:sz w:val="24"/>
          <w:szCs w:val="24"/>
          <w:u w:val="single"/>
        </w:rPr>
      </w:pPr>
      <w:proofErr w:type="gramStart"/>
      <w:r w:rsidRPr="006B1524">
        <w:rPr>
          <w:rFonts w:cs="Arial"/>
          <w:sz w:val="24"/>
          <w:szCs w:val="24"/>
          <w:shd w:val="clear" w:color="auto" w:fill="FFFFFF"/>
        </w:rPr>
        <w:t>Kerlinger, F. and Lee, H.,</w:t>
      </w:r>
      <w:r w:rsidR="00217944" w:rsidRPr="006B1524">
        <w:rPr>
          <w:rFonts w:cs="Arial"/>
          <w:sz w:val="24"/>
          <w:szCs w:val="24"/>
          <w:shd w:val="clear" w:color="auto" w:fill="FFFFFF"/>
        </w:rPr>
        <w:t> </w:t>
      </w:r>
      <w:r w:rsidR="00217944" w:rsidRPr="006B1524">
        <w:rPr>
          <w:rFonts w:cs="Arial"/>
          <w:i/>
          <w:iCs/>
          <w:sz w:val="24"/>
          <w:szCs w:val="24"/>
          <w:shd w:val="clear" w:color="auto" w:fill="FFFFFF"/>
        </w:rPr>
        <w:t xml:space="preserve">Foundations of </w:t>
      </w:r>
      <w:proofErr w:type="spellStart"/>
      <w:r w:rsidR="00217944" w:rsidRPr="006B1524">
        <w:rPr>
          <w:rFonts w:cs="Arial"/>
          <w:i/>
          <w:iCs/>
          <w:sz w:val="24"/>
          <w:szCs w:val="24"/>
          <w:shd w:val="clear" w:color="auto" w:fill="FFFFFF"/>
        </w:rPr>
        <w:t>behavioral</w:t>
      </w:r>
      <w:proofErr w:type="spellEnd"/>
      <w:r w:rsidR="00217944" w:rsidRPr="006B1524">
        <w:rPr>
          <w:rFonts w:cs="Arial"/>
          <w:i/>
          <w:iCs/>
          <w:sz w:val="24"/>
          <w:szCs w:val="24"/>
          <w:shd w:val="clear" w:color="auto" w:fill="FFFFFF"/>
        </w:rPr>
        <w:t xml:space="preserve"> research</w:t>
      </w:r>
      <w:r w:rsidR="00217944" w:rsidRPr="006B1524">
        <w:rPr>
          <w:rFonts w:cs="Arial"/>
          <w:sz w:val="24"/>
          <w:szCs w:val="24"/>
          <w:shd w:val="clear" w:color="auto" w:fill="FFFFFF"/>
        </w:rPr>
        <w:t>.</w:t>
      </w:r>
      <w:proofErr w:type="gramEnd"/>
      <w:r w:rsidR="00217944" w:rsidRPr="006B1524">
        <w:rPr>
          <w:rFonts w:cs="Arial"/>
          <w:sz w:val="24"/>
          <w:szCs w:val="24"/>
          <w:shd w:val="clear" w:color="auto" w:fill="FFFFFF"/>
        </w:rPr>
        <w:t xml:space="preserve"> </w:t>
      </w:r>
      <w:r w:rsidRPr="006B1524">
        <w:rPr>
          <w:rFonts w:cs="Arial"/>
          <w:sz w:val="24"/>
          <w:szCs w:val="24"/>
          <w:shd w:val="clear" w:color="auto" w:fill="FFFFFF"/>
        </w:rPr>
        <w:t>(</w:t>
      </w:r>
      <w:r w:rsidR="00217944" w:rsidRPr="006B1524">
        <w:rPr>
          <w:rFonts w:cs="Arial"/>
          <w:sz w:val="24"/>
          <w:szCs w:val="24"/>
          <w:shd w:val="clear" w:color="auto" w:fill="FFFFFF"/>
        </w:rPr>
        <w:t>Singapore</w:t>
      </w:r>
      <w:r w:rsidRPr="006B1524">
        <w:rPr>
          <w:rFonts w:cs="Arial"/>
          <w:sz w:val="24"/>
          <w:szCs w:val="24"/>
          <w:shd w:val="clear" w:color="auto" w:fill="FFFFFF"/>
        </w:rPr>
        <w:t xml:space="preserve">, </w:t>
      </w:r>
      <w:r w:rsidR="00217944" w:rsidRPr="006B1524">
        <w:rPr>
          <w:rFonts w:cs="Arial"/>
          <w:sz w:val="24"/>
          <w:szCs w:val="24"/>
          <w:shd w:val="clear" w:color="auto" w:fill="FFFFFF"/>
        </w:rPr>
        <w:t>Wadsworth</w:t>
      </w:r>
      <w:r w:rsidRPr="006B1524">
        <w:rPr>
          <w:rFonts w:cs="Arial"/>
          <w:sz w:val="24"/>
          <w:szCs w:val="24"/>
          <w:shd w:val="clear" w:color="auto" w:fill="FFFFFF"/>
        </w:rPr>
        <w:t>, 2007)</w:t>
      </w:r>
    </w:p>
    <w:p w:rsidR="00217944" w:rsidRPr="006B1524" w:rsidRDefault="00217944" w:rsidP="0022539A">
      <w:pPr>
        <w:spacing w:after="0" w:line="240" w:lineRule="auto"/>
        <w:rPr>
          <w:b/>
          <w:sz w:val="24"/>
          <w:szCs w:val="24"/>
          <w:u w:val="single"/>
        </w:rPr>
      </w:pPr>
    </w:p>
    <w:p w:rsidR="00974AA6" w:rsidRPr="006B1524" w:rsidRDefault="00473CBD" w:rsidP="0022539A">
      <w:pPr>
        <w:spacing w:line="240" w:lineRule="auto"/>
        <w:rPr>
          <w:sz w:val="24"/>
          <w:szCs w:val="24"/>
        </w:rPr>
      </w:pPr>
      <w:r w:rsidRPr="006B1524">
        <w:rPr>
          <w:sz w:val="24"/>
          <w:szCs w:val="24"/>
        </w:rPr>
        <w:t xml:space="preserve">Samons, Loren J. “Athenian Finance and the Treasury of Athena.” </w:t>
      </w:r>
      <w:proofErr w:type="spellStart"/>
      <w:r w:rsidRPr="006B1524">
        <w:rPr>
          <w:sz w:val="24"/>
          <w:szCs w:val="24"/>
        </w:rPr>
        <w:t>Historia</w:t>
      </w:r>
      <w:proofErr w:type="spellEnd"/>
      <w:r w:rsidRPr="006B1524">
        <w:rPr>
          <w:sz w:val="24"/>
          <w:szCs w:val="24"/>
        </w:rPr>
        <w:t xml:space="preserve">: </w:t>
      </w:r>
      <w:proofErr w:type="spellStart"/>
      <w:r w:rsidRPr="006B1524">
        <w:rPr>
          <w:sz w:val="24"/>
          <w:szCs w:val="24"/>
        </w:rPr>
        <w:t>Zeitschrift</w:t>
      </w:r>
      <w:proofErr w:type="spellEnd"/>
      <w:r w:rsidRPr="006B1524">
        <w:rPr>
          <w:sz w:val="24"/>
          <w:szCs w:val="24"/>
        </w:rPr>
        <w:t xml:space="preserve"> </w:t>
      </w:r>
      <w:proofErr w:type="spellStart"/>
      <w:r w:rsidRPr="006B1524">
        <w:rPr>
          <w:sz w:val="24"/>
          <w:szCs w:val="24"/>
        </w:rPr>
        <w:t>Für</w:t>
      </w:r>
      <w:proofErr w:type="spellEnd"/>
      <w:r w:rsidRPr="006B1524">
        <w:rPr>
          <w:sz w:val="24"/>
          <w:szCs w:val="24"/>
        </w:rPr>
        <w:t xml:space="preserve"> </w:t>
      </w:r>
      <w:proofErr w:type="spellStart"/>
      <w:r w:rsidRPr="006B1524">
        <w:rPr>
          <w:sz w:val="24"/>
          <w:szCs w:val="24"/>
        </w:rPr>
        <w:t>Alte</w:t>
      </w:r>
      <w:proofErr w:type="spellEnd"/>
      <w:r w:rsidRPr="006B1524">
        <w:rPr>
          <w:sz w:val="24"/>
          <w:szCs w:val="24"/>
        </w:rPr>
        <w:t xml:space="preserve"> Geschichte, vol. 42, no. 2, 1993, pp. 129–138. </w:t>
      </w:r>
      <w:proofErr w:type="gramStart"/>
      <w:r w:rsidRPr="006B1524">
        <w:rPr>
          <w:sz w:val="24"/>
          <w:szCs w:val="24"/>
        </w:rPr>
        <w:t xml:space="preserve">JSTOR, </w:t>
      </w:r>
      <w:hyperlink r:id="rId9" w:history="1">
        <w:r w:rsidRPr="006B1524">
          <w:rPr>
            <w:rStyle w:val="Hyperlink"/>
            <w:color w:val="auto"/>
            <w:sz w:val="24"/>
            <w:szCs w:val="24"/>
          </w:rPr>
          <w:t>www.jstor.org/stable/4436281</w:t>
        </w:r>
      </w:hyperlink>
      <w:r w:rsidRPr="006B1524">
        <w:rPr>
          <w:sz w:val="24"/>
          <w:szCs w:val="24"/>
        </w:rPr>
        <w:t>.</w:t>
      </w:r>
      <w:proofErr w:type="gramEnd"/>
      <w:r w:rsidR="00901243" w:rsidRPr="006B1524">
        <w:rPr>
          <w:sz w:val="24"/>
          <w:szCs w:val="24"/>
        </w:rPr>
        <w:t xml:space="preserve"> </w:t>
      </w:r>
      <w:proofErr w:type="gramStart"/>
      <w:r w:rsidR="00901243" w:rsidRPr="006B1524">
        <w:rPr>
          <w:rFonts w:cs="Arial"/>
          <w:sz w:val="24"/>
          <w:szCs w:val="24"/>
          <w:shd w:val="clear" w:color="auto" w:fill="FFFFFF"/>
        </w:rPr>
        <w:t>[Accessed 15 May 2019].</w:t>
      </w:r>
      <w:proofErr w:type="gramEnd"/>
    </w:p>
    <w:p w:rsidR="00B76446" w:rsidRPr="006B1524" w:rsidRDefault="00B76446" w:rsidP="00217944">
      <w:pPr>
        <w:spacing w:after="0" w:line="240" w:lineRule="auto"/>
        <w:rPr>
          <w:rFonts w:cs="Arial"/>
          <w:sz w:val="24"/>
          <w:szCs w:val="24"/>
          <w:shd w:val="clear" w:color="auto" w:fill="FFFFFF"/>
        </w:rPr>
      </w:pPr>
    </w:p>
    <w:p w:rsidR="00217944" w:rsidRPr="006B1524" w:rsidRDefault="00901243" w:rsidP="00217944">
      <w:pPr>
        <w:spacing w:after="0" w:line="240" w:lineRule="auto"/>
        <w:rPr>
          <w:b/>
          <w:sz w:val="24"/>
          <w:szCs w:val="24"/>
          <w:u w:val="single"/>
        </w:rPr>
      </w:pPr>
      <w:proofErr w:type="spellStart"/>
      <w:r w:rsidRPr="006B1524">
        <w:rPr>
          <w:rFonts w:cs="Arial"/>
          <w:sz w:val="24"/>
          <w:szCs w:val="24"/>
          <w:shd w:val="clear" w:color="auto" w:fill="FFFFFF"/>
        </w:rPr>
        <w:t>Schaps</w:t>
      </w:r>
      <w:proofErr w:type="spellEnd"/>
      <w:r w:rsidRPr="006B1524">
        <w:rPr>
          <w:rFonts w:cs="Arial"/>
          <w:sz w:val="24"/>
          <w:szCs w:val="24"/>
          <w:shd w:val="clear" w:color="auto" w:fill="FFFFFF"/>
        </w:rPr>
        <w:t xml:space="preserve">, D., </w:t>
      </w:r>
      <w:r w:rsidR="00217944" w:rsidRPr="006B1524">
        <w:rPr>
          <w:rFonts w:cs="Arial"/>
          <w:i/>
          <w:iCs/>
          <w:sz w:val="24"/>
          <w:szCs w:val="24"/>
          <w:shd w:val="clear" w:color="auto" w:fill="FFFFFF"/>
        </w:rPr>
        <w:t>Handbook for classical research</w:t>
      </w:r>
      <w:r w:rsidRPr="006B1524">
        <w:rPr>
          <w:rFonts w:cs="Arial"/>
          <w:sz w:val="24"/>
          <w:szCs w:val="24"/>
          <w:shd w:val="clear" w:color="auto" w:fill="FFFFFF"/>
        </w:rPr>
        <w:t xml:space="preserve">. (Oxon, </w:t>
      </w:r>
      <w:r w:rsidR="00217944" w:rsidRPr="006B1524">
        <w:rPr>
          <w:rFonts w:cs="Arial"/>
          <w:sz w:val="24"/>
          <w:szCs w:val="24"/>
          <w:shd w:val="clear" w:color="auto" w:fill="FFFFFF"/>
        </w:rPr>
        <w:t>Routledge</w:t>
      </w:r>
      <w:r w:rsidRPr="006B1524">
        <w:rPr>
          <w:rFonts w:cs="Arial"/>
          <w:sz w:val="24"/>
          <w:szCs w:val="24"/>
          <w:shd w:val="clear" w:color="auto" w:fill="FFFFFF"/>
        </w:rPr>
        <w:t>, 2011)</w:t>
      </w:r>
    </w:p>
    <w:p w:rsidR="00B76446" w:rsidRPr="006B1524" w:rsidRDefault="00B76446" w:rsidP="00901243">
      <w:pPr>
        <w:spacing w:after="0"/>
        <w:rPr>
          <w:i/>
          <w:sz w:val="24"/>
          <w:szCs w:val="24"/>
        </w:rPr>
      </w:pPr>
    </w:p>
    <w:p w:rsidR="00B76446" w:rsidRPr="006B1524" w:rsidRDefault="00901243" w:rsidP="005569E5">
      <w:pPr>
        <w:rPr>
          <w:rFonts w:cs="Arial"/>
          <w:sz w:val="24"/>
          <w:szCs w:val="24"/>
          <w:shd w:val="clear" w:color="auto" w:fill="FFFFFF"/>
        </w:rPr>
      </w:pPr>
      <w:proofErr w:type="gramStart"/>
      <w:r w:rsidRPr="006B1524">
        <w:rPr>
          <w:rFonts w:cs="Arial"/>
          <w:sz w:val="24"/>
          <w:szCs w:val="24"/>
          <w:shd w:val="clear" w:color="auto" w:fill="FFFFFF"/>
        </w:rPr>
        <w:t>Sharma, R.,</w:t>
      </w:r>
      <w:r w:rsidR="00B76446" w:rsidRPr="006B1524">
        <w:rPr>
          <w:rFonts w:cs="Arial"/>
          <w:sz w:val="24"/>
          <w:szCs w:val="24"/>
          <w:shd w:val="clear" w:color="auto" w:fill="FFFFFF"/>
        </w:rPr>
        <w:t> </w:t>
      </w:r>
      <w:r w:rsidR="00B76446" w:rsidRPr="006B1524">
        <w:rPr>
          <w:rFonts w:cs="Arial"/>
          <w:i/>
          <w:iCs/>
          <w:sz w:val="24"/>
          <w:szCs w:val="24"/>
          <w:shd w:val="clear" w:color="auto" w:fill="FFFFFF"/>
        </w:rPr>
        <w:t>Sociological Methods and Techniques</w:t>
      </w:r>
      <w:r w:rsidR="00B76446" w:rsidRPr="006B1524">
        <w:rPr>
          <w:rFonts w:cs="Arial"/>
          <w:sz w:val="24"/>
          <w:szCs w:val="24"/>
          <w:shd w:val="clear" w:color="auto" w:fill="FFFFFF"/>
        </w:rPr>
        <w:t>.</w:t>
      </w:r>
      <w:proofErr w:type="gramEnd"/>
      <w:r w:rsidR="00B76446" w:rsidRPr="006B1524">
        <w:rPr>
          <w:rFonts w:cs="Arial"/>
          <w:sz w:val="24"/>
          <w:szCs w:val="24"/>
          <w:shd w:val="clear" w:color="auto" w:fill="FFFFFF"/>
        </w:rPr>
        <w:t xml:space="preserve"> 1st ed. </w:t>
      </w:r>
      <w:r w:rsidRPr="006B1524">
        <w:rPr>
          <w:rFonts w:cs="Arial"/>
          <w:sz w:val="24"/>
          <w:szCs w:val="24"/>
          <w:shd w:val="clear" w:color="auto" w:fill="FFFFFF"/>
        </w:rPr>
        <w:t>(</w:t>
      </w:r>
      <w:r w:rsidR="00B76446" w:rsidRPr="006B1524">
        <w:rPr>
          <w:rFonts w:cs="Arial"/>
          <w:sz w:val="24"/>
          <w:szCs w:val="24"/>
          <w:shd w:val="clear" w:color="auto" w:fill="FFFFFF"/>
        </w:rPr>
        <w:t>Delhi</w:t>
      </w:r>
      <w:r w:rsidRPr="006B1524">
        <w:rPr>
          <w:rFonts w:cs="Arial"/>
          <w:sz w:val="24"/>
          <w:szCs w:val="24"/>
          <w:shd w:val="clear" w:color="auto" w:fill="FFFFFF"/>
        </w:rPr>
        <w:t>, Atlantic Publishers, 2008)</w:t>
      </w:r>
    </w:p>
    <w:p w:rsidR="00B76446" w:rsidRPr="006B1524" w:rsidRDefault="00B76446" w:rsidP="005569E5">
      <w:pPr>
        <w:rPr>
          <w:i/>
          <w:sz w:val="24"/>
          <w:szCs w:val="24"/>
        </w:rPr>
      </w:pPr>
      <w:proofErr w:type="gramStart"/>
      <w:r w:rsidRPr="006B1524">
        <w:rPr>
          <w:rFonts w:cs="Arial"/>
          <w:sz w:val="24"/>
          <w:szCs w:val="24"/>
          <w:shd w:val="clear" w:color="auto" w:fill="FFFFFF"/>
        </w:rPr>
        <w:t xml:space="preserve">Tong, A., </w:t>
      </w:r>
      <w:proofErr w:type="spellStart"/>
      <w:r w:rsidRPr="006B1524">
        <w:rPr>
          <w:rFonts w:cs="Arial"/>
          <w:sz w:val="24"/>
          <w:szCs w:val="24"/>
          <w:shd w:val="clear" w:color="auto" w:fill="FFFFFF"/>
        </w:rPr>
        <w:t>Flemming</w:t>
      </w:r>
      <w:proofErr w:type="spellEnd"/>
      <w:r w:rsidRPr="006B1524">
        <w:rPr>
          <w:rFonts w:cs="Arial"/>
          <w:sz w:val="24"/>
          <w:szCs w:val="24"/>
          <w:shd w:val="clear" w:color="auto" w:fill="FFFFFF"/>
        </w:rPr>
        <w:t xml:space="preserve">, K., </w:t>
      </w:r>
      <w:proofErr w:type="spellStart"/>
      <w:r w:rsidRPr="006B1524">
        <w:rPr>
          <w:rFonts w:cs="Arial"/>
          <w:sz w:val="24"/>
          <w:szCs w:val="24"/>
          <w:shd w:val="clear" w:color="auto" w:fill="FFFFFF"/>
        </w:rPr>
        <w:t>McInnes</w:t>
      </w:r>
      <w:proofErr w:type="spellEnd"/>
      <w:r w:rsidRPr="006B1524">
        <w:rPr>
          <w:rFonts w:cs="Arial"/>
          <w:sz w:val="24"/>
          <w:szCs w:val="24"/>
          <w:shd w:val="clear" w:color="auto" w:fill="FFFFFF"/>
        </w:rPr>
        <w:t>, E., Oliver, S. and Craig, J</w:t>
      </w:r>
      <w:r w:rsidRPr="006B1524">
        <w:rPr>
          <w:rFonts w:cs="Arial"/>
          <w:i/>
          <w:sz w:val="24"/>
          <w:szCs w:val="24"/>
          <w:shd w:val="clear" w:color="auto" w:fill="FFFFFF"/>
        </w:rPr>
        <w:t>.</w:t>
      </w:r>
      <w:r w:rsidR="00901243" w:rsidRPr="006B1524">
        <w:rPr>
          <w:rFonts w:cs="Arial"/>
          <w:i/>
          <w:sz w:val="24"/>
          <w:szCs w:val="24"/>
          <w:shd w:val="clear" w:color="auto" w:fill="FFFFFF"/>
        </w:rPr>
        <w:t>,</w:t>
      </w:r>
      <w:r w:rsidRPr="006B1524">
        <w:rPr>
          <w:rFonts w:cs="Arial"/>
          <w:i/>
          <w:sz w:val="24"/>
          <w:szCs w:val="24"/>
          <w:shd w:val="clear" w:color="auto" w:fill="FFFFFF"/>
        </w:rPr>
        <w:t xml:space="preserve"> Enhancing transparency in reporting the synthesis of qualitative research</w:t>
      </w:r>
      <w:r w:rsidR="00901243" w:rsidRPr="006B1524">
        <w:rPr>
          <w:rFonts w:cs="Arial"/>
          <w:sz w:val="24"/>
          <w:szCs w:val="24"/>
          <w:shd w:val="clear" w:color="auto" w:fill="FFFFFF"/>
        </w:rPr>
        <w:t>,</w:t>
      </w:r>
      <w:r w:rsidRPr="006B1524">
        <w:rPr>
          <w:rFonts w:cs="Arial"/>
          <w:sz w:val="24"/>
          <w:szCs w:val="24"/>
          <w:shd w:val="clear" w:color="auto" w:fill="FFFFFF"/>
        </w:rPr>
        <w:t xml:space="preserve"> [online] 12(1).</w:t>
      </w:r>
      <w:proofErr w:type="gramEnd"/>
      <w:r w:rsidR="00901243" w:rsidRPr="006B1524">
        <w:rPr>
          <w:rFonts w:cs="Arial"/>
          <w:sz w:val="24"/>
          <w:szCs w:val="24"/>
          <w:shd w:val="clear" w:color="auto" w:fill="FFFFFF"/>
        </w:rPr>
        <w:t xml:space="preserve"> </w:t>
      </w:r>
      <w:r w:rsidR="00901243" w:rsidRPr="006B1524">
        <w:rPr>
          <w:rFonts w:cs="Arial"/>
          <w:sz w:val="24"/>
          <w:szCs w:val="24"/>
          <w:shd w:val="clear" w:color="auto" w:fill="FFFFFF"/>
        </w:rPr>
        <w:t xml:space="preserve">(2012). </w:t>
      </w:r>
      <w:r w:rsidRPr="006B1524">
        <w:rPr>
          <w:rFonts w:cs="Arial"/>
          <w:sz w:val="24"/>
          <w:szCs w:val="24"/>
          <w:shd w:val="clear" w:color="auto" w:fill="FFFFFF"/>
        </w:rPr>
        <w:t>Available at: https://bmcmedresmethodol.biomedcentral.com/articles/10.1186/1471-2288-12-181</w:t>
      </w:r>
      <w:r w:rsidR="00901243" w:rsidRPr="006B1524">
        <w:rPr>
          <w:rFonts w:cs="Arial"/>
          <w:sz w:val="24"/>
          <w:szCs w:val="24"/>
          <w:shd w:val="clear" w:color="auto" w:fill="FFFFFF"/>
        </w:rPr>
        <w:t>,</w:t>
      </w:r>
      <w:r w:rsidRPr="006B1524">
        <w:rPr>
          <w:rFonts w:cs="Arial"/>
          <w:sz w:val="24"/>
          <w:szCs w:val="24"/>
          <w:shd w:val="clear" w:color="auto" w:fill="FFFFFF"/>
        </w:rPr>
        <w:t xml:space="preserve"> [Accessed 15 May 2019].</w:t>
      </w:r>
    </w:p>
    <w:p w:rsidR="005569E5" w:rsidRPr="006B1524" w:rsidRDefault="005569E5" w:rsidP="005569E5"/>
    <w:p w:rsidR="005569E5" w:rsidRPr="006B1524" w:rsidRDefault="005569E5" w:rsidP="005569E5"/>
    <w:sectPr w:rsidR="005569E5" w:rsidRPr="006B1524" w:rsidSect="00666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65C6" w:rsidRDefault="00F565C6" w:rsidP="000A1B09">
      <w:pPr>
        <w:spacing w:after="0" w:line="240" w:lineRule="auto"/>
      </w:pPr>
      <w:r>
        <w:separator/>
      </w:r>
    </w:p>
  </w:endnote>
  <w:endnote w:type="continuationSeparator" w:id="0">
    <w:p w:rsidR="00F565C6" w:rsidRDefault="00F565C6" w:rsidP="000A1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20002A87" w:usb1="00000000" w:usb2="00000000"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65C6" w:rsidRDefault="00F565C6" w:rsidP="000A1B09">
      <w:pPr>
        <w:spacing w:after="0" w:line="240" w:lineRule="auto"/>
      </w:pPr>
      <w:r>
        <w:separator/>
      </w:r>
    </w:p>
  </w:footnote>
  <w:footnote w:type="continuationSeparator" w:id="0">
    <w:p w:rsidR="00F565C6" w:rsidRDefault="00F565C6" w:rsidP="000A1B09">
      <w:pPr>
        <w:spacing w:after="0" w:line="240" w:lineRule="auto"/>
      </w:pPr>
      <w:r>
        <w:continuationSeparator/>
      </w:r>
    </w:p>
  </w:footnote>
  <w:footnote w:id="1">
    <w:p w:rsidR="00E10C13" w:rsidRPr="0034758E" w:rsidRDefault="00E10C13" w:rsidP="0034758E">
      <w:pPr>
        <w:pStyle w:val="FootnoteText"/>
        <w:rPr>
          <w:lang w:val="en-US"/>
        </w:rPr>
      </w:pPr>
      <w:r w:rsidRPr="0034758E">
        <w:rPr>
          <w:rStyle w:val="FootnoteReference"/>
        </w:rPr>
        <w:footnoteRef/>
      </w:r>
      <w:r w:rsidRPr="0034758E">
        <w:t xml:space="preserve"> </w:t>
      </w:r>
      <w:r w:rsidRPr="00974AA6">
        <w:t xml:space="preserve">Mason Hammond, </w:t>
      </w:r>
      <w:r w:rsidRPr="00974AA6">
        <w:rPr>
          <w:i/>
        </w:rPr>
        <w:t>Ancient Imperialism: Contemporary Justifications</w:t>
      </w:r>
      <w:r w:rsidRPr="00974AA6">
        <w:t xml:space="preserve"> (Harvard Univer</w:t>
      </w:r>
      <w:r>
        <w:t>si</w:t>
      </w:r>
      <w:r w:rsidRPr="00974AA6">
        <w:t>ty, 1948) p. 106.</w:t>
      </w:r>
    </w:p>
  </w:footnote>
  <w:footnote w:id="2">
    <w:p w:rsidR="00E10C13" w:rsidRPr="004C3F09" w:rsidRDefault="00E10C13">
      <w:pPr>
        <w:pStyle w:val="FootnoteText"/>
        <w:rPr>
          <w:lang w:val="en-US"/>
        </w:rPr>
      </w:pPr>
      <w:r>
        <w:rPr>
          <w:rStyle w:val="FootnoteReference"/>
        </w:rPr>
        <w:footnoteRef/>
      </w:r>
      <w:r>
        <w:t xml:space="preserve"> </w:t>
      </w:r>
      <w:proofErr w:type="gramStart"/>
      <w:r>
        <w:t>TheFreeDictionary.com. (2019).</w:t>
      </w:r>
      <w:proofErr w:type="gramEnd"/>
    </w:p>
  </w:footnote>
  <w:footnote w:id="3">
    <w:p w:rsidR="00E10C13" w:rsidRPr="002F02CF" w:rsidRDefault="00E10C13">
      <w:pPr>
        <w:pStyle w:val="FootnoteText"/>
        <w:rPr>
          <w:lang w:val="en-US"/>
        </w:rPr>
      </w:pPr>
      <w:r w:rsidRPr="0034758E">
        <w:rPr>
          <w:rStyle w:val="FootnoteReference"/>
        </w:rPr>
        <w:footnoteRef/>
      </w:r>
      <w:r w:rsidRPr="0034758E">
        <w:t xml:space="preserve"> </w:t>
      </w:r>
      <w:proofErr w:type="gramStart"/>
      <w:r w:rsidRPr="002F02CF">
        <w:t>Sharma, R.</w:t>
      </w:r>
      <w:r>
        <w:t>,</w:t>
      </w:r>
      <w:r w:rsidRPr="002F02CF">
        <w:t xml:space="preserve"> </w:t>
      </w:r>
      <w:r w:rsidRPr="002F02CF">
        <w:rPr>
          <w:i/>
        </w:rPr>
        <w:t>Sociological Methods and Techniques</w:t>
      </w:r>
      <w:r w:rsidRPr="002F02CF">
        <w:t xml:space="preserve"> </w:t>
      </w:r>
      <w:r>
        <w:t>(</w:t>
      </w:r>
      <w:r w:rsidRPr="002F02CF">
        <w:t>Delhi</w:t>
      </w:r>
      <w:r>
        <w:t xml:space="preserve">, </w:t>
      </w:r>
      <w:r w:rsidRPr="002F02CF">
        <w:t>2008)</w:t>
      </w:r>
      <w:r>
        <w:t xml:space="preserve"> </w:t>
      </w:r>
      <w:r w:rsidRPr="002F02CF">
        <w:t>p.143.</w:t>
      </w:r>
      <w:proofErr w:type="gramEnd"/>
    </w:p>
  </w:footnote>
  <w:footnote w:id="4">
    <w:p w:rsidR="00E10C13" w:rsidRPr="00454087" w:rsidRDefault="00E10C13" w:rsidP="00662994">
      <w:pPr>
        <w:pStyle w:val="FootnoteText"/>
        <w:rPr>
          <w:lang w:val="en-US"/>
        </w:rPr>
      </w:pPr>
      <w:r w:rsidRPr="0034758E">
        <w:rPr>
          <w:rStyle w:val="FootnoteReference"/>
        </w:rPr>
        <w:footnoteRef/>
      </w:r>
      <w:r w:rsidRPr="0034758E">
        <w:t xml:space="preserve"> </w:t>
      </w:r>
      <w:r w:rsidRPr="00EF2520">
        <w:t xml:space="preserve">Tong, A., </w:t>
      </w:r>
      <w:proofErr w:type="spellStart"/>
      <w:r w:rsidRPr="00EF2520">
        <w:t>Flemming</w:t>
      </w:r>
      <w:proofErr w:type="spellEnd"/>
      <w:r w:rsidRPr="00EF2520">
        <w:t xml:space="preserve">, K., </w:t>
      </w:r>
      <w:proofErr w:type="spellStart"/>
      <w:r w:rsidRPr="00EF2520">
        <w:t>McInnes</w:t>
      </w:r>
      <w:proofErr w:type="spellEnd"/>
      <w:r w:rsidRPr="00EF2520">
        <w:t xml:space="preserve">, E., Oliver, S. and Craig, J. </w:t>
      </w:r>
      <w:r w:rsidRPr="00EF2520">
        <w:rPr>
          <w:i/>
        </w:rPr>
        <w:t>Enhancing transparency in reporting the synthesis of qualitative research</w:t>
      </w:r>
      <w:r w:rsidRPr="00EF2520">
        <w:t>. (2012)</w:t>
      </w:r>
    </w:p>
  </w:footnote>
  <w:footnote w:id="5">
    <w:p w:rsidR="00E10C13" w:rsidRPr="00637772" w:rsidRDefault="00E10C13" w:rsidP="00D61D0F">
      <w:pPr>
        <w:pStyle w:val="FootnoteText"/>
        <w:rPr>
          <w:lang w:val="en-US"/>
        </w:rPr>
      </w:pPr>
      <w:r w:rsidRPr="002D3998">
        <w:rPr>
          <w:rStyle w:val="FootnoteReference"/>
        </w:rPr>
        <w:footnoteRef/>
      </w:r>
      <w:r w:rsidRPr="002D3998">
        <w:t xml:space="preserve"> Given, L. </w:t>
      </w:r>
      <w:r w:rsidRPr="002D3998">
        <w:rPr>
          <w:i/>
        </w:rPr>
        <w:t>The Sage encyclopaedia of qualitative research methods</w:t>
      </w:r>
      <w:r w:rsidRPr="002D3998">
        <w:t>. (Los Angeles, 2008) p.830.</w:t>
      </w:r>
    </w:p>
  </w:footnote>
  <w:footnote w:id="6">
    <w:p w:rsidR="00E10C13" w:rsidRPr="006B5956" w:rsidRDefault="00E10C13" w:rsidP="00D61D0F">
      <w:pPr>
        <w:pStyle w:val="FootnoteText"/>
        <w:rPr>
          <w:lang w:val="en-US"/>
        </w:rPr>
      </w:pPr>
      <w:r w:rsidRPr="006B5956">
        <w:rPr>
          <w:rStyle w:val="FootnoteReference"/>
        </w:rPr>
        <w:footnoteRef/>
      </w:r>
      <w:r w:rsidRPr="006B5956">
        <w:t xml:space="preserve"> Good, C. and </w:t>
      </w:r>
      <w:proofErr w:type="spellStart"/>
      <w:r w:rsidRPr="006B5956">
        <w:t>Scates</w:t>
      </w:r>
      <w:proofErr w:type="spellEnd"/>
      <w:r w:rsidRPr="006B5956">
        <w:t xml:space="preserve">, D., </w:t>
      </w:r>
      <w:r w:rsidRPr="00E10C13">
        <w:rPr>
          <w:i/>
        </w:rPr>
        <w:t>Methods of research</w:t>
      </w:r>
      <w:r w:rsidRPr="006B5956">
        <w:t>. (New York, 1954) p.117.</w:t>
      </w:r>
    </w:p>
  </w:footnote>
  <w:footnote w:id="7">
    <w:p w:rsidR="00E10C13" w:rsidRPr="001F765C" w:rsidRDefault="00E10C13">
      <w:pPr>
        <w:pStyle w:val="FootnoteText"/>
        <w:rPr>
          <w:color w:val="FF0000"/>
          <w:lang w:val="en-US"/>
        </w:rPr>
      </w:pPr>
      <w:r>
        <w:rPr>
          <w:rStyle w:val="FootnoteReference"/>
        </w:rPr>
        <w:footnoteRef/>
      </w:r>
      <w:r>
        <w:t xml:space="preserve"> </w:t>
      </w:r>
      <w:proofErr w:type="spellStart"/>
      <w:r w:rsidRPr="006B5956">
        <w:t>Garraghan</w:t>
      </w:r>
      <w:proofErr w:type="spellEnd"/>
      <w:r w:rsidRPr="006B5956">
        <w:t xml:space="preserve">, G. and </w:t>
      </w:r>
      <w:proofErr w:type="spellStart"/>
      <w:r w:rsidRPr="006B5956">
        <w:t>Delanglez</w:t>
      </w:r>
      <w:proofErr w:type="spellEnd"/>
      <w:r w:rsidRPr="006B5956">
        <w:t xml:space="preserve">, J. </w:t>
      </w:r>
      <w:proofErr w:type="gramStart"/>
      <w:r w:rsidRPr="00E10C13">
        <w:rPr>
          <w:i/>
        </w:rPr>
        <w:t>A guide to historical method</w:t>
      </w:r>
      <w:r w:rsidRPr="006B5956">
        <w:t>.</w:t>
      </w:r>
      <w:proofErr w:type="gramEnd"/>
      <w:r w:rsidRPr="006B5956">
        <w:t xml:space="preserve"> </w:t>
      </w:r>
      <w:proofErr w:type="gramStart"/>
      <w:r w:rsidRPr="006B5956">
        <w:t>(New York, 1951) p.168.</w:t>
      </w:r>
      <w:proofErr w:type="gramEnd"/>
    </w:p>
  </w:footnote>
  <w:footnote w:id="8">
    <w:p w:rsidR="00E10C13" w:rsidRPr="001F765C" w:rsidRDefault="00E10C13" w:rsidP="001F765C">
      <w:pPr>
        <w:pStyle w:val="FootnoteText"/>
        <w:rPr>
          <w:lang w:val="en-US"/>
        </w:rPr>
      </w:pPr>
      <w:r w:rsidRPr="001C0485">
        <w:rPr>
          <w:rStyle w:val="FootnoteReference"/>
        </w:rPr>
        <w:footnoteRef/>
      </w:r>
      <w:r w:rsidRPr="001C0485">
        <w:t xml:space="preserve"> </w:t>
      </w:r>
      <w:proofErr w:type="spellStart"/>
      <w:proofErr w:type="gramStart"/>
      <w:r w:rsidRPr="001C0485">
        <w:t>Schaps</w:t>
      </w:r>
      <w:proofErr w:type="spellEnd"/>
      <w:r w:rsidRPr="001C0485">
        <w:t xml:space="preserve">, D. </w:t>
      </w:r>
      <w:r w:rsidRPr="001C0485">
        <w:rPr>
          <w:i/>
        </w:rPr>
        <w:t>Handbook for classical research</w:t>
      </w:r>
      <w:r>
        <w:t>.</w:t>
      </w:r>
      <w:proofErr w:type="gramEnd"/>
      <w:r w:rsidRPr="001C0485">
        <w:t xml:space="preserve"> </w:t>
      </w:r>
      <w:proofErr w:type="gramStart"/>
      <w:r>
        <w:t>(</w:t>
      </w:r>
      <w:r w:rsidRPr="001C0485">
        <w:t>Oxon</w:t>
      </w:r>
      <w:r>
        <w:t xml:space="preserve">, </w:t>
      </w:r>
      <w:r w:rsidRPr="001C0485">
        <w:t>2011).</w:t>
      </w:r>
      <w:proofErr w:type="gramEnd"/>
      <w:r w:rsidRPr="001C0485">
        <w:t xml:space="preserve"> </w:t>
      </w:r>
      <w:proofErr w:type="gramStart"/>
      <w:r>
        <w:t>E-book.</w:t>
      </w:r>
      <w:proofErr w:type="gramEnd"/>
    </w:p>
  </w:footnote>
  <w:footnote w:id="9">
    <w:p w:rsidR="00E10C13" w:rsidRPr="00B4438E" w:rsidRDefault="00E10C13">
      <w:pPr>
        <w:pStyle w:val="FootnoteText"/>
        <w:rPr>
          <w:lang w:val="en-US"/>
        </w:rPr>
      </w:pPr>
      <w:r w:rsidRPr="00CA4F2C">
        <w:rPr>
          <w:rStyle w:val="FootnoteReference"/>
        </w:rPr>
        <w:footnoteRef/>
      </w:r>
      <w:r w:rsidRPr="00CA4F2C">
        <w:t xml:space="preserve"> </w:t>
      </w:r>
      <w:proofErr w:type="gramStart"/>
      <w:r>
        <w:t>Kerlinger, F. and Lee, H.</w:t>
      </w:r>
      <w:r w:rsidRPr="00CA4F2C">
        <w:t xml:space="preserve"> </w:t>
      </w:r>
      <w:r w:rsidRPr="00E10C13">
        <w:rPr>
          <w:i/>
        </w:rPr>
        <w:t xml:space="preserve">Foundations of </w:t>
      </w:r>
      <w:proofErr w:type="spellStart"/>
      <w:r w:rsidRPr="00E10C13">
        <w:rPr>
          <w:i/>
        </w:rPr>
        <w:t>behavioral</w:t>
      </w:r>
      <w:proofErr w:type="spellEnd"/>
      <w:r w:rsidRPr="00E10C13">
        <w:rPr>
          <w:i/>
        </w:rPr>
        <w:t xml:space="preserve"> research</w:t>
      </w:r>
      <w:r w:rsidRPr="00CA4F2C">
        <w:t>.</w:t>
      </w:r>
      <w:proofErr w:type="gramEnd"/>
      <w:r w:rsidRPr="00CA4F2C">
        <w:t xml:space="preserve"> (Singapore, 2007)</w:t>
      </w:r>
    </w:p>
  </w:footnote>
  <w:footnote w:id="10">
    <w:p w:rsidR="00E10C13" w:rsidRPr="00F72405" w:rsidRDefault="00E10C13">
      <w:pPr>
        <w:pStyle w:val="FootnoteText"/>
        <w:rPr>
          <w:lang w:val="en-US"/>
        </w:rPr>
      </w:pPr>
      <w:r w:rsidRPr="006C6634">
        <w:rPr>
          <w:rStyle w:val="FootnoteReference"/>
        </w:rPr>
        <w:footnoteRef/>
      </w:r>
      <w:r w:rsidRPr="006C6634">
        <w:t xml:space="preserve"> Good, C. and </w:t>
      </w:r>
      <w:proofErr w:type="spellStart"/>
      <w:r w:rsidRPr="006C6634">
        <w:t>Scates</w:t>
      </w:r>
      <w:proofErr w:type="spellEnd"/>
      <w:r w:rsidRPr="006C6634">
        <w:t>, D. p 184.</w:t>
      </w:r>
    </w:p>
  </w:footnote>
  <w:footnote w:id="11">
    <w:p w:rsidR="00E10C13" w:rsidRPr="00BE4C38" w:rsidRDefault="00E10C13">
      <w:pPr>
        <w:pStyle w:val="FootnoteText"/>
        <w:rPr>
          <w:lang w:val="en-US"/>
        </w:rPr>
      </w:pPr>
      <w:r w:rsidRPr="00BE4C38">
        <w:rPr>
          <w:rStyle w:val="FootnoteReference"/>
        </w:rPr>
        <w:footnoteRef/>
      </w:r>
      <w:r w:rsidR="00BE4C38" w:rsidRPr="00BE4C38">
        <w:t xml:space="preserve"> IG I3 1453</w:t>
      </w:r>
    </w:p>
  </w:footnote>
  <w:footnote w:id="12">
    <w:p w:rsidR="00E10C13" w:rsidRPr="00BE4C38" w:rsidRDefault="00E10C13">
      <w:pPr>
        <w:pStyle w:val="FootnoteText"/>
        <w:rPr>
          <w:lang w:val="en-US"/>
        </w:rPr>
      </w:pPr>
      <w:r w:rsidRPr="00BE4C38">
        <w:rPr>
          <w:rStyle w:val="FootnoteReference"/>
        </w:rPr>
        <w:footnoteRef/>
      </w:r>
      <w:r w:rsidRPr="00BE4C38">
        <w:t xml:space="preserve"> IG I3 40 </w:t>
      </w:r>
    </w:p>
  </w:footnote>
  <w:footnote w:id="13">
    <w:p w:rsidR="00E10C13" w:rsidRPr="00B9176A" w:rsidRDefault="00E10C13">
      <w:pPr>
        <w:pStyle w:val="FootnoteText"/>
        <w:rPr>
          <w:color w:val="FF0000"/>
          <w:lang w:val="en-US"/>
        </w:rPr>
      </w:pPr>
      <w:r w:rsidRPr="00BE4C38">
        <w:rPr>
          <w:rStyle w:val="FootnoteReference"/>
        </w:rPr>
        <w:footnoteRef/>
      </w:r>
      <w:r w:rsidRPr="00BE4C38">
        <w:t xml:space="preserve"> IG V1, 1</w:t>
      </w:r>
    </w:p>
  </w:footnote>
  <w:footnote w:id="14">
    <w:p w:rsidR="00E10C13" w:rsidRPr="00B9176A" w:rsidRDefault="00E10C13">
      <w:pPr>
        <w:pStyle w:val="FootnoteText"/>
        <w:rPr>
          <w:color w:val="FF0000"/>
          <w:lang w:val="en-US"/>
        </w:rPr>
      </w:pPr>
      <w:r w:rsidRPr="00473CBD">
        <w:rPr>
          <w:rStyle w:val="FootnoteReference"/>
        </w:rPr>
        <w:footnoteRef/>
      </w:r>
      <w:r w:rsidRPr="00473CBD">
        <w:t xml:space="preserve"> </w:t>
      </w:r>
      <w:r w:rsidR="00473CBD" w:rsidRPr="00473CBD">
        <w:t>Samons</w:t>
      </w:r>
      <w:r w:rsidR="00473CBD">
        <w:t xml:space="preserve">, L. J., </w:t>
      </w:r>
      <w:r w:rsidR="00473CBD" w:rsidRPr="00473CBD">
        <w:rPr>
          <w:i/>
        </w:rPr>
        <w:t>Athenian Fi</w:t>
      </w:r>
      <w:r w:rsidR="00473CBD">
        <w:rPr>
          <w:i/>
        </w:rPr>
        <w:t>nance and the Treasury o</w:t>
      </w:r>
      <w:r w:rsidR="00473CBD" w:rsidRPr="00473CBD">
        <w:t>f Athens, (</w:t>
      </w:r>
      <w:r w:rsidR="00473CBD" w:rsidRPr="00473CBD">
        <w:t>Stuttgart</w:t>
      </w:r>
      <w:r w:rsidR="001532C8" w:rsidRPr="00473CBD">
        <w:t>, 1993</w:t>
      </w:r>
      <w:r w:rsidR="00473CBD">
        <w:t xml:space="preserve">) p. 129. </w:t>
      </w:r>
    </w:p>
  </w:footnote>
  <w:footnote w:id="15">
    <w:p w:rsidR="00E10C13" w:rsidRPr="00B9176A" w:rsidRDefault="00E10C13">
      <w:pPr>
        <w:pStyle w:val="FootnoteText"/>
        <w:rPr>
          <w:lang w:val="en-US"/>
        </w:rPr>
      </w:pPr>
      <w:r w:rsidRPr="006C6634">
        <w:rPr>
          <w:rStyle w:val="FootnoteReference"/>
        </w:rPr>
        <w:footnoteRef/>
      </w:r>
      <w:r w:rsidRPr="006C6634">
        <w:t xml:space="preserve"> </w:t>
      </w:r>
      <w:proofErr w:type="spellStart"/>
      <w:r w:rsidRPr="006C6634">
        <w:t>Schaps</w:t>
      </w:r>
      <w:proofErr w:type="spellEnd"/>
      <w:r w:rsidRPr="006C6634">
        <w:t xml:space="preserve">, D. (Oxon, 2011). </w:t>
      </w:r>
      <w:proofErr w:type="gramStart"/>
      <w:r w:rsidRPr="006C6634">
        <w:t>E-book.</w:t>
      </w:r>
      <w:proofErr w:type="gramEnd"/>
    </w:p>
  </w:footnote>
  <w:footnote w:id="16">
    <w:p w:rsidR="00E10C13" w:rsidRPr="008A1BCE" w:rsidRDefault="00E10C13">
      <w:pPr>
        <w:pStyle w:val="FootnoteText"/>
        <w:rPr>
          <w:lang w:val="en-US"/>
        </w:rPr>
      </w:pPr>
      <w:r>
        <w:rPr>
          <w:rStyle w:val="FootnoteReference"/>
        </w:rPr>
        <w:footnoteRef/>
      </w:r>
      <w:r>
        <w:t xml:space="preserve"> </w:t>
      </w:r>
      <w:r w:rsidRPr="006C6634">
        <w:t xml:space="preserve">Good, C. and </w:t>
      </w:r>
      <w:proofErr w:type="spellStart"/>
      <w:r w:rsidRPr="006C6634">
        <w:t>Scates</w:t>
      </w:r>
      <w:proofErr w:type="spellEnd"/>
      <w:r w:rsidRPr="006C6634">
        <w:t>, D.</w:t>
      </w:r>
      <w:r>
        <w:t xml:space="preserve"> p.188</w:t>
      </w:r>
    </w:p>
  </w:footnote>
  <w:footnote w:id="17">
    <w:p w:rsidR="00E10C13" w:rsidRPr="00F326EE" w:rsidRDefault="00E10C13">
      <w:pPr>
        <w:pStyle w:val="FootnoteText"/>
        <w:rPr>
          <w:lang w:val="en-US"/>
        </w:rPr>
      </w:pPr>
      <w:r>
        <w:rPr>
          <w:rStyle w:val="FootnoteReference"/>
        </w:rPr>
        <w:footnoteRef/>
      </w:r>
      <w:r>
        <w:t xml:space="preserve"> </w:t>
      </w:r>
      <w:proofErr w:type="spellStart"/>
      <w:r w:rsidRPr="006C6634">
        <w:t>Schaps</w:t>
      </w:r>
      <w:proofErr w:type="spellEnd"/>
      <w:r w:rsidRPr="006C6634">
        <w:t xml:space="preserve">, D. (Oxon, 2011). </w:t>
      </w:r>
      <w:proofErr w:type="gramStart"/>
      <w:r w:rsidRPr="006C6634">
        <w:t>E-book.</w:t>
      </w:r>
      <w:proofErr w:type="gramEnd"/>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66C22"/>
    <w:multiLevelType w:val="hybridMultilevel"/>
    <w:tmpl w:val="4A6470F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nsid w:val="02B750B8"/>
    <w:multiLevelType w:val="hybridMultilevel"/>
    <w:tmpl w:val="7DBC10A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nsid w:val="0D1E5F0A"/>
    <w:multiLevelType w:val="hybridMultilevel"/>
    <w:tmpl w:val="E0827CB8"/>
    <w:lvl w:ilvl="0" w:tplc="44090003">
      <w:start w:val="1"/>
      <w:numFmt w:val="bullet"/>
      <w:lvlText w:val="o"/>
      <w:lvlJc w:val="left"/>
      <w:pPr>
        <w:ind w:left="720" w:hanging="360"/>
      </w:pPr>
      <w:rPr>
        <w:rFonts w:ascii="Courier New" w:hAnsi="Courier New" w:cs="Courier New"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nsid w:val="0E1916C1"/>
    <w:multiLevelType w:val="hybridMultilevel"/>
    <w:tmpl w:val="3AD45862"/>
    <w:lvl w:ilvl="0" w:tplc="44090001">
      <w:start w:val="1"/>
      <w:numFmt w:val="bullet"/>
      <w:lvlText w:val=""/>
      <w:lvlJc w:val="left"/>
      <w:pPr>
        <w:ind w:left="1080" w:hanging="360"/>
      </w:pPr>
      <w:rPr>
        <w:rFonts w:ascii="Symbol" w:hAnsi="Symbol" w:hint="default"/>
      </w:rPr>
    </w:lvl>
    <w:lvl w:ilvl="1" w:tplc="44090001">
      <w:start w:val="1"/>
      <w:numFmt w:val="bullet"/>
      <w:lvlText w:val=""/>
      <w:lvlJc w:val="left"/>
      <w:pPr>
        <w:ind w:left="1800" w:hanging="360"/>
      </w:pPr>
      <w:rPr>
        <w:rFonts w:ascii="Symbol" w:hAnsi="Symbol" w:hint="default"/>
      </w:rPr>
    </w:lvl>
    <w:lvl w:ilvl="2" w:tplc="44090005">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4">
    <w:nsid w:val="111B6514"/>
    <w:multiLevelType w:val="hybridMultilevel"/>
    <w:tmpl w:val="4B8CBF74"/>
    <w:lvl w:ilvl="0" w:tplc="44090001">
      <w:start w:val="1"/>
      <w:numFmt w:val="bullet"/>
      <w:lvlText w:val=""/>
      <w:lvlJc w:val="left"/>
      <w:pPr>
        <w:ind w:left="720" w:hanging="360"/>
      </w:pPr>
      <w:rPr>
        <w:rFonts w:ascii="Symbol" w:hAnsi="Symbol" w:hint="default"/>
      </w:rPr>
    </w:lvl>
    <w:lvl w:ilvl="1" w:tplc="4409000F">
      <w:start w:val="1"/>
      <w:numFmt w:val="decimal"/>
      <w:lvlText w:val="%2."/>
      <w:lvlJc w:val="left"/>
      <w:pPr>
        <w:ind w:left="1440" w:hanging="360"/>
      </w:pPr>
      <w:rPr>
        <w:rFonts w:hint="default"/>
      </w:rPr>
    </w:lvl>
    <w:lvl w:ilvl="2" w:tplc="44090005">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nsid w:val="11B04FE3"/>
    <w:multiLevelType w:val="hybridMultilevel"/>
    <w:tmpl w:val="7E6EE89A"/>
    <w:lvl w:ilvl="0" w:tplc="006C73A8">
      <w:start w:val="1"/>
      <w:numFmt w:val="upperRoman"/>
      <w:lvlText w:val="%1."/>
      <w:lvlJc w:val="left"/>
      <w:pPr>
        <w:ind w:left="720" w:hanging="72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nsid w:val="145D63D6"/>
    <w:multiLevelType w:val="hybridMultilevel"/>
    <w:tmpl w:val="8B8A9D68"/>
    <w:lvl w:ilvl="0" w:tplc="44090001">
      <w:start w:val="1"/>
      <w:numFmt w:val="bullet"/>
      <w:lvlText w:val=""/>
      <w:lvlJc w:val="left"/>
      <w:pPr>
        <w:ind w:left="360" w:hanging="360"/>
      </w:pPr>
      <w:rPr>
        <w:rFonts w:ascii="Symbol" w:hAnsi="Symbol" w:hint="default"/>
      </w:rPr>
    </w:lvl>
    <w:lvl w:ilvl="1" w:tplc="44090003">
      <w:start w:val="1"/>
      <w:numFmt w:val="bullet"/>
      <w:lvlText w:val="o"/>
      <w:lvlJc w:val="left"/>
      <w:pPr>
        <w:ind w:left="1080" w:hanging="360"/>
      </w:pPr>
      <w:rPr>
        <w:rFonts w:ascii="Courier New" w:hAnsi="Courier New" w:cs="Courier New" w:hint="default"/>
      </w:rPr>
    </w:lvl>
    <w:lvl w:ilvl="2" w:tplc="44090005">
      <w:start w:val="1"/>
      <w:numFmt w:val="bullet"/>
      <w:lvlText w:val=""/>
      <w:lvlJc w:val="left"/>
      <w:pPr>
        <w:ind w:left="1800" w:hanging="360"/>
      </w:pPr>
      <w:rPr>
        <w:rFonts w:ascii="Wingdings" w:hAnsi="Wingdings" w:hint="default"/>
      </w:rPr>
    </w:lvl>
    <w:lvl w:ilvl="3" w:tplc="4409000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7">
    <w:nsid w:val="18634156"/>
    <w:multiLevelType w:val="hybridMultilevel"/>
    <w:tmpl w:val="85EAFA68"/>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8">
    <w:nsid w:val="222758EC"/>
    <w:multiLevelType w:val="hybridMultilevel"/>
    <w:tmpl w:val="3A288CA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nsid w:val="30DE5F1C"/>
    <w:multiLevelType w:val="hybridMultilevel"/>
    <w:tmpl w:val="DA3A5D2E"/>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nsid w:val="32842AEC"/>
    <w:multiLevelType w:val="hybridMultilevel"/>
    <w:tmpl w:val="8F729566"/>
    <w:lvl w:ilvl="0" w:tplc="44090017">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1">
    <w:nsid w:val="35F4118F"/>
    <w:multiLevelType w:val="hybridMultilevel"/>
    <w:tmpl w:val="A470F48C"/>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2">
    <w:nsid w:val="39675F89"/>
    <w:multiLevelType w:val="hybridMultilevel"/>
    <w:tmpl w:val="F8F6AAC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nsid w:val="3DC8602E"/>
    <w:multiLevelType w:val="hybridMultilevel"/>
    <w:tmpl w:val="DC1CBC88"/>
    <w:lvl w:ilvl="0" w:tplc="006C73A8">
      <w:start w:val="1"/>
      <w:numFmt w:val="upperRoman"/>
      <w:lvlText w:val="%1."/>
      <w:lvlJc w:val="left"/>
      <w:pPr>
        <w:ind w:left="72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4">
    <w:nsid w:val="3F4A4C88"/>
    <w:multiLevelType w:val="hybridMultilevel"/>
    <w:tmpl w:val="09566E90"/>
    <w:lvl w:ilvl="0" w:tplc="4409000F">
      <w:start w:val="1"/>
      <w:numFmt w:val="decimal"/>
      <w:lvlText w:val="%1."/>
      <w:lvlJc w:val="left"/>
      <w:pPr>
        <w:ind w:left="720" w:hanging="360"/>
      </w:pPr>
      <w:rPr>
        <w:rFonts w:hint="default"/>
      </w:rPr>
    </w:lvl>
    <w:lvl w:ilvl="1" w:tplc="44090001">
      <w:start w:val="1"/>
      <w:numFmt w:val="bullet"/>
      <w:lvlText w:val=""/>
      <w:lvlJc w:val="left"/>
      <w:pPr>
        <w:ind w:left="1440" w:hanging="360"/>
      </w:pPr>
      <w:rPr>
        <w:rFonts w:ascii="Symbol" w:hAnsi="Symbol" w:hint="default"/>
      </w:rPr>
    </w:lvl>
    <w:lvl w:ilvl="2" w:tplc="44090005">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nsid w:val="560134A2"/>
    <w:multiLevelType w:val="hybridMultilevel"/>
    <w:tmpl w:val="EEAA76B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6">
    <w:nsid w:val="5808714E"/>
    <w:multiLevelType w:val="hybridMultilevel"/>
    <w:tmpl w:val="3C14369C"/>
    <w:lvl w:ilvl="0" w:tplc="4409000F">
      <w:start w:val="1"/>
      <w:numFmt w:val="decimal"/>
      <w:lvlText w:val="%1."/>
      <w:lvlJc w:val="left"/>
      <w:pPr>
        <w:ind w:left="360" w:hanging="360"/>
      </w:pPr>
    </w:lvl>
    <w:lvl w:ilvl="1" w:tplc="44090019">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7">
    <w:nsid w:val="5E3F6338"/>
    <w:multiLevelType w:val="hybridMultilevel"/>
    <w:tmpl w:val="36BC5498"/>
    <w:lvl w:ilvl="0" w:tplc="44090001">
      <w:start w:val="1"/>
      <w:numFmt w:val="bullet"/>
      <w:lvlText w:val=""/>
      <w:lvlJc w:val="left"/>
      <w:pPr>
        <w:ind w:left="720" w:hanging="720"/>
      </w:pPr>
      <w:rPr>
        <w:rFonts w:ascii="Symbol" w:hAnsi="Symbol"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8">
    <w:nsid w:val="5FAA4E8B"/>
    <w:multiLevelType w:val="hybridMultilevel"/>
    <w:tmpl w:val="733EB59E"/>
    <w:lvl w:ilvl="0" w:tplc="44090001">
      <w:start w:val="1"/>
      <w:numFmt w:val="bullet"/>
      <w:lvlText w:val=""/>
      <w:lvlJc w:val="left"/>
      <w:pPr>
        <w:ind w:left="360" w:hanging="360"/>
      </w:pPr>
      <w:rPr>
        <w:rFonts w:ascii="Symbol" w:hAnsi="Symbol" w:hint="default"/>
      </w:rPr>
    </w:lvl>
    <w:lvl w:ilvl="1" w:tplc="44090003">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9">
    <w:nsid w:val="61B242A5"/>
    <w:multiLevelType w:val="hybridMultilevel"/>
    <w:tmpl w:val="DE202D3A"/>
    <w:lvl w:ilvl="0" w:tplc="4409000F">
      <w:start w:val="1"/>
      <w:numFmt w:val="decimal"/>
      <w:lvlText w:val="%1."/>
      <w:lvlJc w:val="left"/>
      <w:pPr>
        <w:ind w:left="720" w:hanging="360"/>
      </w:pPr>
      <w:rPr>
        <w:rFont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0">
    <w:nsid w:val="69BF24CA"/>
    <w:multiLevelType w:val="hybridMultilevel"/>
    <w:tmpl w:val="28F4A326"/>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1">
    <w:nsid w:val="6E201145"/>
    <w:multiLevelType w:val="hybridMultilevel"/>
    <w:tmpl w:val="86DE6658"/>
    <w:lvl w:ilvl="0" w:tplc="44090001">
      <w:start w:val="1"/>
      <w:numFmt w:val="bullet"/>
      <w:lvlText w:val=""/>
      <w:lvlJc w:val="left"/>
      <w:pPr>
        <w:ind w:left="720" w:hanging="360"/>
      </w:pPr>
      <w:rPr>
        <w:rFonts w:ascii="Symbol" w:hAnsi="Symbol" w:hint="default"/>
      </w:rPr>
    </w:lvl>
    <w:lvl w:ilvl="1" w:tplc="44090003">
      <w:start w:val="1"/>
      <w:numFmt w:val="bullet"/>
      <w:lvlText w:val="o"/>
      <w:lvlJc w:val="left"/>
      <w:pPr>
        <w:ind w:left="1440" w:hanging="360"/>
      </w:pPr>
      <w:rPr>
        <w:rFonts w:ascii="Courier New" w:hAnsi="Courier New" w:cs="Courier New" w:hint="default"/>
      </w:rPr>
    </w:lvl>
    <w:lvl w:ilvl="2" w:tplc="44090005">
      <w:start w:val="1"/>
      <w:numFmt w:val="bullet"/>
      <w:lvlText w:val=""/>
      <w:lvlJc w:val="left"/>
      <w:pPr>
        <w:ind w:left="2160" w:hanging="360"/>
      </w:pPr>
      <w:rPr>
        <w:rFonts w:ascii="Wingdings" w:hAnsi="Wingdings" w:hint="default"/>
      </w:rPr>
    </w:lvl>
    <w:lvl w:ilvl="3" w:tplc="44090001">
      <w:start w:val="1"/>
      <w:numFmt w:val="bullet"/>
      <w:lvlText w:val=""/>
      <w:lvlJc w:val="left"/>
      <w:pPr>
        <w:ind w:left="2880" w:hanging="360"/>
      </w:pPr>
      <w:rPr>
        <w:rFonts w:ascii="Symbol" w:hAnsi="Symbol" w:hint="default"/>
      </w:rPr>
    </w:lvl>
    <w:lvl w:ilvl="4" w:tplc="44090003">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2">
    <w:nsid w:val="797840E1"/>
    <w:multiLevelType w:val="hybridMultilevel"/>
    <w:tmpl w:val="66A8A3B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4"/>
  </w:num>
  <w:num w:numId="2">
    <w:abstractNumId w:val="15"/>
  </w:num>
  <w:num w:numId="3">
    <w:abstractNumId w:val="7"/>
  </w:num>
  <w:num w:numId="4">
    <w:abstractNumId w:val="14"/>
  </w:num>
  <w:num w:numId="5">
    <w:abstractNumId w:val="3"/>
  </w:num>
  <w:num w:numId="6">
    <w:abstractNumId w:val="2"/>
  </w:num>
  <w:num w:numId="7">
    <w:abstractNumId w:val="6"/>
  </w:num>
  <w:num w:numId="8">
    <w:abstractNumId w:val="20"/>
  </w:num>
  <w:num w:numId="9">
    <w:abstractNumId w:val="18"/>
  </w:num>
  <w:num w:numId="10">
    <w:abstractNumId w:val="19"/>
  </w:num>
  <w:num w:numId="11">
    <w:abstractNumId w:val="16"/>
  </w:num>
  <w:num w:numId="12">
    <w:abstractNumId w:val="1"/>
  </w:num>
  <w:num w:numId="13">
    <w:abstractNumId w:val="10"/>
  </w:num>
  <w:num w:numId="14">
    <w:abstractNumId w:val="11"/>
  </w:num>
  <w:num w:numId="15">
    <w:abstractNumId w:val="22"/>
  </w:num>
  <w:num w:numId="16">
    <w:abstractNumId w:val="5"/>
  </w:num>
  <w:num w:numId="17">
    <w:abstractNumId w:val="13"/>
  </w:num>
  <w:num w:numId="18">
    <w:abstractNumId w:val="0"/>
  </w:num>
  <w:num w:numId="19">
    <w:abstractNumId w:val="17"/>
  </w:num>
  <w:num w:numId="20">
    <w:abstractNumId w:val="12"/>
  </w:num>
  <w:num w:numId="21">
    <w:abstractNumId w:val="8"/>
  </w:num>
  <w:num w:numId="22">
    <w:abstractNumId w:val="21"/>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6D26"/>
    <w:rsid w:val="00036C71"/>
    <w:rsid w:val="00042850"/>
    <w:rsid w:val="00042C29"/>
    <w:rsid w:val="00082885"/>
    <w:rsid w:val="0009514C"/>
    <w:rsid w:val="000A1B09"/>
    <w:rsid w:val="000A322E"/>
    <w:rsid w:val="000C1D6F"/>
    <w:rsid w:val="000E3A3C"/>
    <w:rsid w:val="000E4DA5"/>
    <w:rsid w:val="000E7259"/>
    <w:rsid w:val="00112757"/>
    <w:rsid w:val="001532C8"/>
    <w:rsid w:val="00162A84"/>
    <w:rsid w:val="00163A4B"/>
    <w:rsid w:val="00193BD7"/>
    <w:rsid w:val="001B2A36"/>
    <w:rsid w:val="001C0485"/>
    <w:rsid w:val="001F765C"/>
    <w:rsid w:val="0021706E"/>
    <w:rsid w:val="00217944"/>
    <w:rsid w:val="00223403"/>
    <w:rsid w:val="0022539A"/>
    <w:rsid w:val="002835F4"/>
    <w:rsid w:val="002927E4"/>
    <w:rsid w:val="002A0521"/>
    <w:rsid w:val="002A52AA"/>
    <w:rsid w:val="002A7353"/>
    <w:rsid w:val="002B07CE"/>
    <w:rsid w:val="002D3998"/>
    <w:rsid w:val="002F02CF"/>
    <w:rsid w:val="00313F73"/>
    <w:rsid w:val="00341820"/>
    <w:rsid w:val="0034758E"/>
    <w:rsid w:val="00351DE0"/>
    <w:rsid w:val="00352838"/>
    <w:rsid w:val="0038180C"/>
    <w:rsid w:val="003E798B"/>
    <w:rsid w:val="003F6399"/>
    <w:rsid w:val="00407C6A"/>
    <w:rsid w:val="00416D51"/>
    <w:rsid w:val="00454087"/>
    <w:rsid w:val="004603FB"/>
    <w:rsid w:val="00473CBD"/>
    <w:rsid w:val="004B60A5"/>
    <w:rsid w:val="004C3F09"/>
    <w:rsid w:val="004D537E"/>
    <w:rsid w:val="004F5F04"/>
    <w:rsid w:val="00551FA5"/>
    <w:rsid w:val="0055254F"/>
    <w:rsid w:val="005569E5"/>
    <w:rsid w:val="00570A5B"/>
    <w:rsid w:val="00573655"/>
    <w:rsid w:val="00583C57"/>
    <w:rsid w:val="005847F8"/>
    <w:rsid w:val="005B6530"/>
    <w:rsid w:val="005C308B"/>
    <w:rsid w:val="005D611C"/>
    <w:rsid w:val="00637772"/>
    <w:rsid w:val="00652E99"/>
    <w:rsid w:val="00662994"/>
    <w:rsid w:val="0066311F"/>
    <w:rsid w:val="00666D26"/>
    <w:rsid w:val="00697CEF"/>
    <w:rsid w:val="006B1524"/>
    <w:rsid w:val="006B5956"/>
    <w:rsid w:val="006C6634"/>
    <w:rsid w:val="00734A2A"/>
    <w:rsid w:val="0077278F"/>
    <w:rsid w:val="00772A1A"/>
    <w:rsid w:val="00786279"/>
    <w:rsid w:val="007A287C"/>
    <w:rsid w:val="007B7A14"/>
    <w:rsid w:val="00800D9C"/>
    <w:rsid w:val="0080272E"/>
    <w:rsid w:val="0080727D"/>
    <w:rsid w:val="008363C0"/>
    <w:rsid w:val="00844633"/>
    <w:rsid w:val="008622F2"/>
    <w:rsid w:val="00864874"/>
    <w:rsid w:val="008A1BCE"/>
    <w:rsid w:val="008A5153"/>
    <w:rsid w:val="008B4DBE"/>
    <w:rsid w:val="008C0FF0"/>
    <w:rsid w:val="008D4BC9"/>
    <w:rsid w:val="008F1535"/>
    <w:rsid w:val="008F1F01"/>
    <w:rsid w:val="00901243"/>
    <w:rsid w:val="00916465"/>
    <w:rsid w:val="00917D90"/>
    <w:rsid w:val="0092000C"/>
    <w:rsid w:val="0092130A"/>
    <w:rsid w:val="009434C8"/>
    <w:rsid w:val="00974AA6"/>
    <w:rsid w:val="009A1D12"/>
    <w:rsid w:val="009A5469"/>
    <w:rsid w:val="009C0B26"/>
    <w:rsid w:val="009D566D"/>
    <w:rsid w:val="009F28AC"/>
    <w:rsid w:val="00A16A34"/>
    <w:rsid w:val="00A82CFD"/>
    <w:rsid w:val="00AC3AC9"/>
    <w:rsid w:val="00AC784C"/>
    <w:rsid w:val="00AD574A"/>
    <w:rsid w:val="00AF4721"/>
    <w:rsid w:val="00B34F6B"/>
    <w:rsid w:val="00B4438E"/>
    <w:rsid w:val="00B76446"/>
    <w:rsid w:val="00B90FCB"/>
    <w:rsid w:val="00B9176A"/>
    <w:rsid w:val="00BB7D60"/>
    <w:rsid w:val="00BC3FC9"/>
    <w:rsid w:val="00BE4C38"/>
    <w:rsid w:val="00BE7171"/>
    <w:rsid w:val="00BF7912"/>
    <w:rsid w:val="00BF7CD8"/>
    <w:rsid w:val="00C0663C"/>
    <w:rsid w:val="00C83938"/>
    <w:rsid w:val="00CA4F2C"/>
    <w:rsid w:val="00CF05B5"/>
    <w:rsid w:val="00D04991"/>
    <w:rsid w:val="00D11E13"/>
    <w:rsid w:val="00D14F77"/>
    <w:rsid w:val="00D61D0F"/>
    <w:rsid w:val="00D6253E"/>
    <w:rsid w:val="00D86D53"/>
    <w:rsid w:val="00DE6A73"/>
    <w:rsid w:val="00E10C13"/>
    <w:rsid w:val="00E23BBC"/>
    <w:rsid w:val="00E3762E"/>
    <w:rsid w:val="00E867BA"/>
    <w:rsid w:val="00ED7A5B"/>
    <w:rsid w:val="00EF2520"/>
    <w:rsid w:val="00F2797C"/>
    <w:rsid w:val="00F326EE"/>
    <w:rsid w:val="00F51FF7"/>
    <w:rsid w:val="00F565C6"/>
    <w:rsid w:val="00F620DA"/>
    <w:rsid w:val="00F667AB"/>
    <w:rsid w:val="00F72405"/>
    <w:rsid w:val="00F93FDB"/>
    <w:rsid w:val="00FD7CE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MY"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47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MY"/>
    </w:rPr>
  </w:style>
  <w:style w:type="paragraph" w:styleId="Heading3">
    <w:name w:val="heading 3"/>
    <w:basedOn w:val="Normal"/>
    <w:next w:val="Normal"/>
    <w:link w:val="Heading3Char"/>
    <w:uiPriority w:val="9"/>
    <w:semiHidden/>
    <w:unhideWhenUsed/>
    <w:qFormat/>
    <w:rsid w:val="001B2A3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D26"/>
    <w:pPr>
      <w:ind w:left="720"/>
      <w:contextualSpacing/>
    </w:pPr>
  </w:style>
  <w:style w:type="character" w:styleId="Hyperlink">
    <w:name w:val="Hyperlink"/>
    <w:basedOn w:val="DefaultParagraphFont"/>
    <w:uiPriority w:val="99"/>
    <w:unhideWhenUsed/>
    <w:rsid w:val="00864874"/>
    <w:rPr>
      <w:color w:val="0000FF" w:themeColor="hyperlink"/>
      <w:u w:val="single"/>
    </w:rPr>
  </w:style>
  <w:style w:type="paragraph" w:styleId="Header">
    <w:name w:val="header"/>
    <w:basedOn w:val="Normal"/>
    <w:link w:val="HeaderChar"/>
    <w:uiPriority w:val="99"/>
    <w:unhideWhenUsed/>
    <w:rsid w:val="000A1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B09"/>
  </w:style>
  <w:style w:type="paragraph" w:styleId="Footer">
    <w:name w:val="footer"/>
    <w:basedOn w:val="Normal"/>
    <w:link w:val="FooterChar"/>
    <w:uiPriority w:val="99"/>
    <w:unhideWhenUsed/>
    <w:rsid w:val="000A1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B09"/>
  </w:style>
  <w:style w:type="paragraph" w:styleId="FootnoteText">
    <w:name w:val="footnote text"/>
    <w:basedOn w:val="Normal"/>
    <w:link w:val="FootnoteTextChar"/>
    <w:uiPriority w:val="99"/>
    <w:semiHidden/>
    <w:unhideWhenUsed/>
    <w:rsid w:val="007B7A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7A14"/>
    <w:rPr>
      <w:sz w:val="20"/>
      <w:szCs w:val="20"/>
    </w:rPr>
  </w:style>
  <w:style w:type="character" w:styleId="FootnoteReference">
    <w:name w:val="footnote reference"/>
    <w:basedOn w:val="DefaultParagraphFont"/>
    <w:uiPriority w:val="99"/>
    <w:semiHidden/>
    <w:unhideWhenUsed/>
    <w:rsid w:val="007B7A14"/>
    <w:rPr>
      <w:vertAlign w:val="superscript"/>
    </w:rPr>
  </w:style>
  <w:style w:type="character" w:customStyle="1" w:styleId="Heading1Char">
    <w:name w:val="Heading 1 Char"/>
    <w:basedOn w:val="DefaultParagraphFont"/>
    <w:link w:val="Heading1"/>
    <w:uiPriority w:val="9"/>
    <w:rsid w:val="00AF4721"/>
    <w:rPr>
      <w:rFonts w:ascii="Times New Roman" w:eastAsia="Times New Roman" w:hAnsi="Times New Roman" w:cs="Times New Roman"/>
      <w:b/>
      <w:bCs/>
      <w:kern w:val="36"/>
      <w:sz w:val="48"/>
      <w:szCs w:val="48"/>
      <w:lang w:eastAsia="en-MY"/>
    </w:rPr>
  </w:style>
  <w:style w:type="character" w:customStyle="1" w:styleId="Heading3Char">
    <w:name w:val="Heading 3 Char"/>
    <w:basedOn w:val="DefaultParagraphFont"/>
    <w:link w:val="Heading3"/>
    <w:uiPriority w:val="9"/>
    <w:semiHidden/>
    <w:rsid w:val="001B2A36"/>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MY"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47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MY"/>
    </w:rPr>
  </w:style>
  <w:style w:type="paragraph" w:styleId="Heading3">
    <w:name w:val="heading 3"/>
    <w:basedOn w:val="Normal"/>
    <w:next w:val="Normal"/>
    <w:link w:val="Heading3Char"/>
    <w:uiPriority w:val="9"/>
    <w:semiHidden/>
    <w:unhideWhenUsed/>
    <w:qFormat/>
    <w:rsid w:val="001B2A3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D26"/>
    <w:pPr>
      <w:ind w:left="720"/>
      <w:contextualSpacing/>
    </w:pPr>
  </w:style>
  <w:style w:type="character" w:styleId="Hyperlink">
    <w:name w:val="Hyperlink"/>
    <w:basedOn w:val="DefaultParagraphFont"/>
    <w:uiPriority w:val="99"/>
    <w:unhideWhenUsed/>
    <w:rsid w:val="00864874"/>
    <w:rPr>
      <w:color w:val="0000FF" w:themeColor="hyperlink"/>
      <w:u w:val="single"/>
    </w:rPr>
  </w:style>
  <w:style w:type="paragraph" w:styleId="Header">
    <w:name w:val="header"/>
    <w:basedOn w:val="Normal"/>
    <w:link w:val="HeaderChar"/>
    <w:uiPriority w:val="99"/>
    <w:unhideWhenUsed/>
    <w:rsid w:val="000A1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B09"/>
  </w:style>
  <w:style w:type="paragraph" w:styleId="Footer">
    <w:name w:val="footer"/>
    <w:basedOn w:val="Normal"/>
    <w:link w:val="FooterChar"/>
    <w:uiPriority w:val="99"/>
    <w:unhideWhenUsed/>
    <w:rsid w:val="000A1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B09"/>
  </w:style>
  <w:style w:type="paragraph" w:styleId="FootnoteText">
    <w:name w:val="footnote text"/>
    <w:basedOn w:val="Normal"/>
    <w:link w:val="FootnoteTextChar"/>
    <w:uiPriority w:val="99"/>
    <w:semiHidden/>
    <w:unhideWhenUsed/>
    <w:rsid w:val="007B7A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7A14"/>
    <w:rPr>
      <w:sz w:val="20"/>
      <w:szCs w:val="20"/>
    </w:rPr>
  </w:style>
  <w:style w:type="character" w:styleId="FootnoteReference">
    <w:name w:val="footnote reference"/>
    <w:basedOn w:val="DefaultParagraphFont"/>
    <w:uiPriority w:val="99"/>
    <w:semiHidden/>
    <w:unhideWhenUsed/>
    <w:rsid w:val="007B7A14"/>
    <w:rPr>
      <w:vertAlign w:val="superscript"/>
    </w:rPr>
  </w:style>
  <w:style w:type="character" w:customStyle="1" w:styleId="Heading1Char">
    <w:name w:val="Heading 1 Char"/>
    <w:basedOn w:val="DefaultParagraphFont"/>
    <w:link w:val="Heading1"/>
    <w:uiPriority w:val="9"/>
    <w:rsid w:val="00AF4721"/>
    <w:rPr>
      <w:rFonts w:ascii="Times New Roman" w:eastAsia="Times New Roman" w:hAnsi="Times New Roman" w:cs="Times New Roman"/>
      <w:b/>
      <w:bCs/>
      <w:kern w:val="36"/>
      <w:sz w:val="48"/>
      <w:szCs w:val="48"/>
      <w:lang w:eastAsia="en-MY"/>
    </w:rPr>
  </w:style>
  <w:style w:type="character" w:customStyle="1" w:styleId="Heading3Char">
    <w:name w:val="Heading 3 Char"/>
    <w:basedOn w:val="DefaultParagraphFont"/>
    <w:link w:val="Heading3"/>
    <w:uiPriority w:val="9"/>
    <w:semiHidden/>
    <w:rsid w:val="001B2A36"/>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37551">
      <w:bodyDiv w:val="1"/>
      <w:marLeft w:val="0"/>
      <w:marRight w:val="0"/>
      <w:marTop w:val="0"/>
      <w:marBottom w:val="0"/>
      <w:divBdr>
        <w:top w:val="none" w:sz="0" w:space="0" w:color="auto"/>
        <w:left w:val="none" w:sz="0" w:space="0" w:color="auto"/>
        <w:bottom w:val="none" w:sz="0" w:space="0" w:color="auto"/>
        <w:right w:val="none" w:sz="0" w:space="0" w:color="auto"/>
      </w:divBdr>
      <w:divsChild>
        <w:div w:id="405300958">
          <w:marLeft w:val="0"/>
          <w:marRight w:val="0"/>
          <w:marTop w:val="0"/>
          <w:marBottom w:val="0"/>
          <w:divBdr>
            <w:top w:val="none" w:sz="0" w:space="0" w:color="auto"/>
            <w:left w:val="none" w:sz="0" w:space="0" w:color="auto"/>
            <w:bottom w:val="none" w:sz="0" w:space="0" w:color="auto"/>
            <w:right w:val="none" w:sz="0" w:space="0" w:color="auto"/>
          </w:divBdr>
        </w:div>
      </w:divsChild>
    </w:div>
    <w:div w:id="99878218">
      <w:bodyDiv w:val="1"/>
      <w:marLeft w:val="0"/>
      <w:marRight w:val="0"/>
      <w:marTop w:val="0"/>
      <w:marBottom w:val="0"/>
      <w:divBdr>
        <w:top w:val="none" w:sz="0" w:space="0" w:color="auto"/>
        <w:left w:val="none" w:sz="0" w:space="0" w:color="auto"/>
        <w:bottom w:val="none" w:sz="0" w:space="0" w:color="auto"/>
        <w:right w:val="none" w:sz="0" w:space="0" w:color="auto"/>
      </w:divBdr>
      <w:divsChild>
        <w:div w:id="1065034098">
          <w:marLeft w:val="0"/>
          <w:marRight w:val="0"/>
          <w:marTop w:val="0"/>
          <w:marBottom w:val="240"/>
          <w:divBdr>
            <w:top w:val="none" w:sz="0" w:space="0" w:color="auto"/>
            <w:left w:val="none" w:sz="0" w:space="0" w:color="auto"/>
            <w:bottom w:val="none" w:sz="0" w:space="0" w:color="auto"/>
            <w:right w:val="none" w:sz="0" w:space="0" w:color="auto"/>
          </w:divBdr>
        </w:div>
      </w:divsChild>
    </w:div>
    <w:div w:id="109515289">
      <w:bodyDiv w:val="1"/>
      <w:marLeft w:val="0"/>
      <w:marRight w:val="0"/>
      <w:marTop w:val="0"/>
      <w:marBottom w:val="0"/>
      <w:divBdr>
        <w:top w:val="none" w:sz="0" w:space="0" w:color="auto"/>
        <w:left w:val="none" w:sz="0" w:space="0" w:color="auto"/>
        <w:bottom w:val="none" w:sz="0" w:space="0" w:color="auto"/>
        <w:right w:val="none" w:sz="0" w:space="0" w:color="auto"/>
      </w:divBdr>
      <w:divsChild>
        <w:div w:id="498618384">
          <w:marLeft w:val="0"/>
          <w:marRight w:val="0"/>
          <w:marTop w:val="0"/>
          <w:marBottom w:val="0"/>
          <w:divBdr>
            <w:top w:val="none" w:sz="0" w:space="0" w:color="auto"/>
            <w:left w:val="none" w:sz="0" w:space="0" w:color="auto"/>
            <w:bottom w:val="none" w:sz="0" w:space="0" w:color="auto"/>
            <w:right w:val="none" w:sz="0" w:space="0" w:color="auto"/>
          </w:divBdr>
          <w:divsChild>
            <w:div w:id="1193886577">
              <w:marLeft w:val="0"/>
              <w:marRight w:val="0"/>
              <w:marTop w:val="0"/>
              <w:marBottom w:val="0"/>
              <w:divBdr>
                <w:top w:val="none" w:sz="0" w:space="0" w:color="auto"/>
                <w:left w:val="none" w:sz="0" w:space="0" w:color="auto"/>
                <w:bottom w:val="none" w:sz="0" w:space="0" w:color="auto"/>
                <w:right w:val="none" w:sz="0" w:space="0" w:color="auto"/>
              </w:divBdr>
              <w:divsChild>
                <w:div w:id="417092395">
                  <w:marLeft w:val="0"/>
                  <w:marRight w:val="0"/>
                  <w:marTop w:val="0"/>
                  <w:marBottom w:val="0"/>
                  <w:divBdr>
                    <w:top w:val="none" w:sz="0" w:space="0" w:color="auto"/>
                    <w:left w:val="none" w:sz="0" w:space="0" w:color="auto"/>
                    <w:bottom w:val="none" w:sz="0" w:space="0" w:color="auto"/>
                    <w:right w:val="none" w:sz="0" w:space="0" w:color="auto"/>
                  </w:divBdr>
                  <w:divsChild>
                    <w:div w:id="2121994388">
                      <w:marLeft w:val="0"/>
                      <w:marRight w:val="0"/>
                      <w:marTop w:val="0"/>
                      <w:marBottom w:val="0"/>
                      <w:divBdr>
                        <w:top w:val="none" w:sz="0" w:space="0" w:color="auto"/>
                        <w:left w:val="none" w:sz="0" w:space="0" w:color="auto"/>
                        <w:bottom w:val="none" w:sz="0" w:space="0" w:color="auto"/>
                        <w:right w:val="none" w:sz="0" w:space="0" w:color="auto"/>
                      </w:divBdr>
                    </w:div>
                  </w:divsChild>
                </w:div>
                <w:div w:id="1846747428">
                  <w:marLeft w:val="0"/>
                  <w:marRight w:val="0"/>
                  <w:marTop w:val="0"/>
                  <w:marBottom w:val="0"/>
                  <w:divBdr>
                    <w:top w:val="none" w:sz="0" w:space="0" w:color="auto"/>
                    <w:left w:val="none" w:sz="0" w:space="0" w:color="auto"/>
                    <w:bottom w:val="none" w:sz="0" w:space="0" w:color="auto"/>
                    <w:right w:val="none" w:sz="0" w:space="0" w:color="auto"/>
                  </w:divBdr>
                </w:div>
              </w:divsChild>
            </w:div>
            <w:div w:id="1454709749">
              <w:marLeft w:val="0"/>
              <w:marRight w:val="0"/>
              <w:marTop w:val="120"/>
              <w:marBottom w:val="0"/>
              <w:divBdr>
                <w:top w:val="none" w:sz="0" w:space="0" w:color="auto"/>
                <w:left w:val="none" w:sz="0" w:space="0" w:color="auto"/>
                <w:bottom w:val="none" w:sz="0" w:space="0" w:color="auto"/>
                <w:right w:val="none" w:sz="0" w:space="0" w:color="auto"/>
              </w:divBdr>
              <w:divsChild>
                <w:div w:id="168081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26873">
          <w:marLeft w:val="0"/>
          <w:marRight w:val="0"/>
          <w:marTop w:val="0"/>
          <w:marBottom w:val="0"/>
          <w:divBdr>
            <w:top w:val="none" w:sz="0" w:space="0" w:color="auto"/>
            <w:left w:val="none" w:sz="0" w:space="0" w:color="auto"/>
            <w:bottom w:val="none" w:sz="0" w:space="0" w:color="auto"/>
            <w:right w:val="none" w:sz="0" w:space="0" w:color="auto"/>
          </w:divBdr>
          <w:divsChild>
            <w:div w:id="956834136">
              <w:marLeft w:val="0"/>
              <w:marRight w:val="0"/>
              <w:marTop w:val="0"/>
              <w:marBottom w:val="0"/>
              <w:divBdr>
                <w:top w:val="none" w:sz="0" w:space="0" w:color="auto"/>
                <w:left w:val="none" w:sz="0" w:space="0" w:color="auto"/>
                <w:bottom w:val="none" w:sz="0" w:space="0" w:color="auto"/>
                <w:right w:val="none" w:sz="0" w:space="0" w:color="auto"/>
              </w:divBdr>
              <w:divsChild>
                <w:div w:id="74923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480921">
      <w:bodyDiv w:val="1"/>
      <w:marLeft w:val="0"/>
      <w:marRight w:val="0"/>
      <w:marTop w:val="0"/>
      <w:marBottom w:val="0"/>
      <w:divBdr>
        <w:top w:val="none" w:sz="0" w:space="0" w:color="auto"/>
        <w:left w:val="none" w:sz="0" w:space="0" w:color="auto"/>
        <w:bottom w:val="none" w:sz="0" w:space="0" w:color="auto"/>
        <w:right w:val="none" w:sz="0" w:space="0" w:color="auto"/>
      </w:divBdr>
      <w:divsChild>
        <w:div w:id="1116019229">
          <w:marLeft w:val="0"/>
          <w:marRight w:val="0"/>
          <w:marTop w:val="0"/>
          <w:marBottom w:val="0"/>
          <w:divBdr>
            <w:top w:val="none" w:sz="0" w:space="0" w:color="auto"/>
            <w:left w:val="none" w:sz="0" w:space="0" w:color="auto"/>
            <w:bottom w:val="none" w:sz="0" w:space="0" w:color="auto"/>
            <w:right w:val="none" w:sz="0" w:space="0" w:color="auto"/>
          </w:divBdr>
        </w:div>
        <w:div w:id="1324817165">
          <w:marLeft w:val="0"/>
          <w:marRight w:val="0"/>
          <w:marTop w:val="0"/>
          <w:marBottom w:val="0"/>
          <w:divBdr>
            <w:top w:val="none" w:sz="0" w:space="0" w:color="auto"/>
            <w:left w:val="none" w:sz="0" w:space="0" w:color="auto"/>
            <w:bottom w:val="none" w:sz="0" w:space="0" w:color="auto"/>
            <w:right w:val="none" w:sz="0" w:space="0" w:color="auto"/>
          </w:divBdr>
        </w:div>
        <w:div w:id="1385135637">
          <w:marLeft w:val="0"/>
          <w:marRight w:val="0"/>
          <w:marTop w:val="0"/>
          <w:marBottom w:val="0"/>
          <w:divBdr>
            <w:top w:val="none" w:sz="0" w:space="0" w:color="auto"/>
            <w:left w:val="none" w:sz="0" w:space="0" w:color="auto"/>
            <w:bottom w:val="none" w:sz="0" w:space="0" w:color="auto"/>
            <w:right w:val="none" w:sz="0" w:space="0" w:color="auto"/>
          </w:divBdr>
        </w:div>
      </w:divsChild>
    </w:div>
    <w:div w:id="351731950">
      <w:bodyDiv w:val="1"/>
      <w:marLeft w:val="0"/>
      <w:marRight w:val="0"/>
      <w:marTop w:val="0"/>
      <w:marBottom w:val="0"/>
      <w:divBdr>
        <w:top w:val="none" w:sz="0" w:space="0" w:color="auto"/>
        <w:left w:val="none" w:sz="0" w:space="0" w:color="auto"/>
        <w:bottom w:val="none" w:sz="0" w:space="0" w:color="auto"/>
        <w:right w:val="none" w:sz="0" w:space="0" w:color="auto"/>
      </w:divBdr>
    </w:div>
    <w:div w:id="374502329">
      <w:bodyDiv w:val="1"/>
      <w:marLeft w:val="0"/>
      <w:marRight w:val="0"/>
      <w:marTop w:val="0"/>
      <w:marBottom w:val="0"/>
      <w:divBdr>
        <w:top w:val="none" w:sz="0" w:space="0" w:color="auto"/>
        <w:left w:val="none" w:sz="0" w:space="0" w:color="auto"/>
        <w:bottom w:val="none" w:sz="0" w:space="0" w:color="auto"/>
        <w:right w:val="none" w:sz="0" w:space="0" w:color="auto"/>
      </w:divBdr>
      <w:divsChild>
        <w:div w:id="99953164">
          <w:marLeft w:val="0"/>
          <w:marRight w:val="0"/>
          <w:marTop w:val="0"/>
          <w:marBottom w:val="0"/>
          <w:divBdr>
            <w:top w:val="none" w:sz="0" w:space="0" w:color="auto"/>
            <w:left w:val="none" w:sz="0" w:space="0" w:color="auto"/>
            <w:bottom w:val="none" w:sz="0" w:space="0" w:color="auto"/>
            <w:right w:val="none" w:sz="0" w:space="0" w:color="auto"/>
          </w:divBdr>
        </w:div>
      </w:divsChild>
    </w:div>
    <w:div w:id="583102224">
      <w:bodyDiv w:val="1"/>
      <w:marLeft w:val="0"/>
      <w:marRight w:val="0"/>
      <w:marTop w:val="0"/>
      <w:marBottom w:val="0"/>
      <w:divBdr>
        <w:top w:val="none" w:sz="0" w:space="0" w:color="auto"/>
        <w:left w:val="none" w:sz="0" w:space="0" w:color="auto"/>
        <w:bottom w:val="none" w:sz="0" w:space="0" w:color="auto"/>
        <w:right w:val="none" w:sz="0" w:space="0" w:color="auto"/>
      </w:divBdr>
      <w:divsChild>
        <w:div w:id="569846114">
          <w:marLeft w:val="0"/>
          <w:marRight w:val="0"/>
          <w:marTop w:val="0"/>
          <w:marBottom w:val="0"/>
          <w:divBdr>
            <w:top w:val="none" w:sz="0" w:space="0" w:color="auto"/>
            <w:left w:val="none" w:sz="0" w:space="0" w:color="auto"/>
            <w:bottom w:val="none" w:sz="0" w:space="0" w:color="auto"/>
            <w:right w:val="none" w:sz="0" w:space="0" w:color="auto"/>
          </w:divBdr>
        </w:div>
        <w:div w:id="602423802">
          <w:marLeft w:val="0"/>
          <w:marRight w:val="0"/>
          <w:marTop w:val="0"/>
          <w:marBottom w:val="0"/>
          <w:divBdr>
            <w:top w:val="none" w:sz="0" w:space="0" w:color="auto"/>
            <w:left w:val="none" w:sz="0" w:space="0" w:color="auto"/>
            <w:bottom w:val="none" w:sz="0" w:space="0" w:color="auto"/>
            <w:right w:val="none" w:sz="0" w:space="0" w:color="auto"/>
          </w:divBdr>
        </w:div>
        <w:div w:id="672144775">
          <w:marLeft w:val="0"/>
          <w:marRight w:val="0"/>
          <w:marTop w:val="0"/>
          <w:marBottom w:val="0"/>
          <w:divBdr>
            <w:top w:val="none" w:sz="0" w:space="0" w:color="auto"/>
            <w:left w:val="none" w:sz="0" w:space="0" w:color="auto"/>
            <w:bottom w:val="none" w:sz="0" w:space="0" w:color="auto"/>
            <w:right w:val="none" w:sz="0" w:space="0" w:color="auto"/>
          </w:divBdr>
        </w:div>
        <w:div w:id="808015354">
          <w:marLeft w:val="0"/>
          <w:marRight w:val="0"/>
          <w:marTop w:val="0"/>
          <w:marBottom w:val="0"/>
          <w:divBdr>
            <w:top w:val="none" w:sz="0" w:space="0" w:color="auto"/>
            <w:left w:val="none" w:sz="0" w:space="0" w:color="auto"/>
            <w:bottom w:val="none" w:sz="0" w:space="0" w:color="auto"/>
            <w:right w:val="none" w:sz="0" w:space="0" w:color="auto"/>
          </w:divBdr>
        </w:div>
        <w:div w:id="1102072578">
          <w:marLeft w:val="0"/>
          <w:marRight w:val="0"/>
          <w:marTop w:val="0"/>
          <w:marBottom w:val="0"/>
          <w:divBdr>
            <w:top w:val="none" w:sz="0" w:space="0" w:color="auto"/>
            <w:left w:val="none" w:sz="0" w:space="0" w:color="auto"/>
            <w:bottom w:val="none" w:sz="0" w:space="0" w:color="auto"/>
            <w:right w:val="none" w:sz="0" w:space="0" w:color="auto"/>
          </w:divBdr>
        </w:div>
        <w:div w:id="1220246761">
          <w:marLeft w:val="0"/>
          <w:marRight w:val="0"/>
          <w:marTop w:val="0"/>
          <w:marBottom w:val="0"/>
          <w:divBdr>
            <w:top w:val="none" w:sz="0" w:space="0" w:color="auto"/>
            <w:left w:val="none" w:sz="0" w:space="0" w:color="auto"/>
            <w:bottom w:val="none" w:sz="0" w:space="0" w:color="auto"/>
            <w:right w:val="none" w:sz="0" w:space="0" w:color="auto"/>
          </w:divBdr>
        </w:div>
        <w:div w:id="1925217724">
          <w:marLeft w:val="0"/>
          <w:marRight w:val="0"/>
          <w:marTop w:val="0"/>
          <w:marBottom w:val="0"/>
          <w:divBdr>
            <w:top w:val="none" w:sz="0" w:space="0" w:color="auto"/>
            <w:left w:val="none" w:sz="0" w:space="0" w:color="auto"/>
            <w:bottom w:val="none" w:sz="0" w:space="0" w:color="auto"/>
            <w:right w:val="none" w:sz="0" w:space="0" w:color="auto"/>
          </w:divBdr>
        </w:div>
      </w:divsChild>
    </w:div>
    <w:div w:id="645356016">
      <w:bodyDiv w:val="1"/>
      <w:marLeft w:val="0"/>
      <w:marRight w:val="0"/>
      <w:marTop w:val="0"/>
      <w:marBottom w:val="0"/>
      <w:divBdr>
        <w:top w:val="none" w:sz="0" w:space="0" w:color="auto"/>
        <w:left w:val="none" w:sz="0" w:space="0" w:color="auto"/>
        <w:bottom w:val="none" w:sz="0" w:space="0" w:color="auto"/>
        <w:right w:val="none" w:sz="0" w:space="0" w:color="auto"/>
      </w:divBdr>
    </w:div>
    <w:div w:id="799034237">
      <w:bodyDiv w:val="1"/>
      <w:marLeft w:val="0"/>
      <w:marRight w:val="0"/>
      <w:marTop w:val="0"/>
      <w:marBottom w:val="0"/>
      <w:divBdr>
        <w:top w:val="none" w:sz="0" w:space="0" w:color="auto"/>
        <w:left w:val="none" w:sz="0" w:space="0" w:color="auto"/>
        <w:bottom w:val="none" w:sz="0" w:space="0" w:color="auto"/>
        <w:right w:val="none" w:sz="0" w:space="0" w:color="auto"/>
      </w:divBdr>
    </w:div>
    <w:div w:id="981882126">
      <w:bodyDiv w:val="1"/>
      <w:marLeft w:val="0"/>
      <w:marRight w:val="0"/>
      <w:marTop w:val="0"/>
      <w:marBottom w:val="0"/>
      <w:divBdr>
        <w:top w:val="none" w:sz="0" w:space="0" w:color="auto"/>
        <w:left w:val="none" w:sz="0" w:space="0" w:color="auto"/>
        <w:bottom w:val="none" w:sz="0" w:space="0" w:color="auto"/>
        <w:right w:val="none" w:sz="0" w:space="0" w:color="auto"/>
      </w:divBdr>
    </w:div>
    <w:div w:id="1041438098">
      <w:bodyDiv w:val="1"/>
      <w:marLeft w:val="0"/>
      <w:marRight w:val="0"/>
      <w:marTop w:val="0"/>
      <w:marBottom w:val="0"/>
      <w:divBdr>
        <w:top w:val="none" w:sz="0" w:space="0" w:color="auto"/>
        <w:left w:val="none" w:sz="0" w:space="0" w:color="auto"/>
        <w:bottom w:val="none" w:sz="0" w:space="0" w:color="auto"/>
        <w:right w:val="none" w:sz="0" w:space="0" w:color="auto"/>
      </w:divBdr>
    </w:div>
    <w:div w:id="1187215302">
      <w:bodyDiv w:val="1"/>
      <w:marLeft w:val="0"/>
      <w:marRight w:val="0"/>
      <w:marTop w:val="0"/>
      <w:marBottom w:val="0"/>
      <w:divBdr>
        <w:top w:val="none" w:sz="0" w:space="0" w:color="auto"/>
        <w:left w:val="none" w:sz="0" w:space="0" w:color="auto"/>
        <w:bottom w:val="none" w:sz="0" w:space="0" w:color="auto"/>
        <w:right w:val="none" w:sz="0" w:space="0" w:color="auto"/>
      </w:divBdr>
    </w:div>
    <w:div w:id="1363164911">
      <w:bodyDiv w:val="1"/>
      <w:marLeft w:val="0"/>
      <w:marRight w:val="0"/>
      <w:marTop w:val="0"/>
      <w:marBottom w:val="0"/>
      <w:divBdr>
        <w:top w:val="none" w:sz="0" w:space="0" w:color="auto"/>
        <w:left w:val="none" w:sz="0" w:space="0" w:color="auto"/>
        <w:bottom w:val="none" w:sz="0" w:space="0" w:color="auto"/>
        <w:right w:val="none" w:sz="0" w:space="0" w:color="auto"/>
      </w:divBdr>
    </w:div>
    <w:div w:id="1364280923">
      <w:bodyDiv w:val="1"/>
      <w:marLeft w:val="0"/>
      <w:marRight w:val="0"/>
      <w:marTop w:val="0"/>
      <w:marBottom w:val="0"/>
      <w:divBdr>
        <w:top w:val="none" w:sz="0" w:space="0" w:color="auto"/>
        <w:left w:val="none" w:sz="0" w:space="0" w:color="auto"/>
        <w:bottom w:val="none" w:sz="0" w:space="0" w:color="auto"/>
        <w:right w:val="none" w:sz="0" w:space="0" w:color="auto"/>
      </w:divBdr>
    </w:div>
    <w:div w:id="1417746334">
      <w:bodyDiv w:val="1"/>
      <w:marLeft w:val="0"/>
      <w:marRight w:val="0"/>
      <w:marTop w:val="0"/>
      <w:marBottom w:val="0"/>
      <w:divBdr>
        <w:top w:val="none" w:sz="0" w:space="0" w:color="auto"/>
        <w:left w:val="none" w:sz="0" w:space="0" w:color="auto"/>
        <w:bottom w:val="none" w:sz="0" w:space="0" w:color="auto"/>
        <w:right w:val="none" w:sz="0" w:space="0" w:color="auto"/>
      </w:divBdr>
    </w:div>
    <w:div w:id="1420759262">
      <w:bodyDiv w:val="1"/>
      <w:marLeft w:val="0"/>
      <w:marRight w:val="0"/>
      <w:marTop w:val="0"/>
      <w:marBottom w:val="0"/>
      <w:divBdr>
        <w:top w:val="none" w:sz="0" w:space="0" w:color="auto"/>
        <w:left w:val="none" w:sz="0" w:space="0" w:color="auto"/>
        <w:bottom w:val="none" w:sz="0" w:space="0" w:color="auto"/>
        <w:right w:val="none" w:sz="0" w:space="0" w:color="auto"/>
      </w:divBdr>
      <w:divsChild>
        <w:div w:id="1861700001">
          <w:marLeft w:val="0"/>
          <w:marRight w:val="0"/>
          <w:marTop w:val="0"/>
          <w:marBottom w:val="0"/>
          <w:divBdr>
            <w:top w:val="none" w:sz="0" w:space="0" w:color="auto"/>
            <w:left w:val="none" w:sz="0" w:space="0" w:color="auto"/>
            <w:bottom w:val="none" w:sz="0" w:space="0" w:color="auto"/>
            <w:right w:val="none" w:sz="0" w:space="0" w:color="auto"/>
          </w:divBdr>
          <w:divsChild>
            <w:div w:id="953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959091">
      <w:bodyDiv w:val="1"/>
      <w:marLeft w:val="0"/>
      <w:marRight w:val="0"/>
      <w:marTop w:val="0"/>
      <w:marBottom w:val="0"/>
      <w:divBdr>
        <w:top w:val="none" w:sz="0" w:space="0" w:color="auto"/>
        <w:left w:val="none" w:sz="0" w:space="0" w:color="auto"/>
        <w:bottom w:val="none" w:sz="0" w:space="0" w:color="auto"/>
        <w:right w:val="none" w:sz="0" w:space="0" w:color="auto"/>
      </w:divBdr>
      <w:divsChild>
        <w:div w:id="152793131">
          <w:marLeft w:val="0"/>
          <w:marRight w:val="0"/>
          <w:marTop w:val="0"/>
          <w:marBottom w:val="0"/>
          <w:divBdr>
            <w:top w:val="none" w:sz="0" w:space="0" w:color="auto"/>
            <w:left w:val="none" w:sz="0" w:space="0" w:color="auto"/>
            <w:bottom w:val="none" w:sz="0" w:space="0" w:color="auto"/>
            <w:right w:val="none" w:sz="0" w:space="0" w:color="auto"/>
          </w:divBdr>
        </w:div>
        <w:div w:id="527371363">
          <w:marLeft w:val="0"/>
          <w:marRight w:val="0"/>
          <w:marTop w:val="0"/>
          <w:marBottom w:val="0"/>
          <w:divBdr>
            <w:top w:val="none" w:sz="0" w:space="0" w:color="auto"/>
            <w:left w:val="none" w:sz="0" w:space="0" w:color="auto"/>
            <w:bottom w:val="none" w:sz="0" w:space="0" w:color="auto"/>
            <w:right w:val="none" w:sz="0" w:space="0" w:color="auto"/>
          </w:divBdr>
        </w:div>
        <w:div w:id="1009024623">
          <w:marLeft w:val="0"/>
          <w:marRight w:val="0"/>
          <w:marTop w:val="0"/>
          <w:marBottom w:val="0"/>
          <w:divBdr>
            <w:top w:val="none" w:sz="0" w:space="0" w:color="auto"/>
            <w:left w:val="none" w:sz="0" w:space="0" w:color="auto"/>
            <w:bottom w:val="none" w:sz="0" w:space="0" w:color="auto"/>
            <w:right w:val="none" w:sz="0" w:space="0" w:color="auto"/>
          </w:divBdr>
        </w:div>
      </w:divsChild>
    </w:div>
    <w:div w:id="1429498850">
      <w:bodyDiv w:val="1"/>
      <w:marLeft w:val="0"/>
      <w:marRight w:val="0"/>
      <w:marTop w:val="0"/>
      <w:marBottom w:val="0"/>
      <w:divBdr>
        <w:top w:val="none" w:sz="0" w:space="0" w:color="auto"/>
        <w:left w:val="none" w:sz="0" w:space="0" w:color="auto"/>
        <w:bottom w:val="none" w:sz="0" w:space="0" w:color="auto"/>
        <w:right w:val="none" w:sz="0" w:space="0" w:color="auto"/>
      </w:divBdr>
    </w:div>
    <w:div w:id="1575624907">
      <w:bodyDiv w:val="1"/>
      <w:marLeft w:val="0"/>
      <w:marRight w:val="0"/>
      <w:marTop w:val="0"/>
      <w:marBottom w:val="0"/>
      <w:divBdr>
        <w:top w:val="none" w:sz="0" w:space="0" w:color="auto"/>
        <w:left w:val="none" w:sz="0" w:space="0" w:color="auto"/>
        <w:bottom w:val="none" w:sz="0" w:space="0" w:color="auto"/>
        <w:right w:val="none" w:sz="0" w:space="0" w:color="auto"/>
      </w:divBdr>
      <w:divsChild>
        <w:div w:id="178737799">
          <w:marLeft w:val="0"/>
          <w:marRight w:val="0"/>
          <w:marTop w:val="0"/>
          <w:marBottom w:val="0"/>
          <w:divBdr>
            <w:top w:val="none" w:sz="0" w:space="0" w:color="auto"/>
            <w:left w:val="none" w:sz="0" w:space="0" w:color="auto"/>
            <w:bottom w:val="none" w:sz="0" w:space="0" w:color="auto"/>
            <w:right w:val="none" w:sz="0" w:space="0" w:color="auto"/>
          </w:divBdr>
        </w:div>
        <w:div w:id="622735828">
          <w:marLeft w:val="0"/>
          <w:marRight w:val="0"/>
          <w:marTop w:val="0"/>
          <w:marBottom w:val="0"/>
          <w:divBdr>
            <w:top w:val="none" w:sz="0" w:space="0" w:color="auto"/>
            <w:left w:val="none" w:sz="0" w:space="0" w:color="auto"/>
            <w:bottom w:val="none" w:sz="0" w:space="0" w:color="auto"/>
            <w:right w:val="none" w:sz="0" w:space="0" w:color="auto"/>
          </w:divBdr>
        </w:div>
        <w:div w:id="906456084">
          <w:marLeft w:val="0"/>
          <w:marRight w:val="0"/>
          <w:marTop w:val="0"/>
          <w:marBottom w:val="0"/>
          <w:divBdr>
            <w:top w:val="none" w:sz="0" w:space="0" w:color="auto"/>
            <w:left w:val="none" w:sz="0" w:space="0" w:color="auto"/>
            <w:bottom w:val="none" w:sz="0" w:space="0" w:color="auto"/>
            <w:right w:val="none" w:sz="0" w:space="0" w:color="auto"/>
          </w:divBdr>
        </w:div>
      </w:divsChild>
    </w:div>
    <w:div w:id="1623460857">
      <w:bodyDiv w:val="1"/>
      <w:marLeft w:val="0"/>
      <w:marRight w:val="0"/>
      <w:marTop w:val="0"/>
      <w:marBottom w:val="0"/>
      <w:divBdr>
        <w:top w:val="none" w:sz="0" w:space="0" w:color="auto"/>
        <w:left w:val="none" w:sz="0" w:space="0" w:color="auto"/>
        <w:bottom w:val="none" w:sz="0" w:space="0" w:color="auto"/>
        <w:right w:val="none" w:sz="0" w:space="0" w:color="auto"/>
      </w:divBdr>
    </w:div>
    <w:div w:id="1717388678">
      <w:bodyDiv w:val="1"/>
      <w:marLeft w:val="0"/>
      <w:marRight w:val="0"/>
      <w:marTop w:val="0"/>
      <w:marBottom w:val="0"/>
      <w:divBdr>
        <w:top w:val="none" w:sz="0" w:space="0" w:color="auto"/>
        <w:left w:val="none" w:sz="0" w:space="0" w:color="auto"/>
        <w:bottom w:val="none" w:sz="0" w:space="0" w:color="auto"/>
        <w:right w:val="none" w:sz="0" w:space="0" w:color="auto"/>
      </w:divBdr>
    </w:div>
    <w:div w:id="1732458531">
      <w:bodyDiv w:val="1"/>
      <w:marLeft w:val="0"/>
      <w:marRight w:val="0"/>
      <w:marTop w:val="0"/>
      <w:marBottom w:val="0"/>
      <w:divBdr>
        <w:top w:val="none" w:sz="0" w:space="0" w:color="auto"/>
        <w:left w:val="none" w:sz="0" w:space="0" w:color="auto"/>
        <w:bottom w:val="none" w:sz="0" w:space="0" w:color="auto"/>
        <w:right w:val="none" w:sz="0" w:space="0" w:color="auto"/>
      </w:divBdr>
    </w:div>
    <w:div w:id="1742557652">
      <w:bodyDiv w:val="1"/>
      <w:marLeft w:val="0"/>
      <w:marRight w:val="0"/>
      <w:marTop w:val="0"/>
      <w:marBottom w:val="0"/>
      <w:divBdr>
        <w:top w:val="none" w:sz="0" w:space="0" w:color="auto"/>
        <w:left w:val="none" w:sz="0" w:space="0" w:color="auto"/>
        <w:bottom w:val="none" w:sz="0" w:space="0" w:color="auto"/>
        <w:right w:val="none" w:sz="0" w:space="0" w:color="auto"/>
      </w:divBdr>
    </w:div>
    <w:div w:id="1817381452">
      <w:bodyDiv w:val="1"/>
      <w:marLeft w:val="0"/>
      <w:marRight w:val="0"/>
      <w:marTop w:val="0"/>
      <w:marBottom w:val="0"/>
      <w:divBdr>
        <w:top w:val="none" w:sz="0" w:space="0" w:color="auto"/>
        <w:left w:val="none" w:sz="0" w:space="0" w:color="auto"/>
        <w:bottom w:val="none" w:sz="0" w:space="0" w:color="auto"/>
        <w:right w:val="none" w:sz="0" w:space="0" w:color="auto"/>
      </w:divBdr>
      <w:divsChild>
        <w:div w:id="772240675">
          <w:marLeft w:val="0"/>
          <w:marRight w:val="0"/>
          <w:marTop w:val="0"/>
          <w:marBottom w:val="0"/>
          <w:divBdr>
            <w:top w:val="none" w:sz="0" w:space="0" w:color="auto"/>
            <w:left w:val="none" w:sz="0" w:space="0" w:color="auto"/>
            <w:bottom w:val="none" w:sz="0" w:space="0" w:color="auto"/>
            <w:right w:val="none" w:sz="0" w:space="0" w:color="auto"/>
          </w:divBdr>
        </w:div>
      </w:divsChild>
    </w:div>
    <w:div w:id="1849051933">
      <w:bodyDiv w:val="1"/>
      <w:marLeft w:val="0"/>
      <w:marRight w:val="0"/>
      <w:marTop w:val="0"/>
      <w:marBottom w:val="0"/>
      <w:divBdr>
        <w:top w:val="none" w:sz="0" w:space="0" w:color="auto"/>
        <w:left w:val="none" w:sz="0" w:space="0" w:color="auto"/>
        <w:bottom w:val="none" w:sz="0" w:space="0" w:color="auto"/>
        <w:right w:val="none" w:sz="0" w:space="0" w:color="auto"/>
      </w:divBdr>
    </w:div>
    <w:div w:id="1900749646">
      <w:bodyDiv w:val="1"/>
      <w:marLeft w:val="0"/>
      <w:marRight w:val="0"/>
      <w:marTop w:val="0"/>
      <w:marBottom w:val="0"/>
      <w:divBdr>
        <w:top w:val="none" w:sz="0" w:space="0" w:color="auto"/>
        <w:left w:val="none" w:sz="0" w:space="0" w:color="auto"/>
        <w:bottom w:val="none" w:sz="0" w:space="0" w:color="auto"/>
        <w:right w:val="none" w:sz="0" w:space="0" w:color="auto"/>
      </w:divBdr>
    </w:div>
    <w:div w:id="1906523871">
      <w:bodyDiv w:val="1"/>
      <w:marLeft w:val="0"/>
      <w:marRight w:val="0"/>
      <w:marTop w:val="0"/>
      <w:marBottom w:val="0"/>
      <w:divBdr>
        <w:top w:val="none" w:sz="0" w:space="0" w:color="auto"/>
        <w:left w:val="none" w:sz="0" w:space="0" w:color="auto"/>
        <w:bottom w:val="none" w:sz="0" w:space="0" w:color="auto"/>
        <w:right w:val="none" w:sz="0" w:space="0" w:color="auto"/>
      </w:divBdr>
      <w:divsChild>
        <w:div w:id="376511687">
          <w:marLeft w:val="0"/>
          <w:marRight w:val="0"/>
          <w:marTop w:val="0"/>
          <w:marBottom w:val="0"/>
          <w:divBdr>
            <w:top w:val="none" w:sz="0" w:space="0" w:color="auto"/>
            <w:left w:val="none" w:sz="0" w:space="0" w:color="auto"/>
            <w:bottom w:val="none" w:sz="0" w:space="0" w:color="auto"/>
            <w:right w:val="none" w:sz="0" w:space="0" w:color="auto"/>
          </w:divBdr>
        </w:div>
        <w:div w:id="1953316407">
          <w:marLeft w:val="0"/>
          <w:marRight w:val="0"/>
          <w:marTop w:val="0"/>
          <w:marBottom w:val="0"/>
          <w:divBdr>
            <w:top w:val="none" w:sz="0" w:space="0" w:color="auto"/>
            <w:left w:val="none" w:sz="0" w:space="0" w:color="auto"/>
            <w:bottom w:val="none" w:sz="0" w:space="0" w:color="auto"/>
            <w:right w:val="none" w:sz="0" w:space="0" w:color="auto"/>
          </w:divBdr>
        </w:div>
        <w:div w:id="2096903481">
          <w:marLeft w:val="0"/>
          <w:marRight w:val="0"/>
          <w:marTop w:val="0"/>
          <w:marBottom w:val="0"/>
          <w:divBdr>
            <w:top w:val="none" w:sz="0" w:space="0" w:color="auto"/>
            <w:left w:val="none" w:sz="0" w:space="0" w:color="auto"/>
            <w:bottom w:val="none" w:sz="0" w:space="0" w:color="auto"/>
            <w:right w:val="none" w:sz="0" w:space="0" w:color="auto"/>
          </w:divBdr>
        </w:div>
      </w:divsChild>
    </w:div>
    <w:div w:id="1948734584">
      <w:bodyDiv w:val="1"/>
      <w:marLeft w:val="0"/>
      <w:marRight w:val="0"/>
      <w:marTop w:val="0"/>
      <w:marBottom w:val="0"/>
      <w:divBdr>
        <w:top w:val="none" w:sz="0" w:space="0" w:color="auto"/>
        <w:left w:val="none" w:sz="0" w:space="0" w:color="auto"/>
        <w:bottom w:val="none" w:sz="0" w:space="0" w:color="auto"/>
        <w:right w:val="none" w:sz="0" w:space="0" w:color="auto"/>
      </w:divBdr>
    </w:div>
    <w:div w:id="1963609308">
      <w:bodyDiv w:val="1"/>
      <w:marLeft w:val="0"/>
      <w:marRight w:val="0"/>
      <w:marTop w:val="0"/>
      <w:marBottom w:val="0"/>
      <w:divBdr>
        <w:top w:val="none" w:sz="0" w:space="0" w:color="auto"/>
        <w:left w:val="none" w:sz="0" w:space="0" w:color="auto"/>
        <w:bottom w:val="none" w:sz="0" w:space="0" w:color="auto"/>
        <w:right w:val="none" w:sz="0" w:space="0" w:color="auto"/>
      </w:divBdr>
    </w:div>
    <w:div w:id="2060202960">
      <w:bodyDiv w:val="1"/>
      <w:marLeft w:val="0"/>
      <w:marRight w:val="0"/>
      <w:marTop w:val="0"/>
      <w:marBottom w:val="0"/>
      <w:divBdr>
        <w:top w:val="none" w:sz="0" w:space="0" w:color="auto"/>
        <w:left w:val="none" w:sz="0" w:space="0" w:color="auto"/>
        <w:bottom w:val="none" w:sz="0" w:space="0" w:color="auto"/>
        <w:right w:val="none" w:sz="0" w:space="0" w:color="auto"/>
      </w:divBdr>
      <w:divsChild>
        <w:div w:id="1288318685">
          <w:marLeft w:val="0"/>
          <w:marRight w:val="0"/>
          <w:marTop w:val="0"/>
          <w:marBottom w:val="0"/>
          <w:divBdr>
            <w:top w:val="none" w:sz="0" w:space="0" w:color="auto"/>
            <w:left w:val="none" w:sz="0" w:space="0" w:color="auto"/>
            <w:bottom w:val="none" w:sz="0" w:space="0" w:color="auto"/>
            <w:right w:val="none" w:sz="0" w:space="0" w:color="auto"/>
          </w:divBdr>
          <w:divsChild>
            <w:div w:id="284429044">
              <w:marLeft w:val="0"/>
              <w:marRight w:val="0"/>
              <w:marTop w:val="0"/>
              <w:marBottom w:val="0"/>
              <w:divBdr>
                <w:top w:val="none" w:sz="0" w:space="0" w:color="auto"/>
                <w:left w:val="none" w:sz="0" w:space="0" w:color="auto"/>
                <w:bottom w:val="none" w:sz="0" w:space="0" w:color="auto"/>
                <w:right w:val="none" w:sz="0" w:space="0" w:color="auto"/>
              </w:divBdr>
              <w:divsChild>
                <w:div w:id="213216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www.jstor.org/stable/4436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B73BE9-2AA3-4739-9AC5-F5A352945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7</Pages>
  <Words>1928</Words>
  <Characters>10991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12894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Vickers</dc:creator>
  <cp:keywords/>
  <cp:lastModifiedBy>Richard Vickers</cp:lastModifiedBy>
  <cp:revision>16</cp:revision>
  <dcterms:created xsi:type="dcterms:W3CDTF">2019-05-14T07:53:00Z</dcterms:created>
  <dcterms:modified xsi:type="dcterms:W3CDTF">2019-05-15T09:46:00Z</dcterms:modified>
</cp:coreProperties>
</file>