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53BED" w14:textId="77777777" w:rsidR="00036258" w:rsidRDefault="00036258" w:rsidP="00386EBF">
      <w:pPr>
        <w:jc w:val="center"/>
        <w:rPr>
          <w:u w:val="single"/>
        </w:rPr>
      </w:pPr>
    </w:p>
    <w:p w14:paraId="5AD1D2D0" w14:textId="3ED20A63" w:rsidR="00110818" w:rsidRDefault="00386EBF" w:rsidP="00386EBF">
      <w:pPr>
        <w:jc w:val="center"/>
        <w:rPr>
          <w:u w:val="single"/>
        </w:rPr>
      </w:pPr>
      <w:r>
        <w:rPr>
          <w:u w:val="single"/>
        </w:rPr>
        <w:t xml:space="preserve">Community profile </w:t>
      </w:r>
    </w:p>
    <w:p w14:paraId="7F606703" w14:textId="77777777" w:rsidR="00386EBF" w:rsidRDefault="00386EBF" w:rsidP="00386EBF">
      <w:pPr>
        <w:jc w:val="center"/>
        <w:rPr>
          <w:u w:val="single"/>
        </w:rPr>
      </w:pPr>
    </w:p>
    <w:p w14:paraId="054D65FA" w14:textId="2FE38C05" w:rsidR="00386EBF" w:rsidRDefault="00EB763A" w:rsidP="00386EBF">
      <w:r>
        <w:t>Carmarthen is a small</w:t>
      </w:r>
      <w:r w:rsidR="00FE44D7">
        <w:t xml:space="preserve"> urban</w:t>
      </w:r>
      <w:r>
        <w:t xml:space="preserve"> town in the South-west of Wales</w:t>
      </w:r>
      <w:r w:rsidR="00FE44D7">
        <w:t xml:space="preserve">, this little town is surrounded by a lot of greenery however the town itself has a wide range of facilities such as, a leisure centre, bowling alley, park and shopping centres. </w:t>
      </w:r>
    </w:p>
    <w:p w14:paraId="380B7312" w14:textId="4B25A989" w:rsidR="00F66771" w:rsidRDefault="00F66771" w:rsidP="00386EBF">
      <w:r>
        <w:rPr>
          <w:noProof/>
        </w:rPr>
        <w:drawing>
          <wp:anchor distT="0" distB="0" distL="114300" distR="114300" simplePos="0" relativeHeight="251659264" behindDoc="1" locked="0" layoutInCell="1" allowOverlap="1" wp14:anchorId="40813AD5" wp14:editId="264859FA">
            <wp:simplePos x="0" y="0"/>
            <wp:positionH relativeFrom="margin">
              <wp:posOffset>-114300</wp:posOffset>
            </wp:positionH>
            <wp:positionV relativeFrom="paragraph">
              <wp:posOffset>45085</wp:posOffset>
            </wp:positionV>
            <wp:extent cx="2758440" cy="2012950"/>
            <wp:effectExtent l="0" t="0" r="3810" b="6350"/>
            <wp:wrapTight wrapText="bothSides">
              <wp:wrapPolygon edited="0">
                <wp:start x="0" y="0"/>
                <wp:lineTo x="0" y="21464"/>
                <wp:lineTo x="21481" y="21464"/>
                <wp:lineTo x="21481" y="0"/>
                <wp:lineTo x="0" y="0"/>
              </wp:wrapPolygon>
            </wp:wrapTight>
            <wp:docPr id="5396085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60854" name="Picture 1" descr="A screenshot of a computer screen&#10;&#10;AI-generated content may be incorrect."/>
                    <pic:cNvPicPr/>
                  </pic:nvPicPr>
                  <pic:blipFill rotWithShape="1">
                    <a:blip r:embed="rId6" cstate="print">
                      <a:extLst>
                        <a:ext uri="{28A0092B-C50C-407E-A947-70E740481C1C}">
                          <a14:useLocalDpi xmlns:a14="http://schemas.microsoft.com/office/drawing/2010/main" val="0"/>
                        </a:ext>
                      </a:extLst>
                    </a:blip>
                    <a:srcRect l="16211" t="13787" r="20433" b="6440"/>
                    <a:stretch/>
                  </pic:blipFill>
                  <pic:spPr bwMode="auto">
                    <a:xfrm>
                      <a:off x="0" y="0"/>
                      <a:ext cx="2758440" cy="2012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This map is an example of Carmarthen and its surrounding areas, as you can see from the map the town itself does not a have a lot of greenery apart from the parks in the area however the further you go out there is a lot of green areas. The River towy loops on the outskirts of the town and in the </w:t>
      </w:r>
      <w:proofErr w:type="spellStart"/>
      <w:r>
        <w:t>Tanerdy</w:t>
      </w:r>
      <w:proofErr w:type="spellEnd"/>
      <w:r>
        <w:t xml:space="preserve"> area there is a local reservoir. </w:t>
      </w:r>
      <w:r w:rsidR="00F21B81">
        <w:t xml:space="preserve">The town itself has a wide range of </w:t>
      </w:r>
      <w:r w:rsidR="006243E6">
        <w:t>restaurants</w:t>
      </w:r>
      <w:r w:rsidR="00F21B81">
        <w:t xml:space="preserve"> and shops which during peak </w:t>
      </w:r>
      <w:r w:rsidR="006243E6">
        <w:t xml:space="preserve">times means many tourists visit the town. </w:t>
      </w:r>
    </w:p>
    <w:p w14:paraId="654E9108" w14:textId="5D727534" w:rsidR="00F66771" w:rsidRDefault="00F66771" w:rsidP="00386EBF"/>
    <w:p w14:paraId="4456D594" w14:textId="77777777" w:rsidR="00F66771" w:rsidRDefault="00F66771" w:rsidP="00386EBF"/>
    <w:p w14:paraId="12E99ECA" w14:textId="54FE8C3D" w:rsidR="00F66771" w:rsidRDefault="00F66771" w:rsidP="00386EBF">
      <w:r>
        <w:t>(</w:t>
      </w:r>
      <w:proofErr w:type="spellStart"/>
      <w:r>
        <w:t>streetmapz</w:t>
      </w:r>
      <w:proofErr w:type="spellEnd"/>
      <w:r>
        <w:t>, 2024)</w:t>
      </w:r>
    </w:p>
    <w:p w14:paraId="01553572" w14:textId="77777777" w:rsidR="00F66771" w:rsidRDefault="00F66771" w:rsidP="00386EBF"/>
    <w:p w14:paraId="28B13575" w14:textId="09DF7784" w:rsidR="0092484F" w:rsidRDefault="0092484F" w:rsidP="00386EBF">
      <w:r>
        <w:t>The population of Carmarthen  in 2021 was 187,000, and the population of young people between 10-25 years old the population of Carmarthen was 29,800.</w:t>
      </w:r>
      <w:r w:rsidR="00F66771">
        <w:t xml:space="preserve"> (Census, 2021) </w:t>
      </w:r>
    </w:p>
    <w:p w14:paraId="2DFC416F" w14:textId="0653121B" w:rsidR="0092484F" w:rsidRDefault="000F5F26" w:rsidP="00386EBF">
      <w:r>
        <w:rPr>
          <w:noProof/>
        </w:rPr>
        <w:drawing>
          <wp:anchor distT="0" distB="0" distL="114300" distR="114300" simplePos="0" relativeHeight="251658240" behindDoc="1" locked="0" layoutInCell="1" allowOverlap="1" wp14:anchorId="7AD3634D" wp14:editId="05D04DC9">
            <wp:simplePos x="0" y="0"/>
            <wp:positionH relativeFrom="margin">
              <wp:align>right</wp:align>
            </wp:positionH>
            <wp:positionV relativeFrom="paragraph">
              <wp:posOffset>121285</wp:posOffset>
            </wp:positionV>
            <wp:extent cx="2794000" cy="2012950"/>
            <wp:effectExtent l="0" t="0" r="6350" b="6350"/>
            <wp:wrapTight wrapText="bothSides">
              <wp:wrapPolygon edited="0">
                <wp:start x="0" y="0"/>
                <wp:lineTo x="0" y="21464"/>
                <wp:lineTo x="21502" y="21464"/>
                <wp:lineTo x="21502" y="0"/>
                <wp:lineTo x="0" y="0"/>
              </wp:wrapPolygon>
            </wp:wrapTight>
            <wp:docPr id="150948229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0B5B9150" w14:textId="107B09CE" w:rsidR="000F5F26" w:rsidRDefault="000F5F26" w:rsidP="00386EBF">
      <w:r>
        <w:t>This pie chart shows the population in Carmarthenshire in 2021 in order of age, the results show that there is a decrease in young people within the community as the age goes up. The pie chart examine</w:t>
      </w:r>
      <w:r w:rsidR="009758AF">
        <w:t>s</w:t>
      </w:r>
      <w:r>
        <w:t xml:space="preserve"> that there is a 2,100 population difference in 2021</w:t>
      </w:r>
      <w:r w:rsidR="009758AF">
        <w:t xml:space="preserve"> </w:t>
      </w:r>
      <w:r>
        <w:t>between the age range</w:t>
      </w:r>
      <w:r w:rsidR="009758AF">
        <w:t>s</w:t>
      </w:r>
      <w:r>
        <w:t xml:space="preserve"> of 10-14 and 20-25 year olds living in Carmarthenshire</w:t>
      </w:r>
      <w:r w:rsidR="009758AF">
        <w:t xml:space="preserve">. </w:t>
      </w:r>
      <w:r w:rsidR="00F66771">
        <w:t>(Carmarthen County Council, 2021)</w:t>
      </w:r>
    </w:p>
    <w:p w14:paraId="4FE3978C" w14:textId="77777777" w:rsidR="000F5F26" w:rsidRDefault="000F5F26" w:rsidP="00386EBF"/>
    <w:p w14:paraId="3768225D" w14:textId="6DDE5FE1" w:rsidR="00F66771" w:rsidRDefault="00F66771" w:rsidP="00386EBF"/>
    <w:p w14:paraId="38EFB9D1" w14:textId="2D96A3DC" w:rsidR="00F66771" w:rsidRPr="00F66771" w:rsidRDefault="00F66771" w:rsidP="00386EBF">
      <w:pPr>
        <w:rPr>
          <w:u w:val="single"/>
        </w:rPr>
      </w:pPr>
      <w:r>
        <w:rPr>
          <w:u w:val="single"/>
        </w:rPr>
        <w:t xml:space="preserve">Schools and further education available within the community. </w:t>
      </w:r>
    </w:p>
    <w:p w14:paraId="0DD31A98" w14:textId="2314F62A" w:rsidR="00F66771" w:rsidRDefault="00F66771" w:rsidP="00386EBF">
      <w:r>
        <w:t xml:space="preserve">Within the community there are 9 Primary schools, which are Richmond Par, Model church in Wales school, </w:t>
      </w:r>
      <w:proofErr w:type="spellStart"/>
      <w:r>
        <w:t>Abergwilli</w:t>
      </w:r>
      <w:proofErr w:type="spellEnd"/>
      <w:r>
        <w:t xml:space="preserve"> school, Ysgol Y </w:t>
      </w:r>
      <w:proofErr w:type="spellStart"/>
      <w:r>
        <w:t>Dderwen</w:t>
      </w:r>
      <w:proofErr w:type="spellEnd"/>
      <w:r>
        <w:t xml:space="preserve">, </w:t>
      </w:r>
      <w:proofErr w:type="spellStart"/>
      <w:r>
        <w:t>Llangunnor</w:t>
      </w:r>
      <w:proofErr w:type="spellEnd"/>
      <w:r>
        <w:t xml:space="preserve"> School, Myrddin School, St Marys and Johnstown school. There are 2 high schools, Queen Elizabeth High and Bro Myrddin. </w:t>
      </w:r>
      <w:r>
        <w:lastRenderedPageBreak/>
        <w:t xml:space="preserve">As for further education there is Coleg Sir Gar, </w:t>
      </w:r>
      <w:proofErr w:type="spellStart"/>
      <w:r>
        <w:t>Pibwrlwyd</w:t>
      </w:r>
      <w:proofErr w:type="spellEnd"/>
      <w:r>
        <w:t xml:space="preserve"> and the University of Wales Trinity Saint David. </w:t>
      </w:r>
    </w:p>
    <w:p w14:paraId="44206089" w14:textId="382A82C7" w:rsidR="00F66771" w:rsidRDefault="00F66771" w:rsidP="00386EBF">
      <w:r>
        <w:t xml:space="preserve">With the amount of education pathways available to the community of Carmarthen, only two of the schools mentioned are Welsh first language with that being Ysgol y </w:t>
      </w:r>
      <w:proofErr w:type="spellStart"/>
      <w:r>
        <w:t>Dderwen</w:t>
      </w:r>
      <w:proofErr w:type="spellEnd"/>
      <w:r>
        <w:t xml:space="preserve"> and Bro Myrddin, with the remaining all being first language English speaking with </w:t>
      </w:r>
      <w:proofErr w:type="spellStart"/>
      <w:r>
        <w:t>welsh</w:t>
      </w:r>
      <w:proofErr w:type="spellEnd"/>
      <w:r>
        <w:t xml:space="preserve"> as a second language. This shows the diversity within the language of Carmarthen as there is an obvious minority within the community when it comes to language of Welsh and English. Dylan Phillips (2014) did a report on the Census of 2011 and he found that during 2011 Welsh speakers in Carmarthenshire is at a minority compared to the English speakers in the community after a rapid decline in </w:t>
      </w:r>
      <w:r w:rsidR="00F00A0D">
        <w:t>Welsh</w:t>
      </w:r>
      <w:r>
        <w:t xml:space="preserve"> speakers over the years. </w:t>
      </w:r>
    </w:p>
    <w:p w14:paraId="3D7396D9" w14:textId="77777777" w:rsidR="00F66771" w:rsidRDefault="00F66771" w:rsidP="00386EBF"/>
    <w:p w14:paraId="2E8B447D" w14:textId="516943BD" w:rsidR="00F66771" w:rsidRDefault="00F66771" w:rsidP="00386EBF">
      <w:r>
        <w:rPr>
          <w:noProof/>
        </w:rPr>
        <w:drawing>
          <wp:anchor distT="0" distB="0" distL="114300" distR="114300" simplePos="0" relativeHeight="251660288" behindDoc="1" locked="0" layoutInCell="1" allowOverlap="1" wp14:anchorId="243D64D7" wp14:editId="5347208F">
            <wp:simplePos x="0" y="0"/>
            <wp:positionH relativeFrom="column">
              <wp:posOffset>0</wp:posOffset>
            </wp:positionH>
            <wp:positionV relativeFrom="paragraph">
              <wp:posOffset>635</wp:posOffset>
            </wp:positionV>
            <wp:extent cx="2711450" cy="2292350"/>
            <wp:effectExtent l="0" t="0" r="12700" b="12700"/>
            <wp:wrapTight wrapText="bothSides">
              <wp:wrapPolygon edited="0">
                <wp:start x="0" y="0"/>
                <wp:lineTo x="0" y="21540"/>
                <wp:lineTo x="21549" y="21540"/>
                <wp:lineTo x="21549" y="0"/>
                <wp:lineTo x="0" y="0"/>
              </wp:wrapPolygon>
            </wp:wrapTight>
            <wp:docPr id="145981932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t xml:space="preserve">This chart is a line graph showing the differences between the education statistics between 2011 and 2021 in Carmarthen, this line graph in particular shows that the education within the Carmarthen population is getting a more positive outcome, with a 6.8% decrease in the amount of young people having no qualifications after secondary school. However you can also see that the interest in further education such as university has had a massive increase in popularity with 7.4% increase from 2011 to 2021 of the amount of young people in further education. (Census, 2011) (Census, 2021) </w:t>
      </w:r>
    </w:p>
    <w:p w14:paraId="35E01A6E" w14:textId="77777777" w:rsidR="000F5F26" w:rsidRDefault="000F5F26" w:rsidP="00386EBF"/>
    <w:p w14:paraId="3CBC5B02" w14:textId="3EBE6DC3" w:rsidR="00F66771" w:rsidRDefault="00F66771" w:rsidP="00386EBF">
      <w:pPr>
        <w:rPr>
          <w:u w:val="single"/>
        </w:rPr>
      </w:pPr>
      <w:r>
        <w:rPr>
          <w:u w:val="single"/>
        </w:rPr>
        <w:t xml:space="preserve">Areas and facilities available to young people in the community. </w:t>
      </w:r>
    </w:p>
    <w:p w14:paraId="2F3C4D48" w14:textId="458C61F7" w:rsidR="00F66771" w:rsidRDefault="00F66771" w:rsidP="00386EBF">
      <w:r>
        <w:t xml:space="preserve">Within the community of Carmarthen there is a range of things for young people to do. There is the parks in the area, bowling, the cinema, the local leisure centre, escape room and the local youth project. However within this list of facilities only two are easily accessible for young people which are, the park and local youth project as they are the only ones which do not cost money in order to use the facilities, linking to this there is a lot more in the surrounding areas for young people to do but with the cost of living crisis that is currently going on within the nation, many struggle to get by without doing trips which cost money. Travel can also be an issue when examining the facilities within the community as like previously mentions within Carmarthen there is little to do however when you branch out there is a lot more to do but transport and getting there is an issue, </w:t>
      </w:r>
    </w:p>
    <w:p w14:paraId="6CA98331" w14:textId="50DD3565" w:rsidR="00F66771" w:rsidRDefault="00F66771" w:rsidP="00386EBF">
      <w:pPr>
        <w:rPr>
          <w:i/>
          <w:iCs/>
        </w:rPr>
      </w:pPr>
      <w:r w:rsidRPr="00F66771">
        <w:rPr>
          <w:i/>
          <w:iCs/>
        </w:rPr>
        <w:t xml:space="preserve">Through research many young people expressed their concerns about there not being a lot available to young people especially when a lot of parents are unable to provide money all the time for the facilities available. </w:t>
      </w:r>
    </w:p>
    <w:p w14:paraId="307226D4" w14:textId="2755A46C" w:rsidR="00F66771" w:rsidRPr="00B17489" w:rsidRDefault="00B17489" w:rsidP="00386EBF">
      <w:pPr>
        <w:rPr>
          <w:i/>
          <w:iCs/>
        </w:rPr>
      </w:pPr>
      <w:r>
        <w:rPr>
          <w:i/>
          <w:iCs/>
        </w:rPr>
        <w:t xml:space="preserve">The young people also stated that there is a difficulty though finding work after education </w:t>
      </w:r>
      <w:r w:rsidR="00B47847">
        <w:rPr>
          <w:i/>
          <w:iCs/>
        </w:rPr>
        <w:t xml:space="preserve">due to lack of stores and restaurants either having no </w:t>
      </w:r>
      <w:r w:rsidR="00313117">
        <w:rPr>
          <w:i/>
          <w:iCs/>
        </w:rPr>
        <w:t xml:space="preserve">job opportunities available or due to them even being young </w:t>
      </w:r>
      <w:r w:rsidR="00F00A0D">
        <w:rPr>
          <w:i/>
          <w:iCs/>
        </w:rPr>
        <w:t xml:space="preserve">and having lack of experience. </w:t>
      </w:r>
    </w:p>
    <w:p w14:paraId="02E5AD91" w14:textId="77777777" w:rsidR="00F66771" w:rsidRDefault="00F66771" w:rsidP="00386EBF">
      <w:pPr>
        <w:rPr>
          <w:i/>
          <w:iCs/>
        </w:rPr>
      </w:pPr>
    </w:p>
    <w:p w14:paraId="7AEDAE50" w14:textId="77777777" w:rsidR="00F66771" w:rsidRDefault="00F66771" w:rsidP="00386EBF"/>
    <w:p w14:paraId="511D13E6" w14:textId="088F05C1" w:rsidR="00083717" w:rsidRDefault="00083717" w:rsidP="00386EBF">
      <w:pPr>
        <w:rPr>
          <w:u w:val="single"/>
        </w:rPr>
      </w:pPr>
      <w:r>
        <w:rPr>
          <w:u w:val="single"/>
        </w:rPr>
        <w:t>Employment within the community</w:t>
      </w:r>
    </w:p>
    <w:p w14:paraId="58790076" w14:textId="0C4C05A8" w:rsidR="00BE2F6E" w:rsidRDefault="0035039E" w:rsidP="00386EBF">
      <w:r>
        <w:t>Taking into account the range of facilities, shops and restaurants within the community</w:t>
      </w:r>
      <w:r w:rsidR="003A6493">
        <w:t xml:space="preserve"> </w:t>
      </w:r>
      <w:r w:rsidR="001B622F">
        <w:t xml:space="preserve">78.3%  of </w:t>
      </w:r>
      <w:r w:rsidR="00FF78C0">
        <w:t xml:space="preserve">people </w:t>
      </w:r>
      <w:r w:rsidR="001D081D">
        <w:t xml:space="preserve">aged </w:t>
      </w:r>
      <w:r w:rsidR="00FF78C0">
        <w:t>16</w:t>
      </w:r>
      <w:r w:rsidR="009E37BD">
        <w:t xml:space="preserve"> and over </w:t>
      </w:r>
      <w:r w:rsidR="00FF78C0">
        <w:t xml:space="preserve">were in active employment </w:t>
      </w:r>
      <w:r w:rsidR="001D081D">
        <w:t>in 202</w:t>
      </w:r>
      <w:r w:rsidR="001B622F">
        <w:t>3</w:t>
      </w:r>
      <w:r w:rsidR="001D081D">
        <w:t xml:space="preserve">, with the </w:t>
      </w:r>
      <w:r w:rsidR="00523E0E">
        <w:t xml:space="preserve">highest employment rate being the </w:t>
      </w:r>
      <w:r w:rsidR="00EA43A0">
        <w:t>human health and social work industry</w:t>
      </w:r>
      <w:r w:rsidR="009E37BD">
        <w:t xml:space="preserve">. However the unemployment rate was 3.8% for people 16 years and over. </w:t>
      </w:r>
      <w:r w:rsidR="00BE2F6E">
        <w:t>(Office for national statistics,202</w:t>
      </w:r>
      <w:r w:rsidR="00973459">
        <w:t>3</w:t>
      </w:r>
      <w:r w:rsidR="00BE2F6E">
        <w:t xml:space="preserve">) </w:t>
      </w:r>
    </w:p>
    <w:p w14:paraId="48B19B10" w14:textId="09813EA3" w:rsidR="00F801E4" w:rsidRDefault="00F801E4" w:rsidP="00386EBF">
      <w:r>
        <w:rPr>
          <w:noProof/>
        </w:rPr>
        <w:drawing>
          <wp:anchor distT="0" distB="0" distL="114300" distR="114300" simplePos="0" relativeHeight="251661312" behindDoc="1" locked="0" layoutInCell="1" allowOverlap="1" wp14:anchorId="3E4CBAC6" wp14:editId="63F35174">
            <wp:simplePos x="0" y="0"/>
            <wp:positionH relativeFrom="margin">
              <wp:align>left</wp:align>
            </wp:positionH>
            <wp:positionV relativeFrom="paragraph">
              <wp:posOffset>195990</wp:posOffset>
            </wp:positionV>
            <wp:extent cx="2019300" cy="1856105"/>
            <wp:effectExtent l="0" t="0" r="0" b="0"/>
            <wp:wrapTight wrapText="bothSides">
              <wp:wrapPolygon edited="0">
                <wp:start x="0" y="0"/>
                <wp:lineTo x="0" y="21282"/>
                <wp:lineTo x="21396" y="21282"/>
                <wp:lineTo x="21396" y="0"/>
                <wp:lineTo x="0" y="0"/>
              </wp:wrapPolygon>
            </wp:wrapTight>
            <wp:docPr id="9346065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606516" name="Picture 934606516"/>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19300" cy="1856105"/>
                    </a:xfrm>
                    <a:prstGeom prst="rect">
                      <a:avLst/>
                    </a:prstGeom>
                  </pic:spPr>
                </pic:pic>
              </a:graphicData>
            </a:graphic>
            <wp14:sizeRelH relativeFrom="margin">
              <wp14:pctWidth>0</wp14:pctWidth>
            </wp14:sizeRelH>
            <wp14:sizeRelV relativeFrom="margin">
              <wp14:pctHeight>0</wp14:pctHeight>
            </wp14:sizeRelV>
          </wp:anchor>
        </w:drawing>
      </w:r>
    </w:p>
    <w:p w14:paraId="4566F12C" w14:textId="4C724C0E" w:rsidR="00FD24FB" w:rsidRDefault="00AC044C" w:rsidP="00386EBF">
      <w:r>
        <w:t xml:space="preserve">This pie chart is showing </w:t>
      </w:r>
      <w:r w:rsidR="006D6739">
        <w:t>the reason for unemployment within Carmarthen</w:t>
      </w:r>
      <w:r w:rsidR="0037463C">
        <w:t xml:space="preserve"> during 2023</w:t>
      </w:r>
      <w:r w:rsidR="006D6739">
        <w:t xml:space="preserve">, with the largest segment being </w:t>
      </w:r>
      <w:r w:rsidR="0037463C">
        <w:t xml:space="preserve">long term sick and the smallest being temporary sick. </w:t>
      </w:r>
    </w:p>
    <w:p w14:paraId="352B6B16" w14:textId="74F050C8" w:rsidR="00A95B72" w:rsidRDefault="000A15F9" w:rsidP="00386EBF">
      <w:r>
        <w:t>(</w:t>
      </w:r>
      <w:r w:rsidR="00FF29BF">
        <w:t>Varbes,2024</w:t>
      </w:r>
      <w:r>
        <w:t xml:space="preserve">) </w:t>
      </w:r>
    </w:p>
    <w:p w14:paraId="3DAA84D2" w14:textId="77777777" w:rsidR="004B52BA" w:rsidRDefault="004B52BA" w:rsidP="00386EBF"/>
    <w:p w14:paraId="57E6DA95" w14:textId="77777777" w:rsidR="004B52BA" w:rsidRDefault="004B52BA" w:rsidP="00386EBF"/>
    <w:p w14:paraId="4B27C441" w14:textId="77777777" w:rsidR="004B52BA" w:rsidRDefault="004B52BA" w:rsidP="00386EBF"/>
    <w:p w14:paraId="66791502" w14:textId="77777777" w:rsidR="004B52BA" w:rsidRDefault="004B52BA" w:rsidP="00386EBF"/>
    <w:p w14:paraId="79ABE165" w14:textId="17B6FB15" w:rsidR="00F801E4" w:rsidRDefault="00146CCF" w:rsidP="00386EBF">
      <w:pPr>
        <w:rPr>
          <w:i/>
          <w:iCs/>
        </w:rPr>
      </w:pPr>
      <w:r>
        <w:t xml:space="preserve">However with extra research within the community, there seems to be a struggle for 16-17 year olds </w:t>
      </w:r>
      <w:r w:rsidR="006556A5">
        <w:t xml:space="preserve">to get a full time job within the Carmarthen areas. With one young person saying </w:t>
      </w:r>
      <w:r w:rsidR="006556A5">
        <w:rPr>
          <w:i/>
          <w:iCs/>
        </w:rPr>
        <w:t xml:space="preserve">‘They feel like they are not given a chance to prove themselves till they turn 18’ </w:t>
      </w:r>
    </w:p>
    <w:p w14:paraId="451C7FE5" w14:textId="77777777" w:rsidR="00FF29BF" w:rsidRDefault="00FF29BF" w:rsidP="00386EBF">
      <w:pPr>
        <w:rPr>
          <w:i/>
          <w:iCs/>
        </w:rPr>
      </w:pPr>
    </w:p>
    <w:p w14:paraId="09A13B7D" w14:textId="5C7CE28B" w:rsidR="00FF29BF" w:rsidRDefault="00FF29BF" w:rsidP="00386EBF">
      <w:pPr>
        <w:rPr>
          <w:u w:val="single"/>
        </w:rPr>
      </w:pPr>
      <w:r>
        <w:rPr>
          <w:u w:val="single"/>
        </w:rPr>
        <w:t xml:space="preserve">Conclusion </w:t>
      </w:r>
    </w:p>
    <w:p w14:paraId="37A7D39C" w14:textId="2570D788" w:rsidR="00F37698" w:rsidRDefault="00F37698" w:rsidP="00386EBF">
      <w:r>
        <w:t xml:space="preserve">To conclude my finding on the community of Carmarthen I </w:t>
      </w:r>
      <w:r w:rsidR="006D0858">
        <w:t>found that it is a lovely area to live and if transport and money is easily accessible to you the</w:t>
      </w:r>
      <w:r w:rsidR="006F7220">
        <w:t>n it does have a lot to offer activity wise however within the town itself there isn’t much free of charge available to the public</w:t>
      </w:r>
      <w:r w:rsidR="00C5267E">
        <w:t xml:space="preserve">. </w:t>
      </w:r>
    </w:p>
    <w:p w14:paraId="018C4895" w14:textId="31E5F69E" w:rsidR="00C5267E" w:rsidRPr="00F37698" w:rsidRDefault="00C5267E" w:rsidP="00386EBF">
      <w:r>
        <w:t>But when it comes to statistics when comparing the findings between di</w:t>
      </w:r>
      <w:r w:rsidR="00CC51C4">
        <w:t xml:space="preserve">fferent census records, it is clear that the </w:t>
      </w:r>
      <w:r w:rsidR="00DA2CD4">
        <w:t xml:space="preserve">results for both education and employment is improving over the years </w:t>
      </w:r>
      <w:r w:rsidR="008E66F2">
        <w:t xml:space="preserve">showing that it is a good area for both </w:t>
      </w:r>
      <w:r w:rsidR="00D96B74">
        <w:t xml:space="preserve">school and furthering education or employment. But the main issue I found was the statistics were very broad and when speaking and communication with young people myself </w:t>
      </w:r>
      <w:r w:rsidR="00424E03">
        <w:t xml:space="preserve">I found that the main struggle was finding employment </w:t>
      </w:r>
      <w:r w:rsidR="003119B9">
        <w:t xml:space="preserve">in the area </w:t>
      </w:r>
      <w:r w:rsidR="00424E03">
        <w:t>before</w:t>
      </w:r>
      <w:r w:rsidR="003119B9">
        <w:t xml:space="preserve"> turning</w:t>
      </w:r>
      <w:r w:rsidR="00424E03">
        <w:t xml:space="preserve"> 18 </w:t>
      </w:r>
      <w:r w:rsidR="003119B9">
        <w:t xml:space="preserve">when you have no experience to hand. </w:t>
      </w:r>
    </w:p>
    <w:p w14:paraId="79454404" w14:textId="77777777" w:rsidR="00F66771" w:rsidRPr="00F66771" w:rsidRDefault="00F66771" w:rsidP="00386EBF"/>
    <w:p w14:paraId="379B7C12" w14:textId="77777777" w:rsidR="00F66771" w:rsidRDefault="00F66771" w:rsidP="00386EBF"/>
    <w:p w14:paraId="4E6D59DC" w14:textId="77777777" w:rsidR="00B81517" w:rsidRDefault="00B81517" w:rsidP="00386EBF"/>
    <w:p w14:paraId="0DF4A7EB" w14:textId="77777777" w:rsidR="00F66771" w:rsidRDefault="00F66771" w:rsidP="00386EBF"/>
    <w:p w14:paraId="7E17107D" w14:textId="77777777" w:rsidR="00B81517" w:rsidRDefault="00B81517" w:rsidP="00386EBF"/>
    <w:p w14:paraId="243BC20F" w14:textId="77777777" w:rsidR="00B81517" w:rsidRDefault="00B81517" w:rsidP="00386EBF"/>
    <w:p w14:paraId="7764A99E" w14:textId="77777777" w:rsidR="00B81517" w:rsidRDefault="00B81517" w:rsidP="00386EBF"/>
    <w:p w14:paraId="10374102" w14:textId="77777777" w:rsidR="00B81517" w:rsidRDefault="00B81517" w:rsidP="00386EBF"/>
    <w:p w14:paraId="048161D0" w14:textId="62B11726" w:rsidR="00036258" w:rsidRPr="00036258" w:rsidRDefault="00B42501" w:rsidP="00036258">
      <w:pPr>
        <w:rPr>
          <w:u w:val="single"/>
        </w:rPr>
      </w:pPr>
      <w:r>
        <w:rPr>
          <w:u w:val="single"/>
        </w:rPr>
        <w:t xml:space="preserve">Reference list </w:t>
      </w:r>
    </w:p>
    <w:p w14:paraId="729210A5" w14:textId="77777777" w:rsidR="00036258" w:rsidRPr="00036258" w:rsidRDefault="00036258" w:rsidP="00036258">
      <w:r w:rsidRPr="00036258">
        <w:t xml:space="preserve">Carmarthen County Council (n.d.). </w:t>
      </w:r>
      <w:r w:rsidRPr="00036258">
        <w:rPr>
          <w:i/>
          <w:iCs/>
        </w:rPr>
        <w:t>2011 Census data for Carmarthenshire County Council -Qualifications and Students 2011 Census data for Carmarthenshire County Council -Qualifications and Students</w:t>
      </w:r>
      <w:r w:rsidRPr="00036258">
        <w:t>. [online] Available at: https://www.carmarthenshire.gov.wales/media/2871/qualifications_and_students.pdf [Accessed 18 Feb. 2025].</w:t>
      </w:r>
    </w:p>
    <w:p w14:paraId="689590F6" w14:textId="77777777" w:rsidR="00036258" w:rsidRPr="00036258" w:rsidRDefault="00036258" w:rsidP="00036258">
      <w:r w:rsidRPr="00036258">
        <w:t xml:space="preserve">Carmarthen County Council (n.d.). </w:t>
      </w:r>
      <w:r w:rsidRPr="00036258">
        <w:rPr>
          <w:i/>
          <w:iCs/>
        </w:rPr>
        <w:t>2021 Census Data for Carmarthenshire -Age Structure</w:t>
      </w:r>
      <w:r w:rsidRPr="00036258">
        <w:t>. [online] Available at: https://www.carmarthenshire.gov.wales/media/1231293/age-structure-2021-chart-carmarthenshire.pdf [Accessed 2 Mar. 2025].</w:t>
      </w:r>
    </w:p>
    <w:p w14:paraId="4CE7137E" w14:textId="77777777" w:rsidR="00036258" w:rsidRPr="00036258" w:rsidRDefault="00036258" w:rsidP="00036258">
      <w:r w:rsidRPr="00036258">
        <w:t xml:space="preserve">Carmarthen County Council (n.d.). </w:t>
      </w:r>
      <w:r w:rsidRPr="00036258">
        <w:rPr>
          <w:i/>
          <w:iCs/>
        </w:rPr>
        <w:t>2021 Census Data for Carmarthenshire -Qualification &amp; Students</w:t>
      </w:r>
      <w:r w:rsidRPr="00036258">
        <w:t>. [online] Available at: https://www.carmarthenshire.gov.wales/media/1230673/qualification-and-students.pdf.</w:t>
      </w:r>
    </w:p>
    <w:p w14:paraId="57E3B8B7" w14:textId="77777777" w:rsidR="00036258" w:rsidRPr="00036258" w:rsidRDefault="00036258" w:rsidP="00036258">
      <w:r w:rsidRPr="00036258">
        <w:t xml:space="preserve">Office for National statistics (2022). </w:t>
      </w:r>
      <w:r w:rsidRPr="00036258">
        <w:rPr>
          <w:i/>
          <w:iCs/>
        </w:rPr>
        <w:t>How the population changed in Carmarthenshire, Census 2021 - ONS</w:t>
      </w:r>
      <w:r w:rsidRPr="00036258">
        <w:t>. [online] www.ons.gov.uk. Available at: https://www.ons.gov.uk/visualisations/censuspopulationchange/W06000010/.</w:t>
      </w:r>
    </w:p>
    <w:p w14:paraId="56322C8E" w14:textId="77777777" w:rsidR="00036258" w:rsidRPr="00036258" w:rsidRDefault="00036258" w:rsidP="00036258">
      <w:r w:rsidRPr="00036258">
        <w:t xml:space="preserve">Office for National statistics (2024). </w:t>
      </w:r>
      <w:r w:rsidRPr="00036258">
        <w:rPr>
          <w:i/>
          <w:iCs/>
        </w:rPr>
        <w:t>Carmarthenshire’s employment, unemployment and economic inactivity - ONS</w:t>
      </w:r>
      <w:r w:rsidRPr="00036258">
        <w:t>. [online] Ons.gov.uk. Available at: https://www.ons.gov.uk/visualisations/labourmarketlocal/W06000010/#employment-rate [Accessed 9 Mar. 2025].</w:t>
      </w:r>
    </w:p>
    <w:p w14:paraId="5DE428E3" w14:textId="77777777" w:rsidR="00036258" w:rsidRPr="00036258" w:rsidRDefault="00036258" w:rsidP="00036258">
      <w:r w:rsidRPr="00036258">
        <w:t xml:space="preserve">Phillips, D. (2014). </w:t>
      </w:r>
      <w:r w:rsidRPr="00036258">
        <w:rPr>
          <w:i/>
          <w:iCs/>
        </w:rPr>
        <w:t xml:space="preserve">2011 Census: The </w:t>
      </w:r>
      <w:proofErr w:type="spellStart"/>
      <w:r w:rsidRPr="00036258">
        <w:rPr>
          <w:i/>
          <w:iCs/>
        </w:rPr>
        <w:t>welsh</w:t>
      </w:r>
      <w:proofErr w:type="spellEnd"/>
      <w:r w:rsidRPr="00036258">
        <w:rPr>
          <w:i/>
          <w:iCs/>
        </w:rPr>
        <w:t xml:space="preserve"> language in Carmarthenshire </w:t>
      </w:r>
      <w:r w:rsidRPr="00036258">
        <w:t>. [online] Available at: https://www.carmarthenshire.gov.wales/media/1216429/adroddiaddps.pdf [Accessed 18 Feb. 2025].</w:t>
      </w:r>
    </w:p>
    <w:p w14:paraId="15017C7C" w14:textId="77777777" w:rsidR="00036258" w:rsidRPr="00036258" w:rsidRDefault="00036258" w:rsidP="00036258">
      <w:r w:rsidRPr="00036258">
        <w:t xml:space="preserve">Streetmapz.co.uk. (2025). </w:t>
      </w:r>
      <w:r w:rsidRPr="00036258">
        <w:rPr>
          <w:i/>
          <w:iCs/>
        </w:rPr>
        <w:t>Street Map of Carmarthen Town Centre Dyfed Wales UK</w:t>
      </w:r>
      <w:r w:rsidRPr="00036258">
        <w:t>. [online] Available at: http://www.streetmapz.co.uk/carmarthen.html [Accessed 2 Mar. 2025].</w:t>
      </w:r>
    </w:p>
    <w:p w14:paraId="751169B9" w14:textId="77777777" w:rsidR="00036258" w:rsidRPr="00036258" w:rsidRDefault="00036258" w:rsidP="00036258">
      <w:proofErr w:type="spellStart"/>
      <w:r w:rsidRPr="00036258">
        <w:t>Varbes</w:t>
      </w:r>
      <w:proofErr w:type="spellEnd"/>
      <w:r w:rsidRPr="00036258">
        <w:t xml:space="preserve"> (2021). </w:t>
      </w:r>
      <w:r w:rsidRPr="00036258">
        <w:rPr>
          <w:i/>
          <w:iCs/>
        </w:rPr>
        <w:t>Carmarthenshire Economy | Labour Market &amp; Industries</w:t>
      </w:r>
      <w:r w:rsidRPr="00036258">
        <w:t xml:space="preserve">. [online] </w:t>
      </w:r>
      <w:proofErr w:type="spellStart"/>
      <w:r w:rsidRPr="00036258">
        <w:t>Varbes</w:t>
      </w:r>
      <w:proofErr w:type="spellEnd"/>
      <w:r w:rsidRPr="00036258">
        <w:t>. Available at: https://www.varbes.com/economy/carmarthenshire-economy [Accessed 9 Mar. 2025].</w:t>
      </w:r>
    </w:p>
    <w:p w14:paraId="6A48D0A3" w14:textId="77777777" w:rsidR="00B42501" w:rsidRPr="00B42501" w:rsidRDefault="00B42501" w:rsidP="00B42501">
      <w:pPr>
        <w:rPr>
          <w:u w:val="single"/>
        </w:rPr>
      </w:pPr>
    </w:p>
    <w:sectPr w:rsidR="00B42501" w:rsidRPr="00B4250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09445" w14:textId="77777777" w:rsidR="00C73DA5" w:rsidRDefault="00C73DA5" w:rsidP="00036258">
      <w:pPr>
        <w:spacing w:after="0" w:line="240" w:lineRule="auto"/>
      </w:pPr>
      <w:r>
        <w:separator/>
      </w:r>
    </w:p>
  </w:endnote>
  <w:endnote w:type="continuationSeparator" w:id="0">
    <w:p w14:paraId="76DD55F1" w14:textId="77777777" w:rsidR="00C73DA5" w:rsidRDefault="00C73DA5" w:rsidP="00036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FE933" w14:textId="77777777" w:rsidR="00C73DA5" w:rsidRDefault="00C73DA5" w:rsidP="00036258">
      <w:pPr>
        <w:spacing w:after="0" w:line="240" w:lineRule="auto"/>
      </w:pPr>
      <w:r>
        <w:separator/>
      </w:r>
    </w:p>
  </w:footnote>
  <w:footnote w:type="continuationSeparator" w:id="0">
    <w:p w14:paraId="7D4762A4" w14:textId="77777777" w:rsidR="00C73DA5" w:rsidRDefault="00C73DA5" w:rsidP="000362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279076" w14:textId="03F444B5" w:rsidR="00036258" w:rsidRDefault="00036258">
    <w:pPr>
      <w:pStyle w:val="Header"/>
    </w:pPr>
    <w:r>
      <w:tab/>
    </w:r>
    <w:r>
      <w:tab/>
    </w:r>
    <w:r w:rsidR="009C24E3">
      <w:t>ECYW4006</w:t>
    </w:r>
  </w:p>
  <w:p w14:paraId="0CF9C9D6" w14:textId="37060202" w:rsidR="009C24E3" w:rsidRDefault="00730FF5">
    <w:pPr>
      <w:pStyle w:val="Header"/>
    </w:pPr>
    <w:r>
      <w:tab/>
    </w:r>
    <w:r>
      <w:tab/>
    </w:r>
    <w:r w:rsidR="00B54490">
      <w:t>2103002</w:t>
    </w:r>
  </w:p>
  <w:p w14:paraId="572C3E2E" w14:textId="538ABD05" w:rsidR="00B54490" w:rsidRDefault="00B54490">
    <w:pPr>
      <w:pStyle w:val="Header"/>
    </w:pPr>
    <w:r>
      <w:tab/>
    </w:r>
    <w:r>
      <w:tab/>
      <w:t>1035 words</w:t>
    </w:r>
  </w:p>
  <w:p w14:paraId="01C5031D" w14:textId="77777777" w:rsidR="00B54490" w:rsidRDefault="00B544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EBF"/>
    <w:rsid w:val="00036258"/>
    <w:rsid w:val="00083717"/>
    <w:rsid w:val="000A15F9"/>
    <w:rsid w:val="000F5F26"/>
    <w:rsid w:val="00110818"/>
    <w:rsid w:val="00146CCF"/>
    <w:rsid w:val="00182185"/>
    <w:rsid w:val="001B622F"/>
    <w:rsid w:val="001D081D"/>
    <w:rsid w:val="003119B9"/>
    <w:rsid w:val="00313117"/>
    <w:rsid w:val="0035039E"/>
    <w:rsid w:val="0037463C"/>
    <w:rsid w:val="00386EBF"/>
    <w:rsid w:val="003A6493"/>
    <w:rsid w:val="00424E03"/>
    <w:rsid w:val="004B52BA"/>
    <w:rsid w:val="00523E0E"/>
    <w:rsid w:val="00606B50"/>
    <w:rsid w:val="006243E6"/>
    <w:rsid w:val="006556A5"/>
    <w:rsid w:val="006D0858"/>
    <w:rsid w:val="006D6739"/>
    <w:rsid w:val="006F7220"/>
    <w:rsid w:val="00730FF5"/>
    <w:rsid w:val="008B4F8F"/>
    <w:rsid w:val="008E66F2"/>
    <w:rsid w:val="0092484F"/>
    <w:rsid w:val="00973459"/>
    <w:rsid w:val="009758AF"/>
    <w:rsid w:val="009C24E3"/>
    <w:rsid w:val="009E37BD"/>
    <w:rsid w:val="00A95B72"/>
    <w:rsid w:val="00AC044C"/>
    <w:rsid w:val="00B17489"/>
    <w:rsid w:val="00B42501"/>
    <w:rsid w:val="00B47847"/>
    <w:rsid w:val="00B54490"/>
    <w:rsid w:val="00B81517"/>
    <w:rsid w:val="00BD1304"/>
    <w:rsid w:val="00BE2F6E"/>
    <w:rsid w:val="00C5267E"/>
    <w:rsid w:val="00C73DA5"/>
    <w:rsid w:val="00CC51C4"/>
    <w:rsid w:val="00D96B74"/>
    <w:rsid w:val="00DA2CD4"/>
    <w:rsid w:val="00EA43A0"/>
    <w:rsid w:val="00EB763A"/>
    <w:rsid w:val="00F00A0D"/>
    <w:rsid w:val="00F21B81"/>
    <w:rsid w:val="00F37698"/>
    <w:rsid w:val="00F66771"/>
    <w:rsid w:val="00F801E4"/>
    <w:rsid w:val="00FD24FB"/>
    <w:rsid w:val="00FE44D7"/>
    <w:rsid w:val="00FF29BF"/>
    <w:rsid w:val="00FF7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FE92A"/>
  <w15:chartTrackingRefBased/>
  <w15:docId w15:val="{8990ECD9-0DC1-475D-BA81-01AC7B93C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E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6E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6E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6E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6E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6E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E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E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E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E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6E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6E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6E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6E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6E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E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E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EBF"/>
    <w:rPr>
      <w:rFonts w:eastAsiaTheme="majorEastAsia" w:cstheme="majorBidi"/>
      <w:color w:val="272727" w:themeColor="text1" w:themeTint="D8"/>
    </w:rPr>
  </w:style>
  <w:style w:type="paragraph" w:styleId="Title">
    <w:name w:val="Title"/>
    <w:basedOn w:val="Normal"/>
    <w:next w:val="Normal"/>
    <w:link w:val="TitleChar"/>
    <w:uiPriority w:val="10"/>
    <w:qFormat/>
    <w:rsid w:val="00386E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E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E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E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EBF"/>
    <w:pPr>
      <w:spacing w:before="160"/>
      <w:jc w:val="center"/>
    </w:pPr>
    <w:rPr>
      <w:i/>
      <w:iCs/>
      <w:color w:val="404040" w:themeColor="text1" w:themeTint="BF"/>
    </w:rPr>
  </w:style>
  <w:style w:type="character" w:customStyle="1" w:styleId="QuoteChar">
    <w:name w:val="Quote Char"/>
    <w:basedOn w:val="DefaultParagraphFont"/>
    <w:link w:val="Quote"/>
    <w:uiPriority w:val="29"/>
    <w:rsid w:val="00386EBF"/>
    <w:rPr>
      <w:i/>
      <w:iCs/>
      <w:color w:val="404040" w:themeColor="text1" w:themeTint="BF"/>
    </w:rPr>
  </w:style>
  <w:style w:type="paragraph" w:styleId="ListParagraph">
    <w:name w:val="List Paragraph"/>
    <w:basedOn w:val="Normal"/>
    <w:uiPriority w:val="34"/>
    <w:qFormat/>
    <w:rsid w:val="00386EBF"/>
    <w:pPr>
      <w:ind w:left="720"/>
      <w:contextualSpacing/>
    </w:pPr>
  </w:style>
  <w:style w:type="character" w:styleId="IntenseEmphasis">
    <w:name w:val="Intense Emphasis"/>
    <w:basedOn w:val="DefaultParagraphFont"/>
    <w:uiPriority w:val="21"/>
    <w:qFormat/>
    <w:rsid w:val="00386EBF"/>
    <w:rPr>
      <w:i/>
      <w:iCs/>
      <w:color w:val="0F4761" w:themeColor="accent1" w:themeShade="BF"/>
    </w:rPr>
  </w:style>
  <w:style w:type="paragraph" w:styleId="IntenseQuote">
    <w:name w:val="Intense Quote"/>
    <w:basedOn w:val="Normal"/>
    <w:next w:val="Normal"/>
    <w:link w:val="IntenseQuoteChar"/>
    <w:uiPriority w:val="30"/>
    <w:qFormat/>
    <w:rsid w:val="00386E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6EBF"/>
    <w:rPr>
      <w:i/>
      <w:iCs/>
      <w:color w:val="0F4761" w:themeColor="accent1" w:themeShade="BF"/>
    </w:rPr>
  </w:style>
  <w:style w:type="character" w:styleId="IntenseReference">
    <w:name w:val="Intense Reference"/>
    <w:basedOn w:val="DefaultParagraphFont"/>
    <w:uiPriority w:val="32"/>
    <w:qFormat/>
    <w:rsid w:val="00386EBF"/>
    <w:rPr>
      <w:b/>
      <w:bCs/>
      <w:smallCaps/>
      <w:color w:val="0F4761" w:themeColor="accent1" w:themeShade="BF"/>
      <w:spacing w:val="5"/>
    </w:rPr>
  </w:style>
  <w:style w:type="character" w:styleId="Hyperlink">
    <w:name w:val="Hyperlink"/>
    <w:basedOn w:val="DefaultParagraphFont"/>
    <w:uiPriority w:val="99"/>
    <w:unhideWhenUsed/>
    <w:rsid w:val="0092484F"/>
    <w:rPr>
      <w:color w:val="467886" w:themeColor="hyperlink"/>
      <w:u w:val="single"/>
    </w:rPr>
  </w:style>
  <w:style w:type="character" w:styleId="UnresolvedMention">
    <w:name w:val="Unresolved Mention"/>
    <w:basedOn w:val="DefaultParagraphFont"/>
    <w:uiPriority w:val="99"/>
    <w:semiHidden/>
    <w:unhideWhenUsed/>
    <w:rsid w:val="0092484F"/>
    <w:rPr>
      <w:color w:val="605E5C"/>
      <w:shd w:val="clear" w:color="auto" w:fill="E1DFDD"/>
    </w:rPr>
  </w:style>
  <w:style w:type="character" w:styleId="FollowedHyperlink">
    <w:name w:val="FollowedHyperlink"/>
    <w:basedOn w:val="DefaultParagraphFont"/>
    <w:uiPriority w:val="99"/>
    <w:semiHidden/>
    <w:unhideWhenUsed/>
    <w:rsid w:val="00B81517"/>
    <w:rPr>
      <w:color w:val="96607D" w:themeColor="followedHyperlink"/>
      <w:u w:val="single"/>
    </w:rPr>
  </w:style>
  <w:style w:type="paragraph" w:styleId="Header">
    <w:name w:val="header"/>
    <w:basedOn w:val="Normal"/>
    <w:link w:val="HeaderChar"/>
    <w:uiPriority w:val="99"/>
    <w:unhideWhenUsed/>
    <w:rsid w:val="00036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258"/>
  </w:style>
  <w:style w:type="paragraph" w:styleId="Footer">
    <w:name w:val="footer"/>
    <w:basedOn w:val="Normal"/>
    <w:link w:val="FooterChar"/>
    <w:uiPriority w:val="99"/>
    <w:unhideWhenUsed/>
    <w:rsid w:val="00036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2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4431749">
      <w:bodyDiv w:val="1"/>
      <w:marLeft w:val="0"/>
      <w:marRight w:val="0"/>
      <w:marTop w:val="0"/>
      <w:marBottom w:val="0"/>
      <w:divBdr>
        <w:top w:val="none" w:sz="0" w:space="0" w:color="auto"/>
        <w:left w:val="none" w:sz="0" w:space="0" w:color="auto"/>
        <w:bottom w:val="none" w:sz="0" w:space="0" w:color="auto"/>
        <w:right w:val="none" w:sz="0" w:space="0" w:color="auto"/>
      </w:divBdr>
      <w:divsChild>
        <w:div w:id="1604609095">
          <w:marLeft w:val="0"/>
          <w:marRight w:val="0"/>
          <w:marTop w:val="0"/>
          <w:marBottom w:val="0"/>
          <w:divBdr>
            <w:top w:val="none" w:sz="0" w:space="0" w:color="auto"/>
            <w:left w:val="none" w:sz="0" w:space="0" w:color="auto"/>
            <w:bottom w:val="none" w:sz="0" w:space="0" w:color="auto"/>
            <w:right w:val="none" w:sz="0" w:space="0" w:color="auto"/>
          </w:divBdr>
        </w:div>
      </w:divsChild>
    </w:div>
    <w:div w:id="1033382604">
      <w:bodyDiv w:val="1"/>
      <w:marLeft w:val="0"/>
      <w:marRight w:val="0"/>
      <w:marTop w:val="0"/>
      <w:marBottom w:val="0"/>
      <w:divBdr>
        <w:top w:val="none" w:sz="0" w:space="0" w:color="auto"/>
        <w:left w:val="none" w:sz="0" w:space="0" w:color="auto"/>
        <w:bottom w:val="none" w:sz="0" w:space="0" w:color="auto"/>
        <w:right w:val="none" w:sz="0" w:space="0" w:color="auto"/>
      </w:divBdr>
      <w:divsChild>
        <w:div w:id="1211727205">
          <w:marLeft w:val="0"/>
          <w:marRight w:val="0"/>
          <w:marTop w:val="0"/>
          <w:marBottom w:val="0"/>
          <w:divBdr>
            <w:top w:val="none" w:sz="0" w:space="0" w:color="auto"/>
            <w:left w:val="none" w:sz="0" w:space="0" w:color="auto"/>
            <w:bottom w:val="none" w:sz="0" w:space="0" w:color="auto"/>
            <w:right w:val="none" w:sz="0" w:space="0" w:color="auto"/>
          </w:divBdr>
        </w:div>
      </w:divsChild>
    </w:div>
    <w:div w:id="1663775949">
      <w:bodyDiv w:val="1"/>
      <w:marLeft w:val="0"/>
      <w:marRight w:val="0"/>
      <w:marTop w:val="0"/>
      <w:marBottom w:val="0"/>
      <w:divBdr>
        <w:top w:val="none" w:sz="0" w:space="0" w:color="auto"/>
        <w:left w:val="none" w:sz="0" w:space="0" w:color="auto"/>
        <w:bottom w:val="none" w:sz="0" w:space="0" w:color="auto"/>
        <w:right w:val="none" w:sz="0" w:space="0" w:color="auto"/>
      </w:divBdr>
      <w:divsChild>
        <w:div w:id="938175515">
          <w:marLeft w:val="0"/>
          <w:marRight w:val="0"/>
          <w:marTop w:val="0"/>
          <w:marBottom w:val="0"/>
          <w:divBdr>
            <w:top w:val="none" w:sz="0" w:space="0" w:color="auto"/>
            <w:left w:val="none" w:sz="0" w:space="0" w:color="auto"/>
            <w:bottom w:val="none" w:sz="0" w:space="0" w:color="auto"/>
            <w:right w:val="none" w:sz="0" w:space="0" w:color="auto"/>
          </w:divBdr>
        </w:div>
      </w:divsChild>
    </w:div>
    <w:div w:id="1936479988">
      <w:bodyDiv w:val="1"/>
      <w:marLeft w:val="0"/>
      <w:marRight w:val="0"/>
      <w:marTop w:val="0"/>
      <w:marBottom w:val="0"/>
      <w:divBdr>
        <w:top w:val="none" w:sz="0" w:space="0" w:color="auto"/>
        <w:left w:val="none" w:sz="0" w:space="0" w:color="auto"/>
        <w:bottom w:val="none" w:sz="0" w:space="0" w:color="auto"/>
        <w:right w:val="none" w:sz="0" w:space="0" w:color="auto"/>
      </w:divBdr>
      <w:divsChild>
        <w:div w:id="612241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Population in carmarthenshire</c:v>
                </c:pt>
              </c:strCache>
            </c:strRef>
          </c:tx>
          <c:dPt>
            <c:idx val="0"/>
            <c:bubble3D val="0"/>
            <c:spPr>
              <a:solidFill>
                <a:schemeClr val="accent2"/>
              </a:solidFill>
              <a:ln>
                <a:noFill/>
              </a:ln>
              <a:effectLst/>
            </c:spPr>
            <c:extLst>
              <c:ext xmlns:c16="http://schemas.microsoft.com/office/drawing/2014/chart" uri="{C3380CC4-5D6E-409C-BE32-E72D297353CC}">
                <c16:uniqueId val="{00000001-BD8F-4917-B297-CB53AEF7C990}"/>
              </c:ext>
            </c:extLst>
          </c:dPt>
          <c:dPt>
            <c:idx val="1"/>
            <c:bubble3D val="0"/>
            <c:spPr>
              <a:solidFill>
                <a:schemeClr val="accent4"/>
              </a:solidFill>
              <a:ln>
                <a:noFill/>
              </a:ln>
              <a:effectLst/>
            </c:spPr>
            <c:extLst>
              <c:ext xmlns:c16="http://schemas.microsoft.com/office/drawing/2014/chart" uri="{C3380CC4-5D6E-409C-BE32-E72D297353CC}">
                <c16:uniqueId val="{00000003-BD8F-4917-B297-CB53AEF7C990}"/>
              </c:ext>
            </c:extLst>
          </c:dPt>
          <c:dPt>
            <c:idx val="2"/>
            <c:bubble3D val="0"/>
            <c:spPr>
              <a:solidFill>
                <a:schemeClr val="accent6"/>
              </a:solidFill>
              <a:ln>
                <a:noFill/>
              </a:ln>
              <a:effectLst/>
            </c:spPr>
            <c:extLst>
              <c:ext xmlns:c16="http://schemas.microsoft.com/office/drawing/2014/chart" uri="{C3380CC4-5D6E-409C-BE32-E72D297353CC}">
                <c16:uniqueId val="{00000005-BD8F-4917-B297-CB53AEF7C990}"/>
              </c:ext>
            </c:extLst>
          </c:dPt>
          <c:dPt>
            <c:idx val="3"/>
            <c:bubble3D val="0"/>
            <c:spPr>
              <a:solidFill>
                <a:schemeClr val="accent2">
                  <a:lumMod val="60000"/>
                </a:schemeClr>
              </a:solidFill>
              <a:ln>
                <a:noFill/>
              </a:ln>
              <a:effectLst/>
            </c:spPr>
            <c:extLst>
              <c:ext xmlns:c16="http://schemas.microsoft.com/office/drawing/2014/chart" uri="{C3380CC4-5D6E-409C-BE32-E72D297353CC}">
                <c16:uniqueId val="{00000007-BD8F-4917-B297-CB53AEF7C99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10-14 years</c:v>
                </c:pt>
                <c:pt idx="1">
                  <c:v>15-19 years</c:v>
                </c:pt>
                <c:pt idx="2">
                  <c:v>20-25</c:v>
                </c:pt>
              </c:strCache>
            </c:strRef>
          </c:cat>
          <c:val>
            <c:numRef>
              <c:f>Sheet1!$B$2:$B$5</c:f>
              <c:numCache>
                <c:formatCode>#,##0</c:formatCode>
                <c:ptCount val="4"/>
                <c:pt idx="0">
                  <c:v>11000</c:v>
                </c:pt>
                <c:pt idx="1">
                  <c:v>9900</c:v>
                </c:pt>
                <c:pt idx="2">
                  <c:v>8900</c:v>
                </c:pt>
              </c:numCache>
            </c:numRef>
          </c:val>
          <c:extLst>
            <c:ext xmlns:c16="http://schemas.microsoft.com/office/drawing/2014/chart" uri="{C3380CC4-5D6E-409C-BE32-E72D297353CC}">
              <c16:uniqueId val="{00000000-209D-494D-9368-6AFC436E12DE}"/>
            </c:ext>
          </c:extLst>
        </c:ser>
        <c:ser>
          <c:idx val="1"/>
          <c:order val="1"/>
          <c:tx>
            <c:strRef>
              <c:f>Sheet1!$C$1</c:f>
              <c:strCache>
                <c:ptCount val="1"/>
                <c:pt idx="0">
                  <c:v>Column1</c:v>
                </c:pt>
              </c:strCache>
            </c:strRef>
          </c:tx>
          <c:dPt>
            <c:idx val="0"/>
            <c:bubble3D val="0"/>
            <c:spPr>
              <a:solidFill>
                <a:schemeClr val="accent2"/>
              </a:solidFill>
              <a:ln>
                <a:noFill/>
              </a:ln>
              <a:effectLst/>
            </c:spPr>
            <c:extLst>
              <c:ext xmlns:c16="http://schemas.microsoft.com/office/drawing/2014/chart" uri="{C3380CC4-5D6E-409C-BE32-E72D297353CC}">
                <c16:uniqueId val="{00000009-BD8F-4917-B297-CB53AEF7C990}"/>
              </c:ext>
            </c:extLst>
          </c:dPt>
          <c:dPt>
            <c:idx val="1"/>
            <c:bubble3D val="0"/>
            <c:spPr>
              <a:solidFill>
                <a:schemeClr val="accent4"/>
              </a:solidFill>
              <a:ln>
                <a:noFill/>
              </a:ln>
              <a:effectLst/>
            </c:spPr>
            <c:extLst>
              <c:ext xmlns:c16="http://schemas.microsoft.com/office/drawing/2014/chart" uri="{C3380CC4-5D6E-409C-BE32-E72D297353CC}">
                <c16:uniqueId val="{0000000B-BD8F-4917-B297-CB53AEF7C990}"/>
              </c:ext>
            </c:extLst>
          </c:dPt>
          <c:dPt>
            <c:idx val="2"/>
            <c:bubble3D val="0"/>
            <c:spPr>
              <a:solidFill>
                <a:schemeClr val="accent6"/>
              </a:solidFill>
              <a:ln>
                <a:noFill/>
              </a:ln>
              <a:effectLst/>
            </c:spPr>
            <c:extLst>
              <c:ext xmlns:c16="http://schemas.microsoft.com/office/drawing/2014/chart" uri="{C3380CC4-5D6E-409C-BE32-E72D297353CC}">
                <c16:uniqueId val="{0000000D-BD8F-4917-B297-CB53AEF7C990}"/>
              </c:ext>
            </c:extLst>
          </c:dPt>
          <c:dPt>
            <c:idx val="3"/>
            <c:bubble3D val="0"/>
            <c:spPr>
              <a:solidFill>
                <a:schemeClr val="accent2">
                  <a:lumMod val="60000"/>
                </a:schemeClr>
              </a:solidFill>
              <a:ln>
                <a:noFill/>
              </a:ln>
              <a:effectLst/>
            </c:spPr>
            <c:extLst>
              <c:ext xmlns:c16="http://schemas.microsoft.com/office/drawing/2014/chart" uri="{C3380CC4-5D6E-409C-BE32-E72D297353CC}">
                <c16:uniqueId val="{0000000F-BD8F-4917-B297-CB53AEF7C99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10-14 years</c:v>
                </c:pt>
                <c:pt idx="1">
                  <c:v>15-19 years</c:v>
                </c:pt>
                <c:pt idx="2">
                  <c:v>20-25</c:v>
                </c:pt>
              </c:strCache>
            </c:strRef>
          </c:cat>
          <c:val>
            <c:numRef>
              <c:f>Sheet1!$C$2:$C$5</c:f>
              <c:numCache>
                <c:formatCode>General</c:formatCode>
                <c:ptCount val="4"/>
              </c:numCache>
            </c:numRef>
          </c:val>
          <c:extLst>
            <c:ext xmlns:c16="http://schemas.microsoft.com/office/drawing/2014/chart" uri="{C3380CC4-5D6E-409C-BE32-E72D297353CC}">
              <c16:uniqueId val="{00000001-209D-494D-9368-6AFC436E12DE}"/>
            </c:ext>
          </c:extLst>
        </c:ser>
        <c:ser>
          <c:idx val="2"/>
          <c:order val="2"/>
          <c:tx>
            <c:strRef>
              <c:f>Sheet1!$D$1</c:f>
              <c:strCache>
                <c:ptCount val="1"/>
                <c:pt idx="0">
                  <c:v>Column2</c:v>
                </c:pt>
              </c:strCache>
            </c:strRef>
          </c:tx>
          <c:dPt>
            <c:idx val="0"/>
            <c:bubble3D val="0"/>
            <c:spPr>
              <a:solidFill>
                <a:schemeClr val="accent2"/>
              </a:solidFill>
              <a:ln>
                <a:noFill/>
              </a:ln>
              <a:effectLst/>
            </c:spPr>
            <c:extLst>
              <c:ext xmlns:c16="http://schemas.microsoft.com/office/drawing/2014/chart" uri="{C3380CC4-5D6E-409C-BE32-E72D297353CC}">
                <c16:uniqueId val="{00000011-BD8F-4917-B297-CB53AEF7C990}"/>
              </c:ext>
            </c:extLst>
          </c:dPt>
          <c:dPt>
            <c:idx val="1"/>
            <c:bubble3D val="0"/>
            <c:spPr>
              <a:solidFill>
                <a:schemeClr val="accent4"/>
              </a:solidFill>
              <a:ln>
                <a:noFill/>
              </a:ln>
              <a:effectLst/>
            </c:spPr>
            <c:extLst>
              <c:ext xmlns:c16="http://schemas.microsoft.com/office/drawing/2014/chart" uri="{C3380CC4-5D6E-409C-BE32-E72D297353CC}">
                <c16:uniqueId val="{00000013-BD8F-4917-B297-CB53AEF7C990}"/>
              </c:ext>
            </c:extLst>
          </c:dPt>
          <c:dPt>
            <c:idx val="2"/>
            <c:bubble3D val="0"/>
            <c:spPr>
              <a:solidFill>
                <a:schemeClr val="accent6"/>
              </a:solidFill>
              <a:ln>
                <a:noFill/>
              </a:ln>
              <a:effectLst/>
            </c:spPr>
            <c:extLst>
              <c:ext xmlns:c16="http://schemas.microsoft.com/office/drawing/2014/chart" uri="{C3380CC4-5D6E-409C-BE32-E72D297353CC}">
                <c16:uniqueId val="{00000015-BD8F-4917-B297-CB53AEF7C990}"/>
              </c:ext>
            </c:extLst>
          </c:dPt>
          <c:dPt>
            <c:idx val="3"/>
            <c:bubble3D val="0"/>
            <c:spPr>
              <a:solidFill>
                <a:schemeClr val="accent2">
                  <a:lumMod val="60000"/>
                </a:schemeClr>
              </a:solidFill>
              <a:ln>
                <a:noFill/>
              </a:ln>
              <a:effectLst/>
            </c:spPr>
            <c:extLst>
              <c:ext xmlns:c16="http://schemas.microsoft.com/office/drawing/2014/chart" uri="{C3380CC4-5D6E-409C-BE32-E72D297353CC}">
                <c16:uniqueId val="{00000017-BD8F-4917-B297-CB53AEF7C99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10-14 years</c:v>
                </c:pt>
                <c:pt idx="1">
                  <c:v>15-19 years</c:v>
                </c:pt>
                <c:pt idx="2">
                  <c:v>20-25</c:v>
                </c:pt>
              </c:strCache>
            </c:strRef>
          </c:cat>
          <c:val>
            <c:numRef>
              <c:f>Sheet1!$D$2:$D$5</c:f>
              <c:numCache>
                <c:formatCode>General</c:formatCode>
                <c:ptCount val="4"/>
              </c:numCache>
            </c:numRef>
          </c:val>
          <c:extLst>
            <c:ext xmlns:c16="http://schemas.microsoft.com/office/drawing/2014/chart" uri="{C3380CC4-5D6E-409C-BE32-E72D297353CC}">
              <c16:uniqueId val="{00000002-209D-494D-9368-6AFC436E12D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Education</a:t>
            </a:r>
            <a:r>
              <a:rPr lang="en-GB" baseline="0"/>
              <a:t> in 2011 vs 2021</a:t>
            </a:r>
            <a:endParaRPr lang="en-GB"/>
          </a:p>
        </c:rich>
      </c:tx>
      <c:layout>
        <c:manualLayout>
          <c:xMode val="edge"/>
          <c:yMode val="edge"/>
          <c:x val="7.2154382341551582E-2"/>
          <c:y val="5.54016620498614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Sheet1!$B$1</c:f>
              <c:strCache>
                <c:ptCount val="1"/>
                <c:pt idx="0">
                  <c:v>No qualifications </c:v>
                </c:pt>
              </c:strCache>
            </c:strRef>
          </c:tx>
          <c:spPr>
            <a:ln w="28575" cap="rnd">
              <a:solidFill>
                <a:schemeClr val="accent1"/>
              </a:solidFill>
              <a:round/>
            </a:ln>
            <a:effectLst/>
          </c:spPr>
          <c:marker>
            <c:symbol val="none"/>
          </c:marker>
          <c:cat>
            <c:numRef>
              <c:f>Sheet1!$A$2:$A$5</c:f>
              <c:numCache>
                <c:formatCode>General</c:formatCode>
                <c:ptCount val="4"/>
                <c:pt idx="0">
                  <c:v>2011</c:v>
                </c:pt>
                <c:pt idx="1">
                  <c:v>2021</c:v>
                </c:pt>
              </c:numCache>
            </c:numRef>
          </c:cat>
          <c:val>
            <c:numRef>
              <c:f>Sheet1!$B$2:$B$5</c:f>
              <c:numCache>
                <c:formatCode>#,##0</c:formatCode>
                <c:ptCount val="4"/>
                <c:pt idx="0">
                  <c:v>40334</c:v>
                </c:pt>
                <c:pt idx="1">
                  <c:v>31165</c:v>
                </c:pt>
              </c:numCache>
            </c:numRef>
          </c:val>
          <c:smooth val="0"/>
          <c:extLst>
            <c:ext xmlns:c16="http://schemas.microsoft.com/office/drawing/2014/chart" uri="{C3380CC4-5D6E-409C-BE32-E72D297353CC}">
              <c16:uniqueId val="{00000000-DE6F-468C-831C-E6F3EB072F2B}"/>
            </c:ext>
          </c:extLst>
        </c:ser>
        <c:ser>
          <c:idx val="1"/>
          <c:order val="1"/>
          <c:tx>
            <c:strRef>
              <c:f>Sheet1!$C$1</c:f>
              <c:strCache>
                <c:ptCount val="1"/>
                <c:pt idx="0">
                  <c:v>Level 4/above</c:v>
                </c:pt>
              </c:strCache>
            </c:strRef>
          </c:tx>
          <c:spPr>
            <a:ln w="28575" cap="rnd">
              <a:solidFill>
                <a:schemeClr val="accent2"/>
              </a:solidFill>
              <a:round/>
            </a:ln>
            <a:effectLst/>
          </c:spPr>
          <c:marker>
            <c:symbol val="none"/>
          </c:marker>
          <c:cat>
            <c:numRef>
              <c:f>Sheet1!$A$2:$A$5</c:f>
              <c:numCache>
                <c:formatCode>General</c:formatCode>
                <c:ptCount val="4"/>
                <c:pt idx="0">
                  <c:v>2011</c:v>
                </c:pt>
                <c:pt idx="1">
                  <c:v>2021</c:v>
                </c:pt>
              </c:numCache>
            </c:numRef>
          </c:cat>
          <c:val>
            <c:numRef>
              <c:f>Sheet1!$C$2:$C$5</c:f>
              <c:numCache>
                <c:formatCode>#,##0</c:formatCode>
                <c:ptCount val="4"/>
                <c:pt idx="0">
                  <c:v>36036</c:v>
                </c:pt>
                <c:pt idx="1">
                  <c:v>48644</c:v>
                </c:pt>
              </c:numCache>
            </c:numRef>
          </c:val>
          <c:smooth val="0"/>
          <c:extLst>
            <c:ext xmlns:c16="http://schemas.microsoft.com/office/drawing/2014/chart" uri="{C3380CC4-5D6E-409C-BE32-E72D297353CC}">
              <c16:uniqueId val="{00000001-DE6F-468C-831C-E6F3EB072F2B}"/>
            </c:ext>
          </c:extLst>
        </c:ser>
        <c:dLbls>
          <c:showLegendKey val="0"/>
          <c:showVal val="0"/>
          <c:showCatName val="0"/>
          <c:showSerName val="0"/>
          <c:showPercent val="0"/>
          <c:showBubbleSize val="0"/>
        </c:dLbls>
        <c:smooth val="0"/>
        <c:axId val="493137552"/>
        <c:axId val="493138992"/>
      </c:lineChart>
      <c:catAx>
        <c:axId val="493137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138992"/>
        <c:crosses val="autoZero"/>
        <c:auto val="1"/>
        <c:lblAlgn val="ctr"/>
        <c:lblOffset val="100"/>
        <c:noMultiLvlLbl val="0"/>
      </c:catAx>
      <c:valAx>
        <c:axId val="4931389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137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1174</Words>
  <Characters>6694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dc:creator>
  <cp:keywords/>
  <dc:description/>
  <cp:lastModifiedBy>Morgan Davies</cp:lastModifiedBy>
  <cp:revision>47</cp:revision>
  <dcterms:created xsi:type="dcterms:W3CDTF">2025-03-04T20:27:00Z</dcterms:created>
  <dcterms:modified xsi:type="dcterms:W3CDTF">2025-03-11T23:34:00Z</dcterms:modified>
</cp:coreProperties>
</file>