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405FB7" w14:textId="2397476A" w:rsidR="00F100E1" w:rsidRPr="004C2678" w:rsidRDefault="003E2E72" w:rsidP="00190ED5">
      <w:pPr>
        <w:jc w:val="center"/>
        <w:rPr>
          <w:rFonts w:cs="Times New Roman"/>
          <w:szCs w:val="24"/>
        </w:rPr>
      </w:pPr>
      <w:bookmarkStart w:id="0" w:name="_Hlk3392057"/>
      <w:bookmarkStart w:id="1" w:name="_Hlk6518584"/>
      <w:bookmarkStart w:id="2" w:name="_Hlk39052554"/>
      <w:bookmarkStart w:id="3" w:name="_Hlk39083089"/>
      <w:bookmarkStart w:id="4" w:name="_Hlk39953949"/>
      <w:bookmarkStart w:id="5" w:name="_Hlk42427952"/>
      <w:r>
        <w:rPr>
          <w:noProof/>
          <w:lang w:val="en-US"/>
        </w:rPr>
        <w:drawing>
          <wp:inline distT="0" distB="0" distL="0" distR="0" wp14:anchorId="7D9B8552" wp14:editId="6AB25049">
            <wp:extent cx="2908300" cy="965233"/>
            <wp:effectExtent l="0" t="0" r="6350" b="6350"/>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0543" cy="965977"/>
                    </a:xfrm>
                    <a:prstGeom prst="rect">
                      <a:avLst/>
                    </a:prstGeom>
                    <a:noFill/>
                    <a:ln>
                      <a:noFill/>
                    </a:ln>
                  </pic:spPr>
                </pic:pic>
              </a:graphicData>
            </a:graphic>
          </wp:inline>
        </w:drawing>
      </w:r>
    </w:p>
    <w:p w14:paraId="3AA4B65D" w14:textId="7276DEC0" w:rsidR="00F100E1" w:rsidRPr="004C2678" w:rsidRDefault="00F100E1" w:rsidP="00190ED5">
      <w:pPr>
        <w:jc w:val="center"/>
        <w:rPr>
          <w:rFonts w:cs="Times New Roman"/>
          <w:szCs w:val="24"/>
        </w:rPr>
      </w:pPr>
    </w:p>
    <w:p w14:paraId="24ED402D" w14:textId="77777777" w:rsidR="00F100E1" w:rsidRDefault="00F100E1" w:rsidP="003E2E72">
      <w:pPr>
        <w:rPr>
          <w:rFonts w:cs="Times New Roman"/>
          <w:szCs w:val="24"/>
        </w:rPr>
      </w:pPr>
    </w:p>
    <w:p w14:paraId="3800FC87" w14:textId="77777777" w:rsidR="003E2E72" w:rsidRPr="004C2678" w:rsidRDefault="003E2E72" w:rsidP="003E2E72">
      <w:pPr>
        <w:rPr>
          <w:rFonts w:cs="Times New Roman"/>
          <w:szCs w:val="24"/>
        </w:rPr>
      </w:pPr>
    </w:p>
    <w:p w14:paraId="4034306B" w14:textId="77777777" w:rsidR="003E2E72" w:rsidRPr="003E2E72" w:rsidRDefault="003E2E72" w:rsidP="003E2E72">
      <w:pPr>
        <w:spacing w:line="276" w:lineRule="auto"/>
        <w:jc w:val="center"/>
        <w:rPr>
          <w:rFonts w:cs="Times New Roman"/>
          <w:sz w:val="40"/>
          <w:szCs w:val="40"/>
        </w:rPr>
      </w:pPr>
      <w:r w:rsidRPr="003E2E72">
        <w:rPr>
          <w:rFonts w:cs="Times New Roman"/>
          <w:sz w:val="40"/>
          <w:szCs w:val="40"/>
        </w:rPr>
        <w:t>MBA</w:t>
      </w:r>
    </w:p>
    <w:p w14:paraId="2D324393" w14:textId="77777777" w:rsidR="003E2E72" w:rsidRPr="003E2E72" w:rsidRDefault="003E2E72" w:rsidP="003E2E72">
      <w:pPr>
        <w:spacing w:line="276" w:lineRule="auto"/>
        <w:jc w:val="center"/>
        <w:rPr>
          <w:rFonts w:cs="Times New Roman"/>
          <w:sz w:val="40"/>
          <w:szCs w:val="40"/>
        </w:rPr>
      </w:pPr>
      <w:r w:rsidRPr="003E2E72">
        <w:rPr>
          <w:rFonts w:cs="Times New Roman"/>
          <w:sz w:val="40"/>
          <w:szCs w:val="40"/>
        </w:rPr>
        <w:t>Banking Financial Management and Financial Markets</w:t>
      </w:r>
    </w:p>
    <w:p w14:paraId="0475D88B" w14:textId="18E48B15" w:rsidR="003E2E72" w:rsidRDefault="003E2E72" w:rsidP="003E2E72">
      <w:pPr>
        <w:jc w:val="center"/>
        <w:rPr>
          <w:rFonts w:cs="Times New Roman"/>
          <w:sz w:val="36"/>
          <w:szCs w:val="36"/>
        </w:rPr>
      </w:pPr>
      <w:r>
        <w:rPr>
          <w:rFonts w:cs="Times New Roman"/>
          <w:sz w:val="36"/>
          <w:szCs w:val="36"/>
        </w:rPr>
        <w:t>(LCMB7012)</w:t>
      </w:r>
    </w:p>
    <w:p w14:paraId="51C7945D" w14:textId="547FE85C" w:rsidR="00253504" w:rsidRDefault="003E2E72" w:rsidP="003E2E72">
      <w:pPr>
        <w:jc w:val="center"/>
        <w:rPr>
          <w:rFonts w:cs="Times New Roman"/>
          <w:szCs w:val="24"/>
        </w:rPr>
      </w:pPr>
      <w:r>
        <w:rPr>
          <w:noProof/>
          <w:lang w:val="en-US"/>
        </w:rPr>
        <w:drawing>
          <wp:inline distT="0" distB="0" distL="0" distR="0" wp14:anchorId="4A01E2F2" wp14:editId="456C295E">
            <wp:extent cx="4609582" cy="10287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33496" b="26895"/>
                    <a:stretch/>
                  </pic:blipFill>
                  <pic:spPr bwMode="auto">
                    <a:xfrm>
                      <a:off x="0" y="0"/>
                      <a:ext cx="4612664" cy="1029388"/>
                    </a:xfrm>
                    <a:prstGeom prst="rect">
                      <a:avLst/>
                    </a:prstGeom>
                    <a:noFill/>
                    <a:ln>
                      <a:noFill/>
                    </a:ln>
                    <a:extLst>
                      <a:ext uri="{53640926-AAD7-44D8-BBD7-CCE9431645EC}">
                        <a14:shadowObscured xmlns:a14="http://schemas.microsoft.com/office/drawing/2010/main"/>
                      </a:ext>
                    </a:extLst>
                  </pic:spPr>
                </pic:pic>
              </a:graphicData>
            </a:graphic>
          </wp:inline>
        </w:drawing>
      </w:r>
    </w:p>
    <w:p w14:paraId="22848AA5" w14:textId="77ED6C25" w:rsidR="00253504" w:rsidRPr="00E74DA5" w:rsidRDefault="00253504" w:rsidP="00190ED5">
      <w:pPr>
        <w:jc w:val="center"/>
        <w:rPr>
          <w:rFonts w:cs="Times New Roman"/>
          <w:szCs w:val="24"/>
        </w:rPr>
      </w:pPr>
    </w:p>
    <w:p w14:paraId="34F920A5" w14:textId="77777777" w:rsidR="003E2E72" w:rsidRDefault="003E2E72">
      <w:pPr>
        <w:spacing w:line="276" w:lineRule="auto"/>
        <w:jc w:val="left"/>
        <w:rPr>
          <w:lang w:val="en-US"/>
        </w:rPr>
      </w:pPr>
      <w:bookmarkStart w:id="6" w:name="_Toc39837778"/>
      <w:bookmarkEnd w:id="0"/>
      <w:bookmarkEnd w:id="1"/>
      <w:bookmarkEnd w:id="2"/>
      <w:bookmarkEnd w:id="3"/>
    </w:p>
    <w:p w14:paraId="54662C70" w14:textId="77777777" w:rsidR="003E2E72" w:rsidRDefault="003E2E72">
      <w:pPr>
        <w:spacing w:line="276" w:lineRule="auto"/>
        <w:jc w:val="left"/>
        <w:rPr>
          <w:lang w:val="en-US"/>
        </w:rPr>
      </w:pPr>
    </w:p>
    <w:p w14:paraId="6EC39E00" w14:textId="77777777" w:rsidR="003E2E72" w:rsidRDefault="003E2E72">
      <w:pPr>
        <w:spacing w:line="276" w:lineRule="auto"/>
        <w:jc w:val="left"/>
        <w:rPr>
          <w:lang w:val="en-US"/>
        </w:rPr>
      </w:pPr>
    </w:p>
    <w:p w14:paraId="6191539E" w14:textId="77777777" w:rsidR="003E2E72" w:rsidRDefault="003E2E72">
      <w:pPr>
        <w:spacing w:line="276" w:lineRule="auto"/>
        <w:jc w:val="left"/>
        <w:rPr>
          <w:lang w:val="en-US"/>
        </w:rPr>
      </w:pPr>
    </w:p>
    <w:p w14:paraId="3F119239" w14:textId="77777777" w:rsidR="003E2E72" w:rsidRDefault="003E2E72">
      <w:pPr>
        <w:spacing w:line="276" w:lineRule="auto"/>
        <w:jc w:val="left"/>
        <w:rPr>
          <w:lang w:val="en-US"/>
        </w:rPr>
      </w:pPr>
    </w:p>
    <w:p w14:paraId="202357D8" w14:textId="77777777" w:rsidR="003E2E72" w:rsidRDefault="003E2E72">
      <w:pPr>
        <w:spacing w:line="276" w:lineRule="auto"/>
        <w:jc w:val="left"/>
        <w:rPr>
          <w:lang w:val="en-US"/>
        </w:rPr>
      </w:pPr>
    </w:p>
    <w:p w14:paraId="06EDC9B9" w14:textId="77777777" w:rsidR="003E2E72" w:rsidRDefault="003E2E72" w:rsidP="003E2E72">
      <w:pPr>
        <w:spacing w:line="240" w:lineRule="auto"/>
        <w:jc w:val="left"/>
        <w:rPr>
          <w:rFonts w:cs="Times New Roman"/>
          <w:sz w:val="28"/>
          <w:szCs w:val="28"/>
        </w:rPr>
      </w:pPr>
      <w:r>
        <w:rPr>
          <w:rFonts w:cs="Times New Roman"/>
          <w:sz w:val="28"/>
          <w:szCs w:val="28"/>
        </w:rPr>
        <w:t xml:space="preserve">Student name: </w:t>
      </w:r>
      <w:proofErr w:type="spellStart"/>
      <w:r>
        <w:rPr>
          <w:rFonts w:cs="Times New Roman"/>
          <w:sz w:val="28"/>
          <w:szCs w:val="28"/>
        </w:rPr>
        <w:t>Dragalina</w:t>
      </w:r>
      <w:proofErr w:type="spellEnd"/>
      <w:r>
        <w:rPr>
          <w:rFonts w:cs="Times New Roman"/>
          <w:sz w:val="28"/>
          <w:szCs w:val="28"/>
        </w:rPr>
        <w:t xml:space="preserve"> </w:t>
      </w:r>
      <w:proofErr w:type="spellStart"/>
      <w:r>
        <w:rPr>
          <w:rFonts w:cs="Times New Roman"/>
          <w:sz w:val="28"/>
          <w:szCs w:val="28"/>
        </w:rPr>
        <w:t>Drenta</w:t>
      </w:r>
      <w:proofErr w:type="spellEnd"/>
    </w:p>
    <w:p w14:paraId="6B605FEC" w14:textId="77777777" w:rsidR="003E2E72" w:rsidRDefault="003E2E72" w:rsidP="003E2E72">
      <w:pPr>
        <w:spacing w:line="240" w:lineRule="auto"/>
        <w:jc w:val="left"/>
        <w:rPr>
          <w:rFonts w:cs="Times New Roman"/>
          <w:sz w:val="28"/>
          <w:szCs w:val="28"/>
        </w:rPr>
      </w:pPr>
      <w:r>
        <w:rPr>
          <w:rFonts w:cs="Times New Roman"/>
          <w:sz w:val="28"/>
          <w:szCs w:val="28"/>
        </w:rPr>
        <w:t>Student number: 2014034</w:t>
      </w:r>
    </w:p>
    <w:p w14:paraId="09215870" w14:textId="7DDCFA43" w:rsidR="009911C5" w:rsidRPr="003E2E72" w:rsidRDefault="003E2E72" w:rsidP="003E2E72">
      <w:pPr>
        <w:spacing w:line="240" w:lineRule="auto"/>
        <w:jc w:val="left"/>
        <w:rPr>
          <w:rFonts w:cs="Times New Roman"/>
          <w:sz w:val="28"/>
          <w:szCs w:val="28"/>
        </w:rPr>
      </w:pPr>
      <w:r>
        <w:rPr>
          <w:rFonts w:cs="Times New Roman"/>
          <w:sz w:val="28"/>
          <w:szCs w:val="28"/>
        </w:rPr>
        <w:t xml:space="preserve">Lecturer: Isaiah </w:t>
      </w:r>
      <w:proofErr w:type="spellStart"/>
      <w:r>
        <w:rPr>
          <w:rFonts w:cs="Times New Roman"/>
          <w:sz w:val="28"/>
          <w:szCs w:val="28"/>
        </w:rPr>
        <w:t>Oino</w:t>
      </w:r>
      <w:proofErr w:type="spellEnd"/>
      <w:r w:rsidR="001D6B0B" w:rsidRPr="00E74DA5">
        <w:rPr>
          <w:lang w:val="en-US"/>
        </w:rPr>
        <w:br w:type="page"/>
      </w:r>
    </w:p>
    <w:sdt>
      <w:sdtPr>
        <w:rPr>
          <w:rFonts w:ascii="Times New Roman" w:eastAsiaTheme="minorHAnsi" w:hAnsi="Times New Roman" w:cs="Times New Roman"/>
          <w:b w:val="0"/>
          <w:bCs w:val="0"/>
          <w:color w:val="000000" w:themeColor="text1"/>
          <w:sz w:val="24"/>
          <w:szCs w:val="24"/>
          <w:lang w:val="en-GB"/>
        </w:rPr>
        <w:id w:val="-426973264"/>
        <w:docPartObj>
          <w:docPartGallery w:val="Table of Contents"/>
          <w:docPartUnique/>
        </w:docPartObj>
      </w:sdtPr>
      <w:sdtEndPr>
        <w:rPr>
          <w:rFonts w:cstheme="minorBidi"/>
          <w:noProof/>
          <w:color w:val="auto"/>
          <w:szCs w:val="22"/>
        </w:rPr>
      </w:sdtEndPr>
      <w:sdtContent>
        <w:p w14:paraId="604BFA02" w14:textId="4951B2F4" w:rsidR="00A831B6" w:rsidRPr="003552F8" w:rsidRDefault="009911C5" w:rsidP="00153A72">
          <w:pPr>
            <w:pStyle w:val="TOCHeading"/>
            <w:tabs>
              <w:tab w:val="left" w:pos="2291"/>
            </w:tabs>
            <w:spacing w:line="480" w:lineRule="auto"/>
            <w:jc w:val="center"/>
            <w:rPr>
              <w:rFonts w:ascii="Times New Roman" w:hAnsi="Times New Roman" w:cs="Times New Roman"/>
              <w:color w:val="000000" w:themeColor="text1"/>
              <w:sz w:val="24"/>
              <w:szCs w:val="24"/>
            </w:rPr>
          </w:pPr>
          <w:r w:rsidRPr="004D4F21">
            <w:rPr>
              <w:rFonts w:ascii="Times New Roman" w:hAnsi="Times New Roman" w:cs="Times New Roman"/>
              <w:color w:val="000000" w:themeColor="text1"/>
              <w:sz w:val="24"/>
              <w:szCs w:val="24"/>
            </w:rPr>
            <w:t>Table of Contents</w:t>
          </w:r>
        </w:p>
        <w:p w14:paraId="76201E92" w14:textId="2E57E6B2" w:rsidR="00B40F35" w:rsidRDefault="009911C5">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0881296" w:history="1">
            <w:r w:rsidR="00B40F35" w:rsidRPr="00E6014B">
              <w:rPr>
                <w:rStyle w:val="Hyperlink"/>
                <w:noProof/>
              </w:rPr>
              <w:t>Introduction</w:t>
            </w:r>
            <w:r w:rsidR="00B40F35">
              <w:rPr>
                <w:noProof/>
                <w:webHidden/>
              </w:rPr>
              <w:tab/>
            </w:r>
            <w:r w:rsidR="00B40F35">
              <w:rPr>
                <w:noProof/>
                <w:webHidden/>
              </w:rPr>
              <w:fldChar w:fldCharType="begin"/>
            </w:r>
            <w:r w:rsidR="00B40F35">
              <w:rPr>
                <w:noProof/>
                <w:webHidden/>
              </w:rPr>
              <w:instrText xml:space="preserve"> PAGEREF _Toc70881296 \h </w:instrText>
            </w:r>
            <w:r w:rsidR="00B40F35">
              <w:rPr>
                <w:noProof/>
                <w:webHidden/>
              </w:rPr>
            </w:r>
            <w:r w:rsidR="00B40F35">
              <w:rPr>
                <w:noProof/>
                <w:webHidden/>
              </w:rPr>
              <w:fldChar w:fldCharType="separate"/>
            </w:r>
            <w:r w:rsidR="00B40F35">
              <w:rPr>
                <w:noProof/>
                <w:webHidden/>
              </w:rPr>
              <w:t>2</w:t>
            </w:r>
            <w:r w:rsidR="00B40F35">
              <w:rPr>
                <w:noProof/>
                <w:webHidden/>
              </w:rPr>
              <w:fldChar w:fldCharType="end"/>
            </w:r>
          </w:hyperlink>
        </w:p>
        <w:p w14:paraId="4941B5EF" w14:textId="02F96C93" w:rsidR="00B40F35" w:rsidRDefault="0026171B">
          <w:pPr>
            <w:pStyle w:val="TOC1"/>
            <w:tabs>
              <w:tab w:val="right" w:leader="dot" w:pos="9016"/>
            </w:tabs>
            <w:rPr>
              <w:rFonts w:asciiTheme="minorHAnsi" w:eastAsiaTheme="minorEastAsia" w:hAnsiTheme="minorHAnsi"/>
              <w:noProof/>
              <w:sz w:val="22"/>
              <w:lang w:val="en-US"/>
            </w:rPr>
          </w:pPr>
          <w:hyperlink w:anchor="_Toc70881297" w:history="1">
            <w:r w:rsidR="00B40F35" w:rsidRPr="00E6014B">
              <w:rPr>
                <w:rStyle w:val="Hyperlink"/>
                <w:noProof/>
              </w:rPr>
              <w:t>Main regulations, contracts and laws enacted after the 2008 financial crises in the UK and the US along with key players in the financial system to mitigate the crises</w:t>
            </w:r>
            <w:r w:rsidR="00B40F35">
              <w:rPr>
                <w:noProof/>
                <w:webHidden/>
              </w:rPr>
              <w:tab/>
            </w:r>
            <w:r w:rsidR="00B40F35">
              <w:rPr>
                <w:noProof/>
                <w:webHidden/>
              </w:rPr>
              <w:fldChar w:fldCharType="begin"/>
            </w:r>
            <w:r w:rsidR="00B40F35">
              <w:rPr>
                <w:noProof/>
                <w:webHidden/>
              </w:rPr>
              <w:instrText xml:space="preserve"> PAGEREF _Toc70881297 \h </w:instrText>
            </w:r>
            <w:r w:rsidR="00B40F35">
              <w:rPr>
                <w:noProof/>
                <w:webHidden/>
              </w:rPr>
            </w:r>
            <w:r w:rsidR="00B40F35">
              <w:rPr>
                <w:noProof/>
                <w:webHidden/>
              </w:rPr>
              <w:fldChar w:fldCharType="separate"/>
            </w:r>
            <w:r w:rsidR="00B40F35">
              <w:rPr>
                <w:noProof/>
                <w:webHidden/>
              </w:rPr>
              <w:t>3</w:t>
            </w:r>
            <w:r w:rsidR="00B40F35">
              <w:rPr>
                <w:noProof/>
                <w:webHidden/>
              </w:rPr>
              <w:fldChar w:fldCharType="end"/>
            </w:r>
          </w:hyperlink>
        </w:p>
        <w:p w14:paraId="78ED6511" w14:textId="6D7CF128" w:rsidR="00B40F35" w:rsidRDefault="0026171B">
          <w:pPr>
            <w:pStyle w:val="TOC1"/>
            <w:tabs>
              <w:tab w:val="right" w:leader="dot" w:pos="9016"/>
            </w:tabs>
            <w:rPr>
              <w:rFonts w:asciiTheme="minorHAnsi" w:eastAsiaTheme="minorEastAsia" w:hAnsiTheme="minorHAnsi"/>
              <w:noProof/>
              <w:sz w:val="22"/>
              <w:lang w:val="en-US"/>
            </w:rPr>
          </w:pPr>
          <w:hyperlink w:anchor="_Toc70881298" w:history="1">
            <w:r w:rsidR="00B40F35" w:rsidRPr="00E6014B">
              <w:rPr>
                <w:rStyle w:val="Hyperlink"/>
                <w:noProof/>
              </w:rPr>
              <w:t>Critical review of the extent to which these reforms has contributed towards stabilising the various banking institutions and financial system after the 2008 crises</w:t>
            </w:r>
            <w:r w:rsidR="00B40F35">
              <w:rPr>
                <w:noProof/>
                <w:webHidden/>
              </w:rPr>
              <w:tab/>
            </w:r>
            <w:r w:rsidR="00B40F35">
              <w:rPr>
                <w:noProof/>
                <w:webHidden/>
              </w:rPr>
              <w:fldChar w:fldCharType="begin"/>
            </w:r>
            <w:r w:rsidR="00B40F35">
              <w:rPr>
                <w:noProof/>
                <w:webHidden/>
              </w:rPr>
              <w:instrText xml:space="preserve"> PAGEREF _Toc70881298 \h </w:instrText>
            </w:r>
            <w:r w:rsidR="00B40F35">
              <w:rPr>
                <w:noProof/>
                <w:webHidden/>
              </w:rPr>
            </w:r>
            <w:r w:rsidR="00B40F35">
              <w:rPr>
                <w:noProof/>
                <w:webHidden/>
              </w:rPr>
              <w:fldChar w:fldCharType="separate"/>
            </w:r>
            <w:r w:rsidR="00B40F35">
              <w:rPr>
                <w:noProof/>
                <w:webHidden/>
              </w:rPr>
              <w:t>7</w:t>
            </w:r>
            <w:r w:rsidR="00B40F35">
              <w:rPr>
                <w:noProof/>
                <w:webHidden/>
              </w:rPr>
              <w:fldChar w:fldCharType="end"/>
            </w:r>
          </w:hyperlink>
        </w:p>
        <w:p w14:paraId="464B35CF" w14:textId="5F4DCAB4" w:rsidR="00B40F35" w:rsidRDefault="0026171B">
          <w:pPr>
            <w:pStyle w:val="TOC1"/>
            <w:tabs>
              <w:tab w:val="right" w:leader="dot" w:pos="9016"/>
            </w:tabs>
            <w:rPr>
              <w:rFonts w:asciiTheme="minorHAnsi" w:eastAsiaTheme="minorEastAsia" w:hAnsiTheme="minorHAnsi"/>
              <w:noProof/>
              <w:sz w:val="22"/>
              <w:lang w:val="en-US"/>
            </w:rPr>
          </w:pPr>
          <w:hyperlink w:anchor="_Toc70881299" w:history="1">
            <w:r w:rsidR="00B40F35" w:rsidRPr="00E6014B">
              <w:rPr>
                <w:rStyle w:val="Hyperlink"/>
                <w:noProof/>
              </w:rPr>
              <w:t>Extent to which these reforms have had an impact on the business model of U.S. Bancorp along with the level of compliance to these reforms</w:t>
            </w:r>
            <w:r w:rsidR="00B40F35">
              <w:rPr>
                <w:noProof/>
                <w:webHidden/>
              </w:rPr>
              <w:tab/>
            </w:r>
            <w:r w:rsidR="00B40F35">
              <w:rPr>
                <w:noProof/>
                <w:webHidden/>
              </w:rPr>
              <w:fldChar w:fldCharType="begin"/>
            </w:r>
            <w:r w:rsidR="00B40F35">
              <w:rPr>
                <w:noProof/>
                <w:webHidden/>
              </w:rPr>
              <w:instrText xml:space="preserve"> PAGEREF _Toc70881299 \h </w:instrText>
            </w:r>
            <w:r w:rsidR="00B40F35">
              <w:rPr>
                <w:noProof/>
                <w:webHidden/>
              </w:rPr>
            </w:r>
            <w:r w:rsidR="00B40F35">
              <w:rPr>
                <w:noProof/>
                <w:webHidden/>
              </w:rPr>
              <w:fldChar w:fldCharType="separate"/>
            </w:r>
            <w:r w:rsidR="00B40F35">
              <w:rPr>
                <w:noProof/>
                <w:webHidden/>
              </w:rPr>
              <w:t>11</w:t>
            </w:r>
            <w:r w:rsidR="00B40F35">
              <w:rPr>
                <w:noProof/>
                <w:webHidden/>
              </w:rPr>
              <w:fldChar w:fldCharType="end"/>
            </w:r>
          </w:hyperlink>
        </w:p>
        <w:p w14:paraId="4E5C311F" w14:textId="76BECE23" w:rsidR="00B40F35" w:rsidRDefault="0026171B">
          <w:pPr>
            <w:pStyle w:val="TOC1"/>
            <w:tabs>
              <w:tab w:val="right" w:leader="dot" w:pos="9016"/>
            </w:tabs>
            <w:rPr>
              <w:rFonts w:asciiTheme="minorHAnsi" w:eastAsiaTheme="minorEastAsia" w:hAnsiTheme="minorHAnsi"/>
              <w:noProof/>
              <w:sz w:val="22"/>
              <w:lang w:val="en-US"/>
            </w:rPr>
          </w:pPr>
          <w:hyperlink w:anchor="_Toc70881300" w:history="1">
            <w:r w:rsidR="00B40F35" w:rsidRPr="00E6014B">
              <w:rPr>
                <w:rStyle w:val="Hyperlink"/>
                <w:noProof/>
              </w:rPr>
              <w:t>Conclusion</w:t>
            </w:r>
            <w:r w:rsidR="00B40F35">
              <w:rPr>
                <w:noProof/>
                <w:webHidden/>
              </w:rPr>
              <w:tab/>
            </w:r>
            <w:r w:rsidR="00B40F35">
              <w:rPr>
                <w:noProof/>
                <w:webHidden/>
              </w:rPr>
              <w:fldChar w:fldCharType="begin"/>
            </w:r>
            <w:r w:rsidR="00B40F35">
              <w:rPr>
                <w:noProof/>
                <w:webHidden/>
              </w:rPr>
              <w:instrText xml:space="preserve"> PAGEREF _Toc70881300 \h </w:instrText>
            </w:r>
            <w:r w:rsidR="00B40F35">
              <w:rPr>
                <w:noProof/>
                <w:webHidden/>
              </w:rPr>
            </w:r>
            <w:r w:rsidR="00B40F35">
              <w:rPr>
                <w:noProof/>
                <w:webHidden/>
              </w:rPr>
              <w:fldChar w:fldCharType="separate"/>
            </w:r>
            <w:r w:rsidR="00B40F35">
              <w:rPr>
                <w:noProof/>
                <w:webHidden/>
              </w:rPr>
              <w:t>15</w:t>
            </w:r>
            <w:r w:rsidR="00B40F35">
              <w:rPr>
                <w:noProof/>
                <w:webHidden/>
              </w:rPr>
              <w:fldChar w:fldCharType="end"/>
            </w:r>
          </w:hyperlink>
        </w:p>
        <w:p w14:paraId="41D553D2" w14:textId="7B54FE82" w:rsidR="00B40F35" w:rsidRDefault="0026171B">
          <w:pPr>
            <w:pStyle w:val="TOC1"/>
            <w:tabs>
              <w:tab w:val="right" w:leader="dot" w:pos="9016"/>
            </w:tabs>
            <w:rPr>
              <w:rFonts w:asciiTheme="minorHAnsi" w:eastAsiaTheme="minorEastAsia" w:hAnsiTheme="minorHAnsi"/>
              <w:noProof/>
              <w:sz w:val="22"/>
              <w:lang w:val="en-US"/>
            </w:rPr>
          </w:pPr>
          <w:hyperlink w:anchor="_Toc70881301" w:history="1">
            <w:r w:rsidR="00B40F35" w:rsidRPr="00E6014B">
              <w:rPr>
                <w:rStyle w:val="Hyperlink"/>
                <w:noProof/>
              </w:rPr>
              <w:t>References</w:t>
            </w:r>
            <w:r w:rsidR="00B40F35">
              <w:rPr>
                <w:noProof/>
                <w:webHidden/>
              </w:rPr>
              <w:tab/>
            </w:r>
            <w:r w:rsidR="00B40F35">
              <w:rPr>
                <w:noProof/>
                <w:webHidden/>
              </w:rPr>
              <w:fldChar w:fldCharType="begin"/>
            </w:r>
            <w:r w:rsidR="00B40F35">
              <w:rPr>
                <w:noProof/>
                <w:webHidden/>
              </w:rPr>
              <w:instrText xml:space="preserve"> PAGEREF _Toc70881301 \h </w:instrText>
            </w:r>
            <w:r w:rsidR="00B40F35">
              <w:rPr>
                <w:noProof/>
                <w:webHidden/>
              </w:rPr>
            </w:r>
            <w:r w:rsidR="00B40F35">
              <w:rPr>
                <w:noProof/>
                <w:webHidden/>
              </w:rPr>
              <w:fldChar w:fldCharType="separate"/>
            </w:r>
            <w:r w:rsidR="00B40F35">
              <w:rPr>
                <w:noProof/>
                <w:webHidden/>
              </w:rPr>
              <w:t>17</w:t>
            </w:r>
            <w:r w:rsidR="00B40F35">
              <w:rPr>
                <w:noProof/>
                <w:webHidden/>
              </w:rPr>
              <w:fldChar w:fldCharType="end"/>
            </w:r>
          </w:hyperlink>
        </w:p>
        <w:p w14:paraId="7F8277BE" w14:textId="2FFD65CC" w:rsidR="009911C5" w:rsidRDefault="009911C5" w:rsidP="00153A72">
          <w:r>
            <w:rPr>
              <w:b/>
              <w:bCs/>
              <w:noProof/>
            </w:rPr>
            <w:fldChar w:fldCharType="end"/>
          </w:r>
        </w:p>
      </w:sdtContent>
    </w:sdt>
    <w:p w14:paraId="6A2C7D6A" w14:textId="4617D49D" w:rsidR="009911C5" w:rsidRDefault="009911C5">
      <w:pPr>
        <w:spacing w:line="276" w:lineRule="auto"/>
        <w:jc w:val="left"/>
        <w:rPr>
          <w:rFonts w:eastAsiaTheme="majorEastAsia" w:cstheme="majorBidi"/>
          <w:b/>
          <w:bCs/>
          <w:color w:val="000000" w:themeColor="text1"/>
          <w:szCs w:val="28"/>
          <w:lang w:val="en-US"/>
        </w:rPr>
      </w:pPr>
    </w:p>
    <w:bookmarkEnd w:id="6"/>
    <w:p w14:paraId="12B958CB" w14:textId="77777777" w:rsidR="006E29C6" w:rsidRDefault="006E29C6">
      <w:pPr>
        <w:spacing w:line="276" w:lineRule="auto"/>
        <w:jc w:val="left"/>
        <w:rPr>
          <w:rFonts w:eastAsiaTheme="majorEastAsia" w:cstheme="majorBidi"/>
          <w:b/>
          <w:bCs/>
          <w:color w:val="000000" w:themeColor="text1"/>
          <w:szCs w:val="28"/>
        </w:rPr>
      </w:pPr>
      <w:r>
        <w:br w:type="page"/>
      </w:r>
    </w:p>
    <w:p w14:paraId="7F815A0F" w14:textId="7A35C369" w:rsidR="002608FB" w:rsidRDefault="00C7454B" w:rsidP="0039211F">
      <w:pPr>
        <w:pStyle w:val="Heading1"/>
      </w:pPr>
      <w:bookmarkStart w:id="7" w:name="_Toc70881296"/>
      <w:bookmarkEnd w:id="4"/>
      <w:bookmarkEnd w:id="5"/>
      <w:r>
        <w:lastRenderedPageBreak/>
        <w:t>Introduction</w:t>
      </w:r>
      <w:bookmarkEnd w:id="7"/>
    </w:p>
    <w:p w14:paraId="20240EE6" w14:textId="662BF931" w:rsidR="00E92D77" w:rsidRDefault="003D5419" w:rsidP="003D5419">
      <w:r>
        <w:tab/>
        <w:t>The GFC is often identified as the period of extreme stress</w:t>
      </w:r>
      <w:r w:rsidR="00860890">
        <w:t xml:space="preserve"> pertaining to the </w:t>
      </w:r>
      <w:r>
        <w:t>banking systems and global</w:t>
      </w:r>
      <w:r w:rsidR="00860890">
        <w:t xml:space="preserve"> financial entities </w:t>
      </w:r>
      <w:r>
        <w:t>between the mid-2007 and early 2009.</w:t>
      </w:r>
      <w:r w:rsidR="00860890">
        <w:t xml:space="preserve"> During this time, the downturn in the housing market in the US </w:t>
      </w:r>
      <w:r w:rsidR="00D31D77">
        <w:t xml:space="preserve">is seen </w:t>
      </w:r>
      <w:r w:rsidR="00860890">
        <w:t>to be the main cause for financial crisis which started from the United States, thereby causing a ripple effect throughout the rest of the world via links in financial system at a global scale.</w:t>
      </w:r>
      <w:r w:rsidR="00E92D77">
        <w:t xml:space="preserve"> One of the most prominent causes of the GFC was </w:t>
      </w:r>
      <w:r w:rsidR="00D65C23">
        <w:t xml:space="preserve">also </w:t>
      </w:r>
      <w:r w:rsidR="00E92D77">
        <w:t>identified in terms of taking excessive risks as a result of ideal macroeconomic conditions in the housing market in the United States and European countries</w:t>
      </w:r>
      <w:r w:rsidR="00510245" w:rsidRPr="00510245">
        <w:t xml:space="preserve"> </w:t>
      </w:r>
      <w:r w:rsidR="00510245">
        <w:t>(</w:t>
      </w:r>
      <w:r w:rsidR="00510245" w:rsidRPr="0045620A">
        <w:t>Lane</w:t>
      </w:r>
      <w:r w:rsidR="00510245">
        <w:t xml:space="preserve"> </w:t>
      </w:r>
      <w:r w:rsidR="00510245" w:rsidRPr="0045620A">
        <w:t xml:space="preserve">and </w:t>
      </w:r>
      <w:proofErr w:type="spellStart"/>
      <w:r w:rsidR="00510245" w:rsidRPr="0045620A">
        <w:t>Milesi-Ferretti</w:t>
      </w:r>
      <w:proofErr w:type="spellEnd"/>
      <w:r w:rsidR="00510245">
        <w:t xml:space="preserve"> </w:t>
      </w:r>
      <w:r w:rsidR="00510245" w:rsidRPr="0045620A">
        <w:t>2017</w:t>
      </w:r>
      <w:r w:rsidR="00510245">
        <w:t>)</w:t>
      </w:r>
      <w:r w:rsidR="00E92D77">
        <w:t>.</w:t>
      </w:r>
    </w:p>
    <w:p w14:paraId="125E1F5A" w14:textId="589E3074" w:rsidR="00C62163" w:rsidRDefault="00E92D77" w:rsidP="003D5419">
      <w:r>
        <w:t xml:space="preserve"> </w:t>
      </w:r>
      <w:r w:rsidR="00C62163">
        <w:tab/>
      </w:r>
      <w:r>
        <w:t xml:space="preserve">In addition to this, due to increasing borrowings by </w:t>
      </w:r>
      <w:r w:rsidR="008D781B">
        <w:t xml:space="preserve">the </w:t>
      </w:r>
      <w:r>
        <w:t>investors and banks</w:t>
      </w:r>
      <w:r w:rsidR="008D781B">
        <w:t>,</w:t>
      </w:r>
      <w:r>
        <w:t xml:space="preserve"> the house prices started to diminish and the investors had to bear huge losses as a result of excessive borrowing. This is evident with favourable macroeconomic situation in the US </w:t>
      </w:r>
      <w:r w:rsidR="00AF5F75">
        <w:t xml:space="preserve">which led </w:t>
      </w:r>
      <w:r w:rsidR="00642386">
        <w:t>to</w:t>
      </w:r>
      <w:r>
        <w:t xml:space="preserve"> imprudently build and purchase household properties</w:t>
      </w:r>
      <w:r w:rsidR="00510245" w:rsidRPr="00510245">
        <w:t xml:space="preserve"> </w:t>
      </w:r>
      <w:r w:rsidR="00510245">
        <w:t>(</w:t>
      </w:r>
      <w:proofErr w:type="spellStart"/>
      <w:r w:rsidR="00510245" w:rsidRPr="0045620A">
        <w:t>Voskoboynikov</w:t>
      </w:r>
      <w:proofErr w:type="spellEnd"/>
      <w:r w:rsidR="00510245">
        <w:t xml:space="preserve"> </w:t>
      </w:r>
      <w:r w:rsidR="00510245" w:rsidRPr="0045620A">
        <w:t>2017</w:t>
      </w:r>
      <w:r w:rsidR="00510245">
        <w:t>)</w:t>
      </w:r>
      <w:r>
        <w:t>.</w:t>
      </w:r>
      <w:r w:rsidR="00C62163">
        <w:t xml:space="preserve"> The similar nature of expectation for house prices has also resulted in European nations such as Spain, Eastern Europe, Ireland and Iceland had also led to property developers to purchase and build household properties in excessive quantities. </w:t>
      </w:r>
      <w:r w:rsidR="00005790">
        <w:t>A</w:t>
      </w:r>
      <w:r w:rsidR="00C62163">
        <w:t xml:space="preserve"> major portion of risky borrowings </w:t>
      </w:r>
      <w:r w:rsidR="00D17DC9">
        <w:t>was</w:t>
      </w:r>
      <w:r w:rsidR="00C62163">
        <w:t xml:space="preserve"> also see</w:t>
      </w:r>
      <w:r w:rsidR="00005790">
        <w:t>n</w:t>
      </w:r>
      <w:r w:rsidR="00C62163">
        <w:t xml:space="preserve"> to be triggered by </w:t>
      </w:r>
      <w:r w:rsidR="004562B3">
        <w:t xml:space="preserve">the </w:t>
      </w:r>
      <w:r w:rsidR="00C62163">
        <w:t>investors who aim</w:t>
      </w:r>
      <w:r w:rsidR="005056E2">
        <w:t>ed</w:t>
      </w:r>
      <w:r w:rsidR="00C62163">
        <w:t xml:space="preserve"> for making short-term profits by relying on sub-prime borrowers. These types of borrowers mainly comprise</w:t>
      </w:r>
      <w:r w:rsidR="003D56F6">
        <w:t>d</w:t>
      </w:r>
      <w:r w:rsidR="00C62163">
        <w:t xml:space="preserve"> of risk of increased default and missing out on loan repayments</w:t>
      </w:r>
      <w:r w:rsidR="00510245" w:rsidRPr="00510245">
        <w:t xml:space="preserve"> </w:t>
      </w:r>
      <w:r w:rsidR="00510245">
        <w:t>(</w:t>
      </w:r>
      <w:r w:rsidR="00510245" w:rsidRPr="0045620A">
        <w:t>Bernanke</w:t>
      </w:r>
      <w:r w:rsidR="00510245">
        <w:t xml:space="preserve"> </w:t>
      </w:r>
      <w:r w:rsidR="00510245" w:rsidRPr="0045620A">
        <w:t>2018</w:t>
      </w:r>
      <w:r w:rsidR="00510245">
        <w:t>)</w:t>
      </w:r>
      <w:r w:rsidR="00C62163">
        <w:t>.</w:t>
      </w:r>
    </w:p>
    <w:p w14:paraId="7B96912C" w14:textId="377732C0" w:rsidR="003D5419" w:rsidRPr="003D5419" w:rsidRDefault="00C62163" w:rsidP="00C62163">
      <w:pPr>
        <w:ind w:firstLine="720"/>
      </w:pPr>
      <w:r>
        <w:t xml:space="preserve"> It is important to highlight the major failures at policy and regulation level. In this regard, the relevant laws for MBS products and sub-prime lending were too lenient. In particular, selling and creation of complex MBS products to the investors was seen to be controlled by insufficient regulation</w:t>
      </w:r>
      <w:r w:rsidR="00AE1D37">
        <w:t xml:space="preserve"> with respect to the institutions</w:t>
      </w:r>
      <w:r>
        <w:t xml:space="preserve">. </w:t>
      </w:r>
      <w:r w:rsidR="00AE1D37">
        <w:t xml:space="preserve">Moreover, individual borrowers provided loans of such big amount that they were unable to repay the same. This further resulted in increased incidences of fraud through overpromising investors on the safety of products pertaining to MBS and overstating of borrower’s income. As the crisis was </w:t>
      </w:r>
      <w:r w:rsidR="00AE1D37">
        <w:lastRenderedPageBreak/>
        <w:t>identified among the central banks in the US and the UK, the government was still unaware of the extent to which country was waiting for misfortune of bad loans. This severely compromised the security of all the MBS products and resulted in mortgage losses throughout the financial system</w:t>
      </w:r>
      <w:r w:rsidR="00510245" w:rsidRPr="00510245">
        <w:t xml:space="preserve"> </w:t>
      </w:r>
      <w:r w:rsidR="00510245">
        <w:t>(</w:t>
      </w:r>
      <w:r w:rsidR="00510245" w:rsidRPr="0045620A">
        <w:t>Zhang</w:t>
      </w:r>
      <w:r w:rsidR="00510245">
        <w:t xml:space="preserve"> </w:t>
      </w:r>
      <w:r w:rsidR="00510245" w:rsidRPr="0045620A">
        <w:t xml:space="preserve">and </w:t>
      </w:r>
      <w:proofErr w:type="spellStart"/>
      <w:r w:rsidR="00510245" w:rsidRPr="0045620A">
        <w:t>Broadstock</w:t>
      </w:r>
      <w:proofErr w:type="spellEnd"/>
      <w:r w:rsidR="00510245">
        <w:t xml:space="preserve"> </w:t>
      </w:r>
      <w:r w:rsidR="00510245" w:rsidRPr="0045620A">
        <w:t>2018</w:t>
      </w:r>
      <w:r w:rsidR="00510245">
        <w:t>)</w:t>
      </w:r>
      <w:r w:rsidR="00AE1D37">
        <w:t>.</w:t>
      </w:r>
    </w:p>
    <w:p w14:paraId="5B8963D5" w14:textId="4BCFB700" w:rsidR="00846815" w:rsidRPr="00846815" w:rsidRDefault="00846815" w:rsidP="00846815">
      <w:r>
        <w:tab/>
        <w:t xml:space="preserve">The purpose of this report is to </w:t>
      </w:r>
      <w:r w:rsidR="002C01F1">
        <w:t>discuss</w:t>
      </w:r>
      <w:r>
        <w:t xml:space="preserve"> the relevant contracts, regulations and laws which were enacted after the GFC 2008. In particular, the regulations which were implemented by the UK and the US authorities. In addition to this, their role in bringing an end to the financial crisis has been also mentioned in the study.</w:t>
      </w:r>
      <w:r w:rsidR="00EA7A85">
        <w:t xml:space="preserve"> The subsequent sections have further provided a critical assessment of the reforms which has contributed towards stabilisation of financial system and various other institutions of banking after the 2008 </w:t>
      </w:r>
      <w:r w:rsidR="00211EFC">
        <w:t xml:space="preserve">GFC. Lastly, the impact of the relevant contracts, regulations and laws has been implemented on </w:t>
      </w:r>
      <w:r w:rsidR="00211EFC" w:rsidRPr="00211EFC">
        <w:t>U.S. Bancorp</w:t>
      </w:r>
      <w:r w:rsidR="00211EFC">
        <w:t xml:space="preserve"> to assess overall impact and ascertain whether it has complied or </w:t>
      </w:r>
      <w:r w:rsidR="005F70ED">
        <w:t xml:space="preserve">not </w:t>
      </w:r>
      <w:r w:rsidR="00211EFC">
        <w:t>compl</w:t>
      </w:r>
      <w:r w:rsidR="00C2750E">
        <w:t>ied</w:t>
      </w:r>
      <w:r w:rsidR="00211EFC">
        <w:t xml:space="preserve"> to such reforms.</w:t>
      </w:r>
    </w:p>
    <w:p w14:paraId="55898BFA" w14:textId="3247B563" w:rsidR="005D4A6A" w:rsidRDefault="00201E37" w:rsidP="00B40F35">
      <w:pPr>
        <w:pStyle w:val="Heading1"/>
      </w:pPr>
      <w:bookmarkStart w:id="8" w:name="_Toc70881297"/>
      <w:r>
        <w:t xml:space="preserve">Main </w:t>
      </w:r>
      <w:r w:rsidR="00D45316">
        <w:t>regulations, contracts and laws enacted after the 2008 financial crises in the UK and the US along with key players in the financial system to mitigate the crises</w:t>
      </w:r>
      <w:bookmarkEnd w:id="8"/>
    </w:p>
    <w:p w14:paraId="7BA3E451" w14:textId="7965DDE5" w:rsidR="00A91BC3" w:rsidRDefault="00A91BC3" w:rsidP="00E95CDA">
      <w:r>
        <w:tab/>
        <w:t xml:space="preserve">Since the </w:t>
      </w:r>
      <w:r w:rsidR="00EF1142">
        <w:t>first evidences of GFC in 2007, both the UK and the US had depended on ambitious regimes pertaining to regulatory reforms which have been acknowledged as the re-regulation of finance.</w:t>
      </w:r>
      <w:r w:rsidR="00C16A50">
        <w:t xml:space="preserve"> Additionally, both the countries are among the main drivers for international processing of re-regulation and comply with the appropriate international standard in adherence with </w:t>
      </w:r>
      <w:r w:rsidR="00C46DCC" w:rsidRPr="00C46DCC">
        <w:rPr>
          <w:b/>
          <w:bCs/>
          <w:i/>
          <w:iCs/>
        </w:rPr>
        <w:t>“</w:t>
      </w:r>
      <w:r w:rsidR="00C16A50" w:rsidRPr="00C46DCC">
        <w:rPr>
          <w:b/>
          <w:bCs/>
          <w:i/>
          <w:iCs/>
        </w:rPr>
        <w:t>Financial Stability Board</w:t>
      </w:r>
      <w:r w:rsidR="002428D3" w:rsidRPr="00C46DCC">
        <w:rPr>
          <w:b/>
          <w:bCs/>
          <w:i/>
          <w:iCs/>
        </w:rPr>
        <w:t xml:space="preserve"> (FSB)</w:t>
      </w:r>
      <w:r w:rsidR="00C46DCC" w:rsidRPr="00C46DCC">
        <w:rPr>
          <w:b/>
          <w:bCs/>
          <w:i/>
          <w:iCs/>
        </w:rPr>
        <w:t>”</w:t>
      </w:r>
      <w:r w:rsidR="00C16A50">
        <w:t xml:space="preserve"> and </w:t>
      </w:r>
      <w:r w:rsidR="00C16A50" w:rsidRPr="00C16A50">
        <w:rPr>
          <w:b/>
          <w:bCs/>
          <w:i/>
          <w:iCs/>
        </w:rPr>
        <w:t>“Basel Committee on Banking Supervision</w:t>
      </w:r>
      <w:r w:rsidR="00C46DCC">
        <w:rPr>
          <w:b/>
          <w:bCs/>
          <w:i/>
          <w:iCs/>
        </w:rPr>
        <w:t xml:space="preserve"> (BCBS)</w:t>
      </w:r>
      <w:r w:rsidR="00C16A50" w:rsidRPr="00C16A50">
        <w:rPr>
          <w:b/>
          <w:bCs/>
          <w:i/>
          <w:iCs/>
        </w:rPr>
        <w:t>”</w:t>
      </w:r>
      <w:r w:rsidR="005245A5">
        <w:rPr>
          <w:b/>
          <w:bCs/>
          <w:i/>
          <w:iCs/>
        </w:rPr>
        <w:t>.</w:t>
      </w:r>
      <w:r w:rsidR="005245A5">
        <w:rPr>
          <w:bCs/>
          <w:iCs/>
        </w:rPr>
        <w:t xml:space="preserve"> Despite of the initiatives taken by both the countries to mitigate the crisis, the significant differences between the US and British approaches are evident as a result of differentiating political factors and industry structures.</w:t>
      </w:r>
      <w:r w:rsidR="00E95CDA">
        <w:rPr>
          <w:bCs/>
          <w:iCs/>
        </w:rPr>
        <w:t xml:space="preserve"> The institutional structure pertaining to the regulation of the UK emphasised on adoption of</w:t>
      </w:r>
      <w:r w:rsidR="00E95CDA" w:rsidRPr="00E95CDA">
        <w:t xml:space="preserve"> </w:t>
      </w:r>
      <w:r w:rsidR="00E95CDA" w:rsidRPr="00E95CDA">
        <w:rPr>
          <w:b/>
          <w:bCs/>
          <w:i/>
          <w:iCs/>
        </w:rPr>
        <w:t>“Twin Peaks”</w:t>
      </w:r>
      <w:r w:rsidR="00E95CDA">
        <w:rPr>
          <w:bCs/>
          <w:iCs/>
        </w:rPr>
        <w:t xml:space="preserve"> </w:t>
      </w:r>
      <w:r w:rsidR="00E95CDA" w:rsidRPr="00E95CDA">
        <w:rPr>
          <w:bCs/>
          <w:iCs/>
        </w:rPr>
        <w:t>structure</w:t>
      </w:r>
      <w:r w:rsidR="00E95CDA">
        <w:rPr>
          <w:bCs/>
          <w:iCs/>
        </w:rPr>
        <w:t xml:space="preserve"> along with the approach of ending the problem of “</w:t>
      </w:r>
      <w:r w:rsidR="00E95CDA" w:rsidRPr="00E95CDA">
        <w:rPr>
          <w:b/>
          <w:i/>
        </w:rPr>
        <w:t>Too Big to Fail (TBTF)”</w:t>
      </w:r>
      <w:r w:rsidR="00E95CDA">
        <w:rPr>
          <w:bCs/>
          <w:iCs/>
        </w:rPr>
        <w:t xml:space="preserve">. </w:t>
      </w:r>
      <w:r w:rsidR="00AA2745">
        <w:rPr>
          <w:bCs/>
          <w:iCs/>
        </w:rPr>
        <w:t xml:space="preserve">Based </w:t>
      </w:r>
      <w:r w:rsidR="00AA2745">
        <w:rPr>
          <w:bCs/>
          <w:iCs/>
        </w:rPr>
        <w:lastRenderedPageBreak/>
        <w:t>on such</w:t>
      </w:r>
      <w:r w:rsidR="00D642FC">
        <w:rPr>
          <w:bCs/>
          <w:iCs/>
        </w:rPr>
        <w:t xml:space="preserve"> concepts, the regulatory response by the UK in relation to the financial crisis has different beginning point in comparison to the US</w:t>
      </w:r>
      <w:r w:rsidR="00614654" w:rsidRPr="00614654">
        <w:t xml:space="preserve"> </w:t>
      </w:r>
      <w:r w:rsidR="00614654">
        <w:t>(</w:t>
      </w:r>
      <w:proofErr w:type="spellStart"/>
      <w:r w:rsidR="00614654" w:rsidRPr="00B42DA2">
        <w:t>Cubillas</w:t>
      </w:r>
      <w:proofErr w:type="spellEnd"/>
      <w:r w:rsidR="00614654" w:rsidRPr="00B42DA2">
        <w:t xml:space="preserve">, </w:t>
      </w:r>
      <w:proofErr w:type="spellStart"/>
      <w:r w:rsidR="00614654" w:rsidRPr="00B42DA2">
        <w:t>Fernández</w:t>
      </w:r>
      <w:proofErr w:type="spellEnd"/>
      <w:r w:rsidR="00614654">
        <w:t xml:space="preserve"> </w:t>
      </w:r>
      <w:r w:rsidR="00614654" w:rsidRPr="00B42DA2">
        <w:t>and González</w:t>
      </w:r>
      <w:r w:rsidR="00614654">
        <w:t xml:space="preserve"> </w:t>
      </w:r>
      <w:r w:rsidR="00614654" w:rsidRPr="00B42DA2">
        <w:t>2017</w:t>
      </w:r>
      <w:r w:rsidR="00614654">
        <w:t>)</w:t>
      </w:r>
      <w:r w:rsidR="00D642FC">
        <w:rPr>
          <w:bCs/>
          <w:iCs/>
        </w:rPr>
        <w:t xml:space="preserve">. This is particularly evident with the reforms needing to involve de-merger of single regulatory agency, in contrast to agency consolidation </w:t>
      </w:r>
      <w:r w:rsidR="00C8779E">
        <w:rPr>
          <w:bCs/>
          <w:iCs/>
        </w:rPr>
        <w:t>for the</w:t>
      </w:r>
      <w:r w:rsidR="00D642FC">
        <w:rPr>
          <w:bCs/>
          <w:iCs/>
        </w:rPr>
        <w:t xml:space="preserve"> US</w:t>
      </w:r>
      <w:r w:rsidR="00B56889">
        <w:rPr>
          <w:bCs/>
          <w:iCs/>
        </w:rPr>
        <w:t>. T</w:t>
      </w:r>
      <w:r w:rsidR="00D642FC">
        <w:rPr>
          <w:bCs/>
          <w:iCs/>
        </w:rPr>
        <w:t xml:space="preserve">he most prominent postcrisis regulatory reform for the UK is evident with dismantling of </w:t>
      </w:r>
      <w:r w:rsidR="00D642FC" w:rsidRPr="00D642FC">
        <w:rPr>
          <w:b/>
          <w:i/>
        </w:rPr>
        <w:t>“Financial Services Authority (FSA)”</w:t>
      </w:r>
      <w:r w:rsidR="00D642FC">
        <w:rPr>
          <w:b/>
          <w:i/>
        </w:rPr>
        <w:t xml:space="preserve">. </w:t>
      </w:r>
      <w:r w:rsidR="00D642FC">
        <w:rPr>
          <w:bCs/>
          <w:iCs/>
        </w:rPr>
        <w:t>In other words,</w:t>
      </w:r>
      <w:r w:rsidR="0070687A">
        <w:rPr>
          <w:bCs/>
          <w:iCs/>
        </w:rPr>
        <w:t xml:space="preserve"> UK replaced the sole integrated regulator (FSA) for insurance, securities and banking with a </w:t>
      </w:r>
      <w:r w:rsidR="0070687A" w:rsidRPr="0070687A">
        <w:rPr>
          <w:b/>
          <w:i/>
        </w:rPr>
        <w:t>“Twin Peaks”</w:t>
      </w:r>
      <w:r w:rsidR="0070687A">
        <w:rPr>
          <w:b/>
          <w:i/>
        </w:rPr>
        <w:t xml:space="preserve"> </w:t>
      </w:r>
      <w:r w:rsidR="0070687A">
        <w:t>structure which involves unique business conduct and prudential regulators</w:t>
      </w:r>
      <w:r w:rsidR="00614654" w:rsidRPr="00614654">
        <w:t xml:space="preserve"> </w:t>
      </w:r>
      <w:r w:rsidR="00614654">
        <w:t>(</w:t>
      </w:r>
      <w:r w:rsidR="00614654" w:rsidRPr="00B42DA2">
        <w:t>Joshi</w:t>
      </w:r>
      <w:r w:rsidR="00614654">
        <w:t xml:space="preserve"> </w:t>
      </w:r>
      <w:r w:rsidR="00614654" w:rsidRPr="00B42DA2">
        <w:t>2019</w:t>
      </w:r>
      <w:r w:rsidR="00614654">
        <w:t>)</w:t>
      </w:r>
      <w:r w:rsidR="0070687A">
        <w:t>.</w:t>
      </w:r>
    </w:p>
    <w:p w14:paraId="6A90021C" w14:textId="341308B4" w:rsidR="00EA337C" w:rsidRDefault="0070687A" w:rsidP="0070687A">
      <w:pPr>
        <w:rPr>
          <w:bCs/>
          <w:iCs/>
        </w:rPr>
      </w:pPr>
      <w:r>
        <w:tab/>
        <w:t xml:space="preserve">In December 2012, the FSA was seen to receive its royal assent and finally came into force from </w:t>
      </w:r>
      <w:r w:rsidRPr="0070687A">
        <w:t>April 1, 2013</w:t>
      </w:r>
      <w:r>
        <w:t xml:space="preserve"> with the implementation of two successor agencies namely </w:t>
      </w:r>
      <w:r w:rsidR="007937E1" w:rsidRPr="0070687A">
        <w:rPr>
          <w:b/>
          <w:bCs/>
          <w:i/>
          <w:iCs/>
        </w:rPr>
        <w:t>“Financial Conduct Authority (FCA)”</w:t>
      </w:r>
      <w:r w:rsidR="007937E1">
        <w:rPr>
          <w:b/>
          <w:bCs/>
          <w:i/>
          <w:iCs/>
        </w:rPr>
        <w:t xml:space="preserve"> </w:t>
      </w:r>
      <w:r w:rsidR="007937E1">
        <w:t xml:space="preserve">and </w:t>
      </w:r>
      <w:r w:rsidR="007937E1" w:rsidRPr="0070687A">
        <w:rPr>
          <w:b/>
          <w:bCs/>
          <w:i/>
          <w:iCs/>
        </w:rPr>
        <w:t>“Prudential Regulation Authority (PRA)”</w:t>
      </w:r>
      <w:r w:rsidR="007937E1">
        <w:rPr>
          <w:b/>
          <w:bCs/>
          <w:i/>
          <w:iCs/>
        </w:rPr>
        <w:t xml:space="preserve">. </w:t>
      </w:r>
      <w:r w:rsidR="00AF2F89">
        <w:rPr>
          <w:bCs/>
          <w:iCs/>
        </w:rPr>
        <w:t xml:space="preserve">This is the main reasoning </w:t>
      </w:r>
      <w:r w:rsidR="00E33B37">
        <w:rPr>
          <w:bCs/>
          <w:iCs/>
        </w:rPr>
        <w:t>behind</w:t>
      </w:r>
      <w:r w:rsidR="00AF2F89">
        <w:rPr>
          <w:bCs/>
          <w:iCs/>
        </w:rPr>
        <w:t xml:space="preserve"> naming the two successor agencies as the </w:t>
      </w:r>
      <w:r w:rsidR="00AF2F89" w:rsidRPr="0070687A">
        <w:rPr>
          <w:b/>
          <w:i/>
        </w:rPr>
        <w:t>“Twin Peaks”</w:t>
      </w:r>
      <w:r w:rsidR="00AF2F89">
        <w:rPr>
          <w:b/>
          <w:i/>
        </w:rPr>
        <w:t xml:space="preserve"> </w:t>
      </w:r>
      <w:r w:rsidR="00AF2F89">
        <w:t>structure.</w:t>
      </w:r>
      <w:r w:rsidR="00AF2F89">
        <w:rPr>
          <w:bCs/>
          <w:iCs/>
        </w:rPr>
        <w:t xml:space="preserve"> It is important to note that PRA acts as a specialist regulator on prudential basis for insurance companies, deposit taking institutions and investment firms</w:t>
      </w:r>
      <w:r w:rsidR="00614654" w:rsidRPr="00614654">
        <w:t xml:space="preserve"> </w:t>
      </w:r>
      <w:r w:rsidR="00614654">
        <w:t>(</w:t>
      </w:r>
      <w:proofErr w:type="spellStart"/>
      <w:r w:rsidR="00614654" w:rsidRPr="00B42DA2">
        <w:t>Schmulow</w:t>
      </w:r>
      <w:proofErr w:type="spellEnd"/>
      <w:r w:rsidR="00614654">
        <w:t xml:space="preserve"> </w:t>
      </w:r>
      <w:r w:rsidR="00614654" w:rsidRPr="00B42DA2">
        <w:t>2021</w:t>
      </w:r>
      <w:r w:rsidR="00614654">
        <w:t>)</w:t>
      </w:r>
      <w:r w:rsidR="00AF2F89">
        <w:rPr>
          <w:bCs/>
          <w:iCs/>
        </w:rPr>
        <w:t>. The investment f</w:t>
      </w:r>
      <w:r w:rsidR="007937E1">
        <w:rPr>
          <w:bCs/>
          <w:iCs/>
        </w:rPr>
        <w:t>i</w:t>
      </w:r>
      <w:r w:rsidR="00AF2F89">
        <w:rPr>
          <w:bCs/>
          <w:iCs/>
        </w:rPr>
        <w:t>rms in particular would be</w:t>
      </w:r>
      <w:r w:rsidR="00C748CC">
        <w:rPr>
          <w:bCs/>
          <w:iCs/>
        </w:rPr>
        <w:t xml:space="preserve"> considered</w:t>
      </w:r>
      <w:r w:rsidR="00AF2F89">
        <w:rPr>
          <w:bCs/>
          <w:iCs/>
        </w:rPr>
        <w:t xml:space="preserve"> designated if it had minimum capital </w:t>
      </w:r>
      <w:r w:rsidR="00280B2A">
        <w:rPr>
          <w:bCs/>
          <w:iCs/>
        </w:rPr>
        <w:t>of €</w:t>
      </w:r>
      <w:r w:rsidR="00AF2F89" w:rsidRPr="00AF2F89">
        <w:rPr>
          <w:bCs/>
          <w:iCs/>
        </w:rPr>
        <w:t>730,000</w:t>
      </w:r>
      <w:r w:rsidR="00AF2F89">
        <w:rPr>
          <w:bCs/>
          <w:iCs/>
        </w:rPr>
        <w:t xml:space="preserve"> or was found to be dealing in securities</w:t>
      </w:r>
      <w:r w:rsidR="00AF2F89" w:rsidRPr="00AF2F89">
        <w:rPr>
          <w:bCs/>
          <w:iCs/>
        </w:rPr>
        <w:t>.</w:t>
      </w:r>
      <w:r w:rsidR="00AF2F89">
        <w:rPr>
          <w:bCs/>
          <w:iCs/>
        </w:rPr>
        <w:t xml:space="preserve"> However, in cases when the f</w:t>
      </w:r>
      <w:r w:rsidR="00280B2A">
        <w:rPr>
          <w:bCs/>
          <w:iCs/>
        </w:rPr>
        <w:t>i</w:t>
      </w:r>
      <w:r w:rsidR="00AF2F89">
        <w:rPr>
          <w:bCs/>
          <w:iCs/>
        </w:rPr>
        <w:t xml:space="preserve">rms had </w:t>
      </w:r>
      <w:r w:rsidR="00280B2A">
        <w:rPr>
          <w:bCs/>
          <w:iCs/>
        </w:rPr>
        <w:t xml:space="preserve">capital less than the prescribed threshold or did </w:t>
      </w:r>
      <w:r w:rsidR="00AF2F89">
        <w:rPr>
          <w:bCs/>
          <w:iCs/>
        </w:rPr>
        <w:t xml:space="preserve">not </w:t>
      </w:r>
      <w:r w:rsidR="00280B2A">
        <w:rPr>
          <w:bCs/>
          <w:iCs/>
        </w:rPr>
        <w:t>deal as principal</w:t>
      </w:r>
      <w:r w:rsidR="00592003">
        <w:rPr>
          <w:bCs/>
          <w:iCs/>
        </w:rPr>
        <w:t>, it</w:t>
      </w:r>
      <w:r w:rsidR="00280B2A">
        <w:rPr>
          <w:bCs/>
          <w:iCs/>
        </w:rPr>
        <w:t xml:space="preserve"> was seen to be prudentially controlled by the FCA, irrespective of the fact whether they be being controlled by PRA or not</w:t>
      </w:r>
      <w:r w:rsidR="00614654" w:rsidRPr="00614654">
        <w:t xml:space="preserve"> </w:t>
      </w:r>
      <w:r w:rsidR="00614654">
        <w:t>(</w:t>
      </w:r>
      <w:proofErr w:type="spellStart"/>
      <w:r w:rsidR="00614654" w:rsidRPr="00B42DA2">
        <w:t>Schoenmaker</w:t>
      </w:r>
      <w:proofErr w:type="spellEnd"/>
      <w:r w:rsidR="00614654">
        <w:t xml:space="preserve"> </w:t>
      </w:r>
      <w:r w:rsidR="00614654" w:rsidRPr="00B42DA2">
        <w:t xml:space="preserve">and </w:t>
      </w:r>
      <w:proofErr w:type="spellStart"/>
      <w:r w:rsidR="00614654" w:rsidRPr="00B42DA2">
        <w:t>Véron</w:t>
      </w:r>
      <w:proofErr w:type="spellEnd"/>
      <w:r w:rsidR="00614654">
        <w:t xml:space="preserve"> </w:t>
      </w:r>
      <w:r w:rsidR="00614654" w:rsidRPr="00B42DA2">
        <w:t>2018</w:t>
      </w:r>
      <w:r w:rsidR="00614654">
        <w:t>)</w:t>
      </w:r>
      <w:r w:rsidR="00280B2A">
        <w:rPr>
          <w:bCs/>
          <w:iCs/>
        </w:rPr>
        <w:t>.</w:t>
      </w:r>
      <w:r w:rsidR="00DD78D2">
        <w:rPr>
          <w:bCs/>
          <w:iCs/>
        </w:rPr>
        <w:t xml:space="preserve"> </w:t>
      </w:r>
    </w:p>
    <w:p w14:paraId="483CD62D" w14:textId="51AEF3AF" w:rsidR="0070687A" w:rsidRPr="00DD78D2" w:rsidRDefault="00DD78D2" w:rsidP="00EA337C">
      <w:pPr>
        <w:ind w:firstLine="720"/>
        <w:rPr>
          <w:bCs/>
          <w:iCs/>
        </w:rPr>
      </w:pPr>
      <w:r>
        <w:rPr>
          <w:bCs/>
          <w:iCs/>
        </w:rPr>
        <w:t xml:space="preserve">On a concluding note, it can be said that the concept of the </w:t>
      </w:r>
      <w:r w:rsidRPr="0070687A">
        <w:rPr>
          <w:b/>
          <w:i/>
        </w:rPr>
        <w:t>“Twin Peaks”</w:t>
      </w:r>
      <w:r>
        <w:rPr>
          <w:b/>
          <w:i/>
        </w:rPr>
        <w:t xml:space="preserve"> </w:t>
      </w:r>
      <w:r>
        <w:t>structure relied on observation which was eventually ignored by modern financial markets</w:t>
      </w:r>
      <w:r w:rsidR="00E33B37">
        <w:t>,</w:t>
      </w:r>
      <w:r>
        <w:t xml:space="preserve"> resulting in obsolete regulatory systems and categories of financial products. The main propositions under the formation of FCA and PRA was mainly based on devising regulatory system structure, thereby incorporating different objectives of regulation, consumer protection and broad financial system stability. This attributed to the objectives of different agencies being eponymous with </w:t>
      </w:r>
      <w:r w:rsidRPr="0070687A">
        <w:rPr>
          <w:b/>
          <w:i/>
        </w:rPr>
        <w:t>“Twin Peaks”</w:t>
      </w:r>
      <w:r>
        <w:rPr>
          <w:b/>
          <w:i/>
        </w:rPr>
        <w:t xml:space="preserve"> </w:t>
      </w:r>
      <w:r>
        <w:t xml:space="preserve">since it involved different skills and expertise </w:t>
      </w:r>
      <w:r w:rsidR="009039C7">
        <w:t xml:space="preserve">along with </w:t>
      </w:r>
      <w:r w:rsidR="009039C7">
        <w:lastRenderedPageBreak/>
        <w:t>substantial amount of time</w:t>
      </w:r>
      <w:r>
        <w:t xml:space="preserve"> </w:t>
      </w:r>
      <w:r w:rsidR="009039C7">
        <w:t xml:space="preserve">for </w:t>
      </w:r>
      <w:r>
        <w:t>policy trade-off that were directly dealt in the public realm rather than the confinement of an agency.</w:t>
      </w:r>
      <w:r w:rsidR="007F33FC">
        <w:t xml:space="preserve"> Additionally, the formation of FSA was considered as least retrospective in comparison to the model of Twin Peaks</w:t>
      </w:r>
      <w:r w:rsidR="00981324">
        <w:t>. This is due to the fact that FSA demonstrated a more radical consolidation of specialist regulators which was having substantial impact on business conduct and prudential matters</w:t>
      </w:r>
      <w:r w:rsidR="00614654" w:rsidRPr="00614654">
        <w:t xml:space="preserve"> </w:t>
      </w:r>
      <w:r w:rsidR="00614654">
        <w:t>(</w:t>
      </w:r>
      <w:r w:rsidR="00614654" w:rsidRPr="00B42DA2">
        <w:t>Brown</w:t>
      </w:r>
      <w:r w:rsidR="00614654">
        <w:t xml:space="preserve"> </w:t>
      </w:r>
      <w:r w:rsidR="00614654" w:rsidRPr="00B42DA2">
        <w:t>and Lee</w:t>
      </w:r>
      <w:r w:rsidR="00614654">
        <w:t xml:space="preserve"> </w:t>
      </w:r>
      <w:r w:rsidR="00614654" w:rsidRPr="00B42DA2">
        <w:t>2019</w:t>
      </w:r>
      <w:r w:rsidR="00614654">
        <w:t>)</w:t>
      </w:r>
      <w:r w:rsidR="00981324">
        <w:t>.</w:t>
      </w:r>
    </w:p>
    <w:p w14:paraId="5CEAF3B3" w14:textId="1DE48BBE" w:rsidR="00A91BC3" w:rsidRDefault="00D82147" w:rsidP="00D82147">
      <w:pPr>
        <w:ind w:firstLine="720"/>
        <w:rPr>
          <w:bCs/>
          <w:iCs/>
        </w:rPr>
      </w:pPr>
      <w:r>
        <w:t xml:space="preserve">In the US, Barack Obama and </w:t>
      </w:r>
      <w:r w:rsidRPr="00D82147">
        <w:t>George W. Bush</w:t>
      </w:r>
      <w:r>
        <w:t xml:space="preserve"> approved the most influential yet controversial legislative measures such as </w:t>
      </w:r>
      <w:r w:rsidR="00451D45" w:rsidRPr="004E6063">
        <w:rPr>
          <w:b/>
          <w:bCs/>
          <w:i/>
          <w:iCs/>
        </w:rPr>
        <w:t>“</w:t>
      </w:r>
      <w:r w:rsidRPr="004E6063">
        <w:rPr>
          <w:b/>
          <w:bCs/>
          <w:i/>
          <w:iCs/>
        </w:rPr>
        <w:t>Consumer Protection Act</w:t>
      </w:r>
      <w:r w:rsidR="00451D45" w:rsidRPr="004E6063">
        <w:rPr>
          <w:b/>
          <w:bCs/>
          <w:i/>
          <w:iCs/>
        </w:rPr>
        <w:t xml:space="preserve"> (CPA)”</w:t>
      </w:r>
      <w:r>
        <w:t xml:space="preserve"> and </w:t>
      </w:r>
      <w:r w:rsidR="00451D45" w:rsidRPr="004E6063">
        <w:rPr>
          <w:b/>
          <w:bCs/>
          <w:i/>
          <w:iCs/>
        </w:rPr>
        <w:t>“</w:t>
      </w:r>
      <w:r w:rsidRPr="004E6063">
        <w:rPr>
          <w:b/>
          <w:bCs/>
          <w:i/>
          <w:iCs/>
        </w:rPr>
        <w:t>Dodd-Frank Wall Street Reform</w:t>
      </w:r>
      <w:r w:rsidR="00FC2C98" w:rsidRPr="004E6063">
        <w:rPr>
          <w:b/>
          <w:bCs/>
          <w:i/>
          <w:iCs/>
        </w:rPr>
        <w:t xml:space="preserve"> (</w:t>
      </w:r>
      <w:bookmarkStart w:id="9" w:name="_Hlk70794893"/>
      <w:r w:rsidR="00FC2C98" w:rsidRPr="004E6063">
        <w:rPr>
          <w:b/>
          <w:bCs/>
          <w:i/>
          <w:iCs/>
        </w:rPr>
        <w:t>DFWS</w:t>
      </w:r>
      <w:bookmarkEnd w:id="9"/>
      <w:r w:rsidR="000E4DDD">
        <w:rPr>
          <w:b/>
          <w:bCs/>
          <w:i/>
          <w:iCs/>
        </w:rPr>
        <w:t>R</w:t>
      </w:r>
      <w:r w:rsidR="00FC2C98" w:rsidRPr="004E6063">
        <w:rPr>
          <w:b/>
          <w:bCs/>
          <w:i/>
          <w:iCs/>
        </w:rPr>
        <w:t>)</w:t>
      </w:r>
      <w:r w:rsidR="00451D45" w:rsidRPr="004E6063">
        <w:rPr>
          <w:b/>
          <w:bCs/>
          <w:i/>
          <w:iCs/>
        </w:rPr>
        <w:t>”</w:t>
      </w:r>
      <w:r>
        <w:t>. These were identified as some of the main regulation and laws for protecting the consumers and taking control of the</w:t>
      </w:r>
      <w:r w:rsidR="00492272">
        <w:t xml:space="preserve"> activities in the</w:t>
      </w:r>
      <w:r>
        <w:t xml:space="preserve"> financial sector.</w:t>
      </w:r>
      <w:r w:rsidR="00492272">
        <w:t xml:space="preserve"> The other contracts and law can be identified in form of </w:t>
      </w:r>
      <w:r w:rsidR="00492272" w:rsidRPr="00492272">
        <w:rPr>
          <w:b/>
          <w:bCs/>
          <w:i/>
          <w:iCs/>
        </w:rPr>
        <w:t>“Troubled Asset Relief Program (TARP)”</w:t>
      </w:r>
      <w:r w:rsidR="00492272">
        <w:t xml:space="preserve"> and </w:t>
      </w:r>
      <w:r w:rsidR="00492272" w:rsidRPr="00492272">
        <w:t>“</w:t>
      </w:r>
      <w:r w:rsidR="00492272" w:rsidRPr="00492272">
        <w:rPr>
          <w:b/>
          <w:bCs/>
          <w:i/>
          <w:iCs/>
        </w:rPr>
        <w:t>Emergency Economic Stabilization Act</w:t>
      </w:r>
      <w:r w:rsidR="00492272">
        <w:rPr>
          <w:b/>
          <w:bCs/>
          <w:i/>
          <w:iCs/>
        </w:rPr>
        <w:t xml:space="preserve"> (ESSA)</w:t>
      </w:r>
      <w:r w:rsidR="00492272" w:rsidRPr="00492272">
        <w:rPr>
          <w:b/>
          <w:bCs/>
          <w:i/>
          <w:iCs/>
        </w:rPr>
        <w:t>”</w:t>
      </w:r>
      <w:r w:rsidR="00451D45">
        <w:rPr>
          <w:b/>
          <w:bCs/>
          <w:i/>
          <w:iCs/>
        </w:rPr>
        <w:t>.</w:t>
      </w:r>
      <w:r w:rsidR="00451D45">
        <w:rPr>
          <w:bCs/>
          <w:iCs/>
        </w:rPr>
        <w:t xml:space="preserve"> It is also worth mentioning that the Federal </w:t>
      </w:r>
      <w:r w:rsidR="001C3628">
        <w:rPr>
          <w:bCs/>
          <w:iCs/>
        </w:rPr>
        <w:t>R</w:t>
      </w:r>
      <w:r w:rsidR="00451D45">
        <w:rPr>
          <w:bCs/>
          <w:iCs/>
        </w:rPr>
        <w:t>eserve took the responsibility of additional new measures at its own discretion.</w:t>
      </w:r>
      <w:r w:rsidR="00B32EA9">
        <w:rPr>
          <w:bCs/>
          <w:iCs/>
        </w:rPr>
        <w:t xml:space="preserve"> The initiative of Federal </w:t>
      </w:r>
      <w:r w:rsidR="001C3628">
        <w:rPr>
          <w:bCs/>
          <w:iCs/>
        </w:rPr>
        <w:t>R</w:t>
      </w:r>
      <w:r w:rsidR="00B32EA9">
        <w:rPr>
          <w:bCs/>
          <w:iCs/>
        </w:rPr>
        <w:t>eserve to respond to 2008 GFC</w:t>
      </w:r>
      <w:r w:rsidR="004C6598">
        <w:rPr>
          <w:bCs/>
          <w:iCs/>
        </w:rPr>
        <w:t xml:space="preserve"> id </w:t>
      </w:r>
      <w:r w:rsidR="00F054B2">
        <w:rPr>
          <w:bCs/>
          <w:iCs/>
        </w:rPr>
        <w:t>evident</w:t>
      </w:r>
      <w:r w:rsidR="00B32EA9">
        <w:rPr>
          <w:bCs/>
          <w:iCs/>
        </w:rPr>
        <w:t xml:space="preserve"> through ESSA and </w:t>
      </w:r>
      <w:r w:rsidR="000E4DDD">
        <w:rPr>
          <w:bCs/>
          <w:iCs/>
        </w:rPr>
        <w:t>DFWSR</w:t>
      </w:r>
      <w:r w:rsidR="00B32EA9">
        <w:rPr>
          <w:bCs/>
          <w:iCs/>
        </w:rPr>
        <w:t xml:space="preserve">. </w:t>
      </w:r>
      <w:r w:rsidR="000E4DDD">
        <w:rPr>
          <w:bCs/>
          <w:iCs/>
        </w:rPr>
        <w:t>DFWSR</w:t>
      </w:r>
      <w:r w:rsidR="00B32EA9">
        <w:rPr>
          <w:bCs/>
          <w:iCs/>
        </w:rPr>
        <w:t xml:space="preserve"> in particular was seen to be effective in</w:t>
      </w:r>
      <w:r w:rsidR="00B00B62">
        <w:rPr>
          <w:bCs/>
          <w:iCs/>
        </w:rPr>
        <w:t xml:space="preserve"> creation of several stand-alone provisions. On the other hand, ESSA was conducive in providing over $700B in form of bailout relief. The implementation of </w:t>
      </w:r>
      <w:r w:rsidR="000E4DDD">
        <w:rPr>
          <w:bCs/>
          <w:iCs/>
        </w:rPr>
        <w:t>DFWSR</w:t>
      </w:r>
      <w:r w:rsidR="00B00B62">
        <w:rPr>
          <w:bCs/>
          <w:iCs/>
        </w:rPr>
        <w:t xml:space="preserve"> give rise to the formation of several new committees which eventually led to Federal Reserve in taking responsibilities of increased oversight in the financial market</w:t>
      </w:r>
      <w:bookmarkStart w:id="10" w:name="_Hlk70798414"/>
      <w:r w:rsidR="0006269F" w:rsidRPr="0006269F">
        <w:t xml:space="preserve"> </w:t>
      </w:r>
      <w:r w:rsidR="0006269F">
        <w:t>(</w:t>
      </w:r>
      <w:r w:rsidR="0006269F" w:rsidRPr="00B42DA2">
        <w:t>Sinha</w:t>
      </w:r>
      <w:r w:rsidR="0006269F">
        <w:t xml:space="preserve"> </w:t>
      </w:r>
      <w:r w:rsidR="0006269F" w:rsidRPr="00B42DA2">
        <w:t>2017</w:t>
      </w:r>
      <w:bookmarkEnd w:id="10"/>
      <w:r w:rsidR="0006269F">
        <w:t>)</w:t>
      </w:r>
      <w:r w:rsidR="00B00B62">
        <w:rPr>
          <w:bCs/>
          <w:iCs/>
        </w:rPr>
        <w:t>.</w:t>
      </w:r>
    </w:p>
    <w:p w14:paraId="4A4E785B" w14:textId="54669BB3" w:rsidR="004B67C8" w:rsidRDefault="00B00B62" w:rsidP="00D82147">
      <w:pPr>
        <w:ind w:firstLine="720"/>
      </w:pPr>
      <w:r>
        <w:rPr>
          <w:bCs/>
          <w:iCs/>
        </w:rPr>
        <w:t xml:space="preserve">The </w:t>
      </w:r>
      <w:r w:rsidR="000E4DDD">
        <w:rPr>
          <w:bCs/>
          <w:iCs/>
        </w:rPr>
        <w:t>DFWSR</w:t>
      </w:r>
      <w:r>
        <w:rPr>
          <w:bCs/>
          <w:iCs/>
        </w:rPr>
        <w:t xml:space="preserve"> was seen to be introduced in July 2010 which was able to bring sweeping reforms in the financial sector of the US. It was mainly associated with several already existing standards for governing regulations in the financial trading and securities market. In addition to this, </w:t>
      </w:r>
      <w:r w:rsidR="000E4DDD">
        <w:rPr>
          <w:bCs/>
          <w:iCs/>
        </w:rPr>
        <w:t>DFWSR</w:t>
      </w:r>
      <w:r>
        <w:rPr>
          <w:bCs/>
          <w:iCs/>
        </w:rPr>
        <w:t xml:space="preserve"> was also helpful in formation of important agencies to protect and monitor the financial interests of the US consumers which is mainly evident in form of </w:t>
      </w:r>
      <w:r w:rsidRPr="00B00B62">
        <w:rPr>
          <w:b/>
          <w:i/>
        </w:rPr>
        <w:t>“Consumer Financial Protection Bureau (CFPB)”</w:t>
      </w:r>
      <w:r w:rsidR="00907F2D" w:rsidRPr="00907F2D">
        <w:t xml:space="preserve"> </w:t>
      </w:r>
      <w:r w:rsidR="00907F2D">
        <w:t>(</w:t>
      </w:r>
      <w:r w:rsidR="00907F2D" w:rsidRPr="00180D53">
        <w:t>McCoy</w:t>
      </w:r>
      <w:r w:rsidR="00907F2D">
        <w:t xml:space="preserve"> </w:t>
      </w:r>
      <w:r w:rsidR="00907F2D" w:rsidRPr="00180D53">
        <w:t>2018</w:t>
      </w:r>
      <w:r w:rsidR="00907F2D">
        <w:t>)</w:t>
      </w:r>
      <w:r>
        <w:rPr>
          <w:b/>
          <w:i/>
        </w:rPr>
        <w:t xml:space="preserve">. </w:t>
      </w:r>
      <w:r>
        <w:t xml:space="preserve">Some of the other important </w:t>
      </w:r>
      <w:r w:rsidR="001F248B">
        <w:t>contracts</w:t>
      </w:r>
      <w:r>
        <w:t xml:space="preserve"> in the US </w:t>
      </w:r>
      <w:r w:rsidR="00651C99">
        <w:t xml:space="preserve">is </w:t>
      </w:r>
      <w:r>
        <w:t xml:space="preserve">responsible for </w:t>
      </w:r>
      <w:r w:rsidR="00651C99">
        <w:t xml:space="preserve">facilitating better </w:t>
      </w:r>
      <w:r>
        <w:t>trading, reporting and formation of regulatory framework post GFC 2008</w:t>
      </w:r>
      <w:r w:rsidR="00651C99">
        <w:t xml:space="preserve">. These were implemented by making </w:t>
      </w:r>
      <w:r w:rsidR="00651C99">
        <w:lastRenderedPageBreak/>
        <w:t xml:space="preserve">some changes to the initial </w:t>
      </w:r>
      <w:r w:rsidR="000E4DDD">
        <w:t>DFWSR</w:t>
      </w:r>
      <w:r w:rsidR="00651C99">
        <w:t xml:space="preserve">. The </w:t>
      </w:r>
      <w:r w:rsidR="000E4DDD">
        <w:t>DFWSR</w:t>
      </w:r>
      <w:r w:rsidR="00651C99">
        <w:t xml:space="preserve"> witnessed changes as per the </w:t>
      </w:r>
      <w:r w:rsidR="00651C99" w:rsidRPr="00651C99">
        <w:rPr>
          <w:b/>
          <w:bCs/>
          <w:i/>
          <w:iCs/>
        </w:rPr>
        <w:t>“Securities Act of 1933”</w:t>
      </w:r>
      <w:r w:rsidR="00651C99">
        <w:t xml:space="preserve"> to make amendments based on regulation D, thereby including exemptions on registration of securities. Furthermore, such exemptions were associated with special issuance of securities pertaining to accredited investors</w:t>
      </w:r>
      <w:bookmarkStart w:id="11" w:name="_Hlk70798399"/>
      <w:r w:rsidR="008118AC" w:rsidRPr="008118AC">
        <w:t xml:space="preserve"> </w:t>
      </w:r>
      <w:bookmarkEnd w:id="11"/>
      <w:r w:rsidR="00BF0ECE">
        <w:t>(</w:t>
      </w:r>
      <w:r w:rsidR="00BF0ECE" w:rsidRPr="00D131B2">
        <w:t>Sar</w:t>
      </w:r>
      <w:r w:rsidR="00BF0ECE">
        <w:t xml:space="preserve"> </w:t>
      </w:r>
      <w:r w:rsidR="00BF0ECE" w:rsidRPr="00D131B2">
        <w:t>2017</w:t>
      </w:r>
      <w:r w:rsidR="00BF0ECE">
        <w:t>)</w:t>
      </w:r>
      <w:r w:rsidR="00651C99">
        <w:t xml:space="preserve">. </w:t>
      </w:r>
    </w:p>
    <w:p w14:paraId="6AA4BF2A" w14:textId="3A873B26" w:rsidR="00B00B62" w:rsidRPr="00540506" w:rsidRDefault="000E4DDD" w:rsidP="004B67C8">
      <w:pPr>
        <w:ind w:firstLine="720"/>
      </w:pPr>
      <w:r>
        <w:t>DFWSR</w:t>
      </w:r>
      <w:r w:rsidR="00651C99">
        <w:t xml:space="preserve"> made relevant adjustments to the definition of </w:t>
      </w:r>
      <w:r w:rsidR="00651C99" w:rsidRPr="00651C99">
        <w:t>accredited investor</w:t>
      </w:r>
      <w:r w:rsidR="00651C99">
        <w:t>, thereby removing the need for inclusion of primary residence from the investor</w:t>
      </w:r>
      <w:r w:rsidR="002268AB">
        <w:t>’</w:t>
      </w:r>
      <w:r w:rsidR="00651C99">
        <w:t xml:space="preserve">s net worth. In addition to this, </w:t>
      </w:r>
      <w:r w:rsidR="00651C99" w:rsidRPr="00651C99">
        <w:rPr>
          <w:b/>
          <w:bCs/>
          <w:i/>
          <w:iCs/>
        </w:rPr>
        <w:t>“Securities Exchange Act of 1934”</w:t>
      </w:r>
      <w:r w:rsidR="00651C99">
        <w:rPr>
          <w:b/>
          <w:bCs/>
          <w:i/>
          <w:iCs/>
        </w:rPr>
        <w:t xml:space="preserve"> </w:t>
      </w:r>
      <w:r w:rsidR="00651C99">
        <w:rPr>
          <w:bCs/>
          <w:iCs/>
        </w:rPr>
        <w:t xml:space="preserve">brought into effect </w:t>
      </w:r>
      <w:r w:rsidR="00651C99" w:rsidRPr="00651C99">
        <w:rPr>
          <w:b/>
          <w:i/>
        </w:rPr>
        <w:t>“Title IX of Dodd-Frank”</w:t>
      </w:r>
      <w:r w:rsidR="00651C99">
        <w:rPr>
          <w:b/>
          <w:i/>
        </w:rPr>
        <w:t xml:space="preserve">, </w:t>
      </w:r>
      <w:r w:rsidR="00651C99" w:rsidRPr="00651C99">
        <w:rPr>
          <w:bCs/>
          <w:iCs/>
        </w:rPr>
        <w:t>which serve</w:t>
      </w:r>
      <w:r w:rsidR="00651C99">
        <w:rPr>
          <w:bCs/>
          <w:iCs/>
        </w:rPr>
        <w:t>d</w:t>
      </w:r>
      <w:r w:rsidR="00651C99" w:rsidRPr="00651C99">
        <w:rPr>
          <w:bCs/>
          <w:iCs/>
        </w:rPr>
        <w:t xml:space="preserve"> the</w:t>
      </w:r>
      <w:r w:rsidR="00651C99">
        <w:rPr>
          <w:bCs/>
          <w:iCs/>
        </w:rPr>
        <w:t xml:space="preserve"> purpose for making relevant amendments as per the aforementioned securities act</w:t>
      </w:r>
      <w:r w:rsidR="00907F2D" w:rsidRPr="00907F2D">
        <w:t xml:space="preserve"> </w:t>
      </w:r>
      <w:r w:rsidR="00907F2D">
        <w:t>(</w:t>
      </w:r>
      <w:r w:rsidR="00907F2D" w:rsidRPr="00180D53">
        <w:t>Bauwens 2017</w:t>
      </w:r>
      <w:r w:rsidR="00907F2D">
        <w:t>)</w:t>
      </w:r>
      <w:r w:rsidR="00651C99">
        <w:rPr>
          <w:bCs/>
          <w:iCs/>
        </w:rPr>
        <w:t xml:space="preserve">. In this regard, Title IX in particular required </w:t>
      </w:r>
      <w:r w:rsidR="00651C99" w:rsidRPr="00651C99">
        <w:rPr>
          <w:b/>
          <w:i/>
        </w:rPr>
        <w:t>“Office of the Investor Advocate (OIA)”</w:t>
      </w:r>
      <w:r w:rsidR="00651C99">
        <w:rPr>
          <w:b/>
          <w:i/>
        </w:rPr>
        <w:t xml:space="preserve"> </w:t>
      </w:r>
      <w:r w:rsidR="00651C99">
        <w:t xml:space="preserve">for creation of </w:t>
      </w:r>
      <w:r w:rsidR="00651C99" w:rsidRPr="00651C99">
        <w:rPr>
          <w:b/>
          <w:bCs/>
          <w:i/>
          <w:iCs/>
        </w:rPr>
        <w:t>“Investor Advisory Committee (IAC)”</w:t>
      </w:r>
      <w:r w:rsidR="00540506">
        <w:rPr>
          <w:b/>
          <w:bCs/>
          <w:i/>
          <w:iCs/>
        </w:rPr>
        <w:t xml:space="preserve"> </w:t>
      </w:r>
      <w:r w:rsidR="00540506">
        <w:rPr>
          <w:bCs/>
          <w:iCs/>
        </w:rPr>
        <w:t xml:space="preserve">and appointment of an </w:t>
      </w:r>
      <w:r w:rsidR="00540506" w:rsidRPr="00540506">
        <w:rPr>
          <w:bCs/>
          <w:iCs/>
        </w:rPr>
        <w:t>ombudsman</w:t>
      </w:r>
      <w:r w:rsidR="00540506">
        <w:rPr>
          <w:bCs/>
          <w:iCs/>
        </w:rPr>
        <w:t xml:space="preserve">. The amendments also required new research to be conducted to resolve any conflict of interest within the mutual fund advertisements and investment firms which has been newly formed by oversight groups. </w:t>
      </w:r>
      <w:r w:rsidR="00AD56B6" w:rsidRPr="00AD56B6">
        <w:rPr>
          <w:bCs/>
          <w:iCs/>
        </w:rPr>
        <w:t>Title IX</w:t>
      </w:r>
      <w:r w:rsidR="00AD56B6">
        <w:rPr>
          <w:bCs/>
          <w:iCs/>
        </w:rPr>
        <w:t xml:space="preserve"> introduced new sections to the </w:t>
      </w:r>
      <w:r>
        <w:t>DFWSR</w:t>
      </w:r>
      <w:r w:rsidR="00AD56B6">
        <w:t xml:space="preserve">, which is evident in form of sec </w:t>
      </w:r>
      <w:r w:rsidR="00AD56B6" w:rsidRPr="00AD56B6">
        <w:t>932, 935, and 939</w:t>
      </w:r>
      <w:r w:rsidR="00907F2D" w:rsidRPr="00907F2D">
        <w:t xml:space="preserve"> </w:t>
      </w:r>
      <w:r w:rsidR="00907F2D">
        <w:t>(</w:t>
      </w:r>
      <w:r w:rsidR="00907F2D" w:rsidRPr="00180D53">
        <w:t>Peirce</w:t>
      </w:r>
      <w:r w:rsidR="00907F2D">
        <w:t xml:space="preserve"> </w:t>
      </w:r>
      <w:r w:rsidR="00907F2D" w:rsidRPr="00180D53">
        <w:t>2017</w:t>
      </w:r>
      <w:r w:rsidR="00907F2D">
        <w:t>)</w:t>
      </w:r>
      <w:r w:rsidR="007C1BE0">
        <w:t xml:space="preserve">. These were mainly done for making the relevant improvement in regulation of credit rating agencies and including significant assessment of credit ratings for oversight as stated by </w:t>
      </w:r>
      <w:r w:rsidR="007C1BE0" w:rsidRPr="007C1BE0">
        <w:rPr>
          <w:b/>
          <w:bCs/>
          <w:i/>
          <w:iCs/>
        </w:rPr>
        <w:t>“Securities Exchange Commission (SEC)”</w:t>
      </w:r>
      <w:r w:rsidR="004B67C8">
        <w:rPr>
          <w:b/>
          <w:bCs/>
          <w:i/>
          <w:iCs/>
        </w:rPr>
        <w:t xml:space="preserve">. </w:t>
      </w:r>
      <w:r w:rsidR="004B67C8">
        <w:t xml:space="preserve">Some of the other major improvements made as per </w:t>
      </w:r>
      <w:r w:rsidR="004B67C8" w:rsidRPr="004B67C8">
        <w:t>Title IX</w:t>
      </w:r>
      <w:r w:rsidR="004B67C8">
        <w:t xml:space="preserve"> comprise</w:t>
      </w:r>
      <w:r w:rsidR="002268AB">
        <w:t>d</w:t>
      </w:r>
      <w:r w:rsidR="004B67C8">
        <w:t xml:space="preserve"> of a</w:t>
      </w:r>
      <w:r w:rsidR="004B67C8" w:rsidRPr="004B67C8">
        <w:t>sset-backed securitization process</w:t>
      </w:r>
      <w:r w:rsidR="004B67C8">
        <w:t xml:space="preserve"> which </w:t>
      </w:r>
      <w:r w:rsidR="002268AB">
        <w:t>strongly</w:t>
      </w:r>
      <w:r w:rsidR="004B67C8">
        <w:t xml:space="preserve"> reli</w:t>
      </w:r>
      <w:r w:rsidR="002268AB">
        <w:t>ed</w:t>
      </w:r>
      <w:r w:rsidR="004B67C8">
        <w:t xml:space="preserve"> on </w:t>
      </w:r>
      <w:r w:rsidR="004B67C8" w:rsidRPr="004B67C8">
        <w:t>mortgage-backed securitization</w:t>
      </w:r>
      <w:r w:rsidR="004B67C8">
        <w:t xml:space="preserve">. </w:t>
      </w:r>
      <w:r w:rsidR="00540506">
        <w:rPr>
          <w:bCs/>
          <w:iCs/>
        </w:rPr>
        <w:t xml:space="preserve">At a later stage, amendments to the </w:t>
      </w:r>
      <w:r>
        <w:t>DFWSR</w:t>
      </w:r>
      <w:r w:rsidR="00540506">
        <w:t xml:space="preserve"> were brought into effect by </w:t>
      </w:r>
      <w:r w:rsidR="00540506" w:rsidRPr="00540506">
        <w:t>Title IX</w:t>
      </w:r>
      <w:r w:rsidR="00540506">
        <w:t xml:space="preserve"> as per </w:t>
      </w:r>
      <w:r w:rsidR="00540506" w:rsidRPr="00540506">
        <w:t>1934 Act</w:t>
      </w:r>
      <w:r w:rsidR="00540506">
        <w:t xml:space="preserve"> which related to the issues of corporate governance, including compensation and accountability</w:t>
      </w:r>
      <w:r w:rsidR="0086339B" w:rsidRPr="0086339B">
        <w:t xml:space="preserve"> </w:t>
      </w:r>
      <w:r w:rsidR="0086339B">
        <w:t>(</w:t>
      </w:r>
      <w:proofErr w:type="spellStart"/>
      <w:r w:rsidR="0086339B" w:rsidRPr="00180D53">
        <w:t>Tanafon</w:t>
      </w:r>
      <w:proofErr w:type="spellEnd"/>
      <w:r w:rsidR="0086339B">
        <w:t xml:space="preserve"> </w:t>
      </w:r>
      <w:r w:rsidR="0086339B" w:rsidRPr="00180D53">
        <w:t>2018</w:t>
      </w:r>
      <w:r w:rsidR="0086339B">
        <w:t>)</w:t>
      </w:r>
      <w:r w:rsidR="00540506">
        <w:t>.</w:t>
      </w:r>
    </w:p>
    <w:p w14:paraId="04C99AFF" w14:textId="5A1D6A24" w:rsidR="005B444B" w:rsidRDefault="001B70DA" w:rsidP="00D82147">
      <w:pPr>
        <w:ind w:firstLine="720"/>
      </w:pPr>
      <w:r>
        <w:t xml:space="preserve">Eventually, it was seen that </w:t>
      </w:r>
      <w:r w:rsidR="000E4DDD">
        <w:t>DFWSR</w:t>
      </w:r>
      <w:r>
        <w:t xml:space="preserve"> was having a minimal direct impact on the </w:t>
      </w:r>
      <w:r w:rsidRPr="001B70DA">
        <w:rPr>
          <w:b/>
          <w:bCs/>
          <w:i/>
          <w:iCs/>
        </w:rPr>
        <w:t>“Investment Company Act Of 1940”</w:t>
      </w:r>
      <w:r>
        <w:t xml:space="preserve"> and investment companies. As a result of this, the new oversight committee </w:t>
      </w:r>
      <w:r w:rsidR="00F74708">
        <w:t xml:space="preserve">based on the aforementioned act increased the power provided to the existing regulations under </w:t>
      </w:r>
      <w:r w:rsidR="000E4DDD">
        <w:t>DFWSR</w:t>
      </w:r>
      <w:r w:rsidR="00F74708">
        <w:t xml:space="preserve">. This is mainly evident in form of increased flexibility for </w:t>
      </w:r>
      <w:r w:rsidR="00F74708" w:rsidRPr="00F74708">
        <w:rPr>
          <w:b/>
          <w:bCs/>
          <w:i/>
          <w:iCs/>
        </w:rPr>
        <w:t>“Securities Exchange Commission (SEC)”</w:t>
      </w:r>
      <w:r w:rsidR="00F74708">
        <w:rPr>
          <w:b/>
          <w:bCs/>
          <w:i/>
          <w:iCs/>
        </w:rPr>
        <w:t xml:space="preserve">, </w:t>
      </w:r>
      <w:r w:rsidR="00F74708">
        <w:rPr>
          <w:bCs/>
          <w:iCs/>
        </w:rPr>
        <w:t xml:space="preserve">which has created several opportunities for </w:t>
      </w:r>
      <w:r w:rsidR="00F74708">
        <w:rPr>
          <w:bCs/>
          <w:iCs/>
        </w:rPr>
        <w:lastRenderedPageBreak/>
        <w:t xml:space="preserve">more stringent restriction on disclosure policies and consumer protections. </w:t>
      </w:r>
      <w:r w:rsidR="007D22DA">
        <w:rPr>
          <w:bCs/>
          <w:iCs/>
        </w:rPr>
        <w:t>B</w:t>
      </w:r>
      <w:r w:rsidR="00F74708">
        <w:rPr>
          <w:bCs/>
          <w:iCs/>
        </w:rPr>
        <w:t xml:space="preserve">ased on the </w:t>
      </w:r>
      <w:r w:rsidR="00517E29" w:rsidRPr="00517E29">
        <w:rPr>
          <w:b/>
          <w:i/>
        </w:rPr>
        <w:t>“</w:t>
      </w:r>
      <w:r w:rsidR="00F74708" w:rsidRPr="00517E29">
        <w:rPr>
          <w:b/>
          <w:i/>
        </w:rPr>
        <w:t>Advisers Act of 1940</w:t>
      </w:r>
      <w:r w:rsidR="00517E29" w:rsidRPr="00517E29">
        <w:rPr>
          <w:b/>
          <w:i/>
        </w:rPr>
        <w:t>”</w:t>
      </w:r>
      <w:r w:rsidR="00F74708">
        <w:rPr>
          <w:bCs/>
          <w:iCs/>
        </w:rPr>
        <w:t>, the registration requirement affected both hedge funds and independent investment advisor’s registration requirements. These amendments regulations require the financial e</w:t>
      </w:r>
      <w:r w:rsidR="00F638AD">
        <w:rPr>
          <w:bCs/>
          <w:iCs/>
        </w:rPr>
        <w:t xml:space="preserve">ntities </w:t>
      </w:r>
      <w:r w:rsidR="00F74708">
        <w:rPr>
          <w:bCs/>
          <w:iCs/>
        </w:rPr>
        <w:t xml:space="preserve">to change the registration amount of </w:t>
      </w:r>
      <w:r w:rsidR="00F74708" w:rsidRPr="00F74708">
        <w:rPr>
          <w:bCs/>
          <w:iCs/>
        </w:rPr>
        <w:t>$100 million</w:t>
      </w:r>
      <w:r w:rsidR="00F74708">
        <w:rPr>
          <w:bCs/>
          <w:iCs/>
        </w:rPr>
        <w:t xml:space="preserve"> in assets to </w:t>
      </w:r>
      <w:r w:rsidR="00F74708" w:rsidRPr="00F74708">
        <w:rPr>
          <w:bCs/>
          <w:iCs/>
        </w:rPr>
        <w:t>$150 million</w:t>
      </w:r>
      <w:r w:rsidR="00F74708">
        <w:rPr>
          <w:bCs/>
          <w:iCs/>
        </w:rPr>
        <w:t xml:space="preserve"> for private fund. The only exemption was applied for advisers who had pre-existing assets from private investors. Lastly, it is also important to mention the contribution of </w:t>
      </w:r>
      <w:r w:rsidR="00F74708" w:rsidRPr="00F74708">
        <w:rPr>
          <w:bCs/>
          <w:iCs/>
        </w:rPr>
        <w:t>Sarbanes-Oxley</w:t>
      </w:r>
      <w:r w:rsidR="00F74708">
        <w:rPr>
          <w:bCs/>
          <w:iCs/>
        </w:rPr>
        <w:t xml:space="preserve"> in the </w:t>
      </w:r>
      <w:r w:rsidR="000E4DDD">
        <w:t>DFWSR</w:t>
      </w:r>
      <w:r w:rsidR="00F74708">
        <w:t xml:space="preserve"> which introduced new provisions for whistle-blowers</w:t>
      </w:r>
      <w:r w:rsidR="00304557">
        <w:t>, thereby</w:t>
      </w:r>
      <w:r w:rsidR="00F74708">
        <w:t xml:space="preserve"> providing them financial rewards for </w:t>
      </w:r>
      <w:r w:rsidR="00304557">
        <w:t>facilitating</w:t>
      </w:r>
      <w:r w:rsidR="00F74708">
        <w:t xml:space="preserve"> information as a whistle-blower</w:t>
      </w:r>
      <w:r w:rsidR="0045475D" w:rsidRPr="0045475D">
        <w:t xml:space="preserve"> </w:t>
      </w:r>
      <w:r w:rsidR="0045475D">
        <w:t>(</w:t>
      </w:r>
      <w:r w:rsidR="0045475D" w:rsidRPr="00B42DA2">
        <w:t>Reform</w:t>
      </w:r>
      <w:r w:rsidR="0045475D">
        <w:t xml:space="preserve"> </w:t>
      </w:r>
      <w:r w:rsidR="0045475D" w:rsidRPr="00B42DA2">
        <w:t>and Protection</w:t>
      </w:r>
      <w:r w:rsidR="0045475D">
        <w:t xml:space="preserve"> </w:t>
      </w:r>
      <w:r w:rsidR="0045475D" w:rsidRPr="00B42DA2">
        <w:t>2019</w:t>
      </w:r>
      <w:r w:rsidR="0045475D">
        <w:t>)</w:t>
      </w:r>
      <w:r w:rsidR="00F74708">
        <w:t>.</w:t>
      </w:r>
      <w:r w:rsidR="001C3628">
        <w:t xml:space="preserve"> </w:t>
      </w:r>
    </w:p>
    <w:p w14:paraId="741AEDF9" w14:textId="303AFEC3" w:rsidR="0033583F" w:rsidRDefault="001C3628" w:rsidP="009010DC">
      <w:pPr>
        <w:ind w:firstLine="720"/>
      </w:pPr>
      <w:r>
        <w:t>At a later stage,</w:t>
      </w:r>
      <w:r w:rsidR="00EC5D9D">
        <w:t xml:space="preserve"> </w:t>
      </w:r>
      <w:r w:rsidR="000E4DDD">
        <w:t>DFWSR</w:t>
      </w:r>
      <w:r w:rsidR="00EC5D9D">
        <w:t xml:space="preserve"> also gave rise to </w:t>
      </w:r>
      <w:r w:rsidR="00EC5D9D" w:rsidRPr="005B444B">
        <w:rPr>
          <w:b/>
          <w:bCs/>
          <w:i/>
          <w:iCs/>
        </w:rPr>
        <w:t>“Consumer Financial Protection Bureau (CFPB)”</w:t>
      </w:r>
      <w:r w:rsidR="005B444B">
        <w:rPr>
          <w:b/>
          <w:bCs/>
          <w:i/>
          <w:iCs/>
        </w:rPr>
        <w:t xml:space="preserve"> </w:t>
      </w:r>
      <w:r w:rsidR="005B444B">
        <w:rPr>
          <w:bCs/>
          <w:iCs/>
        </w:rPr>
        <w:t xml:space="preserve">in order to oversee all market regimes, services and financial products which were available for the consumers in the US. Based on such authority, the country was able to provide various types of educational materials, thereby highlighting unfair practices by a judicial recognition in the court system of the country. Lastly, the aftermath of GFC 2008 resulted in passing of </w:t>
      </w:r>
      <w:r w:rsidR="005B444B" w:rsidRPr="005B444B">
        <w:rPr>
          <w:b/>
          <w:i/>
        </w:rPr>
        <w:t>“Emergency Economic Stabilization Act”</w:t>
      </w:r>
      <w:r w:rsidR="005B444B">
        <w:t xml:space="preserve">, thereby providing treasury with an approximate amount of </w:t>
      </w:r>
      <w:r w:rsidR="005B444B" w:rsidRPr="005B444B">
        <w:t>$700</w:t>
      </w:r>
      <w:r w:rsidR="005B444B">
        <w:t>b in order to purchase mortgage-backed securities and</w:t>
      </w:r>
      <w:r w:rsidR="007655BD">
        <w:t xml:space="preserve"> troubled assets. In this regard, the </w:t>
      </w:r>
      <w:r w:rsidR="007655BD" w:rsidRPr="007655BD">
        <w:rPr>
          <w:b/>
          <w:bCs/>
          <w:i/>
          <w:iCs/>
        </w:rPr>
        <w:t>“Troubled Asset Relief Program (TARP)”</w:t>
      </w:r>
      <w:r w:rsidR="007655BD">
        <w:rPr>
          <w:b/>
          <w:bCs/>
          <w:i/>
          <w:iCs/>
        </w:rPr>
        <w:t xml:space="preserve"> </w:t>
      </w:r>
      <w:r w:rsidR="007655BD">
        <w:rPr>
          <w:bCs/>
          <w:iCs/>
        </w:rPr>
        <w:t xml:space="preserve">was also </w:t>
      </w:r>
      <w:r w:rsidR="007952FD">
        <w:rPr>
          <w:bCs/>
          <w:iCs/>
        </w:rPr>
        <w:t xml:space="preserve">observed </w:t>
      </w:r>
      <w:r w:rsidR="007655BD">
        <w:rPr>
          <w:bCs/>
          <w:iCs/>
        </w:rPr>
        <w:t xml:space="preserve">to spend </w:t>
      </w:r>
      <w:r w:rsidR="007655BD" w:rsidRPr="007655BD">
        <w:rPr>
          <w:bCs/>
          <w:iCs/>
        </w:rPr>
        <w:t>$426.4</w:t>
      </w:r>
      <w:r w:rsidR="007655BD">
        <w:rPr>
          <w:bCs/>
          <w:iCs/>
        </w:rPr>
        <w:t>b for bailing out institutions such as JPM, GM, BAC and AIG</w:t>
      </w:r>
      <w:r w:rsidR="00E66162" w:rsidRPr="00E66162">
        <w:t xml:space="preserve"> </w:t>
      </w:r>
      <w:r w:rsidR="00E66162">
        <w:t>(</w:t>
      </w:r>
      <w:r w:rsidR="00E66162" w:rsidRPr="00B42DA2">
        <w:t>Sinha</w:t>
      </w:r>
      <w:r w:rsidR="00E66162">
        <w:t xml:space="preserve"> </w:t>
      </w:r>
      <w:r w:rsidR="00E66162" w:rsidRPr="00B42DA2">
        <w:t>2017</w:t>
      </w:r>
      <w:r w:rsidR="00E66162">
        <w:t>)</w:t>
      </w:r>
      <w:r w:rsidR="007655BD">
        <w:rPr>
          <w:bCs/>
          <w:iCs/>
        </w:rPr>
        <w:t>.</w:t>
      </w:r>
    </w:p>
    <w:p w14:paraId="695F1F27" w14:textId="033FB22D" w:rsidR="00201E37" w:rsidRPr="00A239A8" w:rsidRDefault="00201E37" w:rsidP="00B40F35">
      <w:pPr>
        <w:pStyle w:val="Heading1"/>
      </w:pPr>
      <w:bookmarkStart w:id="12" w:name="_Toc70881298"/>
      <w:r>
        <w:t>Critical review of the extent to which these reforms has contributed towards stabilising the various banking institutions and financial system after the 2008 crises</w:t>
      </w:r>
      <w:bookmarkEnd w:id="12"/>
    </w:p>
    <w:p w14:paraId="1D7421B5" w14:textId="559FF4E5" w:rsidR="0033583F" w:rsidRDefault="00EE2AAD" w:rsidP="00A239A8">
      <w:pPr>
        <w:rPr>
          <w:b/>
          <w:bCs/>
        </w:rPr>
      </w:pPr>
      <w:r>
        <w:rPr>
          <w:b/>
          <w:bCs/>
        </w:rPr>
        <w:t>B</w:t>
      </w:r>
      <w:r w:rsidRPr="00EE2AAD">
        <w:rPr>
          <w:b/>
          <w:bCs/>
        </w:rPr>
        <w:t>ank liquidity cr</w:t>
      </w:r>
      <w:r>
        <w:rPr>
          <w:b/>
          <w:bCs/>
        </w:rPr>
        <w:t>eation</w:t>
      </w:r>
    </w:p>
    <w:p w14:paraId="7482C5F6" w14:textId="121828B1" w:rsidR="005A3141" w:rsidRDefault="005A3141" w:rsidP="00E24FBC">
      <w:r>
        <w:tab/>
      </w:r>
      <w:r w:rsidR="008D477D">
        <w:t xml:space="preserve">It is evident that GFC exposed the financial incompetence of important financial regulatory frameworks to meet the challenges in the financial system to a large extent. This has been conducive for the banks in following a more progressive growth structure, </w:t>
      </w:r>
      <w:r w:rsidR="008D477D">
        <w:lastRenderedPageBreak/>
        <w:t xml:space="preserve">incorporate global integration and focus on capital markets. </w:t>
      </w:r>
      <w:r w:rsidR="0096393E">
        <w:t xml:space="preserve">According to </w:t>
      </w:r>
      <w:proofErr w:type="spellStart"/>
      <w:r w:rsidR="0096393E" w:rsidRPr="00A137AF">
        <w:t>Sohn</w:t>
      </w:r>
      <w:proofErr w:type="spellEnd"/>
      <w:r w:rsidR="0096393E">
        <w:t xml:space="preserve"> </w:t>
      </w:r>
      <w:r w:rsidR="0096393E" w:rsidRPr="00A137AF">
        <w:t xml:space="preserve">and </w:t>
      </w:r>
      <w:proofErr w:type="spellStart"/>
      <w:r w:rsidR="0096393E" w:rsidRPr="00A137AF">
        <w:t>Vyshnevskyi</w:t>
      </w:r>
      <w:proofErr w:type="spellEnd"/>
      <w:r w:rsidR="0096393E">
        <w:t xml:space="preserve"> (</w:t>
      </w:r>
      <w:r w:rsidR="0096393E" w:rsidRPr="00A137AF">
        <w:t>2017</w:t>
      </w:r>
      <w:r w:rsidR="0096393E">
        <w:t>), t</w:t>
      </w:r>
      <w:r w:rsidR="008D477D">
        <w:t xml:space="preserve">he contribution of </w:t>
      </w:r>
      <w:r w:rsidR="008D477D" w:rsidRPr="0010705F">
        <w:rPr>
          <w:b/>
          <w:bCs/>
          <w:i/>
          <w:iCs/>
        </w:rPr>
        <w:t>“Twin Peaks”</w:t>
      </w:r>
      <w:r w:rsidR="008D477D">
        <w:t xml:space="preserve"> </w:t>
      </w:r>
      <w:r w:rsidR="0010705F">
        <w:t>structure</w:t>
      </w:r>
      <w:r w:rsidR="008D477D">
        <w:t xml:space="preserve"> among banks is seen with</w:t>
      </w:r>
      <w:r w:rsidR="00BE4918">
        <w:t xml:space="preserve"> a statistical and economical significant relationship between supervision quality and overall banking regulation, thereby improving the liquidity status.</w:t>
      </w:r>
      <w:r w:rsidR="0010705F">
        <w:t xml:space="preserve"> </w:t>
      </w:r>
      <w:r w:rsidR="0010705F" w:rsidRPr="0010705F">
        <w:rPr>
          <w:b/>
          <w:bCs/>
          <w:i/>
          <w:iCs/>
        </w:rPr>
        <w:t>“Twin Peaks”</w:t>
      </w:r>
      <w:r w:rsidR="0010705F">
        <w:t xml:space="preserve"> structure has also enabled Basel III to ensure that bank has enough liquidity for withstanding stress period</w:t>
      </w:r>
      <w:r w:rsidR="007F61C9">
        <w:t>,</w:t>
      </w:r>
      <w:r w:rsidR="0010705F">
        <w:t xml:space="preserve"> along with adequate high-quality bank capital (</w:t>
      </w:r>
      <w:r w:rsidR="0010705F" w:rsidRPr="00A137AF">
        <w:t>Calvo</w:t>
      </w:r>
      <w:r w:rsidR="0010705F">
        <w:t xml:space="preserve"> </w:t>
      </w:r>
      <w:r w:rsidR="0010705F" w:rsidRPr="0010705F">
        <w:rPr>
          <w:i/>
          <w:iCs/>
        </w:rPr>
        <w:t>et al.</w:t>
      </w:r>
      <w:r w:rsidR="0010705F" w:rsidRPr="00A137AF">
        <w:t xml:space="preserve"> 2018</w:t>
      </w:r>
      <w:r w:rsidR="0010705F">
        <w:t>).</w:t>
      </w:r>
      <w:r w:rsidR="00BA40DE">
        <w:t xml:space="preserve"> On the other hand, measures such as </w:t>
      </w:r>
      <w:r w:rsidR="00BA40DE" w:rsidRPr="00BA40DE">
        <w:t>TBTF</w:t>
      </w:r>
      <w:r w:rsidR="00BA40DE">
        <w:t xml:space="preserve"> ensured protection of uninsured depositors by the FDIC only for the larger banks. </w:t>
      </w:r>
      <w:r w:rsidR="00BA40DE" w:rsidRPr="00BA40DE">
        <w:t>TBTF</w:t>
      </w:r>
      <w:r w:rsidR="00BA40DE">
        <w:t xml:space="preserve"> further lead to liquidity creation by avoiding such incidences of defaults. This was mostly possible by avoiding systematic risk, thereby making sure that the bank does not run into problems such as short-term credit availability</w:t>
      </w:r>
      <w:r w:rsidR="00BA40DE" w:rsidRPr="00BA40DE">
        <w:t xml:space="preserve"> </w:t>
      </w:r>
      <w:r w:rsidR="00BA40DE">
        <w:t>(</w:t>
      </w:r>
      <w:r w:rsidR="00BA40DE" w:rsidRPr="00E548D7">
        <w:t>Rose</w:t>
      </w:r>
      <w:r w:rsidR="00BA40DE">
        <w:t xml:space="preserve"> </w:t>
      </w:r>
      <w:r w:rsidR="00BA40DE" w:rsidRPr="00E548D7">
        <w:t xml:space="preserve">and </w:t>
      </w:r>
      <w:proofErr w:type="spellStart"/>
      <w:r w:rsidR="00BA40DE" w:rsidRPr="00E548D7">
        <w:t>Wieladek</w:t>
      </w:r>
      <w:proofErr w:type="spellEnd"/>
      <w:r w:rsidR="00BA40DE">
        <w:t xml:space="preserve"> </w:t>
      </w:r>
      <w:r w:rsidR="00BA40DE" w:rsidRPr="00E548D7">
        <w:t>2012</w:t>
      </w:r>
      <w:r w:rsidR="00BA40DE">
        <w:t>).</w:t>
      </w:r>
      <w:r w:rsidR="00E24FBC">
        <w:t xml:space="preserve"> </w:t>
      </w:r>
    </w:p>
    <w:p w14:paraId="1E7BE54B" w14:textId="349F5B50" w:rsidR="00E24FBC" w:rsidRPr="007634A3" w:rsidRDefault="00083AE4" w:rsidP="00BA40DE">
      <w:pPr>
        <w:ind w:firstLine="720"/>
      </w:pPr>
      <w:r>
        <w:t>The reforms under the CPA ensured steady flow of liquidity among the banks by taking legal actions</w:t>
      </w:r>
      <w:r w:rsidR="0060689A">
        <w:t>,</w:t>
      </w:r>
      <w:r>
        <w:t xml:space="preserve"> including suing of credit card companies who were found to be engaging in abusive, deceptive and unfair practices</w:t>
      </w:r>
      <w:r w:rsidRPr="00083AE4">
        <w:t xml:space="preserve"> </w:t>
      </w:r>
      <w:r>
        <w:t>(</w:t>
      </w:r>
      <w:r w:rsidRPr="00E248AB">
        <w:t>Kim</w:t>
      </w:r>
      <w:r>
        <w:t xml:space="preserve"> </w:t>
      </w:r>
      <w:r w:rsidRPr="00083AE4">
        <w:rPr>
          <w:i/>
          <w:iCs/>
        </w:rPr>
        <w:t>et al.</w:t>
      </w:r>
      <w:r w:rsidRPr="00E248AB">
        <w:t xml:space="preserve"> 2018</w:t>
      </w:r>
      <w:r>
        <w:t xml:space="preserve">). </w:t>
      </w:r>
      <w:r w:rsidR="002E01F0">
        <w:t xml:space="preserve">On a similar note, the contribution of </w:t>
      </w:r>
      <w:r w:rsidR="000E4DDD">
        <w:t>DFWSR</w:t>
      </w:r>
      <w:r w:rsidR="002E01F0">
        <w:t xml:space="preserve"> is evident by</w:t>
      </w:r>
      <w:r w:rsidR="007634A3">
        <w:t xml:space="preserve"> bringing relevant amendments to the Federal reserve’s authority in responding to emergency liquidity for the non-depository institutions. This is particularly relevant as per </w:t>
      </w:r>
      <w:r w:rsidR="007634A3" w:rsidRPr="007634A3">
        <w:rPr>
          <w:b/>
          <w:bCs/>
          <w:i/>
          <w:iCs/>
        </w:rPr>
        <w:t>“Sec 13(3) of the Federal Reserve Act”</w:t>
      </w:r>
      <w:r w:rsidR="007634A3">
        <w:rPr>
          <w:b/>
          <w:bCs/>
          <w:i/>
          <w:iCs/>
        </w:rPr>
        <w:t xml:space="preserve">. </w:t>
      </w:r>
      <w:r w:rsidR="007634A3">
        <w:rPr>
          <w:bCs/>
          <w:iCs/>
        </w:rPr>
        <w:t xml:space="preserve">Such initiatives by this act </w:t>
      </w:r>
      <w:r w:rsidR="00901A96">
        <w:rPr>
          <w:bCs/>
          <w:iCs/>
        </w:rPr>
        <w:t>are</w:t>
      </w:r>
      <w:r w:rsidR="007634A3">
        <w:rPr>
          <w:bCs/>
          <w:iCs/>
        </w:rPr>
        <w:t xml:space="preserve"> conducive in providing new authority to the US government to facilitate stable creation of liquidity among the banks and assist them in resolving</w:t>
      </w:r>
      <w:r w:rsidR="00901A96">
        <w:rPr>
          <w:bCs/>
          <w:iCs/>
        </w:rPr>
        <w:t xml:space="preserve"> cases of credit defaults to a great extent. Furthermore, </w:t>
      </w:r>
      <w:r w:rsidR="00901A96" w:rsidRPr="00901A96">
        <w:rPr>
          <w:b/>
          <w:i/>
        </w:rPr>
        <w:t xml:space="preserve">“Sec 716 of </w:t>
      </w:r>
      <w:r w:rsidR="000E4DDD">
        <w:rPr>
          <w:b/>
          <w:i/>
        </w:rPr>
        <w:t>DFWSR</w:t>
      </w:r>
      <w:r w:rsidR="00901A96" w:rsidRPr="00901A96">
        <w:rPr>
          <w:b/>
          <w:i/>
        </w:rPr>
        <w:t>”</w:t>
      </w:r>
      <w:r w:rsidR="00901A96">
        <w:t xml:space="preserve"> restricts the Federal reserve from extending the discount window pertaining to credit disbursement for swap entities</w:t>
      </w:r>
      <w:r w:rsidR="00C93240" w:rsidRPr="00C93240">
        <w:t xml:space="preserve"> </w:t>
      </w:r>
      <w:r w:rsidR="00C93240">
        <w:t>(</w:t>
      </w:r>
      <w:r w:rsidR="00C93240" w:rsidRPr="006C7EE0">
        <w:t>Federalreserve.gov</w:t>
      </w:r>
      <w:r w:rsidR="00C93240">
        <w:t xml:space="preserve"> </w:t>
      </w:r>
      <w:r w:rsidR="00C93240" w:rsidRPr="006C7EE0">
        <w:t>2017</w:t>
      </w:r>
      <w:r w:rsidR="00C93240">
        <w:t>)</w:t>
      </w:r>
      <w:r w:rsidR="00901A96">
        <w:t>.</w:t>
      </w:r>
      <w:r w:rsidR="00C93240">
        <w:t xml:space="preserve"> </w:t>
      </w:r>
      <w:r w:rsidR="008B4E09">
        <w:t xml:space="preserve">Despite of the original purpose of TARP to inject more liquidity in the secondary mortgage markets and money markets through purchasing of MBS, at a later stage its purpose was slightly modified to allow the government in buying with the pertaining to banks. This helped the banks to achieve better </w:t>
      </w:r>
      <w:r w:rsidR="008B4E09" w:rsidRPr="008B4E09">
        <w:t xml:space="preserve">Liquidity Coverage Ratio </w:t>
      </w:r>
      <w:r w:rsidR="008B4E09">
        <w:t>(</w:t>
      </w:r>
      <w:r w:rsidR="008B4E09" w:rsidRPr="008B4E09">
        <w:t xml:space="preserve">Bowe, </w:t>
      </w:r>
      <w:proofErr w:type="spellStart"/>
      <w:r w:rsidR="008B4E09" w:rsidRPr="008B4E09">
        <w:t>Kolokolova</w:t>
      </w:r>
      <w:proofErr w:type="spellEnd"/>
      <w:r w:rsidR="008B4E09">
        <w:t xml:space="preserve"> </w:t>
      </w:r>
      <w:r w:rsidR="008B4E09" w:rsidRPr="008B4E09">
        <w:t xml:space="preserve">and </w:t>
      </w:r>
      <w:proofErr w:type="spellStart"/>
      <w:r w:rsidR="008B4E09" w:rsidRPr="008B4E09">
        <w:t>Michalski</w:t>
      </w:r>
      <w:proofErr w:type="spellEnd"/>
      <w:r w:rsidR="008B4E09">
        <w:t xml:space="preserve"> </w:t>
      </w:r>
      <w:r w:rsidR="008B4E09" w:rsidRPr="008B4E09">
        <w:t>2017</w:t>
      </w:r>
      <w:r w:rsidR="008B4E09">
        <w:t>).</w:t>
      </w:r>
    </w:p>
    <w:p w14:paraId="0ABB58BC" w14:textId="6056BA16" w:rsidR="00EE2AAD" w:rsidRDefault="00EE2AAD" w:rsidP="00A239A8">
      <w:pPr>
        <w:rPr>
          <w:b/>
          <w:bCs/>
        </w:rPr>
      </w:pPr>
      <w:r>
        <w:rPr>
          <w:b/>
          <w:bCs/>
        </w:rPr>
        <w:t>F</w:t>
      </w:r>
      <w:r w:rsidRPr="00EE2AAD">
        <w:rPr>
          <w:b/>
          <w:bCs/>
        </w:rPr>
        <w:t>inancial intermediation</w:t>
      </w:r>
    </w:p>
    <w:p w14:paraId="7A2DBA87" w14:textId="69978F17" w:rsidR="00F7056A" w:rsidRDefault="00F7056A" w:rsidP="00F7056A">
      <w:r>
        <w:lastRenderedPageBreak/>
        <w:tab/>
        <w:t xml:space="preserve">The </w:t>
      </w:r>
      <w:r w:rsidRPr="0010705F">
        <w:rPr>
          <w:b/>
          <w:bCs/>
          <w:i/>
          <w:iCs/>
        </w:rPr>
        <w:t>“Twin Peaks”</w:t>
      </w:r>
      <w:r>
        <w:t xml:space="preserve"> structure assisted </w:t>
      </w:r>
      <w:r w:rsidR="00A3561F">
        <w:t xml:space="preserve">the potential authority for making relevant amendments to the </w:t>
      </w:r>
      <w:r w:rsidR="00A3561F" w:rsidRPr="00A3561F">
        <w:rPr>
          <w:b/>
          <w:bCs/>
          <w:i/>
          <w:iCs/>
        </w:rPr>
        <w:t>“Financial Advisory and Intermediary Services Act (FAIS Act)”</w:t>
      </w:r>
      <w:r w:rsidR="00A3561F">
        <w:rPr>
          <w:b/>
          <w:bCs/>
          <w:i/>
          <w:iCs/>
        </w:rPr>
        <w:t xml:space="preserve"> </w:t>
      </w:r>
      <w:r w:rsidR="00A3561F">
        <w:t xml:space="preserve">and enable a more responsible and sound operations of financial products, payment systems and market infrastructures. In this manner, </w:t>
      </w:r>
      <w:r w:rsidR="00A3561F" w:rsidRPr="00A3561F">
        <w:t>PRA</w:t>
      </w:r>
      <w:r w:rsidR="00A3561F">
        <w:t xml:space="preserve"> provided the oversight for making sure that financial institutions were able to meet the different types of financial obligations of the customers.</w:t>
      </w:r>
      <w:r w:rsidR="002F120D">
        <w:t xml:space="preserve"> In addition to this, the structural measures in </w:t>
      </w:r>
      <w:r w:rsidR="002F120D" w:rsidRPr="002F120D">
        <w:t>TBTF</w:t>
      </w:r>
      <w:r w:rsidR="004E564F">
        <w:t xml:space="preserve"> model</w:t>
      </w:r>
      <w:r w:rsidR="002F120D">
        <w:t xml:space="preserve"> led to the incorporation of intermediation by separating capital market activities from the investment banking activities.</w:t>
      </w:r>
      <w:r w:rsidR="004E564F">
        <w:t xml:space="preserve"> Along with this, the structural reforms under </w:t>
      </w:r>
      <w:r w:rsidR="004E564F" w:rsidRPr="002F120D">
        <w:t>TBTF</w:t>
      </w:r>
      <w:r w:rsidR="004E564F">
        <w:t xml:space="preserve"> model minimised the risk of cross contamination between commercial and investment banks, increasing the loss absorbent capacity in the banking system</w:t>
      </w:r>
      <w:r w:rsidR="001A67C6">
        <w:t xml:space="preserve">, thereby providing more headroom for </w:t>
      </w:r>
      <w:r w:rsidR="004E564F">
        <w:t>acting on the risk culture to provide more incentives for transaction-based trading activities</w:t>
      </w:r>
      <w:r w:rsidR="00CB66D4" w:rsidRPr="00CB66D4">
        <w:t xml:space="preserve"> </w:t>
      </w:r>
      <w:r w:rsidR="00CB66D4">
        <w:t>(</w:t>
      </w:r>
      <w:r w:rsidR="00CB66D4" w:rsidRPr="0065765F">
        <w:t>Taylor</w:t>
      </w:r>
      <w:r w:rsidR="00CB66D4">
        <w:t xml:space="preserve"> </w:t>
      </w:r>
      <w:r w:rsidR="00CB66D4" w:rsidRPr="0065765F">
        <w:t>2013</w:t>
      </w:r>
      <w:r w:rsidR="00CB66D4">
        <w:t>)</w:t>
      </w:r>
      <w:r w:rsidR="009C1AD9">
        <w:t>.</w:t>
      </w:r>
    </w:p>
    <w:p w14:paraId="58B5063C" w14:textId="36A772F8" w:rsidR="00855A4F" w:rsidRPr="00A3561F" w:rsidRDefault="00855A4F" w:rsidP="00F7056A">
      <w:r>
        <w:tab/>
        <w:t>It is worth noting that the laws under the CPA enabled several insurance providers in the US t</w:t>
      </w:r>
      <w:r w:rsidR="009E5F51">
        <w:t>ake</w:t>
      </w:r>
      <w:r>
        <w:t xml:space="preserve"> into account liabilities </w:t>
      </w:r>
      <w:r w:rsidR="009E5F51">
        <w:t xml:space="preserve">on its own </w:t>
      </w:r>
      <w:r>
        <w:t>for the purpose of safeguarding a greater number of financial assets through engaging in</w:t>
      </w:r>
      <w:r w:rsidR="00526BB9">
        <w:t xml:space="preserve"> financial transactions pertaining to unfair practices, fraudulent business activity and conduct investigations for deceptive cases</w:t>
      </w:r>
      <w:r w:rsidR="00AD5B3E" w:rsidRPr="00AD5B3E">
        <w:t xml:space="preserve"> </w:t>
      </w:r>
      <w:r w:rsidR="00AD5B3E">
        <w:t>(F</w:t>
      </w:r>
      <w:r w:rsidR="00AD5B3E" w:rsidRPr="00AC1896">
        <w:t>tc.gov</w:t>
      </w:r>
      <w:r w:rsidR="00AD5B3E">
        <w:t>. 201</w:t>
      </w:r>
      <w:r w:rsidR="005B2CF1">
        <w:t>7</w:t>
      </w:r>
      <w:r w:rsidR="00AD5B3E">
        <w:t>)</w:t>
      </w:r>
      <w:r w:rsidR="00526BB9">
        <w:t>.</w:t>
      </w:r>
      <w:r w:rsidR="005B2CF1">
        <w:t xml:space="preserve"> Additionally, the financial intermediation driven by </w:t>
      </w:r>
      <w:r w:rsidR="000E4DDD">
        <w:t>DFWSR</w:t>
      </w:r>
      <w:r w:rsidR="005B2CF1">
        <w:t xml:space="preserve"> relates to allowing </w:t>
      </w:r>
      <w:r w:rsidR="009D3396">
        <w:t>a greater</w:t>
      </w:r>
      <w:r w:rsidR="005B2CF1">
        <w:t xml:space="preserve"> number of healthy financial institutions in acquiring financial assets in a regulated environment where the taxpayers and consumers are protected from risk of investment.</w:t>
      </w:r>
      <w:r w:rsidR="00855AAE">
        <w:t xml:space="preserve"> The TARP also helped in financial intermediation through achieving the targets of purchasing troubled assets and stocks of various companies.</w:t>
      </w:r>
      <w:r w:rsidR="00156470">
        <w:t xml:space="preserve"> It is evident with an investment of </w:t>
      </w:r>
      <w:r w:rsidR="00156470" w:rsidRPr="00156470">
        <w:t>$426.4</w:t>
      </w:r>
      <w:r w:rsidR="00156470">
        <w:t>b on the US firms between</w:t>
      </w:r>
      <w:r w:rsidR="00F4581C">
        <w:t xml:space="preserve"> 2008 to 2010. Along with this</w:t>
      </w:r>
      <w:r w:rsidR="00DA3290">
        <w:t>,</w:t>
      </w:r>
      <w:r w:rsidR="00F4581C">
        <w:t xml:space="preserve"> </w:t>
      </w:r>
      <w:r w:rsidR="00DA3290">
        <w:t>a</w:t>
      </w:r>
      <w:r w:rsidR="00F4581C">
        <w:t xml:space="preserve"> total amount of </w:t>
      </w:r>
      <w:r w:rsidR="00F4581C" w:rsidRPr="00156470">
        <w:t>$</w:t>
      </w:r>
      <w:r w:rsidR="00F4581C">
        <w:t xml:space="preserve">441.7b was </w:t>
      </w:r>
      <w:r w:rsidR="00DA3290">
        <w:t xml:space="preserve">being </w:t>
      </w:r>
      <w:r w:rsidR="00F4581C">
        <w:t>recouped</w:t>
      </w:r>
      <w:r w:rsidR="00991392">
        <w:t xml:space="preserve"> by TARP</w:t>
      </w:r>
      <w:r w:rsidR="00542D08" w:rsidRPr="00542D08">
        <w:t xml:space="preserve"> </w:t>
      </w:r>
      <w:r w:rsidR="00542D08">
        <w:t>(</w:t>
      </w:r>
      <w:proofErr w:type="spellStart"/>
      <w:r w:rsidR="00542D08" w:rsidRPr="00D50D8F">
        <w:t>Bedoyan</w:t>
      </w:r>
      <w:proofErr w:type="spellEnd"/>
      <w:r w:rsidR="00542D08">
        <w:t xml:space="preserve"> </w:t>
      </w:r>
      <w:r w:rsidR="00542D08" w:rsidRPr="00D50D8F">
        <w:t>2020</w:t>
      </w:r>
      <w:r w:rsidR="00542D08">
        <w:t>)</w:t>
      </w:r>
      <w:r w:rsidR="00F4581C">
        <w:t>.</w:t>
      </w:r>
    </w:p>
    <w:p w14:paraId="2BFE1035" w14:textId="58B7982E" w:rsidR="00EE2AAD" w:rsidRDefault="00EE2AAD" w:rsidP="00A239A8">
      <w:pPr>
        <w:rPr>
          <w:b/>
          <w:bCs/>
        </w:rPr>
      </w:pPr>
      <w:r>
        <w:rPr>
          <w:b/>
          <w:bCs/>
        </w:rPr>
        <w:t>S</w:t>
      </w:r>
      <w:r w:rsidRPr="00EE2AAD">
        <w:rPr>
          <w:b/>
          <w:bCs/>
        </w:rPr>
        <w:t>tability for banking</w:t>
      </w:r>
    </w:p>
    <w:p w14:paraId="1655FCB2" w14:textId="1C249580" w:rsidR="00D2267A" w:rsidRDefault="00D2267A" w:rsidP="00D2267A">
      <w:pPr>
        <w:rPr>
          <w:bCs/>
          <w:iCs/>
        </w:rPr>
      </w:pPr>
      <w:r>
        <w:tab/>
      </w:r>
      <w:r w:rsidRPr="00D2267A">
        <w:t>The evidences based o</w:t>
      </w:r>
      <w:r>
        <w:t xml:space="preserve">n introducing the </w:t>
      </w:r>
      <w:r w:rsidRPr="0010705F">
        <w:rPr>
          <w:b/>
          <w:bCs/>
          <w:i/>
          <w:iCs/>
        </w:rPr>
        <w:t>“Twin Peaks”</w:t>
      </w:r>
      <w:r>
        <w:t xml:space="preserve"> structure</w:t>
      </w:r>
      <w:r w:rsidR="00561D0E">
        <w:t xml:space="preserve"> shows that</w:t>
      </w:r>
      <w:r w:rsidR="00E2627E">
        <w:t xml:space="preserve"> improved level of consumer protection law for greater stability among the banks. This model also </w:t>
      </w:r>
      <w:r w:rsidR="00E2627E">
        <w:lastRenderedPageBreak/>
        <w:t>offered other advantages to ensure stability through complying to the prevailing of regulatory culture, maintained dedicated set of objectives and offer greater flexibility in situations of concern such as increasing debt and rate of interests</w:t>
      </w:r>
      <w:r w:rsidR="00DE2E5C" w:rsidRPr="00DE2E5C">
        <w:t xml:space="preserve"> </w:t>
      </w:r>
      <w:r w:rsidR="00DE2E5C">
        <w:t>(</w:t>
      </w:r>
      <w:proofErr w:type="spellStart"/>
      <w:r w:rsidR="00DE2E5C" w:rsidRPr="00EA33F4">
        <w:t>Mishi</w:t>
      </w:r>
      <w:proofErr w:type="spellEnd"/>
      <w:r w:rsidR="00DE2E5C">
        <w:t xml:space="preserve"> </w:t>
      </w:r>
      <w:r w:rsidR="00DE2E5C" w:rsidRPr="00EA33F4">
        <w:t xml:space="preserve">and </w:t>
      </w:r>
      <w:proofErr w:type="spellStart"/>
      <w:r w:rsidR="00DE2E5C" w:rsidRPr="00EA33F4">
        <w:t>Khumalo</w:t>
      </w:r>
      <w:proofErr w:type="spellEnd"/>
      <w:r w:rsidR="00DE2E5C">
        <w:t xml:space="preserve"> </w:t>
      </w:r>
      <w:r w:rsidR="00DE2E5C" w:rsidRPr="00EA33F4">
        <w:t>2019</w:t>
      </w:r>
      <w:r w:rsidR="00DE2E5C">
        <w:t>)</w:t>
      </w:r>
      <w:r w:rsidR="00E2627E">
        <w:t>.</w:t>
      </w:r>
      <w:r w:rsidR="007A7F08">
        <w:t xml:space="preserve"> TBTF can be seen as one of the most prominent measures to assist the financial institutions and banks to authorise the government to stabilise the overall financial system and distressed assets. This regulation prevented the business relevant sectors to collapse from severe downturns in the economy</w:t>
      </w:r>
      <w:r w:rsidR="00046A04" w:rsidRPr="00046A04">
        <w:t xml:space="preserve"> </w:t>
      </w:r>
      <w:r w:rsidR="00046A04">
        <w:t>(</w:t>
      </w:r>
      <w:r w:rsidR="00046A04" w:rsidRPr="00966CA4">
        <w:t xml:space="preserve">Flesher </w:t>
      </w:r>
      <w:proofErr w:type="spellStart"/>
      <w:r w:rsidR="00046A04" w:rsidRPr="00966CA4">
        <w:t>Fominaya</w:t>
      </w:r>
      <w:proofErr w:type="spellEnd"/>
      <w:r w:rsidR="00046A04">
        <w:t xml:space="preserve"> </w:t>
      </w:r>
      <w:r w:rsidR="00046A04" w:rsidRPr="00966CA4">
        <w:t>2017</w:t>
      </w:r>
      <w:r w:rsidR="00046A04">
        <w:t>)</w:t>
      </w:r>
      <w:r w:rsidR="007A7F08">
        <w:t xml:space="preserve">. </w:t>
      </w:r>
    </w:p>
    <w:p w14:paraId="3F0A8639" w14:textId="19BC0FB7" w:rsidR="007A7F08" w:rsidRPr="00046A04" w:rsidRDefault="007A7F08" w:rsidP="00D2267A">
      <w:pPr>
        <w:rPr>
          <w:bCs/>
          <w:iCs/>
        </w:rPr>
      </w:pPr>
      <w:r>
        <w:rPr>
          <w:bCs/>
          <w:iCs/>
        </w:rPr>
        <w:tab/>
      </w:r>
      <w:r w:rsidR="002D6244">
        <w:rPr>
          <w:bCs/>
          <w:iCs/>
        </w:rPr>
        <w:t xml:space="preserve">As </w:t>
      </w:r>
      <w:r w:rsidR="002D6244" w:rsidRPr="00966CA4">
        <w:t xml:space="preserve">Baily, Klein and </w:t>
      </w:r>
      <w:proofErr w:type="spellStart"/>
      <w:r w:rsidR="002D6244" w:rsidRPr="00966CA4">
        <w:t>Schardin</w:t>
      </w:r>
      <w:proofErr w:type="spellEnd"/>
      <w:r w:rsidR="002D6244">
        <w:t xml:space="preserve"> (</w:t>
      </w:r>
      <w:r w:rsidR="002D6244" w:rsidRPr="00966CA4">
        <w:t>2017</w:t>
      </w:r>
      <w:r w:rsidR="002D6244">
        <w:t>) noted, t</w:t>
      </w:r>
      <w:r w:rsidR="006F5D1C">
        <w:rPr>
          <w:bCs/>
          <w:iCs/>
        </w:rPr>
        <w:t xml:space="preserve">he impact of </w:t>
      </w:r>
      <w:r w:rsidR="000E4DDD">
        <w:t>DFWSR</w:t>
      </w:r>
      <w:r w:rsidR="006F5D1C">
        <w:t xml:space="preserve"> on banking stability is evident with its reforms associated with augmented oversight for financial institutions, creation of new resolution procedures</w:t>
      </w:r>
      <w:r w:rsidR="00B62972">
        <w:t xml:space="preserve"> for failing institutions and increasing potential and capital requirements. These reforms have made the banking sector much safer today in the US, than it was before the crisis</w:t>
      </w:r>
      <w:r w:rsidR="00A25A06" w:rsidRPr="00A25A06">
        <w:t xml:space="preserve"> </w:t>
      </w:r>
      <w:r w:rsidR="00A25A06">
        <w:t>(</w:t>
      </w:r>
      <w:proofErr w:type="spellStart"/>
      <w:r w:rsidR="00A25A06" w:rsidRPr="00966CA4">
        <w:t>Mohanty</w:t>
      </w:r>
      <w:proofErr w:type="spellEnd"/>
      <w:r w:rsidR="00A25A06" w:rsidRPr="00966CA4">
        <w:t xml:space="preserve">, </w:t>
      </w:r>
      <w:proofErr w:type="spellStart"/>
      <w:r w:rsidR="00A25A06" w:rsidRPr="00966CA4">
        <w:t>Akhigbe</w:t>
      </w:r>
      <w:proofErr w:type="spellEnd"/>
      <w:r w:rsidR="00A25A06">
        <w:t xml:space="preserve"> </w:t>
      </w:r>
      <w:r w:rsidR="00A25A06" w:rsidRPr="00966CA4">
        <w:t xml:space="preserve">and </w:t>
      </w:r>
      <w:proofErr w:type="spellStart"/>
      <w:r w:rsidR="00A25A06" w:rsidRPr="00966CA4">
        <w:t>Basheikh</w:t>
      </w:r>
      <w:proofErr w:type="spellEnd"/>
      <w:r w:rsidR="00A25A06">
        <w:t xml:space="preserve"> </w:t>
      </w:r>
      <w:r w:rsidR="00A25A06" w:rsidRPr="00966CA4">
        <w:t>2018</w:t>
      </w:r>
      <w:r w:rsidR="00A25A06">
        <w:t>)</w:t>
      </w:r>
      <w:r w:rsidR="00B62972">
        <w:t>.</w:t>
      </w:r>
      <w:r w:rsidR="00E72BD7">
        <w:t xml:space="preserve"> In addition to this, several measures for stabilising the banking system are evident with TBTF by including </w:t>
      </w:r>
      <w:r w:rsidR="00E72BD7" w:rsidRPr="007A7F08">
        <w:rPr>
          <w:b/>
          <w:bCs/>
          <w:i/>
          <w:iCs/>
        </w:rPr>
        <w:t>“Emergency Economic Stabilization Act (EESA)”</w:t>
      </w:r>
      <w:r w:rsidR="00E72BD7">
        <w:rPr>
          <w:b/>
          <w:bCs/>
          <w:i/>
          <w:iCs/>
        </w:rPr>
        <w:t xml:space="preserve"> </w:t>
      </w:r>
      <w:r w:rsidR="00E72BD7">
        <w:rPr>
          <w:bCs/>
          <w:iCs/>
        </w:rPr>
        <w:t>during October 2008, in collaboration with TARP. It is noteworthy that TARP does not allow banks for recouping losses in relation to troubled assets. The stability aspect is achieve</w:t>
      </w:r>
      <w:r w:rsidR="009A1BE3">
        <w:rPr>
          <w:bCs/>
          <w:iCs/>
        </w:rPr>
        <w:t>d</w:t>
      </w:r>
      <w:r w:rsidR="00E72BD7">
        <w:rPr>
          <w:bCs/>
          <w:iCs/>
        </w:rPr>
        <w:t xml:space="preserve"> by ultimately increasing the value</w:t>
      </w:r>
      <w:r w:rsidR="0010114E">
        <w:rPr>
          <w:bCs/>
          <w:iCs/>
        </w:rPr>
        <w:t xml:space="preserve"> of asset threshold</w:t>
      </w:r>
      <w:r w:rsidR="00E72BD7">
        <w:rPr>
          <w:bCs/>
          <w:iCs/>
        </w:rPr>
        <w:t xml:space="preserve"> which results in gains for participating banks</w:t>
      </w:r>
      <w:r w:rsidR="001A6F6E" w:rsidRPr="001A6F6E">
        <w:t xml:space="preserve"> </w:t>
      </w:r>
      <w:r w:rsidR="001A6F6E">
        <w:t>(</w:t>
      </w:r>
      <w:r w:rsidR="001A6F6E" w:rsidRPr="00966CA4">
        <w:t>Lambert</w:t>
      </w:r>
      <w:r w:rsidR="001A6F6E">
        <w:t xml:space="preserve"> </w:t>
      </w:r>
      <w:proofErr w:type="spellStart"/>
      <w:r w:rsidR="001A6F6E" w:rsidRPr="00966CA4">
        <w:t>Noth</w:t>
      </w:r>
      <w:proofErr w:type="spellEnd"/>
      <w:r w:rsidR="001A6F6E">
        <w:t xml:space="preserve"> </w:t>
      </w:r>
      <w:r w:rsidR="001A6F6E" w:rsidRPr="00966CA4">
        <w:t xml:space="preserve">and </w:t>
      </w:r>
      <w:proofErr w:type="spellStart"/>
      <w:r w:rsidR="001A6F6E" w:rsidRPr="00966CA4">
        <w:t>Schüwer</w:t>
      </w:r>
      <w:proofErr w:type="spellEnd"/>
      <w:r w:rsidR="001A6F6E">
        <w:t xml:space="preserve"> </w:t>
      </w:r>
      <w:r w:rsidR="001A6F6E" w:rsidRPr="00966CA4">
        <w:t>2017</w:t>
      </w:r>
      <w:r w:rsidR="001A6F6E">
        <w:t>)</w:t>
      </w:r>
      <w:r w:rsidR="00E72BD7">
        <w:rPr>
          <w:bCs/>
          <w:iCs/>
        </w:rPr>
        <w:t>.</w:t>
      </w:r>
    </w:p>
    <w:p w14:paraId="0A222D51" w14:textId="18EDF4C5" w:rsidR="00EE2AAD" w:rsidRDefault="00EE2AAD" w:rsidP="00A239A8">
      <w:pPr>
        <w:rPr>
          <w:b/>
          <w:bCs/>
        </w:rPr>
      </w:pPr>
      <w:r>
        <w:rPr>
          <w:b/>
          <w:bCs/>
        </w:rPr>
        <w:t>A</w:t>
      </w:r>
      <w:r w:rsidRPr="00EE2AAD">
        <w:rPr>
          <w:b/>
          <w:bCs/>
        </w:rPr>
        <w:t>gen</w:t>
      </w:r>
      <w:r w:rsidR="00FD78F2">
        <w:rPr>
          <w:b/>
          <w:bCs/>
        </w:rPr>
        <w:t>cy</w:t>
      </w:r>
      <w:r w:rsidRPr="00EE2AAD">
        <w:rPr>
          <w:b/>
          <w:bCs/>
        </w:rPr>
        <w:t xml:space="preserve"> theory</w:t>
      </w:r>
    </w:p>
    <w:p w14:paraId="3DA18F02" w14:textId="66CBD003" w:rsidR="008C7FD0" w:rsidRPr="00FD78F2" w:rsidRDefault="008C7FD0" w:rsidP="00FD78F2">
      <w:r>
        <w:tab/>
        <w:t xml:space="preserve">The financial crisis at a global scale during </w:t>
      </w:r>
      <w:r w:rsidR="002763C7">
        <w:t>2007</w:t>
      </w:r>
      <w:r>
        <w:t xml:space="preserve"> and 2008</w:t>
      </w:r>
      <w:r w:rsidR="00FD78F2">
        <w:t xml:space="preserve"> has explained by </w:t>
      </w:r>
      <w:r>
        <w:t>housing bubbles and debt derivatives</w:t>
      </w:r>
      <w:r w:rsidR="00FD78F2">
        <w:t xml:space="preserve">, including financial institutions for lending money which they could not repay, is closely based on with faulty business strategy and agency theory. During the housing bubble phases, the big credit agencies provided </w:t>
      </w:r>
      <w:r w:rsidR="00FD78F2" w:rsidRPr="00FD78F2">
        <w:rPr>
          <w:b/>
          <w:bCs/>
          <w:i/>
          <w:iCs/>
        </w:rPr>
        <w:t>“collateralized debt obligations (CDO)”</w:t>
      </w:r>
      <w:r w:rsidR="00FD78F2">
        <w:rPr>
          <w:b/>
          <w:bCs/>
          <w:i/>
          <w:iCs/>
        </w:rPr>
        <w:t xml:space="preserve"> </w:t>
      </w:r>
      <w:r w:rsidR="00FD78F2">
        <w:rPr>
          <w:bCs/>
          <w:iCs/>
        </w:rPr>
        <w:t>to the</w:t>
      </w:r>
      <w:r w:rsidR="001140B2">
        <w:rPr>
          <w:bCs/>
          <w:iCs/>
        </w:rPr>
        <w:t xml:space="preserve"> banks with high investment rating. On the contrary, the principal/public soon discovered investment brokers in providing such risky financial derivatives to the Americans </w:t>
      </w:r>
      <w:r w:rsidR="001140B2">
        <w:rPr>
          <w:bCs/>
          <w:iCs/>
        </w:rPr>
        <w:lastRenderedPageBreak/>
        <w:t>seeking for home mortgages.</w:t>
      </w:r>
      <w:r w:rsidR="008B6588">
        <w:rPr>
          <w:bCs/>
          <w:iCs/>
        </w:rPr>
        <w:t xml:space="preserve"> The domestic automakers were severely impacted by the economic turmoil as a result of the GFC. There are several arguments made on the topic which relates to economic crisis may not be the only reason for such a problem in the automobile industry but is rather due to uncompetitive price, mismanagement and design of the car i</w:t>
      </w:r>
      <w:r w:rsidR="001953DB">
        <w:rPr>
          <w:bCs/>
          <w:iCs/>
        </w:rPr>
        <w:t>n</w:t>
      </w:r>
      <w:r w:rsidR="008B6588">
        <w:rPr>
          <w:bCs/>
          <w:iCs/>
        </w:rPr>
        <w:t xml:space="preserve"> being dependent on uncertain prices for fuel</w:t>
      </w:r>
      <w:r w:rsidR="003437E1">
        <w:rPr>
          <w:bCs/>
          <w:iCs/>
        </w:rPr>
        <w:t>. Furthermore, it is often cited by the popular media that a classic instance of failure of the organised labour and managers at an international level is possibly due to the negative impact of agency theory. Similarly, stakeholders look forward to lead a profitable organisation through enriching themselves at the cost of other stakeholders</w:t>
      </w:r>
      <w:r w:rsidR="00E67F8D">
        <w:rPr>
          <w:bCs/>
          <w:iCs/>
        </w:rPr>
        <w:t xml:space="preserve"> (</w:t>
      </w:r>
      <w:r w:rsidR="00E67F8D" w:rsidRPr="0008078D">
        <w:t>Smith</w:t>
      </w:r>
      <w:r w:rsidR="00E67F8D">
        <w:t xml:space="preserve"> </w:t>
      </w:r>
      <w:r w:rsidR="00E67F8D" w:rsidRPr="0008078D">
        <w:t>2010</w:t>
      </w:r>
      <w:r w:rsidR="00E67F8D">
        <w:t>)</w:t>
      </w:r>
      <w:r w:rsidR="00E67F8D" w:rsidRPr="0008078D">
        <w:t>.</w:t>
      </w:r>
    </w:p>
    <w:p w14:paraId="07D30087" w14:textId="1B7BE35F" w:rsidR="00EE2AAD" w:rsidRDefault="00952E87" w:rsidP="00A239A8">
      <w:pPr>
        <w:rPr>
          <w:b/>
          <w:bCs/>
        </w:rPr>
      </w:pPr>
      <w:r>
        <w:rPr>
          <w:b/>
          <w:bCs/>
        </w:rPr>
        <w:t>S</w:t>
      </w:r>
      <w:r w:rsidRPr="00EE2AAD">
        <w:rPr>
          <w:b/>
          <w:bCs/>
        </w:rPr>
        <w:t>takeholders’</w:t>
      </w:r>
      <w:r w:rsidR="00EE2AAD" w:rsidRPr="00EE2AAD">
        <w:rPr>
          <w:b/>
          <w:bCs/>
        </w:rPr>
        <w:t xml:space="preserve"> </w:t>
      </w:r>
      <w:r w:rsidR="00EE2AAD">
        <w:rPr>
          <w:b/>
          <w:bCs/>
        </w:rPr>
        <w:t>t</w:t>
      </w:r>
      <w:r w:rsidR="00EE2AAD" w:rsidRPr="00EE2AAD">
        <w:rPr>
          <w:b/>
          <w:bCs/>
        </w:rPr>
        <w:t>heory</w:t>
      </w:r>
    </w:p>
    <w:p w14:paraId="7ACE83C2" w14:textId="6D91D20B" w:rsidR="003A21E9" w:rsidRDefault="003A21E9" w:rsidP="003A21E9">
      <w:r>
        <w:tab/>
        <w:t xml:space="preserve">According to </w:t>
      </w:r>
      <w:proofErr w:type="spellStart"/>
      <w:r w:rsidRPr="0008078D">
        <w:t>Pesci</w:t>
      </w:r>
      <w:proofErr w:type="spellEnd"/>
      <w:r>
        <w:t xml:space="preserve"> </w:t>
      </w:r>
      <w:r w:rsidRPr="0008078D">
        <w:t xml:space="preserve">and </w:t>
      </w:r>
      <w:proofErr w:type="spellStart"/>
      <w:r w:rsidRPr="0008078D">
        <w:t>Fornaciari</w:t>
      </w:r>
      <w:proofErr w:type="spellEnd"/>
      <w:r>
        <w:t xml:space="preserve"> (</w:t>
      </w:r>
      <w:r w:rsidRPr="0008078D">
        <w:t>2018</w:t>
      </w:r>
      <w:r>
        <w:t xml:space="preserve">), GFC restarted the debate of </w:t>
      </w:r>
      <w:r w:rsidR="00090F06">
        <w:t xml:space="preserve">association of </w:t>
      </w:r>
      <w:r>
        <w:t xml:space="preserve">stakeholder theories and the value provided to </w:t>
      </w:r>
      <w:r w:rsidR="00090F06">
        <w:t xml:space="preserve">the stakeholders. </w:t>
      </w:r>
      <w:r w:rsidR="00486CFA">
        <w:t xml:space="preserve">Stakeholder theory has stated how the financial crisis has demonstrated the excessive confidence among the shareholders on their hiring of managers. For example, based on this theory, one may overestimate the ability of a manager, thereby requiring new firms integrating among themselves. The conceptualisation of shareholder value suggests how the initiation of financial crisis lies in the origin of the crisis itself and the managers who must use the same. Similarly, stakeholder theories are seen to grant more latitude in future acquisitions, thereby allowing for future expansion possibilities even during </w:t>
      </w:r>
      <w:r w:rsidR="00F208B3">
        <w:t xml:space="preserve">a </w:t>
      </w:r>
      <w:r w:rsidR="00486CFA">
        <w:t>financial crisis</w:t>
      </w:r>
      <w:r w:rsidR="00FF22DD" w:rsidRPr="00FF22DD">
        <w:t xml:space="preserve"> </w:t>
      </w:r>
      <w:r w:rsidR="00FF22DD">
        <w:t>(</w:t>
      </w:r>
      <w:r w:rsidR="00FF22DD" w:rsidRPr="008D222D">
        <w:t>Rivera, Muñoz</w:t>
      </w:r>
      <w:r w:rsidR="00FF22DD">
        <w:t xml:space="preserve"> </w:t>
      </w:r>
      <w:r w:rsidR="00FF22DD" w:rsidRPr="008D222D">
        <w:t xml:space="preserve">and </w:t>
      </w:r>
      <w:proofErr w:type="spellStart"/>
      <w:r w:rsidR="00FF22DD" w:rsidRPr="008D222D">
        <w:t>Moneva</w:t>
      </w:r>
      <w:proofErr w:type="spellEnd"/>
      <w:r w:rsidR="00FF22DD">
        <w:t xml:space="preserve"> </w:t>
      </w:r>
      <w:r w:rsidR="00FF22DD" w:rsidRPr="008D222D">
        <w:t>2017</w:t>
      </w:r>
      <w:r w:rsidR="00FF22DD">
        <w:t>)</w:t>
      </w:r>
      <w:r w:rsidR="00486CFA">
        <w:t xml:space="preserve">. </w:t>
      </w:r>
    </w:p>
    <w:p w14:paraId="016BCF8A" w14:textId="33C427CB" w:rsidR="00710663" w:rsidRDefault="00710663" w:rsidP="00B40F35">
      <w:pPr>
        <w:pStyle w:val="Heading1"/>
      </w:pPr>
      <w:bookmarkStart w:id="13" w:name="_Toc70881299"/>
      <w:r>
        <w:t>Extent to which these reforms have had an impact on the business model of</w:t>
      </w:r>
      <w:r w:rsidR="00846815">
        <w:t xml:space="preserve"> </w:t>
      </w:r>
      <w:r w:rsidR="00846815" w:rsidRPr="00846815">
        <w:t>U.S. Bancorp</w:t>
      </w:r>
      <w:r w:rsidR="00846815">
        <w:t xml:space="preserve"> along with the level of compliance to these reforms</w:t>
      </w:r>
      <w:bookmarkEnd w:id="13"/>
    </w:p>
    <w:p w14:paraId="387F285D" w14:textId="7953D58A" w:rsidR="008F7651" w:rsidRDefault="00DF00BE" w:rsidP="00DF00BE">
      <w:r>
        <w:tab/>
      </w:r>
      <w:r w:rsidRPr="00DF00BE">
        <w:t>U.S. Bancorp</w:t>
      </w:r>
      <w:r>
        <w:t xml:space="preserve"> is recognised as a public American holding company headquartered in </w:t>
      </w:r>
      <w:r w:rsidRPr="00DF00BE">
        <w:t>Minneapolis, Minnesota</w:t>
      </w:r>
      <w:r>
        <w:t xml:space="preserve">. The main subsidiary of the bank is identified as </w:t>
      </w:r>
      <w:r w:rsidRPr="00DF00BE">
        <w:t>U.S. Bank National Association</w:t>
      </w:r>
      <w:r>
        <w:t>, which is acknowledged as the fifth largest banking corporation in the country.</w:t>
      </w:r>
      <w:r w:rsidR="00794C9A">
        <w:t xml:space="preserve"> </w:t>
      </w:r>
      <w:r w:rsidR="0080431C">
        <w:t xml:space="preserve"> The bank is seen to be having more than 70000 employees along with an asset of $543b as on </w:t>
      </w:r>
      <w:r w:rsidR="0080431C">
        <w:lastRenderedPageBreak/>
        <w:t xml:space="preserve">March 31,2020. </w:t>
      </w:r>
      <w:r w:rsidR="008F7651" w:rsidRPr="008F7651">
        <w:rPr>
          <w:b/>
          <w:bCs/>
          <w:i/>
          <w:iCs/>
        </w:rPr>
        <w:t>“Dodd-Frank Act stress testing (DFAST)”</w:t>
      </w:r>
      <w:r w:rsidR="008F7651">
        <w:rPr>
          <w:b/>
          <w:bCs/>
          <w:i/>
          <w:iCs/>
        </w:rPr>
        <w:t xml:space="preserve"> </w:t>
      </w:r>
      <w:r w:rsidR="008F7651">
        <w:rPr>
          <w:bCs/>
          <w:iCs/>
        </w:rPr>
        <w:t xml:space="preserve">is considered as a forward-looking approach for evaluating the overall impact of financial shock and adverse economic condition on the capital level of an organisation. This is seen to be aligned with different types of variables and assumptions for stress tests and duly approved by the </w:t>
      </w:r>
      <w:r w:rsidR="008F7651" w:rsidRPr="008F7651">
        <w:rPr>
          <w:b/>
          <w:i/>
        </w:rPr>
        <w:t>“Federal Reserve System’s</w:t>
      </w:r>
      <w:r w:rsidR="008F7651">
        <w:rPr>
          <w:b/>
          <w:i/>
        </w:rPr>
        <w:t xml:space="preserve"> </w:t>
      </w:r>
      <w:r w:rsidR="008F7651" w:rsidRPr="008F7651">
        <w:rPr>
          <w:b/>
          <w:i/>
        </w:rPr>
        <w:t>Board of Governors”</w:t>
      </w:r>
      <w:r w:rsidR="008F7651">
        <w:rPr>
          <w:bCs/>
          <w:iCs/>
        </w:rPr>
        <w:t>.</w:t>
      </w:r>
      <w:r w:rsidR="00982F71">
        <w:rPr>
          <w:bCs/>
          <w:iCs/>
        </w:rPr>
        <w:t xml:space="preserve"> In 2014, it was made mandatory for the banks in the US to conduct stress test as per </w:t>
      </w:r>
      <w:r w:rsidR="00982F71">
        <w:t>DFWSR. This is in relation to the amendments as declared in sec 401 of the regulatory relief, CPA and economic growth, thereby leading the consolidation of assets worth more than $250b</w:t>
      </w:r>
      <w:r w:rsidR="00982F71" w:rsidRPr="00982F71">
        <w:t xml:space="preserve"> </w:t>
      </w:r>
      <w:r w:rsidR="00982F71">
        <w:t>(F</w:t>
      </w:r>
      <w:r w:rsidR="00982F71" w:rsidRPr="008D5521">
        <w:t>hfa.gov</w:t>
      </w:r>
      <w:r w:rsidR="00982F71">
        <w:t>. 2021).</w:t>
      </w:r>
    </w:p>
    <w:p w14:paraId="0737783C" w14:textId="4690B511" w:rsidR="00DF00BE" w:rsidRDefault="00794C9A" w:rsidP="00982F71">
      <w:pPr>
        <w:ind w:firstLine="720"/>
      </w:pPr>
      <w:r w:rsidRPr="00DF00BE">
        <w:t>U.S. Bancorp</w:t>
      </w:r>
      <w:r>
        <w:t xml:space="preserve"> along with its subsidiaries adheres to regulations as per </w:t>
      </w:r>
      <w:r w:rsidR="000E4DDD">
        <w:t>DFWSR</w:t>
      </w:r>
      <w:r w:rsidR="0070486E">
        <w:t xml:space="preserve">(DFAST) </w:t>
      </w:r>
      <w:r>
        <w:t>and CPA</w:t>
      </w:r>
      <w:r w:rsidR="008563FF">
        <w:t xml:space="preserve"> for performing stress test. These assessments are used by the bank for evaluating the impact of different capital actions and macroeconomic conditions on the net income, capital adequacy and balance sheet of the bank. This is in turn necessary for mitigating prominent risk associated to liquidity, reputation, interest rate and market.</w:t>
      </w:r>
      <w:r w:rsidR="002E2E5F">
        <w:t xml:space="preserve"> In addition to this, such an act is also aimed towards controlling the credit risk which is further related with not collecting the principal balance or interest of the loan or amount derived from contract on its due date.</w:t>
      </w:r>
      <w:r w:rsidR="00B65AA1">
        <w:t xml:space="preserve"> The stress testing method implemented by </w:t>
      </w:r>
      <w:r w:rsidR="00B65AA1" w:rsidRPr="00DF00BE">
        <w:t>U.S. Bancorp</w:t>
      </w:r>
      <w:r w:rsidR="00B65AA1">
        <w:t xml:space="preserve"> helps in quantifying and estimating the stressed economic conditions pertaining to the losses made by the bank. The chief drivers of credit losses are however inferred with commercial and real estate values and decreasing home prices. The operational risk is further prevalent in form of fraud conducted by the persons or employees outside the company through unauthorised access to employee transaction record. Lastly, the interest risk is concerned with the unsystematic risk due to changes in the interest rates. Based on the existence of such risk factors, </w:t>
      </w:r>
      <w:r w:rsidR="00B65AA1" w:rsidRPr="00DF00BE">
        <w:t>U.S. Bancorp</w:t>
      </w:r>
      <w:r w:rsidR="00B65AA1">
        <w:t xml:space="preserve"> has complied with the necessary reform under </w:t>
      </w:r>
      <w:r w:rsidR="000E4DDD">
        <w:t>DFWSR</w:t>
      </w:r>
      <w:r w:rsidR="00B65AA1">
        <w:t xml:space="preserve"> for performing a stress test of its assets</w:t>
      </w:r>
      <w:r w:rsidR="002F4EE7" w:rsidRPr="002F4EE7">
        <w:t xml:space="preserve"> </w:t>
      </w:r>
      <w:r w:rsidR="002F4EE7">
        <w:t>(I</w:t>
      </w:r>
      <w:r w:rsidR="002F4EE7" w:rsidRPr="00B647F2">
        <w:t>r.usbank.com 2021</w:t>
      </w:r>
      <w:r w:rsidR="00B141B2">
        <w:t>a</w:t>
      </w:r>
      <w:r w:rsidR="002F4EE7">
        <w:t>)</w:t>
      </w:r>
      <w:r w:rsidR="00B65AA1">
        <w:t>.</w:t>
      </w:r>
    </w:p>
    <w:p w14:paraId="1EA5C20D" w14:textId="31FC62DD" w:rsidR="00B65AA1" w:rsidRDefault="00B65AA1" w:rsidP="00154EDE">
      <w:pPr>
        <w:rPr>
          <w:bCs/>
          <w:iCs/>
        </w:rPr>
      </w:pPr>
      <w:r>
        <w:tab/>
      </w:r>
      <w:r w:rsidR="002F4EE7">
        <w:t>The quantitative disclosure of</w:t>
      </w:r>
      <w:r w:rsidR="008C5E41">
        <w:t xml:space="preserve"> </w:t>
      </w:r>
      <w:r w:rsidR="000E4DDD">
        <w:t>DFWSR</w:t>
      </w:r>
      <w:r w:rsidR="008C5E41">
        <w:t xml:space="preserve"> </w:t>
      </w:r>
      <w:r w:rsidR="000838C5">
        <w:t xml:space="preserve">is </w:t>
      </w:r>
      <w:r w:rsidR="008C5E41">
        <w:t>see</w:t>
      </w:r>
      <w:r w:rsidR="000838C5">
        <w:t>n</w:t>
      </w:r>
      <w:r w:rsidR="008C5E41">
        <w:t xml:space="preserve"> to be based on capital adequacy assessment via a standardised </w:t>
      </w:r>
      <w:r w:rsidR="008C5E41" w:rsidRPr="008C5E41">
        <w:rPr>
          <w:b/>
          <w:bCs/>
          <w:i/>
          <w:iCs/>
        </w:rPr>
        <w:t>“Capital adequacy process (CAP)”</w:t>
      </w:r>
      <w:r w:rsidR="008C5E41">
        <w:rPr>
          <w:b/>
          <w:bCs/>
          <w:i/>
          <w:iCs/>
        </w:rPr>
        <w:t xml:space="preserve">. </w:t>
      </w:r>
      <w:r w:rsidR="008C5E41">
        <w:rPr>
          <w:bCs/>
          <w:iCs/>
        </w:rPr>
        <w:t xml:space="preserve">This process is </w:t>
      </w:r>
      <w:r w:rsidR="008C5E41">
        <w:rPr>
          <w:bCs/>
          <w:iCs/>
        </w:rPr>
        <w:lastRenderedPageBreak/>
        <w:t xml:space="preserve">responsible for quantifying and identifying the various types of meat real risks under both stressed and favourable economic conditions by the Federal reserve. The final submission of the test results is compiled in a comprehensive submission of </w:t>
      </w:r>
      <w:r w:rsidR="008C5E41" w:rsidRPr="008C5E41">
        <w:rPr>
          <w:b/>
          <w:i/>
        </w:rPr>
        <w:t>“Capital Analysis and Review (CCAR)”</w:t>
      </w:r>
      <w:r w:rsidR="008C5E41">
        <w:t xml:space="preserve"> in conjunction with CPA and </w:t>
      </w:r>
      <w:r w:rsidR="000E4DDD">
        <w:t>DFWSR</w:t>
      </w:r>
      <w:r w:rsidR="008C5E41">
        <w:t>. Based on this assessment, it can be determined what is the overall influence of macroeconomic conditions on the capital components of the bank.</w:t>
      </w:r>
      <w:r w:rsidR="0053109E">
        <w:t xml:space="preserve"> Based on the stress test report published by </w:t>
      </w:r>
      <w:r w:rsidR="0053109E" w:rsidRPr="00DF00BE">
        <w:t>U.S. Bancorp</w:t>
      </w:r>
      <w:r w:rsidR="0053109E">
        <w:t xml:space="preserve"> in 2020, the macroeconomic scenario was identified with unemployment of 10%, GDP of 9.9%, decline in equity prices by 50% and maximum decline in housing price by 28% especially in relation to the commercial real estate prices. In addition to this, the Treasury rates of short-term nature also experienced a decline and remained close to 0 as the yield curve gradually steepened.</w:t>
      </w:r>
      <w:r w:rsidR="00DF60C3">
        <w:rPr>
          <w:bCs/>
          <w:iCs/>
        </w:rPr>
        <w:t xml:space="preserve"> </w:t>
      </w:r>
      <w:r>
        <w:t xml:space="preserve">Based on the </w:t>
      </w:r>
      <w:r w:rsidR="008B4D24">
        <w:t xml:space="preserve">summary of </w:t>
      </w:r>
      <w:r>
        <w:t xml:space="preserve">stress test results as per </w:t>
      </w:r>
      <w:r w:rsidR="000E4DDD">
        <w:t>DFWSR</w:t>
      </w:r>
      <w:r>
        <w:t xml:space="preserve"> released by the bank</w:t>
      </w:r>
      <w:r w:rsidR="008B4D24">
        <w:t>, the bank computed the changes in regulatory and capital positions by conducting ratio analysis. In this regard, the capital ratio comprised of our assets, to deliberate exposure, standardise risk weighted assets and general capital risk. However, it is also important to note that in 2019, the bank launched a transition rule named</w:t>
      </w:r>
      <w:r w:rsidR="00154EDE">
        <w:t xml:space="preserve"> as </w:t>
      </w:r>
      <w:r w:rsidR="00154EDE" w:rsidRPr="00154EDE">
        <w:rPr>
          <w:b/>
          <w:bCs/>
          <w:i/>
          <w:iCs/>
        </w:rPr>
        <w:t>“current expected credit losses (CECL) transition rule”</w:t>
      </w:r>
      <w:r w:rsidR="00154EDE">
        <w:rPr>
          <w:b/>
          <w:bCs/>
          <w:i/>
          <w:iCs/>
        </w:rPr>
        <w:t xml:space="preserve">. </w:t>
      </w:r>
      <w:r w:rsidR="00154EDE">
        <w:rPr>
          <w:bCs/>
          <w:iCs/>
        </w:rPr>
        <w:t xml:space="preserve">As per this transition rule, the CET1 was calculated as 7.4% versus 6.8% based on a three-year transition period. </w:t>
      </w:r>
    </w:p>
    <w:p w14:paraId="72D8155F" w14:textId="18A9B0D8" w:rsidR="00FC129C" w:rsidRDefault="00154EDE" w:rsidP="00745700">
      <w:pPr>
        <w:rPr>
          <w:b/>
          <w:i/>
        </w:rPr>
      </w:pPr>
      <w:r>
        <w:rPr>
          <w:bCs/>
          <w:iCs/>
        </w:rPr>
        <w:tab/>
        <w:t>The bank also estimated</w:t>
      </w:r>
      <w:r w:rsidR="007573A7">
        <w:rPr>
          <w:bCs/>
          <w:iCs/>
        </w:rPr>
        <w:t xml:space="preserve"> a CET1 ratio of 230 points which is considered as the deterioration from 9.1% in 2019 to 6.8% in 2020. This result is evaluated on 9/4 stress period starting from March 2012</w:t>
      </w:r>
      <w:r w:rsidR="00F65C76">
        <w:rPr>
          <w:bCs/>
          <w:iCs/>
        </w:rPr>
        <w:t xml:space="preserve"> till December 2019</w:t>
      </w:r>
      <w:r w:rsidR="007573A7">
        <w:rPr>
          <w:bCs/>
          <w:iCs/>
        </w:rPr>
        <w:t xml:space="preserve">. The minimum threshold of CET1 under the </w:t>
      </w:r>
      <w:r w:rsidR="000E4DDD">
        <w:t>DFWSR</w:t>
      </w:r>
      <w:r w:rsidR="007573A7">
        <w:t xml:space="preserve"> is depicted as 4.5%</w:t>
      </w:r>
      <w:r w:rsidR="00B5298D">
        <w:t>. I</w:t>
      </w:r>
      <w:r w:rsidR="007573A7">
        <w:t xml:space="preserve">n this regard, it can be clearly seen how </w:t>
      </w:r>
      <w:r w:rsidR="007573A7" w:rsidRPr="00DF00BE">
        <w:t>U.S. Bancorp</w:t>
      </w:r>
      <w:r w:rsidR="007573A7">
        <w:t xml:space="preserve"> has been successful in maintaining the minimum regulatory requirement pertaining to the CET1 ratio.</w:t>
      </w:r>
      <w:r w:rsidR="002A42EC">
        <w:t xml:space="preserve"> Along with this, the bank has stated that the rational for such </w:t>
      </w:r>
      <w:r w:rsidR="000E68C7">
        <w:t xml:space="preserve">a </w:t>
      </w:r>
      <w:r w:rsidR="002A42EC">
        <w:t>de</w:t>
      </w:r>
      <w:r w:rsidR="000E68C7">
        <w:t>crease</w:t>
      </w:r>
      <w:r w:rsidR="002A42EC">
        <w:t xml:space="preserve"> in the CET1 is a result of increasing losses pertaining to credit and loan reserve. This has resulted in a significant impact on the adoption of CECL standard for accounting since day one. In order to get used to these changes, the bank </w:t>
      </w:r>
      <w:r w:rsidR="008727C4">
        <w:t xml:space="preserve">had to </w:t>
      </w:r>
      <w:r w:rsidR="002A42EC">
        <w:t xml:space="preserve">partially offset the credit and loan reserve via </w:t>
      </w:r>
      <w:r w:rsidR="002A42EC" w:rsidRPr="002A42EC">
        <w:rPr>
          <w:b/>
          <w:bCs/>
          <w:i/>
          <w:iCs/>
        </w:rPr>
        <w:lastRenderedPageBreak/>
        <w:t>“pre-provision net revenue (“PPNR”)”</w:t>
      </w:r>
      <w:r w:rsidR="002A42EC" w:rsidRPr="002A42EC">
        <w:t>.</w:t>
      </w:r>
      <w:r w:rsidR="002A42EC">
        <w:t xml:space="preserve"> </w:t>
      </w:r>
      <w:r w:rsidR="00745700">
        <w:t xml:space="preserve">The various types of other negative drivers for the CET1 are directly associated with capital actions as prescribed under DFAST by the Federal reserve. In addition to this, the CET1 is further seem to be reduced by increasing capital reductions which are disallowed pertaining to </w:t>
      </w:r>
      <w:r w:rsidR="00745700" w:rsidRPr="00745700">
        <w:rPr>
          <w:b/>
          <w:bCs/>
          <w:i/>
          <w:iCs/>
        </w:rPr>
        <w:t>“deferred tax assets (DTAs)”</w:t>
      </w:r>
      <w:r w:rsidR="00745700">
        <w:rPr>
          <w:b/>
          <w:bCs/>
          <w:i/>
          <w:iCs/>
        </w:rPr>
        <w:t xml:space="preserve"> </w:t>
      </w:r>
      <w:r w:rsidR="00745700">
        <w:rPr>
          <w:bCs/>
          <w:iCs/>
        </w:rPr>
        <w:t xml:space="preserve">and other factors such as credit carry forwards and net operating loss. It is also worth noting that the Tier 1 CET ratio experienced a decrease due to partial offset of increasing value of real estate or in other words </w:t>
      </w:r>
      <w:r w:rsidR="00745700" w:rsidRPr="00745700">
        <w:rPr>
          <w:b/>
          <w:i/>
        </w:rPr>
        <w:t>“real estate investment trust (REIT)”</w:t>
      </w:r>
      <w:r w:rsidR="00B141B2" w:rsidRPr="00B141B2">
        <w:t xml:space="preserve"> </w:t>
      </w:r>
      <w:r w:rsidR="00B141B2">
        <w:t>(I</w:t>
      </w:r>
      <w:r w:rsidR="00B141B2" w:rsidRPr="00B647F2">
        <w:t>r.usbank.com 2021</w:t>
      </w:r>
      <w:r w:rsidR="00B141B2">
        <w:t>b)</w:t>
      </w:r>
      <w:r w:rsidR="00FC129C">
        <w:rPr>
          <w:b/>
          <w:i/>
        </w:rPr>
        <w:t xml:space="preserve">. </w:t>
      </w:r>
    </w:p>
    <w:p w14:paraId="54CBC0EA" w14:textId="681429E7" w:rsidR="00154EDE" w:rsidRDefault="00FC129C" w:rsidP="00FC129C">
      <w:pPr>
        <w:ind w:firstLine="720"/>
      </w:pPr>
      <w:r>
        <w:t xml:space="preserve">It is also worth mentioning that the capital ratio computations based on </w:t>
      </w:r>
      <w:r w:rsidR="000E4DDD">
        <w:t>DFWSR</w:t>
      </w:r>
      <w:r>
        <w:t xml:space="preserve"> has followed the stress testing rule under </w:t>
      </w:r>
      <w:r w:rsidRPr="00FC129C">
        <w:rPr>
          <w:b/>
          <w:bCs/>
          <w:i/>
          <w:iCs/>
        </w:rPr>
        <w:t>“12 CFR 252.56(b)”</w:t>
      </w:r>
      <w:r>
        <w:rPr>
          <w:b/>
          <w:bCs/>
          <w:i/>
          <w:iCs/>
        </w:rPr>
        <w:t xml:space="preserve">. </w:t>
      </w:r>
      <w:r>
        <w:rPr>
          <w:bCs/>
          <w:iCs/>
        </w:rPr>
        <w:t>Furthermore, the minimum time pertaining to the capital ratio is seen to be ranging between 1Q20 to 1Q22.</w:t>
      </w:r>
      <w:r w:rsidR="002F50BB">
        <w:rPr>
          <w:bCs/>
          <w:iCs/>
        </w:rPr>
        <w:t xml:space="preserve"> Some of the other supervisory guideline involving stress test as per </w:t>
      </w:r>
      <w:r w:rsidR="000E4DDD">
        <w:t>DFWSR</w:t>
      </w:r>
      <w:r w:rsidR="002F50BB">
        <w:t xml:space="preserve"> can be depicted in form of disclosures made by the company in quantifying various meat real risks under distressed scenario where the principle guideline is decided by the publication of Federal Reserve. It is also worth mentioning how the bank administers</w:t>
      </w:r>
      <w:r w:rsidR="00DD27B4">
        <w:t xml:space="preserve"> the stress laden macroeconomic scenarios via </w:t>
      </w:r>
      <w:r w:rsidR="00DD27B4" w:rsidRPr="00DD27B4">
        <w:rPr>
          <w:b/>
          <w:bCs/>
          <w:i/>
          <w:iCs/>
        </w:rPr>
        <w:t>“Economic Scenario Committee (ESC)”</w:t>
      </w:r>
      <w:r w:rsidR="00DD27B4">
        <w:t>. This committee comprises of relevant team of subject matter experts and executive officers. In this manner, the overall members in the ESC can be clearly identified with executive vice president, chief risk officer, the treasurer</w:t>
      </w:r>
      <w:r w:rsidR="0038618F">
        <w:t>, CEO, CFO and executive VP of corporate affairs.</w:t>
      </w:r>
      <w:r w:rsidR="008D4C39">
        <w:t xml:space="preserve"> Based on the ESC in purview of </w:t>
      </w:r>
      <w:r w:rsidR="000E4DDD">
        <w:t>DFWSR</w:t>
      </w:r>
      <w:r w:rsidR="008D4C39">
        <w:t xml:space="preserve">, </w:t>
      </w:r>
      <w:r w:rsidR="008D4C39" w:rsidRPr="00DF00BE">
        <w:t>U.S. Bancorp</w:t>
      </w:r>
      <w:r w:rsidR="008D4C39">
        <w:t xml:space="preserve"> has been successful in defining the macroeconomic indicators which are appropriate as for business activities of the company. The property prices, housing prices, GDP and unemployment are some of the other relevant factors in relation to the macroeconomic projections pertaining to stress test assessment as per the </w:t>
      </w:r>
      <w:r w:rsidR="000E4DDD">
        <w:t>DFWSR</w:t>
      </w:r>
      <w:r w:rsidR="008D4C39">
        <w:t xml:space="preserve"> rulings. The company takes into account these factors as driver of economic activity, thereby including unemployment, GDP and equity values. The value pertaining to CRE price index, consumer bankruptcy climate and House price index also play a key role in estimating the overall financial stress as per </w:t>
      </w:r>
      <w:r w:rsidR="000E4DDD">
        <w:t>DFWSR</w:t>
      </w:r>
      <w:r w:rsidR="001F1335" w:rsidRPr="001F1335">
        <w:t xml:space="preserve"> </w:t>
      </w:r>
      <w:r w:rsidR="001F1335">
        <w:t>(I</w:t>
      </w:r>
      <w:r w:rsidR="001F1335" w:rsidRPr="00B647F2">
        <w:t>r.usbank.com 2021</w:t>
      </w:r>
      <w:r w:rsidR="001F1335">
        <w:t>c)</w:t>
      </w:r>
      <w:r w:rsidR="008D4C39">
        <w:t>.</w:t>
      </w:r>
    </w:p>
    <w:p w14:paraId="689870B0" w14:textId="30F7A8C4" w:rsidR="0080431C" w:rsidRPr="00DD27B4" w:rsidRDefault="0080431C" w:rsidP="00FC129C">
      <w:pPr>
        <w:ind w:firstLine="720"/>
      </w:pPr>
      <w:r>
        <w:lastRenderedPageBreak/>
        <w:t>The existence of</w:t>
      </w:r>
      <w:r w:rsidRPr="0080431C">
        <w:rPr>
          <w:b/>
          <w:bCs/>
        </w:rPr>
        <w:t xml:space="preserve"> </w:t>
      </w:r>
      <w:r>
        <w:t xml:space="preserve">DFWSR has contributed to several forward-looking statements for </w:t>
      </w:r>
      <w:r w:rsidRPr="00DF00BE">
        <w:t>U.S. Bancorp</w:t>
      </w:r>
      <w:r>
        <w:t xml:space="preserve">. The media has reported that the current and historical facts based on the implementation of DFWSR has been conducive for ensuring sufficient capital requirement, thereby providing the </w:t>
      </w:r>
      <w:r w:rsidR="00A1018E">
        <w:t>leverage for</w:t>
      </w:r>
      <w:r>
        <w:t xml:space="preserve"> repurchasing shares in the future. In the recent times, such reforms have been immensely helpful in tackling the adverse impact on third-party service providers, employees, counterparties and customers as a result of the COVID-19 pandemic. The reforms implemented by the bank has</w:t>
      </w:r>
      <w:r w:rsidR="00CB60D5">
        <w:t xml:space="preserve"> recognised the possibility of continued deterioration in economic condition and general business, which may influence the revenue of </w:t>
      </w:r>
      <w:r w:rsidR="00CB60D5" w:rsidRPr="00DF00BE">
        <w:t>U.S. Bancorp</w:t>
      </w:r>
      <w:r w:rsidR="00CB60D5">
        <w:t xml:space="preserve">. In order to reduce such negative repercussions, DFWSR acts as a prominent tool to safeguard the performance of the bank through controlling increased stock price volatility, availability of funding in global financial markets and tightening of credit. Additionally, regulatory policies, changes to statutes and other practices which can pose unpredictable dangers has been also substantially evaluated by </w:t>
      </w:r>
      <w:r w:rsidR="00CB60D5" w:rsidRPr="00DF00BE">
        <w:t>U.S. Bancorp</w:t>
      </w:r>
      <w:r w:rsidR="00CB60D5">
        <w:t>. Similarly, US Bancorp aspires to continue implementing DFWSR by estimating how the predicted risk factors vary from the actual results</w:t>
      </w:r>
      <w:r w:rsidR="00CB60D5" w:rsidRPr="00CB60D5">
        <w:t xml:space="preserve"> </w:t>
      </w:r>
      <w:r w:rsidR="00CB60D5">
        <w:t>(I</w:t>
      </w:r>
      <w:r w:rsidR="00CB60D5" w:rsidRPr="00B647F2">
        <w:t>r.usbank.com 2021</w:t>
      </w:r>
      <w:r w:rsidR="00CB60D5">
        <w:t>d).</w:t>
      </w:r>
      <w:r w:rsidR="00AC2F0D">
        <w:t xml:space="preserve"> Lastly, the bank also declares how it would continue to predict the economic conditions on its site submission basis and follow the supervisory guidance in relation to CPA and DFWSR, it is also named as </w:t>
      </w:r>
      <w:r w:rsidR="00AC2F0D" w:rsidRPr="00AC2F0D">
        <w:t xml:space="preserve">DFAST </w:t>
      </w:r>
      <w:r w:rsidR="00AC2F0D">
        <w:t>(U</w:t>
      </w:r>
      <w:r w:rsidR="00AC2F0D" w:rsidRPr="0033602F">
        <w:t>sbank.com</w:t>
      </w:r>
      <w:r w:rsidR="00AC2F0D">
        <w:t xml:space="preserve"> 2021).</w:t>
      </w:r>
    </w:p>
    <w:p w14:paraId="70B2D021" w14:textId="7657906C" w:rsidR="00846815" w:rsidRDefault="00846815" w:rsidP="00B40F35">
      <w:pPr>
        <w:pStyle w:val="Heading1"/>
      </w:pPr>
      <w:bookmarkStart w:id="14" w:name="_Toc70881300"/>
      <w:r>
        <w:t>Conclusion</w:t>
      </w:r>
      <w:bookmarkEnd w:id="14"/>
      <w:r w:rsidR="007573A7">
        <w:t xml:space="preserve"> </w:t>
      </w:r>
    </w:p>
    <w:p w14:paraId="28A1F9BD" w14:textId="2B4C497E" w:rsidR="001A67C6" w:rsidRDefault="002428D3" w:rsidP="002428D3">
      <w:r>
        <w:tab/>
        <w:t xml:space="preserve">The discourse of the study on the </w:t>
      </w:r>
      <w:r w:rsidR="00A1018E">
        <w:t>m</w:t>
      </w:r>
      <w:r>
        <w:t>ain regulations, contracts and laws enacted after the 2008 financial crises in the UK and the US along with key players in the financial system to mitigate the crises has found unique resolutions</w:t>
      </w:r>
      <w:r w:rsidR="00C14B80">
        <w:t xml:space="preserve"> being implemented </w:t>
      </w:r>
      <w:r>
        <w:t xml:space="preserve">by </w:t>
      </w:r>
      <w:r w:rsidR="001C0737">
        <w:t>such</w:t>
      </w:r>
      <w:r>
        <w:t xml:space="preserve"> countries.</w:t>
      </w:r>
      <w:r w:rsidR="00C14B80">
        <w:t xml:space="preserve"> </w:t>
      </w:r>
      <w:r>
        <w:t xml:space="preserve"> In this regard, in the UK</w:t>
      </w:r>
      <w:r w:rsidR="000839A0">
        <w:t>, FSB along with BCBS initiated re-regulation and requirement for companies to comply with their regulations.</w:t>
      </w:r>
      <w:r w:rsidR="00C14B80">
        <w:t xml:space="preserve"> New reforms such as </w:t>
      </w:r>
      <w:r w:rsidR="00003273" w:rsidRPr="00003273">
        <w:rPr>
          <w:b/>
          <w:bCs/>
          <w:i/>
          <w:iCs/>
        </w:rPr>
        <w:t>“</w:t>
      </w:r>
      <w:r w:rsidR="00C14B80" w:rsidRPr="00E95CDA">
        <w:rPr>
          <w:b/>
          <w:bCs/>
          <w:i/>
          <w:iCs/>
        </w:rPr>
        <w:t>Twin Peaks”</w:t>
      </w:r>
      <w:r w:rsidR="00C14B80">
        <w:rPr>
          <w:bCs/>
          <w:iCs/>
        </w:rPr>
        <w:t xml:space="preserve"> </w:t>
      </w:r>
      <w:r w:rsidR="00C14B80" w:rsidRPr="00E95CDA">
        <w:rPr>
          <w:bCs/>
          <w:iCs/>
        </w:rPr>
        <w:t>structure</w:t>
      </w:r>
      <w:r w:rsidR="00C14B80">
        <w:rPr>
          <w:bCs/>
          <w:iCs/>
        </w:rPr>
        <w:t xml:space="preserve"> along with the approach of ending the problem of </w:t>
      </w:r>
      <w:r w:rsidR="00C14B80" w:rsidRPr="00C14B80">
        <w:rPr>
          <w:bCs/>
          <w:iCs/>
        </w:rPr>
        <w:t>TBTF</w:t>
      </w:r>
      <w:r w:rsidR="00C14B80">
        <w:rPr>
          <w:bCs/>
          <w:iCs/>
        </w:rPr>
        <w:t xml:space="preserve"> was mainly adopted to respond to </w:t>
      </w:r>
      <w:r w:rsidR="00C14B80">
        <w:rPr>
          <w:bCs/>
          <w:iCs/>
        </w:rPr>
        <w:lastRenderedPageBreak/>
        <w:t xml:space="preserve">the financial crisis by the UK, whereas CPA and </w:t>
      </w:r>
      <w:r w:rsidR="00C14B80" w:rsidRPr="00C14B80">
        <w:t>DFWSR</w:t>
      </w:r>
      <w:r w:rsidR="00C14B80">
        <w:t xml:space="preserve"> was implemented by the US. Along with this, TARP and </w:t>
      </w:r>
      <w:r w:rsidR="00C14B80" w:rsidRPr="00C14B80">
        <w:t>ESSA</w:t>
      </w:r>
      <w:r w:rsidR="00C14B80">
        <w:t xml:space="preserve"> also played a crucial role in bringing an end to the negative repercussions of GFC 2008. </w:t>
      </w:r>
    </w:p>
    <w:p w14:paraId="184C7985" w14:textId="1C6AE378" w:rsidR="002428D3" w:rsidRDefault="00C14B80" w:rsidP="008B14E1">
      <w:pPr>
        <w:ind w:firstLine="720"/>
        <w:rPr>
          <w:bCs/>
          <w:iCs/>
        </w:rPr>
      </w:pPr>
      <w:r>
        <w:t>The discussions on c</w:t>
      </w:r>
      <w:r w:rsidRPr="00C14B80">
        <w:t xml:space="preserve">ritical review of the extent to which these reforms </w:t>
      </w:r>
      <w:r w:rsidR="00003273" w:rsidRPr="00C14B80">
        <w:t>have</w:t>
      </w:r>
      <w:r w:rsidRPr="00C14B80">
        <w:t xml:space="preserve"> contributed towards stabilising the various banking institutions and financial system after the 2008 crises</w:t>
      </w:r>
      <w:r w:rsidR="00DC2BBF">
        <w:t xml:space="preserve"> has been taken into account as per bank liquidity creation, financial intermediation, stability for banking, agency theory and </w:t>
      </w:r>
      <w:r w:rsidR="00003273">
        <w:t>stakeholders’</w:t>
      </w:r>
      <w:r w:rsidR="00DC2BBF">
        <w:t xml:space="preserve"> theory.</w:t>
      </w:r>
      <w:r w:rsidR="00003273">
        <w:t xml:space="preserve"> The liquidity creation among the bank is evident with the contribution of </w:t>
      </w:r>
      <w:r w:rsidR="00003273" w:rsidRPr="00003273">
        <w:rPr>
          <w:b/>
          <w:bCs/>
          <w:i/>
          <w:iCs/>
        </w:rPr>
        <w:t>“</w:t>
      </w:r>
      <w:r w:rsidR="00003273" w:rsidRPr="0010705F">
        <w:rPr>
          <w:b/>
          <w:bCs/>
          <w:i/>
          <w:iCs/>
        </w:rPr>
        <w:t>Twin Peaks”</w:t>
      </w:r>
      <w:r w:rsidR="00003273">
        <w:t xml:space="preserve"> structure</w:t>
      </w:r>
      <w:r w:rsidR="00075972">
        <w:t xml:space="preserve"> in ensuring that the banks adhere to the </w:t>
      </w:r>
      <w:r w:rsidR="00003273">
        <w:t>Basel III to</w:t>
      </w:r>
      <w:r w:rsidR="00075972">
        <w:t xml:space="preserve"> maintain </w:t>
      </w:r>
      <w:r w:rsidR="00003273">
        <w:t>enough liquidity for withstanding stress period, along with adequate high-quality bank capital</w:t>
      </w:r>
      <w:r w:rsidR="001A67C6">
        <w:t xml:space="preserve">. Similarly, in the US CPA ensured steady flow of liquidity among the banks by taking legal actions including suing of credit card companies who were found to be engaging in abusive, deceptive and unfair practices. The financial intermediation shows how </w:t>
      </w:r>
      <w:r w:rsidR="001A67C6" w:rsidRPr="0010705F">
        <w:rPr>
          <w:b/>
          <w:bCs/>
          <w:i/>
          <w:iCs/>
        </w:rPr>
        <w:t>“Twin Peaks”</w:t>
      </w:r>
      <w:r w:rsidR="001A67C6">
        <w:t xml:space="preserve"> structure</w:t>
      </w:r>
      <w:r w:rsidR="00A34F8F">
        <w:t xml:space="preserve"> reduced the risk of cross contamination between commercial and investment banks</w:t>
      </w:r>
      <w:r w:rsidR="00E11B8E">
        <w:t>.</w:t>
      </w:r>
      <w:r w:rsidR="002D66B1">
        <w:t xml:space="preserve"> In the US, stabilising the banking system is evident with TBTF by including the appropriate reforms under the </w:t>
      </w:r>
      <w:r w:rsidR="002D66B1" w:rsidRPr="002D66B1">
        <w:t>EESA</w:t>
      </w:r>
      <w:r w:rsidR="002D66B1" w:rsidRPr="008B14E1">
        <w:rPr>
          <w:i/>
          <w:iCs/>
        </w:rPr>
        <w:t>.</w:t>
      </w:r>
      <w:r w:rsidR="008B14E1">
        <w:rPr>
          <w:b/>
          <w:iCs/>
        </w:rPr>
        <w:t xml:space="preserve"> </w:t>
      </w:r>
      <w:r w:rsidR="008B14E1" w:rsidRPr="008B14E1">
        <w:rPr>
          <w:bCs/>
          <w:iCs/>
        </w:rPr>
        <w:t xml:space="preserve">The enumerations </w:t>
      </w:r>
      <w:r w:rsidR="008B14E1">
        <w:rPr>
          <w:bCs/>
          <w:iCs/>
        </w:rPr>
        <w:t>on the agency theory suggests how at the time of</w:t>
      </w:r>
      <w:r w:rsidR="008B14E1" w:rsidRPr="008B14E1">
        <w:t xml:space="preserve"> </w:t>
      </w:r>
      <w:r w:rsidR="008B14E1">
        <w:t xml:space="preserve">housing bubble phases, the big credit agencies provided </w:t>
      </w:r>
      <w:r w:rsidR="008B14E1" w:rsidRPr="008B14E1">
        <w:t>CDO</w:t>
      </w:r>
      <w:r w:rsidR="008B14E1">
        <w:rPr>
          <w:b/>
          <w:bCs/>
          <w:i/>
          <w:iCs/>
        </w:rPr>
        <w:t xml:space="preserve"> </w:t>
      </w:r>
      <w:r w:rsidR="008B14E1">
        <w:rPr>
          <w:bCs/>
          <w:iCs/>
        </w:rPr>
        <w:t xml:space="preserve">to the banks </w:t>
      </w:r>
      <w:r w:rsidR="00F90876">
        <w:rPr>
          <w:bCs/>
          <w:iCs/>
        </w:rPr>
        <w:t>having high rating of investment</w:t>
      </w:r>
      <w:r w:rsidR="008B14E1">
        <w:rPr>
          <w:bCs/>
          <w:iCs/>
        </w:rPr>
        <w:t xml:space="preserve">. </w:t>
      </w:r>
      <w:r w:rsidR="00F90876">
        <w:rPr>
          <w:bCs/>
          <w:iCs/>
        </w:rPr>
        <w:t>On the other hand</w:t>
      </w:r>
      <w:r w:rsidR="008B14E1">
        <w:rPr>
          <w:bCs/>
          <w:iCs/>
        </w:rPr>
        <w:t>, the principal/public soon discovered investment brokers in providing such risky financial derivatives to the Americans seeking for home mortgages.</w:t>
      </w:r>
      <w:bookmarkStart w:id="15" w:name="_GoBack"/>
      <w:bookmarkEnd w:id="15"/>
    </w:p>
    <w:p w14:paraId="479F9068" w14:textId="44B15A23" w:rsidR="000C6352" w:rsidRDefault="009D2FBB" w:rsidP="003E2E72">
      <w:pPr>
        <w:ind w:firstLine="720"/>
      </w:pPr>
      <w:r>
        <w:rPr>
          <w:bCs/>
        </w:rPr>
        <w:t xml:space="preserve">The last excerpts of the study have illustrated how </w:t>
      </w:r>
      <w:r w:rsidRPr="00DF00BE">
        <w:t>U.S. Bancorp</w:t>
      </w:r>
      <w:r>
        <w:t xml:space="preserve"> adopted DFAST </w:t>
      </w:r>
      <w:r>
        <w:rPr>
          <w:bCs/>
          <w:iCs/>
        </w:rPr>
        <w:t xml:space="preserve">as a forward-looking approach for evaluating the overall impact of financial shock and adverse economic condition on the capital level of an organisation. The DFAST approach was used by the bank for depicting </w:t>
      </w:r>
      <w:r>
        <w:t xml:space="preserve">the impact of different capital actions and macroeconomic conditions on the net income, capital adequacy and balance sheet of the bank. This is in turn necessary for mitigating prominent risk associated to liquidity, reputation, interest rate and market. </w:t>
      </w:r>
    </w:p>
    <w:p w14:paraId="357FC893" w14:textId="61549430" w:rsidR="000C6352" w:rsidRDefault="000C6352" w:rsidP="000C6352">
      <w:pPr>
        <w:pStyle w:val="Heading1"/>
      </w:pPr>
      <w:bookmarkStart w:id="16" w:name="_Toc70881301"/>
      <w:r>
        <w:lastRenderedPageBreak/>
        <w:t>References</w:t>
      </w:r>
      <w:bookmarkEnd w:id="16"/>
    </w:p>
    <w:p w14:paraId="023E6D26" w14:textId="77777777" w:rsidR="000C6352" w:rsidRDefault="000C6352" w:rsidP="000C6352">
      <w:bookmarkStart w:id="17" w:name="_Hlk70853662"/>
      <w:r w:rsidRPr="00966CA4">
        <w:t xml:space="preserve">Baily, M.N., Klein, A. and </w:t>
      </w:r>
      <w:proofErr w:type="spellStart"/>
      <w:r w:rsidRPr="00966CA4">
        <w:t>Schardin</w:t>
      </w:r>
      <w:proofErr w:type="spellEnd"/>
      <w:r w:rsidRPr="00966CA4">
        <w:t>, J., 2017</w:t>
      </w:r>
      <w:bookmarkEnd w:id="17"/>
      <w:r w:rsidRPr="00966CA4">
        <w:t>. The impact of the Dodd-Frank Act on financial stability and economic growth. </w:t>
      </w:r>
      <w:r w:rsidRPr="008D5521">
        <w:rPr>
          <w:i/>
          <w:iCs/>
        </w:rPr>
        <w:t>RSF: The Russell Sage Foundation Journal of the Social Sciences</w:t>
      </w:r>
      <w:r w:rsidRPr="00966CA4">
        <w:t>, </w:t>
      </w:r>
      <w:r w:rsidRPr="008D5521">
        <w:rPr>
          <w:i/>
          <w:iCs/>
        </w:rPr>
        <w:t>3</w:t>
      </w:r>
      <w:r w:rsidRPr="00966CA4">
        <w:t>(1), pp.20-47.</w:t>
      </w:r>
    </w:p>
    <w:p w14:paraId="2FEDF1B2" w14:textId="77777777" w:rsidR="000C6352" w:rsidRDefault="000C6352" w:rsidP="000C6352">
      <w:bookmarkStart w:id="18" w:name="_Hlk70847312"/>
      <w:proofErr w:type="spellStart"/>
      <w:r w:rsidRPr="00D50D8F">
        <w:t>Bedoyan</w:t>
      </w:r>
      <w:proofErr w:type="spellEnd"/>
      <w:r w:rsidRPr="00D50D8F">
        <w:t>, C., 2020</w:t>
      </w:r>
      <w:bookmarkEnd w:id="18"/>
      <w:r w:rsidRPr="00D50D8F">
        <w:t>. </w:t>
      </w:r>
      <w:r w:rsidRPr="008D5521">
        <w:rPr>
          <w:i/>
          <w:iCs/>
        </w:rPr>
        <w:t>Government Intervention Injustice and The Troubled Asset Relief Program</w:t>
      </w:r>
      <w:r w:rsidRPr="00D50D8F">
        <w:t> (Doctoral dissertation, California State University, Northridge).</w:t>
      </w:r>
    </w:p>
    <w:p w14:paraId="565DF78E" w14:textId="77777777" w:rsidR="000C6352" w:rsidRDefault="000C6352" w:rsidP="000C6352">
      <w:r w:rsidRPr="0045620A">
        <w:t>Bernanke, B.S., 2018. The real effects of disrupted credit: Evidence from the Global Financial Crisis. </w:t>
      </w:r>
      <w:r w:rsidRPr="008D5521">
        <w:rPr>
          <w:i/>
          <w:iCs/>
        </w:rPr>
        <w:t>Brookings Papers on Economic Activity</w:t>
      </w:r>
      <w:r w:rsidRPr="0045620A">
        <w:t>, </w:t>
      </w:r>
      <w:r w:rsidRPr="008D5521">
        <w:rPr>
          <w:i/>
          <w:iCs/>
        </w:rPr>
        <w:t>2018</w:t>
      </w:r>
      <w:r w:rsidRPr="0045620A">
        <w:t>(2), pp.251-342.</w:t>
      </w:r>
    </w:p>
    <w:p w14:paraId="6DEEF4C6" w14:textId="77777777" w:rsidR="000C6352" w:rsidRPr="004540B5" w:rsidRDefault="000C6352" w:rsidP="000C6352">
      <w:bookmarkStart w:id="19" w:name="_Hlk70844166"/>
      <w:r w:rsidRPr="004540B5">
        <w:t xml:space="preserve">Bowe, M., </w:t>
      </w:r>
      <w:proofErr w:type="spellStart"/>
      <w:r w:rsidRPr="004540B5">
        <w:t>Kolokolova</w:t>
      </w:r>
      <w:proofErr w:type="spellEnd"/>
      <w:r w:rsidRPr="004540B5">
        <w:t>, O. and Michalski, M., 2017</w:t>
      </w:r>
      <w:bookmarkEnd w:id="19"/>
      <w:r w:rsidRPr="004540B5">
        <w:t xml:space="preserve">. Too Big to Care, Too Small to Matter: </w:t>
      </w:r>
      <w:proofErr w:type="spellStart"/>
      <w:r w:rsidRPr="004540B5">
        <w:t>Macrofinancial</w:t>
      </w:r>
      <w:proofErr w:type="spellEnd"/>
      <w:r w:rsidRPr="004540B5">
        <w:t xml:space="preserve"> Policy and Bank Liquidity Creation. SSRN.</w:t>
      </w:r>
    </w:p>
    <w:p w14:paraId="0331493E" w14:textId="77777777" w:rsidR="000C6352" w:rsidRDefault="000C6352" w:rsidP="000C6352">
      <w:bookmarkStart w:id="20" w:name="_Hlk70798559"/>
      <w:r w:rsidRPr="00B42DA2">
        <w:t>Brown, R. and Lee, N., 2019</w:t>
      </w:r>
      <w:bookmarkEnd w:id="20"/>
      <w:r w:rsidRPr="00B42DA2">
        <w:t>. Strapped for cash? Funding for UK high growth SMEs since the global financial crisis. </w:t>
      </w:r>
      <w:r w:rsidRPr="008D5521">
        <w:rPr>
          <w:i/>
          <w:iCs/>
        </w:rPr>
        <w:t>Journal of Business Research</w:t>
      </w:r>
      <w:r w:rsidRPr="00B42DA2">
        <w:t>, </w:t>
      </w:r>
      <w:r w:rsidRPr="008D5521">
        <w:rPr>
          <w:i/>
          <w:iCs/>
        </w:rPr>
        <w:t>99</w:t>
      </w:r>
      <w:r w:rsidRPr="00B42DA2">
        <w:t>, pp.37-45.</w:t>
      </w:r>
    </w:p>
    <w:p w14:paraId="14D38600" w14:textId="77777777" w:rsidR="000C6352" w:rsidRDefault="000C6352" w:rsidP="000C6352">
      <w:r w:rsidRPr="00A137AF">
        <w:t xml:space="preserve">Calvo, D., </w:t>
      </w:r>
      <w:proofErr w:type="spellStart"/>
      <w:r w:rsidRPr="00A137AF">
        <w:t>Crisanto</w:t>
      </w:r>
      <w:proofErr w:type="spellEnd"/>
      <w:r w:rsidRPr="00A137AF">
        <w:t xml:space="preserve">, J.C., </w:t>
      </w:r>
      <w:proofErr w:type="spellStart"/>
      <w:r w:rsidRPr="00A137AF">
        <w:t>Hohl</w:t>
      </w:r>
      <w:proofErr w:type="spellEnd"/>
      <w:r w:rsidRPr="00A137AF">
        <w:t>, S. and Gutiérrez, O.P., 2018. </w:t>
      </w:r>
      <w:r w:rsidRPr="008D5521">
        <w:rPr>
          <w:i/>
          <w:iCs/>
        </w:rPr>
        <w:t>Financial supervisory architecture: what has changed after the crisis</w:t>
      </w:r>
      <w:proofErr w:type="gramStart"/>
      <w:r w:rsidRPr="008D5521">
        <w:rPr>
          <w:i/>
          <w:iCs/>
        </w:rPr>
        <w:t>?</w:t>
      </w:r>
      <w:r w:rsidRPr="00A137AF">
        <w:t>.</w:t>
      </w:r>
      <w:proofErr w:type="gramEnd"/>
      <w:r w:rsidRPr="00A137AF">
        <w:t xml:space="preserve"> Bank for International Settlements, Financial Stability Institute.</w:t>
      </w:r>
      <w:r>
        <w:t xml:space="preserve"> Available at: </w:t>
      </w:r>
      <w:r w:rsidRPr="006C7EE0">
        <w:t>https://www.bis.org/fsi/publ/insights8.pdf</w:t>
      </w:r>
      <w:r>
        <w:t xml:space="preserve"> </w:t>
      </w:r>
      <w:r w:rsidRPr="006C7EE0">
        <w:t>(Accessed: 2 May 2021).</w:t>
      </w:r>
    </w:p>
    <w:p w14:paraId="11C86381" w14:textId="77777777" w:rsidR="000C6352" w:rsidRDefault="000C6352" w:rsidP="000C6352">
      <w:bookmarkStart w:id="21" w:name="_Hlk70798652"/>
      <w:proofErr w:type="spellStart"/>
      <w:r w:rsidRPr="00B42DA2">
        <w:t>Cubillas</w:t>
      </w:r>
      <w:proofErr w:type="spellEnd"/>
      <w:r w:rsidRPr="00B42DA2">
        <w:t>, E., Fernández, A.I. and González, F., 2017</w:t>
      </w:r>
      <w:bookmarkEnd w:id="21"/>
      <w:r w:rsidRPr="00B42DA2">
        <w:t>. How credible is a too-big-to-fail policy? International evidence from market discipline. </w:t>
      </w:r>
      <w:r w:rsidRPr="008D5521">
        <w:rPr>
          <w:i/>
          <w:iCs/>
        </w:rPr>
        <w:t>Journal of Financial Intermediation</w:t>
      </w:r>
      <w:r w:rsidRPr="00B42DA2">
        <w:t>, </w:t>
      </w:r>
      <w:r w:rsidRPr="008D5521">
        <w:rPr>
          <w:i/>
          <w:iCs/>
        </w:rPr>
        <w:t>29</w:t>
      </w:r>
      <w:r w:rsidRPr="00B42DA2">
        <w:t>, pp.46-67.</w:t>
      </w:r>
    </w:p>
    <w:p w14:paraId="4F9E0A81" w14:textId="77777777" w:rsidR="000C6352" w:rsidRDefault="000C6352" w:rsidP="000C6352">
      <w:bookmarkStart w:id="22" w:name="_Hlk70843571"/>
      <w:r w:rsidRPr="006C7EE0">
        <w:t>Federalreserve.gov.</w:t>
      </w:r>
      <w:r>
        <w:t xml:space="preserve"> </w:t>
      </w:r>
      <w:r w:rsidRPr="006C7EE0">
        <w:t>2017.</w:t>
      </w:r>
      <w:r w:rsidRPr="008D5521">
        <w:rPr>
          <w:i/>
          <w:iCs/>
        </w:rPr>
        <w:t xml:space="preserve"> </w:t>
      </w:r>
      <w:bookmarkEnd w:id="22"/>
      <w:r w:rsidRPr="008D5521">
        <w:rPr>
          <w:i/>
          <w:iCs/>
        </w:rPr>
        <w:t>Quarterly Report on Federal Reserve Balance Sheet Developments | FRB: Overview</w:t>
      </w:r>
      <w:r>
        <w:t>.</w:t>
      </w:r>
      <w:r w:rsidRPr="006C7EE0">
        <w:t xml:space="preserve"> Available at: https://www.federalreserve.gov/monetarypolicy/bsd-appendex_201508.htm#:~:text=The%20Dodd%2DFrank%20Act%20modified,failing%2C%20systemically%20important%20nonbank%20financial (Accessed: 2 May 2021).</w:t>
      </w:r>
    </w:p>
    <w:p w14:paraId="7D05CB01" w14:textId="77777777" w:rsidR="000C6352" w:rsidRPr="008D5521" w:rsidRDefault="000C6352" w:rsidP="000C6352">
      <w:bookmarkStart w:id="23" w:name="_Hlk70880097"/>
      <w:r>
        <w:lastRenderedPageBreak/>
        <w:t>F</w:t>
      </w:r>
      <w:r w:rsidRPr="008D5521">
        <w:t>hfa.gov</w:t>
      </w:r>
      <w:r>
        <w:t>. 2021.</w:t>
      </w:r>
      <w:r w:rsidRPr="008D5521">
        <w:rPr>
          <w:i/>
          <w:iCs/>
        </w:rPr>
        <w:t xml:space="preserve"> </w:t>
      </w:r>
      <w:bookmarkEnd w:id="23"/>
      <w:r w:rsidRPr="008D5521">
        <w:rPr>
          <w:i/>
          <w:iCs/>
        </w:rPr>
        <w:t>Dodd-Frank Act Stress Tests (DFAST) | Federal Housing Finance Agency </w:t>
      </w:r>
      <w:r w:rsidRPr="008D5521">
        <w:t>(2021). Available at: https://www.fhfa.gov/SupervisionRegulation/DoddFrankActStressTests (Accessed: 2 May 2021).</w:t>
      </w:r>
    </w:p>
    <w:p w14:paraId="6249E4E4" w14:textId="77777777" w:rsidR="000C6352" w:rsidRDefault="000C6352" w:rsidP="000C6352">
      <w:bookmarkStart w:id="24" w:name="_Hlk70854104"/>
      <w:r w:rsidRPr="00966CA4">
        <w:t xml:space="preserve">Flesher </w:t>
      </w:r>
      <w:proofErr w:type="spellStart"/>
      <w:r w:rsidRPr="00966CA4">
        <w:t>Fominaya</w:t>
      </w:r>
      <w:proofErr w:type="spellEnd"/>
      <w:r w:rsidRPr="00966CA4">
        <w:t>, C., 2017</w:t>
      </w:r>
      <w:bookmarkEnd w:id="24"/>
      <w:r w:rsidRPr="00966CA4">
        <w:t>. European anti-austerity and pro-democracy protests in the wake of the global financial crisis. </w:t>
      </w:r>
      <w:r w:rsidRPr="008D5521">
        <w:rPr>
          <w:i/>
          <w:iCs/>
        </w:rPr>
        <w:t>Social Movement Studies</w:t>
      </w:r>
      <w:r w:rsidRPr="00966CA4">
        <w:t>, </w:t>
      </w:r>
      <w:r w:rsidRPr="008D5521">
        <w:rPr>
          <w:i/>
          <w:iCs/>
        </w:rPr>
        <w:t>16</w:t>
      </w:r>
      <w:r w:rsidRPr="00966CA4">
        <w:t>(1), pp.1-20.</w:t>
      </w:r>
    </w:p>
    <w:p w14:paraId="47DEDEA9" w14:textId="77777777" w:rsidR="000C6352" w:rsidRPr="00AC1896" w:rsidRDefault="000C6352" w:rsidP="000C6352">
      <w:bookmarkStart w:id="25" w:name="_Hlk70845332"/>
      <w:r>
        <w:t>F</w:t>
      </w:r>
      <w:r w:rsidRPr="00AC1896">
        <w:t>tc.gov</w:t>
      </w:r>
      <w:r>
        <w:t>. 201</w:t>
      </w:r>
      <w:bookmarkEnd w:id="25"/>
      <w:r>
        <w:t>7.</w:t>
      </w:r>
      <w:r w:rsidRPr="008D5521">
        <w:rPr>
          <w:i/>
          <w:iCs/>
        </w:rPr>
        <w:t xml:space="preserve"> Bureau of Consumer Protection</w:t>
      </w:r>
      <w:r w:rsidRPr="00AC1896">
        <w:t>. Available at: https://www.ftc.gov/about-ftc/bureaus-offices/bureau-consumer-protection (Accessed: 2 May 2021).</w:t>
      </w:r>
    </w:p>
    <w:p w14:paraId="4C10DF72" w14:textId="77777777" w:rsidR="000C6352" w:rsidRPr="00B647F2" w:rsidRDefault="000C6352" w:rsidP="000C6352">
      <w:r>
        <w:t>I</w:t>
      </w:r>
      <w:r w:rsidRPr="00B647F2">
        <w:t>r.usbank.com 2021</w:t>
      </w:r>
      <w:r>
        <w:t>a.</w:t>
      </w:r>
      <w:r w:rsidRPr="00B647F2">
        <w:t xml:space="preserve"> </w:t>
      </w:r>
      <w:r w:rsidRPr="008D5521">
        <w:rPr>
          <w:i/>
          <w:iCs/>
        </w:rPr>
        <w:t>U.S. Bank National Association Annual Company-Run Stress Test Disclosure</w:t>
      </w:r>
      <w:r>
        <w:t xml:space="preserve">. </w:t>
      </w:r>
      <w:r w:rsidRPr="00B647F2">
        <w:t>Available at: https://ir.usbank.com/static-files/b7454235-d9fb-4cd8-8339-0c25bbb5a8b7 (Accessed: 2 May 2021).</w:t>
      </w:r>
    </w:p>
    <w:p w14:paraId="3E590164" w14:textId="77777777" w:rsidR="000C6352" w:rsidRPr="000E0007" w:rsidRDefault="000C6352" w:rsidP="000C6352">
      <w:r>
        <w:t>I</w:t>
      </w:r>
      <w:r w:rsidRPr="00B647F2">
        <w:t>r.usbank.com 2021</w:t>
      </w:r>
      <w:r>
        <w:t xml:space="preserve">b. </w:t>
      </w:r>
      <w:r w:rsidRPr="000E0007">
        <w:t xml:space="preserve"> </w:t>
      </w:r>
      <w:r>
        <w:t>2020 Dodd-Frank Act Stress Test Results Supervisory Severely Adverse Scenario June 2020.</w:t>
      </w:r>
      <w:r w:rsidRPr="000E0007">
        <w:t xml:space="preserve"> Available at: https://ir.usbank.com/static-files/184c71c9-9302-42af-8aff-a7a6b180698b (Accessed: 2 May 2021).</w:t>
      </w:r>
    </w:p>
    <w:p w14:paraId="77971F29" w14:textId="77777777" w:rsidR="000C6352" w:rsidRPr="00504268" w:rsidRDefault="000C6352" w:rsidP="000C6352">
      <w:bookmarkStart w:id="26" w:name="_Hlk70877552"/>
      <w:r>
        <w:t>I</w:t>
      </w:r>
      <w:r w:rsidRPr="00B647F2">
        <w:t>r.usbank.com 2021</w:t>
      </w:r>
      <w:r>
        <w:t>c.</w:t>
      </w:r>
      <w:bookmarkEnd w:id="26"/>
      <w:r>
        <w:t xml:space="preserve"> </w:t>
      </w:r>
      <w:r w:rsidRPr="000E0007">
        <w:t xml:space="preserve"> </w:t>
      </w:r>
      <w:r>
        <w:t xml:space="preserve">U.S. Bancorp 2015 Mid-Cycle Stress Test Dodd-Frank Act Stress Test Disclosure July 2015. </w:t>
      </w:r>
      <w:r w:rsidRPr="00504268">
        <w:t>Available at: https://ir.usbank.com/static-files/4ceb9f73-d067-43d6-93de-c8cab2bb8d8c (Accessed: 2 May 2021).</w:t>
      </w:r>
    </w:p>
    <w:p w14:paraId="7B934CD2" w14:textId="77777777" w:rsidR="000C6352" w:rsidRPr="0049052F" w:rsidRDefault="000C6352" w:rsidP="000C6352">
      <w:r>
        <w:t>I</w:t>
      </w:r>
      <w:r w:rsidRPr="00B647F2">
        <w:t>r.usbank.com 2021</w:t>
      </w:r>
      <w:r>
        <w:t xml:space="preserve">d. </w:t>
      </w:r>
      <w:r w:rsidRPr="000E0007">
        <w:t xml:space="preserve"> </w:t>
      </w:r>
      <w:r w:rsidRPr="008D5521">
        <w:rPr>
          <w:i/>
          <w:iCs/>
        </w:rPr>
        <w:t>U.S. Bancorp Receives its Preliminary 2020 Stress Capital Buffer of 2.5 percent</w:t>
      </w:r>
      <w:r>
        <w:t xml:space="preserve">. </w:t>
      </w:r>
      <w:r w:rsidRPr="0049052F">
        <w:t>Available at: https://ir.usbank.com/static-files/47ba9b58-1c91-43e0-96e4-719d5e0e8ae7 (Accessed: 2 May 2021).</w:t>
      </w:r>
    </w:p>
    <w:p w14:paraId="5CF707E7" w14:textId="77777777" w:rsidR="000C6352" w:rsidRDefault="000C6352" w:rsidP="000C6352">
      <w:bookmarkStart w:id="27" w:name="_Hlk70798592"/>
      <w:r w:rsidRPr="00B42DA2">
        <w:t>Joshi, S.P., 2019</w:t>
      </w:r>
      <w:bookmarkEnd w:id="27"/>
      <w:r w:rsidRPr="00B42DA2">
        <w:t>. </w:t>
      </w:r>
      <w:r w:rsidRPr="008D5521">
        <w:rPr>
          <w:i/>
          <w:iCs/>
        </w:rPr>
        <w:t>A comparative appraisal of south Africa's Twin Peaks-model</w:t>
      </w:r>
      <w:r>
        <w:t xml:space="preserve">. </w:t>
      </w:r>
      <w:r w:rsidRPr="008D5521">
        <w:rPr>
          <w:i/>
          <w:iCs/>
        </w:rPr>
        <w:t>104</w:t>
      </w:r>
      <w:r w:rsidRPr="00B42DA2">
        <w:t>, pp.3</w:t>
      </w:r>
      <w:r>
        <w:t>3</w:t>
      </w:r>
      <w:r w:rsidRPr="00B42DA2">
        <w:t>-4</w:t>
      </w:r>
      <w:r>
        <w:t>1</w:t>
      </w:r>
    </w:p>
    <w:p w14:paraId="0BF70D40" w14:textId="77777777" w:rsidR="000C6352" w:rsidRDefault="000C6352" w:rsidP="000C6352">
      <w:bookmarkStart w:id="28" w:name="_Hlk70843006"/>
      <w:r w:rsidRPr="00E248AB">
        <w:lastRenderedPageBreak/>
        <w:t>Kim, Y.S., Laufer, S.M., Stanton, R., Wallace, N. and Pence, K., 2018</w:t>
      </w:r>
      <w:bookmarkEnd w:id="28"/>
      <w:r w:rsidRPr="00E248AB">
        <w:t>. Liquidity crises in the mortgage market. </w:t>
      </w:r>
      <w:r w:rsidRPr="008D5521">
        <w:rPr>
          <w:i/>
          <w:iCs/>
        </w:rPr>
        <w:t>Brookings Papers on Economic Activity</w:t>
      </w:r>
      <w:r w:rsidRPr="00E248AB">
        <w:t>, </w:t>
      </w:r>
      <w:r w:rsidRPr="008D5521">
        <w:rPr>
          <w:i/>
          <w:iCs/>
        </w:rPr>
        <w:t>2018</w:t>
      </w:r>
      <w:r w:rsidRPr="00E248AB">
        <w:t>(1), pp.347-428.</w:t>
      </w:r>
    </w:p>
    <w:p w14:paraId="1FC40C0C" w14:textId="77777777" w:rsidR="000C6352" w:rsidRDefault="000C6352" w:rsidP="000C6352">
      <w:bookmarkStart w:id="29" w:name="_Hlk70854140"/>
      <w:r w:rsidRPr="00966CA4">
        <w:t xml:space="preserve">Lambert, C., </w:t>
      </w:r>
      <w:proofErr w:type="spellStart"/>
      <w:r w:rsidRPr="00966CA4">
        <w:t>Noth</w:t>
      </w:r>
      <w:proofErr w:type="spellEnd"/>
      <w:r w:rsidRPr="00966CA4">
        <w:t xml:space="preserve">, F. and </w:t>
      </w:r>
      <w:proofErr w:type="spellStart"/>
      <w:r w:rsidRPr="00966CA4">
        <w:t>Schüwer</w:t>
      </w:r>
      <w:proofErr w:type="spellEnd"/>
      <w:r w:rsidRPr="00966CA4">
        <w:t>, U., 2017</w:t>
      </w:r>
      <w:bookmarkEnd w:id="29"/>
      <w:r w:rsidRPr="00966CA4">
        <w:t>. How do insured deposits affect bank risk? Evidence from the 2008 Emergency Economic Stabilization Act. </w:t>
      </w:r>
      <w:r w:rsidRPr="008D5521">
        <w:rPr>
          <w:i/>
          <w:iCs/>
        </w:rPr>
        <w:t>Journal of Financial Intermediation</w:t>
      </w:r>
      <w:r w:rsidRPr="00966CA4">
        <w:t>, </w:t>
      </w:r>
      <w:r w:rsidRPr="008D5521">
        <w:rPr>
          <w:i/>
          <w:iCs/>
        </w:rPr>
        <w:t>29</w:t>
      </w:r>
      <w:r w:rsidRPr="00966CA4">
        <w:t>, pp.81-102.</w:t>
      </w:r>
    </w:p>
    <w:p w14:paraId="3F0ED9E3" w14:textId="77777777" w:rsidR="000C6352" w:rsidRDefault="000C6352" w:rsidP="000C6352">
      <w:r w:rsidRPr="0045620A">
        <w:t xml:space="preserve">Lane, M.P.R. and </w:t>
      </w:r>
      <w:proofErr w:type="spellStart"/>
      <w:r w:rsidRPr="0045620A">
        <w:t>Milesi-Ferretti</w:t>
      </w:r>
      <w:proofErr w:type="spellEnd"/>
      <w:r w:rsidRPr="0045620A">
        <w:t>, M.G.M., 2017. </w:t>
      </w:r>
      <w:r w:rsidRPr="008D5521">
        <w:rPr>
          <w:i/>
          <w:iCs/>
        </w:rPr>
        <w:t>International financial integration in the aftermath of the global financial crisis</w:t>
      </w:r>
      <w:r w:rsidRPr="0045620A">
        <w:t>. International Monetary Fund.</w:t>
      </w:r>
    </w:p>
    <w:p w14:paraId="37C9B5C7" w14:textId="77777777" w:rsidR="000C6352" w:rsidRDefault="000C6352" w:rsidP="000C6352">
      <w:bookmarkStart w:id="30" w:name="_Hlk70798291"/>
      <w:r w:rsidRPr="00180D53">
        <w:t>McCoy, P.A., 2018</w:t>
      </w:r>
      <w:bookmarkEnd w:id="30"/>
      <w:r w:rsidRPr="00180D53">
        <w:t>. Inside Job: The Assault on the Structure of the Consumer Financial Protection Bureau. </w:t>
      </w:r>
      <w:r w:rsidRPr="008D5521">
        <w:rPr>
          <w:i/>
          <w:iCs/>
        </w:rPr>
        <w:t>Minn. L. Rev.</w:t>
      </w:r>
      <w:r w:rsidRPr="00180D53">
        <w:t>, </w:t>
      </w:r>
      <w:r w:rsidRPr="008D5521">
        <w:rPr>
          <w:i/>
          <w:iCs/>
        </w:rPr>
        <w:t>103</w:t>
      </w:r>
      <w:r w:rsidRPr="00180D53">
        <w:t>, p.2543.</w:t>
      </w:r>
    </w:p>
    <w:p w14:paraId="504F64BD" w14:textId="77777777" w:rsidR="000C6352" w:rsidRDefault="000C6352" w:rsidP="000C6352">
      <w:bookmarkStart w:id="31" w:name="_Hlk70848884"/>
      <w:proofErr w:type="spellStart"/>
      <w:r w:rsidRPr="00EA33F4">
        <w:t>Mishi</w:t>
      </w:r>
      <w:proofErr w:type="spellEnd"/>
      <w:r w:rsidRPr="00EA33F4">
        <w:t>, S. and Khumalo, S.A., 2019</w:t>
      </w:r>
      <w:bookmarkEnd w:id="31"/>
      <w:r w:rsidRPr="00EA33F4">
        <w:t>. Bank stability in South Africa: what matters</w:t>
      </w:r>
      <w:proofErr w:type="gramStart"/>
      <w:r w:rsidRPr="00EA33F4">
        <w:t>?.</w:t>
      </w:r>
      <w:proofErr w:type="gramEnd"/>
      <w:r w:rsidRPr="00EA33F4">
        <w:t> </w:t>
      </w:r>
      <w:r w:rsidRPr="008D5521">
        <w:rPr>
          <w:i/>
          <w:iCs/>
        </w:rPr>
        <w:t>Banks &amp; bank systems</w:t>
      </w:r>
      <w:r w:rsidRPr="00EA33F4">
        <w:t xml:space="preserve">, (14, </w:t>
      </w:r>
      <w:proofErr w:type="spellStart"/>
      <w:r w:rsidRPr="00EA33F4">
        <w:t>Iss</w:t>
      </w:r>
      <w:proofErr w:type="spellEnd"/>
      <w:r w:rsidRPr="00EA33F4">
        <w:t>. 1), pp.122-136.</w:t>
      </w:r>
    </w:p>
    <w:p w14:paraId="10D89183" w14:textId="77777777" w:rsidR="000C6352" w:rsidRDefault="000C6352" w:rsidP="000C6352">
      <w:bookmarkStart w:id="32" w:name="_Hlk70854188"/>
      <w:proofErr w:type="spellStart"/>
      <w:r w:rsidRPr="00966CA4">
        <w:t>Mohanty</w:t>
      </w:r>
      <w:proofErr w:type="spellEnd"/>
      <w:r w:rsidRPr="00966CA4">
        <w:t xml:space="preserve">, S.K., </w:t>
      </w:r>
      <w:proofErr w:type="spellStart"/>
      <w:r w:rsidRPr="00966CA4">
        <w:t>Akhigbe</w:t>
      </w:r>
      <w:proofErr w:type="spellEnd"/>
      <w:r w:rsidRPr="00966CA4">
        <w:t xml:space="preserve">, A. and </w:t>
      </w:r>
      <w:proofErr w:type="spellStart"/>
      <w:r w:rsidRPr="00966CA4">
        <w:t>Basheikh</w:t>
      </w:r>
      <w:proofErr w:type="spellEnd"/>
      <w:r w:rsidRPr="00966CA4">
        <w:t>, A., 2018</w:t>
      </w:r>
      <w:bookmarkEnd w:id="32"/>
      <w:r w:rsidRPr="00966CA4">
        <w:t>. The Dodd-Frank Act and Basel III: Market-based risk implications for global systemically important banks (G-SIBs). </w:t>
      </w:r>
      <w:r w:rsidRPr="008D5521">
        <w:rPr>
          <w:i/>
          <w:iCs/>
        </w:rPr>
        <w:t>Journal of Multinational Financial Management</w:t>
      </w:r>
      <w:r w:rsidRPr="00966CA4">
        <w:t>, </w:t>
      </w:r>
      <w:r w:rsidRPr="008D5521">
        <w:rPr>
          <w:i/>
          <w:iCs/>
        </w:rPr>
        <w:t>47</w:t>
      </w:r>
      <w:r w:rsidRPr="00966CA4">
        <w:t>, pp.91-109.</w:t>
      </w:r>
    </w:p>
    <w:p w14:paraId="5F5302D0" w14:textId="77777777" w:rsidR="000C6352" w:rsidRDefault="000C6352" w:rsidP="000C6352">
      <w:bookmarkStart w:id="33" w:name="_Hlk70798380"/>
      <w:r w:rsidRPr="00180D53">
        <w:t>Peirce, H., 2017</w:t>
      </w:r>
      <w:bookmarkEnd w:id="33"/>
      <w:r w:rsidRPr="00180D53">
        <w:t>. Revisiting Dodd-Frank. </w:t>
      </w:r>
      <w:r w:rsidRPr="008D5521">
        <w:rPr>
          <w:i/>
          <w:iCs/>
        </w:rPr>
        <w:t>George Mason University</w:t>
      </w:r>
      <w:r w:rsidRPr="00180D53">
        <w:t>.</w:t>
      </w:r>
    </w:p>
    <w:p w14:paraId="0E9FD68F" w14:textId="77777777" w:rsidR="000C6352" w:rsidRDefault="000C6352" w:rsidP="000C6352">
      <w:bookmarkStart w:id="34" w:name="_Hlk70860283"/>
      <w:r w:rsidRPr="0008078D">
        <w:t xml:space="preserve">Pesci, C. and </w:t>
      </w:r>
      <w:proofErr w:type="spellStart"/>
      <w:r w:rsidRPr="0008078D">
        <w:t>Fornaciari</w:t>
      </w:r>
      <w:proofErr w:type="spellEnd"/>
      <w:r w:rsidRPr="0008078D">
        <w:t>, L., 2018</w:t>
      </w:r>
      <w:bookmarkEnd w:id="34"/>
      <w:r w:rsidRPr="0008078D">
        <w:t>. Global financial crisis and relevance of GRI disclosure in Italy: insights from the stakeholder theory and the legitimacy theory. </w:t>
      </w:r>
      <w:r w:rsidRPr="008D5521">
        <w:rPr>
          <w:i/>
          <w:iCs/>
        </w:rPr>
        <w:t>Global financial crisis and relevance of GRI disclosure in Italy: insights from the stakeholder theory and the legitimacy theory</w:t>
      </w:r>
      <w:r w:rsidRPr="0008078D">
        <w:t>, pp.67-102.</w:t>
      </w:r>
    </w:p>
    <w:p w14:paraId="24F6DC21" w14:textId="77777777" w:rsidR="000C6352" w:rsidRDefault="000C6352" w:rsidP="000C6352">
      <w:bookmarkStart w:id="35" w:name="_Hlk70798448"/>
      <w:r w:rsidRPr="00B42DA2">
        <w:t>Reform, F.W.S., Act, C.P. and Protection, C.C.F., 2019</w:t>
      </w:r>
      <w:bookmarkEnd w:id="35"/>
      <w:r w:rsidRPr="00B42DA2">
        <w:t>. Dodd-Frank Act. </w:t>
      </w:r>
      <w:r w:rsidRPr="008D5521">
        <w:rPr>
          <w:i/>
          <w:iCs/>
        </w:rPr>
        <w:t>Pub. L</w:t>
      </w:r>
      <w:r w:rsidRPr="00B42DA2">
        <w:t>, pp.111-203.</w:t>
      </w:r>
    </w:p>
    <w:p w14:paraId="2D67AFF6" w14:textId="77777777" w:rsidR="000C6352" w:rsidRDefault="000C6352" w:rsidP="000C6352">
      <w:bookmarkStart w:id="36" w:name="_Hlk70864409"/>
      <w:r w:rsidRPr="008D222D">
        <w:lastRenderedPageBreak/>
        <w:t xml:space="preserve">Rivera, J.M., Muñoz, M.J. and </w:t>
      </w:r>
      <w:proofErr w:type="spellStart"/>
      <w:r w:rsidRPr="008D222D">
        <w:t>Moneva</w:t>
      </w:r>
      <w:proofErr w:type="spellEnd"/>
      <w:r w:rsidRPr="008D222D">
        <w:t>, J.M., 2017</w:t>
      </w:r>
      <w:bookmarkEnd w:id="36"/>
      <w:r w:rsidRPr="008D222D">
        <w:t>. Revisiting the relationship between corporate stakeholder commitment and social and financial performance. </w:t>
      </w:r>
      <w:r w:rsidRPr="008D5521">
        <w:rPr>
          <w:i/>
          <w:iCs/>
        </w:rPr>
        <w:t>Sustainable Development</w:t>
      </w:r>
      <w:r w:rsidRPr="008D222D">
        <w:t>, </w:t>
      </w:r>
      <w:r w:rsidRPr="008D5521">
        <w:rPr>
          <w:i/>
          <w:iCs/>
        </w:rPr>
        <w:t>25</w:t>
      </w:r>
      <w:r w:rsidRPr="008D222D">
        <w:t>(6), pp.482-494.</w:t>
      </w:r>
    </w:p>
    <w:p w14:paraId="7DD63F43" w14:textId="77777777" w:rsidR="000C6352" w:rsidRDefault="000C6352" w:rsidP="000C6352">
      <w:bookmarkStart w:id="37" w:name="_Hlk70842499"/>
      <w:r w:rsidRPr="00E548D7">
        <w:t xml:space="preserve">Rose, A.K. and </w:t>
      </w:r>
      <w:proofErr w:type="spellStart"/>
      <w:r w:rsidRPr="00E548D7">
        <w:t>Wieladek</w:t>
      </w:r>
      <w:proofErr w:type="spellEnd"/>
      <w:r w:rsidRPr="00E548D7">
        <w:t>, T., 2012</w:t>
      </w:r>
      <w:bookmarkEnd w:id="37"/>
      <w:r w:rsidRPr="00E548D7">
        <w:t>. Too big to fail: Some empirical evidence on the causes and consequences of public banking interventions in the UK. </w:t>
      </w:r>
      <w:r w:rsidRPr="008D5521">
        <w:rPr>
          <w:i/>
          <w:iCs/>
        </w:rPr>
        <w:t>Journal of International Money and Finance</w:t>
      </w:r>
      <w:r w:rsidRPr="00E548D7">
        <w:t>, </w:t>
      </w:r>
      <w:r w:rsidRPr="008D5521">
        <w:rPr>
          <w:i/>
          <w:iCs/>
        </w:rPr>
        <w:t>31</w:t>
      </w:r>
      <w:r w:rsidRPr="00E548D7">
        <w:t>(8), pp.2038-2051.</w:t>
      </w:r>
    </w:p>
    <w:p w14:paraId="1F45F7CF" w14:textId="77777777" w:rsidR="000C6352" w:rsidRDefault="000C6352" w:rsidP="000C6352">
      <w:bookmarkStart w:id="38" w:name="_Hlk70798737"/>
      <w:r w:rsidRPr="00D131B2">
        <w:t>Sar, M., 2017</w:t>
      </w:r>
      <w:bookmarkEnd w:id="38"/>
      <w:r w:rsidRPr="00D131B2">
        <w:t>. Dodd-frank and the spoofing prohibition in commodities markets. </w:t>
      </w:r>
      <w:r w:rsidRPr="008D5521">
        <w:rPr>
          <w:i/>
          <w:iCs/>
        </w:rPr>
        <w:t>Fordham J. Corp. &amp; Fin. L.</w:t>
      </w:r>
      <w:r w:rsidRPr="00D131B2">
        <w:t>, </w:t>
      </w:r>
      <w:r w:rsidRPr="008D5521">
        <w:rPr>
          <w:i/>
          <w:iCs/>
        </w:rPr>
        <w:t>22</w:t>
      </w:r>
      <w:r w:rsidRPr="00D131B2">
        <w:t>, p.383.</w:t>
      </w:r>
    </w:p>
    <w:p w14:paraId="5A408D73" w14:textId="77777777" w:rsidR="000C6352" w:rsidRDefault="000C6352" w:rsidP="000C6352">
      <w:bookmarkStart w:id="39" w:name="_Hlk70798609"/>
      <w:proofErr w:type="spellStart"/>
      <w:r w:rsidRPr="00B42DA2">
        <w:t>Schmulow</w:t>
      </w:r>
      <w:proofErr w:type="spellEnd"/>
      <w:r w:rsidRPr="00B42DA2">
        <w:t>, A., 2021</w:t>
      </w:r>
      <w:bookmarkEnd w:id="39"/>
      <w:r w:rsidRPr="00B42DA2">
        <w:t>. Cambridge Handbook of Twin Peaks Financial Regulation. </w:t>
      </w:r>
      <w:r w:rsidRPr="008D5521">
        <w:rPr>
          <w:i/>
          <w:iCs/>
        </w:rPr>
        <w:t>The Cambridge Handbook of Twin Peaks Financial Regulation, published by Cambridge University Press, Cambridge, UK</w:t>
      </w:r>
      <w:r w:rsidRPr="00B42DA2">
        <w:t>, pp.978-1.</w:t>
      </w:r>
    </w:p>
    <w:p w14:paraId="797F5907" w14:textId="77777777" w:rsidR="000C6352" w:rsidRDefault="000C6352" w:rsidP="000C6352">
      <w:bookmarkStart w:id="40" w:name="_Hlk70798575"/>
      <w:proofErr w:type="spellStart"/>
      <w:r w:rsidRPr="00B42DA2">
        <w:t>Schoenmaker</w:t>
      </w:r>
      <w:proofErr w:type="spellEnd"/>
      <w:r w:rsidRPr="00B42DA2">
        <w:t xml:space="preserve">, D. and </w:t>
      </w:r>
      <w:proofErr w:type="spellStart"/>
      <w:r w:rsidRPr="00B42DA2">
        <w:t>Véron</w:t>
      </w:r>
      <w:proofErr w:type="spellEnd"/>
      <w:r w:rsidRPr="00B42DA2">
        <w:t>, N., 2018</w:t>
      </w:r>
      <w:bookmarkEnd w:id="40"/>
      <w:r w:rsidRPr="00B42DA2">
        <w:t>. A ‘twin peaks’ vision for Europe.</w:t>
      </w:r>
    </w:p>
    <w:p w14:paraId="25876319" w14:textId="77777777" w:rsidR="000C6352" w:rsidRDefault="000C6352" w:rsidP="000C6352">
      <w:r w:rsidRPr="00B42DA2">
        <w:t>Sinha, T., 2017. A Comparative Study of the European Stability Mechanism with the Troubled Asset Relief Program of the United Sates. </w:t>
      </w:r>
      <w:r w:rsidRPr="008D5521">
        <w:rPr>
          <w:i/>
          <w:iCs/>
        </w:rPr>
        <w:t>Nw. J. Int'l L. &amp; Bus.</w:t>
      </w:r>
      <w:r w:rsidRPr="00B42DA2">
        <w:t>, </w:t>
      </w:r>
      <w:r w:rsidRPr="008D5521">
        <w:rPr>
          <w:i/>
          <w:iCs/>
        </w:rPr>
        <w:t>38</w:t>
      </w:r>
      <w:r w:rsidRPr="00B42DA2">
        <w:t>, p.307.</w:t>
      </w:r>
    </w:p>
    <w:p w14:paraId="55F16BCE" w14:textId="77777777" w:rsidR="000C6352" w:rsidRDefault="000C6352" w:rsidP="000C6352">
      <w:bookmarkStart w:id="41" w:name="_Hlk70860019"/>
      <w:r w:rsidRPr="0008078D">
        <w:t>Smith, A.D., 2010.</w:t>
      </w:r>
      <w:bookmarkEnd w:id="41"/>
      <w:r w:rsidRPr="0008078D">
        <w:t xml:space="preserve"> Agency theory and the financial crisis from a strategic perspective. </w:t>
      </w:r>
      <w:r w:rsidRPr="008D5521">
        <w:rPr>
          <w:i/>
          <w:iCs/>
        </w:rPr>
        <w:t>International Journal of Business Information Systems</w:t>
      </w:r>
      <w:r w:rsidRPr="0008078D">
        <w:t>, </w:t>
      </w:r>
      <w:r w:rsidRPr="008D5521">
        <w:rPr>
          <w:i/>
          <w:iCs/>
        </w:rPr>
        <w:t>5</w:t>
      </w:r>
      <w:r w:rsidRPr="0008078D">
        <w:t>(3), pp.248-267.</w:t>
      </w:r>
    </w:p>
    <w:p w14:paraId="29C1A0BE" w14:textId="77777777" w:rsidR="000C6352" w:rsidRDefault="000C6352" w:rsidP="000C6352">
      <w:bookmarkStart w:id="42" w:name="_Hlk70840397"/>
      <w:r w:rsidRPr="00A137AF">
        <w:t xml:space="preserve">Sohn, W. and </w:t>
      </w:r>
      <w:proofErr w:type="spellStart"/>
      <w:r w:rsidRPr="00A137AF">
        <w:t>Vyshnevskyi</w:t>
      </w:r>
      <w:proofErr w:type="spellEnd"/>
      <w:r w:rsidRPr="00A137AF">
        <w:t>, I., 2017</w:t>
      </w:r>
      <w:bookmarkEnd w:id="42"/>
      <w:r w:rsidRPr="00A137AF">
        <w:t>. The ‘Twin Peaks’ model of post-crisis banking supervision. </w:t>
      </w:r>
      <w:r w:rsidRPr="008D5521">
        <w:rPr>
          <w:i/>
          <w:iCs/>
        </w:rPr>
        <w:t>Applied Economics Letters</w:t>
      </w:r>
      <w:r w:rsidRPr="00A137AF">
        <w:t>, </w:t>
      </w:r>
      <w:r w:rsidRPr="008D5521">
        <w:rPr>
          <w:i/>
          <w:iCs/>
        </w:rPr>
        <w:t>24</w:t>
      </w:r>
      <w:r w:rsidRPr="00A137AF">
        <w:t>(8), pp.571-574.</w:t>
      </w:r>
    </w:p>
    <w:p w14:paraId="044069E0" w14:textId="77777777" w:rsidR="000C6352" w:rsidRDefault="000C6352" w:rsidP="000C6352">
      <w:proofErr w:type="spellStart"/>
      <w:r w:rsidRPr="00180D53">
        <w:t>Tanafon</w:t>
      </w:r>
      <w:proofErr w:type="spellEnd"/>
      <w:r w:rsidRPr="00180D53">
        <w:t>, M., 2018. Market Crises and Dodd-Frank: Does the Act Protect against Hazardous Student Loan Securitization. </w:t>
      </w:r>
      <w:r w:rsidRPr="008D5521">
        <w:rPr>
          <w:i/>
          <w:iCs/>
        </w:rPr>
        <w:t>Rev. Banking &amp; Fin. L.</w:t>
      </w:r>
      <w:r w:rsidRPr="00180D53">
        <w:t>, </w:t>
      </w:r>
      <w:r w:rsidRPr="008D5521">
        <w:rPr>
          <w:i/>
          <w:iCs/>
        </w:rPr>
        <w:t>38</w:t>
      </w:r>
      <w:r w:rsidRPr="00180D53">
        <w:t>, p.869.</w:t>
      </w:r>
    </w:p>
    <w:p w14:paraId="362A697A" w14:textId="77777777" w:rsidR="000C6352" w:rsidRDefault="000C6352" w:rsidP="000C6352">
      <w:bookmarkStart w:id="43" w:name="_Hlk70844990"/>
      <w:r w:rsidRPr="0065765F">
        <w:t>Taylor, M.W., 2013</w:t>
      </w:r>
      <w:bookmarkEnd w:id="43"/>
      <w:r w:rsidRPr="0065765F">
        <w:t>. Regulatory Reform in the UK. </w:t>
      </w:r>
      <w:r w:rsidRPr="008D5521">
        <w:rPr>
          <w:i/>
          <w:iCs/>
        </w:rPr>
        <w:t>NC Banking Inst.</w:t>
      </w:r>
      <w:r w:rsidRPr="0065765F">
        <w:t>, </w:t>
      </w:r>
      <w:r w:rsidRPr="008D5521">
        <w:rPr>
          <w:i/>
          <w:iCs/>
        </w:rPr>
        <w:t>18</w:t>
      </w:r>
      <w:r w:rsidRPr="0065765F">
        <w:t>, p.227.</w:t>
      </w:r>
    </w:p>
    <w:p w14:paraId="141D4284" w14:textId="77777777" w:rsidR="000C6352" w:rsidRPr="0033602F" w:rsidRDefault="000C6352" w:rsidP="000C6352">
      <w:bookmarkStart w:id="44" w:name="_Hlk70879745"/>
      <w:r>
        <w:t>U</w:t>
      </w:r>
      <w:r w:rsidRPr="0033602F">
        <w:t>sbank.com</w:t>
      </w:r>
      <w:r>
        <w:t>.2021</w:t>
      </w:r>
      <w:bookmarkEnd w:id="44"/>
      <w:r>
        <w:t>.</w:t>
      </w:r>
      <w:r w:rsidRPr="008D5521">
        <w:rPr>
          <w:i/>
          <w:iCs/>
        </w:rPr>
        <w:t xml:space="preserve"> About us | U.S. Bank | U.S. Bancorp</w:t>
      </w:r>
      <w:r>
        <w:t>.</w:t>
      </w:r>
      <w:r w:rsidRPr="0033602F">
        <w:t xml:space="preserve"> Available at: https://www.usbank.com/about-us-bank.html (Accessed: 2 May 2021).</w:t>
      </w:r>
    </w:p>
    <w:p w14:paraId="418D8996" w14:textId="77777777" w:rsidR="000C6352" w:rsidRDefault="000C6352" w:rsidP="000C6352">
      <w:proofErr w:type="spellStart"/>
      <w:r w:rsidRPr="0045620A">
        <w:lastRenderedPageBreak/>
        <w:t>Voskoboynikov</w:t>
      </w:r>
      <w:proofErr w:type="spellEnd"/>
      <w:r w:rsidRPr="0045620A">
        <w:t>, I.B., 2017. Sources of long run economic growth in Russia before and after the global financial crisis. </w:t>
      </w:r>
      <w:r w:rsidRPr="008D5521">
        <w:rPr>
          <w:i/>
          <w:iCs/>
        </w:rPr>
        <w:t>Russian Journal of Economics</w:t>
      </w:r>
      <w:r w:rsidRPr="0045620A">
        <w:t>, </w:t>
      </w:r>
      <w:r w:rsidRPr="008D5521">
        <w:rPr>
          <w:i/>
          <w:iCs/>
        </w:rPr>
        <w:t>3</w:t>
      </w:r>
      <w:r w:rsidRPr="0045620A">
        <w:t>(4), pp.348-365.</w:t>
      </w:r>
    </w:p>
    <w:p w14:paraId="6DE40BD7" w14:textId="77777777" w:rsidR="000C6352" w:rsidRDefault="000C6352" w:rsidP="000C6352">
      <w:r w:rsidRPr="0045620A">
        <w:t xml:space="preserve">Zhang, D. and </w:t>
      </w:r>
      <w:proofErr w:type="spellStart"/>
      <w:r w:rsidRPr="0045620A">
        <w:t>Broadstock</w:t>
      </w:r>
      <w:proofErr w:type="spellEnd"/>
      <w:r w:rsidRPr="0045620A">
        <w:t>, D.C., 2018. Global financial crisis and rising connectedness in the international commodity markets. </w:t>
      </w:r>
      <w:r w:rsidRPr="008D5521">
        <w:rPr>
          <w:i/>
          <w:iCs/>
        </w:rPr>
        <w:t>International Review of Financial Analysis</w:t>
      </w:r>
      <w:r w:rsidRPr="0045620A">
        <w:t>, p.101239.</w:t>
      </w:r>
    </w:p>
    <w:p w14:paraId="35E0815E" w14:textId="77777777" w:rsidR="000C6352" w:rsidRDefault="000C6352" w:rsidP="000C6352"/>
    <w:p w14:paraId="283FF4C7" w14:textId="77777777" w:rsidR="000C6352" w:rsidRPr="009D2FBB" w:rsidRDefault="000C6352" w:rsidP="000C6352">
      <w:pPr>
        <w:rPr>
          <w:bCs/>
        </w:rPr>
      </w:pPr>
    </w:p>
    <w:sectPr w:rsidR="000C6352" w:rsidRPr="009D2FBB" w:rsidSect="00643979">
      <w:headerReference w:type="even" r:id="rId11"/>
      <w:headerReference w:type="default" r:id="rId12"/>
      <w:headerReference w:type="first" r:id="rId13"/>
      <w:pgSz w:w="11906" w:h="16838" w:code="9"/>
      <w:pgMar w:top="1440" w:right="1440" w:bottom="900" w:left="1440" w:header="706" w:footer="706"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7EC0AD" w14:textId="77777777" w:rsidR="0026171B" w:rsidRDefault="0026171B" w:rsidP="00F100E1">
      <w:pPr>
        <w:spacing w:after="0" w:line="240" w:lineRule="auto"/>
      </w:pPr>
      <w:r>
        <w:separator/>
      </w:r>
    </w:p>
  </w:endnote>
  <w:endnote w:type="continuationSeparator" w:id="0">
    <w:p w14:paraId="53B6B142" w14:textId="77777777" w:rsidR="0026171B" w:rsidRDefault="0026171B" w:rsidP="00F10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AF0C72" w14:textId="77777777" w:rsidR="0026171B" w:rsidRDefault="0026171B" w:rsidP="00F100E1">
      <w:pPr>
        <w:spacing w:after="0" w:line="240" w:lineRule="auto"/>
      </w:pPr>
      <w:r>
        <w:separator/>
      </w:r>
    </w:p>
  </w:footnote>
  <w:footnote w:type="continuationSeparator" w:id="0">
    <w:p w14:paraId="645889D4" w14:textId="77777777" w:rsidR="0026171B" w:rsidRDefault="0026171B" w:rsidP="00F100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DE40A2" w14:textId="77777777" w:rsidR="0080431C" w:rsidRDefault="0080431C">
    <w:r>
      <w:cr/>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7A1D12" w14:textId="677F196A" w:rsidR="0080431C" w:rsidRDefault="0080431C">
    <w:pPr>
      <w:pStyle w:val="Header"/>
    </w:pPr>
    <w:r>
      <w:rPr>
        <w:noProof/>
        <w:lang w:val="en-US"/>
      </w:rPr>
      <mc:AlternateContent>
        <mc:Choice Requires="wps">
          <w:drawing>
            <wp:anchor distT="0" distB="0" distL="114300" distR="114300" simplePos="0" relativeHeight="251661312" behindDoc="0" locked="0" layoutInCell="0" allowOverlap="1" wp14:anchorId="501551EF" wp14:editId="7D457E60">
              <wp:simplePos x="0" y="0"/>
              <wp:positionH relativeFrom="margin">
                <wp:posOffset>-436245</wp:posOffset>
              </wp:positionH>
              <wp:positionV relativeFrom="topMargin">
                <wp:posOffset>217805</wp:posOffset>
              </wp:positionV>
              <wp:extent cx="5728970" cy="175260"/>
              <wp:effectExtent l="0" t="0" r="0" b="152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F2C26C" w14:textId="676286F0" w:rsidR="0080431C" w:rsidRPr="00F019C9" w:rsidRDefault="0080431C" w:rsidP="00167B9E">
                          <w:pPr>
                            <w:pStyle w:val="Header"/>
                            <w:jc w:val="left"/>
                          </w:pPr>
                          <w:r w:rsidRPr="00D45316">
                            <w:t>BANKING FINANCIAL MANAGEMENT AND FINANCIAL MARKETS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4.35pt;margin-top:17.15pt;width:451.1pt;height:13.8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" o:allowincell="f" filled="f" stroked="f">
              <v:textbox style="mso-fit-shape-to-text:t" inset=",0,,0">
                <w:txbxContent>
                  <w:p w14:paraId="41F2C26C" w14:textId="676286F0" w:rsidR="0080431C" w:rsidRPr="00F019C9" w:rsidRDefault="0080431C" w:rsidP="00167B9E">
                    <w:pPr>
                      <w:pStyle w:val="Header"/>
                      <w:jc w:val="left"/>
                    </w:pPr>
                    <w:r w:rsidRPr="00D45316">
                      <w:t>BANKING FINANCIAL MANAGEMENT AND FINANCIAL MARKETS</w:t>
                    </w:r>
                  </w:p>
                </w:txbxContent>
              </v:textbox>
              <w10:wrap anchorx="margin" anchory="margin"/>
            </v:shape>
          </w:pict>
        </mc:Fallback>
      </mc:AlternateContent>
    </w:r>
    <w:r>
      <w:rPr>
        <w:noProof/>
        <w:lang w:val="en-US"/>
      </w:rPr>
      <mc:AlternateContent>
        <mc:Choice Requires="wps">
          <w:drawing>
            <wp:anchor distT="0" distB="0" distL="114300" distR="114300" simplePos="0" relativeHeight="251660288" behindDoc="0" locked="0" layoutInCell="0" allowOverlap="1" wp14:anchorId="5CF519FC" wp14:editId="12E6A60D">
              <wp:simplePos x="0" y="0"/>
              <wp:positionH relativeFrom="page">
                <wp:align>right</wp:align>
              </wp:positionH>
              <wp:positionV relativeFrom="topMargin">
                <wp:align>center</wp:align>
              </wp:positionV>
              <wp:extent cx="911225" cy="17526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0CF3836" w14:textId="035F2197" w:rsidR="0080431C" w:rsidRDefault="0080431C">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3E2E72">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7" type="#_x0000_t202" style="position:absolute;left:0;text-align:left;margin-left:20.55pt;margin-top:0;width:71.75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" o:allowincell="f" fillcolor="#4f81bd [3204]" stroked="f">
              <v:textbox style="mso-fit-shape-to-text:t" inset=",0,,0">
                <w:txbxContent>
                  <w:p w14:paraId="00CF3836" w14:textId="035F2197" w:rsidR="0080431C" w:rsidRDefault="0080431C">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3E2E72">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D01E02" w14:textId="10C215F8" w:rsidR="0080431C" w:rsidRDefault="0080431C" w:rsidP="00002EA6">
    <w:pPr>
      <w:pStyle w:val="Header"/>
      <w:jc w:val="lef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125C9"/>
    <w:multiLevelType w:val="hybridMultilevel"/>
    <w:tmpl w:val="6A942FC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78939A5"/>
    <w:multiLevelType w:val="hybridMultilevel"/>
    <w:tmpl w:val="56D8FA88"/>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8902BDB"/>
    <w:multiLevelType w:val="hybridMultilevel"/>
    <w:tmpl w:val="6A3859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
    <w:nsid w:val="0C455360"/>
    <w:multiLevelType w:val="hybridMultilevel"/>
    <w:tmpl w:val="85022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D645FFD"/>
    <w:multiLevelType w:val="hybridMultilevel"/>
    <w:tmpl w:val="8F1A68A6"/>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nsid w:val="0E2C52E3"/>
    <w:multiLevelType w:val="hybridMultilevel"/>
    <w:tmpl w:val="39200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13E1C60"/>
    <w:multiLevelType w:val="hybridMultilevel"/>
    <w:tmpl w:val="AD9CD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5201851"/>
    <w:multiLevelType w:val="hybridMultilevel"/>
    <w:tmpl w:val="195AE4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D2B3734"/>
    <w:multiLevelType w:val="hybridMultilevel"/>
    <w:tmpl w:val="E7F2B6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D660A43"/>
    <w:multiLevelType w:val="hybridMultilevel"/>
    <w:tmpl w:val="C7DA790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0">
    <w:nsid w:val="1E95613A"/>
    <w:multiLevelType w:val="hybridMultilevel"/>
    <w:tmpl w:val="5912716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1">
    <w:nsid w:val="24614571"/>
    <w:multiLevelType w:val="hybridMultilevel"/>
    <w:tmpl w:val="836EA510"/>
    <w:lvl w:ilvl="0" w:tplc="F4BA067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5027084"/>
    <w:multiLevelType w:val="hybridMultilevel"/>
    <w:tmpl w:val="9514B58A"/>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nsid w:val="29155059"/>
    <w:multiLevelType w:val="hybridMultilevel"/>
    <w:tmpl w:val="7C0C7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CFA32C3"/>
    <w:multiLevelType w:val="hybridMultilevel"/>
    <w:tmpl w:val="E5B01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D486FFB"/>
    <w:multiLevelType w:val="hybridMultilevel"/>
    <w:tmpl w:val="9364E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D4F63BE"/>
    <w:multiLevelType w:val="hybridMultilevel"/>
    <w:tmpl w:val="57604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72D685A"/>
    <w:multiLevelType w:val="hybridMultilevel"/>
    <w:tmpl w:val="35463D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8">
    <w:nsid w:val="377677D7"/>
    <w:multiLevelType w:val="hybridMultilevel"/>
    <w:tmpl w:val="7772E5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7D656F4"/>
    <w:multiLevelType w:val="hybridMultilevel"/>
    <w:tmpl w:val="41BACA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0">
    <w:nsid w:val="3A883994"/>
    <w:multiLevelType w:val="hybridMultilevel"/>
    <w:tmpl w:val="258AA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AB20206"/>
    <w:multiLevelType w:val="hybridMultilevel"/>
    <w:tmpl w:val="A9720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B53307F"/>
    <w:multiLevelType w:val="hybridMultilevel"/>
    <w:tmpl w:val="506A8CF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E11452A"/>
    <w:multiLevelType w:val="hybridMultilevel"/>
    <w:tmpl w:val="2EA4A4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4">
    <w:nsid w:val="3F1D7108"/>
    <w:multiLevelType w:val="hybridMultilevel"/>
    <w:tmpl w:val="3112E3F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5">
    <w:nsid w:val="3F653EE3"/>
    <w:multiLevelType w:val="hybridMultilevel"/>
    <w:tmpl w:val="A3E66000"/>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42696D05"/>
    <w:multiLevelType w:val="singleLevel"/>
    <w:tmpl w:val="04090001"/>
    <w:lvl w:ilvl="0">
      <w:start w:val="1"/>
      <w:numFmt w:val="bullet"/>
      <w:lvlText w:val=""/>
      <w:lvlJc w:val="left"/>
      <w:pPr>
        <w:ind w:left="720" w:hanging="360"/>
      </w:pPr>
      <w:rPr>
        <w:rFonts w:ascii="Symbol" w:hAnsi="Symbol" w:hint="default"/>
      </w:rPr>
    </w:lvl>
  </w:abstractNum>
  <w:abstractNum w:abstractNumId="27">
    <w:nsid w:val="43E86D77"/>
    <w:multiLevelType w:val="hybridMultilevel"/>
    <w:tmpl w:val="7A9C14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56F6D88"/>
    <w:multiLevelType w:val="hybridMultilevel"/>
    <w:tmpl w:val="AFF84F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9">
    <w:nsid w:val="48B33AFC"/>
    <w:multiLevelType w:val="hybridMultilevel"/>
    <w:tmpl w:val="09A68B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0">
    <w:nsid w:val="4B0E26FF"/>
    <w:multiLevelType w:val="hybridMultilevel"/>
    <w:tmpl w:val="0ED2C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C715CB6"/>
    <w:multiLevelType w:val="hybridMultilevel"/>
    <w:tmpl w:val="DE18F53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2">
    <w:nsid w:val="52CA5493"/>
    <w:multiLevelType w:val="hybridMultilevel"/>
    <w:tmpl w:val="9BC45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47E1DF8"/>
    <w:multiLevelType w:val="hybridMultilevel"/>
    <w:tmpl w:val="ED00B09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4">
    <w:nsid w:val="592E7883"/>
    <w:multiLevelType w:val="hybridMultilevel"/>
    <w:tmpl w:val="14DA55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5">
    <w:nsid w:val="5E577895"/>
    <w:multiLevelType w:val="hybridMultilevel"/>
    <w:tmpl w:val="A1A824FA"/>
    <w:lvl w:ilvl="0" w:tplc="F4BA067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00434E0"/>
    <w:multiLevelType w:val="hybridMultilevel"/>
    <w:tmpl w:val="8166B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2180CCB"/>
    <w:multiLevelType w:val="hybridMultilevel"/>
    <w:tmpl w:val="DEAE72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8">
    <w:nsid w:val="686A094A"/>
    <w:multiLevelType w:val="hybridMultilevel"/>
    <w:tmpl w:val="088C475C"/>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nsid w:val="68746F82"/>
    <w:multiLevelType w:val="hybridMultilevel"/>
    <w:tmpl w:val="1C30CD0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69E67077"/>
    <w:multiLevelType w:val="hybridMultilevel"/>
    <w:tmpl w:val="9F029E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1">
    <w:nsid w:val="69F52630"/>
    <w:multiLevelType w:val="hybridMultilevel"/>
    <w:tmpl w:val="66205498"/>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nsid w:val="6BAE4AA0"/>
    <w:multiLevelType w:val="hybridMultilevel"/>
    <w:tmpl w:val="6EDEA076"/>
    <w:lvl w:ilvl="0" w:tplc="F4BA0670">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3">
    <w:nsid w:val="6C6A616E"/>
    <w:multiLevelType w:val="hybridMultilevel"/>
    <w:tmpl w:val="22D6B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2CA0EA1"/>
    <w:multiLevelType w:val="hybridMultilevel"/>
    <w:tmpl w:val="B85AFA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5">
    <w:nsid w:val="773158C3"/>
    <w:multiLevelType w:val="hybridMultilevel"/>
    <w:tmpl w:val="F8046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7CC2552"/>
    <w:multiLevelType w:val="hybridMultilevel"/>
    <w:tmpl w:val="4580B536"/>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47">
    <w:nsid w:val="78A07122"/>
    <w:multiLevelType w:val="hybridMultilevel"/>
    <w:tmpl w:val="C592EF2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8">
    <w:nsid w:val="7AF73414"/>
    <w:multiLevelType w:val="hybridMultilevel"/>
    <w:tmpl w:val="E57EC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6"/>
  </w:num>
  <w:num w:numId="2">
    <w:abstractNumId w:val="5"/>
  </w:num>
  <w:num w:numId="3">
    <w:abstractNumId w:val="15"/>
  </w:num>
  <w:num w:numId="4">
    <w:abstractNumId w:val="7"/>
  </w:num>
  <w:num w:numId="5">
    <w:abstractNumId w:val="32"/>
  </w:num>
  <w:num w:numId="6">
    <w:abstractNumId w:val="22"/>
  </w:num>
  <w:num w:numId="7">
    <w:abstractNumId w:val="20"/>
  </w:num>
  <w:num w:numId="8">
    <w:abstractNumId w:val="30"/>
  </w:num>
  <w:num w:numId="9">
    <w:abstractNumId w:val="43"/>
  </w:num>
  <w:num w:numId="10">
    <w:abstractNumId w:val="14"/>
  </w:num>
  <w:num w:numId="11">
    <w:abstractNumId w:val="0"/>
  </w:num>
  <w:num w:numId="12">
    <w:abstractNumId w:val="42"/>
  </w:num>
  <w:num w:numId="13">
    <w:abstractNumId w:val="36"/>
  </w:num>
  <w:num w:numId="14">
    <w:abstractNumId w:val="25"/>
  </w:num>
  <w:num w:numId="15">
    <w:abstractNumId w:val="41"/>
  </w:num>
  <w:num w:numId="16">
    <w:abstractNumId w:val="12"/>
  </w:num>
  <w:num w:numId="17">
    <w:abstractNumId w:val="10"/>
  </w:num>
  <w:num w:numId="18">
    <w:abstractNumId w:val="6"/>
  </w:num>
  <w:num w:numId="19">
    <w:abstractNumId w:val="38"/>
  </w:num>
  <w:num w:numId="20">
    <w:abstractNumId w:val="1"/>
  </w:num>
  <w:num w:numId="21">
    <w:abstractNumId w:val="48"/>
  </w:num>
  <w:num w:numId="22">
    <w:abstractNumId w:val="35"/>
  </w:num>
  <w:num w:numId="23">
    <w:abstractNumId w:val="11"/>
  </w:num>
  <w:num w:numId="24">
    <w:abstractNumId w:val="21"/>
  </w:num>
  <w:num w:numId="25">
    <w:abstractNumId w:val="13"/>
  </w:num>
  <w:num w:numId="26">
    <w:abstractNumId w:val="16"/>
  </w:num>
  <w:num w:numId="27">
    <w:abstractNumId w:val="45"/>
  </w:num>
  <w:num w:numId="28">
    <w:abstractNumId w:val="39"/>
  </w:num>
  <w:num w:numId="29">
    <w:abstractNumId w:val="3"/>
  </w:num>
  <w:num w:numId="30">
    <w:abstractNumId w:val="46"/>
  </w:num>
  <w:num w:numId="31">
    <w:abstractNumId w:val="4"/>
  </w:num>
  <w:num w:numId="32">
    <w:abstractNumId w:val="28"/>
  </w:num>
  <w:num w:numId="33">
    <w:abstractNumId w:val="23"/>
  </w:num>
  <w:num w:numId="34">
    <w:abstractNumId w:val="44"/>
  </w:num>
  <w:num w:numId="35">
    <w:abstractNumId w:val="47"/>
  </w:num>
  <w:num w:numId="36">
    <w:abstractNumId w:val="17"/>
  </w:num>
  <w:num w:numId="37">
    <w:abstractNumId w:val="29"/>
  </w:num>
  <w:num w:numId="38">
    <w:abstractNumId w:val="24"/>
  </w:num>
  <w:num w:numId="39">
    <w:abstractNumId w:val="9"/>
  </w:num>
  <w:num w:numId="40">
    <w:abstractNumId w:val="31"/>
  </w:num>
  <w:num w:numId="41">
    <w:abstractNumId w:val="19"/>
  </w:num>
  <w:num w:numId="42">
    <w:abstractNumId w:val="2"/>
  </w:num>
  <w:num w:numId="43">
    <w:abstractNumId w:val="37"/>
  </w:num>
  <w:num w:numId="44">
    <w:abstractNumId w:val="40"/>
  </w:num>
  <w:num w:numId="45">
    <w:abstractNumId w:val="34"/>
  </w:num>
  <w:num w:numId="46">
    <w:abstractNumId w:val="33"/>
  </w:num>
  <w:num w:numId="47">
    <w:abstractNumId w:val="8"/>
  </w:num>
  <w:num w:numId="48">
    <w:abstractNumId w:val="27"/>
  </w:num>
  <w:num w:numId="4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s>
  <w:rsids>
    <w:rsidRoot w:val="00CA182A"/>
    <w:rsid w:val="000002DC"/>
    <w:rsid w:val="00000B35"/>
    <w:rsid w:val="0000121E"/>
    <w:rsid w:val="00001F39"/>
    <w:rsid w:val="00001FA7"/>
    <w:rsid w:val="00002476"/>
    <w:rsid w:val="00002EA6"/>
    <w:rsid w:val="00003273"/>
    <w:rsid w:val="000036B8"/>
    <w:rsid w:val="00003738"/>
    <w:rsid w:val="000037F5"/>
    <w:rsid w:val="00003EC2"/>
    <w:rsid w:val="00004441"/>
    <w:rsid w:val="000049AB"/>
    <w:rsid w:val="00005790"/>
    <w:rsid w:val="00005970"/>
    <w:rsid w:val="000062B3"/>
    <w:rsid w:val="0000669F"/>
    <w:rsid w:val="00006842"/>
    <w:rsid w:val="0000696A"/>
    <w:rsid w:val="0000722C"/>
    <w:rsid w:val="00007F8D"/>
    <w:rsid w:val="00010967"/>
    <w:rsid w:val="00010F1B"/>
    <w:rsid w:val="00011388"/>
    <w:rsid w:val="00012A71"/>
    <w:rsid w:val="00012AE2"/>
    <w:rsid w:val="000153BA"/>
    <w:rsid w:val="000157AB"/>
    <w:rsid w:val="00015BCD"/>
    <w:rsid w:val="00015BE4"/>
    <w:rsid w:val="00016647"/>
    <w:rsid w:val="0001685D"/>
    <w:rsid w:val="000169CF"/>
    <w:rsid w:val="00017281"/>
    <w:rsid w:val="00021450"/>
    <w:rsid w:val="000215DD"/>
    <w:rsid w:val="00022006"/>
    <w:rsid w:val="000220C4"/>
    <w:rsid w:val="00022A82"/>
    <w:rsid w:val="00023755"/>
    <w:rsid w:val="00023A8B"/>
    <w:rsid w:val="000249A5"/>
    <w:rsid w:val="00024F01"/>
    <w:rsid w:val="00025DA8"/>
    <w:rsid w:val="00026A09"/>
    <w:rsid w:val="00027D82"/>
    <w:rsid w:val="000311D2"/>
    <w:rsid w:val="00031AE0"/>
    <w:rsid w:val="00031B05"/>
    <w:rsid w:val="00031B5E"/>
    <w:rsid w:val="00031F88"/>
    <w:rsid w:val="000323DF"/>
    <w:rsid w:val="00032947"/>
    <w:rsid w:val="00032B63"/>
    <w:rsid w:val="000330D3"/>
    <w:rsid w:val="00033881"/>
    <w:rsid w:val="00034141"/>
    <w:rsid w:val="000341EB"/>
    <w:rsid w:val="00034D1E"/>
    <w:rsid w:val="00035C26"/>
    <w:rsid w:val="00035E84"/>
    <w:rsid w:val="00036D0A"/>
    <w:rsid w:val="00036FAB"/>
    <w:rsid w:val="000371F3"/>
    <w:rsid w:val="00040B61"/>
    <w:rsid w:val="00040C1C"/>
    <w:rsid w:val="00040D9B"/>
    <w:rsid w:val="00040E32"/>
    <w:rsid w:val="00041337"/>
    <w:rsid w:val="0004164A"/>
    <w:rsid w:val="0004245F"/>
    <w:rsid w:val="00042E52"/>
    <w:rsid w:val="00043120"/>
    <w:rsid w:val="0004392A"/>
    <w:rsid w:val="00043DB6"/>
    <w:rsid w:val="000442EB"/>
    <w:rsid w:val="0004566E"/>
    <w:rsid w:val="00046144"/>
    <w:rsid w:val="00046356"/>
    <w:rsid w:val="00046A04"/>
    <w:rsid w:val="00046D63"/>
    <w:rsid w:val="000472F3"/>
    <w:rsid w:val="00047328"/>
    <w:rsid w:val="000473A8"/>
    <w:rsid w:val="0004788B"/>
    <w:rsid w:val="00047D7F"/>
    <w:rsid w:val="00047EBA"/>
    <w:rsid w:val="00050947"/>
    <w:rsid w:val="00050AEB"/>
    <w:rsid w:val="0005249F"/>
    <w:rsid w:val="000534BE"/>
    <w:rsid w:val="00053A6A"/>
    <w:rsid w:val="000543BD"/>
    <w:rsid w:val="000545C4"/>
    <w:rsid w:val="0005471F"/>
    <w:rsid w:val="00054BB3"/>
    <w:rsid w:val="00055595"/>
    <w:rsid w:val="0005568F"/>
    <w:rsid w:val="000558BA"/>
    <w:rsid w:val="000558C4"/>
    <w:rsid w:val="00056B67"/>
    <w:rsid w:val="00056BCF"/>
    <w:rsid w:val="00056D20"/>
    <w:rsid w:val="00057138"/>
    <w:rsid w:val="000572B7"/>
    <w:rsid w:val="000603A4"/>
    <w:rsid w:val="0006143B"/>
    <w:rsid w:val="00061468"/>
    <w:rsid w:val="00061857"/>
    <w:rsid w:val="00061A50"/>
    <w:rsid w:val="0006269F"/>
    <w:rsid w:val="0006299C"/>
    <w:rsid w:val="000629B4"/>
    <w:rsid w:val="00063BC1"/>
    <w:rsid w:val="00063C63"/>
    <w:rsid w:val="00064190"/>
    <w:rsid w:val="000641CF"/>
    <w:rsid w:val="000641D6"/>
    <w:rsid w:val="00064639"/>
    <w:rsid w:val="00064B43"/>
    <w:rsid w:val="00064D2F"/>
    <w:rsid w:val="00065127"/>
    <w:rsid w:val="0006549A"/>
    <w:rsid w:val="000663FF"/>
    <w:rsid w:val="0006693A"/>
    <w:rsid w:val="0006712E"/>
    <w:rsid w:val="00067656"/>
    <w:rsid w:val="00067A46"/>
    <w:rsid w:val="00067D90"/>
    <w:rsid w:val="00067FD3"/>
    <w:rsid w:val="000705DE"/>
    <w:rsid w:val="000714A3"/>
    <w:rsid w:val="0007251F"/>
    <w:rsid w:val="00072611"/>
    <w:rsid w:val="0007281E"/>
    <w:rsid w:val="00072B4E"/>
    <w:rsid w:val="00072FAF"/>
    <w:rsid w:val="00073111"/>
    <w:rsid w:val="0007340A"/>
    <w:rsid w:val="00074F0E"/>
    <w:rsid w:val="00075972"/>
    <w:rsid w:val="00076017"/>
    <w:rsid w:val="000765EF"/>
    <w:rsid w:val="0007730D"/>
    <w:rsid w:val="00077636"/>
    <w:rsid w:val="00077DF8"/>
    <w:rsid w:val="00080D61"/>
    <w:rsid w:val="00081006"/>
    <w:rsid w:val="000810E7"/>
    <w:rsid w:val="0008171A"/>
    <w:rsid w:val="00081FA1"/>
    <w:rsid w:val="00082BBF"/>
    <w:rsid w:val="00082CAB"/>
    <w:rsid w:val="00082E11"/>
    <w:rsid w:val="000831C0"/>
    <w:rsid w:val="000838C5"/>
    <w:rsid w:val="000839A0"/>
    <w:rsid w:val="00083AE4"/>
    <w:rsid w:val="00084A43"/>
    <w:rsid w:val="00084E98"/>
    <w:rsid w:val="00084EBF"/>
    <w:rsid w:val="000857EA"/>
    <w:rsid w:val="00087290"/>
    <w:rsid w:val="00090A7F"/>
    <w:rsid w:val="00090A9F"/>
    <w:rsid w:val="00090F06"/>
    <w:rsid w:val="00091E34"/>
    <w:rsid w:val="000926EE"/>
    <w:rsid w:val="00093DC6"/>
    <w:rsid w:val="000958BE"/>
    <w:rsid w:val="00096D36"/>
    <w:rsid w:val="000977FE"/>
    <w:rsid w:val="000A054E"/>
    <w:rsid w:val="000A077B"/>
    <w:rsid w:val="000A08C1"/>
    <w:rsid w:val="000A0961"/>
    <w:rsid w:val="000A17C8"/>
    <w:rsid w:val="000A227A"/>
    <w:rsid w:val="000A26F4"/>
    <w:rsid w:val="000A2A59"/>
    <w:rsid w:val="000A2F51"/>
    <w:rsid w:val="000A344F"/>
    <w:rsid w:val="000A3F0B"/>
    <w:rsid w:val="000A4FA1"/>
    <w:rsid w:val="000A4FDD"/>
    <w:rsid w:val="000A572F"/>
    <w:rsid w:val="000A592A"/>
    <w:rsid w:val="000A7B4F"/>
    <w:rsid w:val="000A7D6C"/>
    <w:rsid w:val="000B0A90"/>
    <w:rsid w:val="000B1D8D"/>
    <w:rsid w:val="000B262B"/>
    <w:rsid w:val="000B30D5"/>
    <w:rsid w:val="000B34AB"/>
    <w:rsid w:val="000B385E"/>
    <w:rsid w:val="000B3D7B"/>
    <w:rsid w:val="000B45F0"/>
    <w:rsid w:val="000B462B"/>
    <w:rsid w:val="000B4C66"/>
    <w:rsid w:val="000C00B4"/>
    <w:rsid w:val="000C0B07"/>
    <w:rsid w:val="000C0CC6"/>
    <w:rsid w:val="000C1765"/>
    <w:rsid w:val="000C1AC0"/>
    <w:rsid w:val="000C1B5E"/>
    <w:rsid w:val="000C1C8C"/>
    <w:rsid w:val="000C1F58"/>
    <w:rsid w:val="000C2162"/>
    <w:rsid w:val="000C309E"/>
    <w:rsid w:val="000C343C"/>
    <w:rsid w:val="000C3851"/>
    <w:rsid w:val="000C3C24"/>
    <w:rsid w:val="000C3F6A"/>
    <w:rsid w:val="000C48C9"/>
    <w:rsid w:val="000C5D8C"/>
    <w:rsid w:val="000C6352"/>
    <w:rsid w:val="000C6566"/>
    <w:rsid w:val="000C7644"/>
    <w:rsid w:val="000C7EA3"/>
    <w:rsid w:val="000D0276"/>
    <w:rsid w:val="000D02B5"/>
    <w:rsid w:val="000D0F3D"/>
    <w:rsid w:val="000D0F65"/>
    <w:rsid w:val="000D17F0"/>
    <w:rsid w:val="000D2243"/>
    <w:rsid w:val="000D2952"/>
    <w:rsid w:val="000D40DE"/>
    <w:rsid w:val="000D573E"/>
    <w:rsid w:val="000D60B6"/>
    <w:rsid w:val="000D687B"/>
    <w:rsid w:val="000D6F51"/>
    <w:rsid w:val="000D7A10"/>
    <w:rsid w:val="000D7E95"/>
    <w:rsid w:val="000E0915"/>
    <w:rsid w:val="000E1447"/>
    <w:rsid w:val="000E1F77"/>
    <w:rsid w:val="000E21ED"/>
    <w:rsid w:val="000E4D0B"/>
    <w:rsid w:val="000E4DDD"/>
    <w:rsid w:val="000E4E36"/>
    <w:rsid w:val="000E54D9"/>
    <w:rsid w:val="000E67FC"/>
    <w:rsid w:val="000E68C7"/>
    <w:rsid w:val="000E7C84"/>
    <w:rsid w:val="000E7D23"/>
    <w:rsid w:val="000F08AE"/>
    <w:rsid w:val="000F1A93"/>
    <w:rsid w:val="000F1E26"/>
    <w:rsid w:val="000F2536"/>
    <w:rsid w:val="000F2695"/>
    <w:rsid w:val="000F2C7A"/>
    <w:rsid w:val="000F3358"/>
    <w:rsid w:val="000F3CE3"/>
    <w:rsid w:val="000F52D6"/>
    <w:rsid w:val="000F624A"/>
    <w:rsid w:val="000F65E1"/>
    <w:rsid w:val="000F7157"/>
    <w:rsid w:val="000F74BD"/>
    <w:rsid w:val="000F79DF"/>
    <w:rsid w:val="00100969"/>
    <w:rsid w:val="001009D9"/>
    <w:rsid w:val="0010114E"/>
    <w:rsid w:val="00102BBA"/>
    <w:rsid w:val="00102EFE"/>
    <w:rsid w:val="00104036"/>
    <w:rsid w:val="00104BC9"/>
    <w:rsid w:val="00105FAE"/>
    <w:rsid w:val="00106A1E"/>
    <w:rsid w:val="0010705F"/>
    <w:rsid w:val="0010753D"/>
    <w:rsid w:val="00107BEB"/>
    <w:rsid w:val="00110325"/>
    <w:rsid w:val="00110593"/>
    <w:rsid w:val="00110DA2"/>
    <w:rsid w:val="00112A5B"/>
    <w:rsid w:val="00113422"/>
    <w:rsid w:val="001140B2"/>
    <w:rsid w:val="001165C0"/>
    <w:rsid w:val="001166F8"/>
    <w:rsid w:val="00116834"/>
    <w:rsid w:val="00116B3E"/>
    <w:rsid w:val="00116EBA"/>
    <w:rsid w:val="0011711C"/>
    <w:rsid w:val="00120A9C"/>
    <w:rsid w:val="00120C68"/>
    <w:rsid w:val="00120D2B"/>
    <w:rsid w:val="00123292"/>
    <w:rsid w:val="00123978"/>
    <w:rsid w:val="00123C63"/>
    <w:rsid w:val="001249C2"/>
    <w:rsid w:val="00124F05"/>
    <w:rsid w:val="0012536E"/>
    <w:rsid w:val="0012599D"/>
    <w:rsid w:val="00126BF7"/>
    <w:rsid w:val="00127565"/>
    <w:rsid w:val="00131745"/>
    <w:rsid w:val="00134152"/>
    <w:rsid w:val="001341DC"/>
    <w:rsid w:val="00134DCE"/>
    <w:rsid w:val="001353CC"/>
    <w:rsid w:val="0013564C"/>
    <w:rsid w:val="00135920"/>
    <w:rsid w:val="00136BE0"/>
    <w:rsid w:val="001407C7"/>
    <w:rsid w:val="00141EF1"/>
    <w:rsid w:val="00142029"/>
    <w:rsid w:val="001423F1"/>
    <w:rsid w:val="0014246B"/>
    <w:rsid w:val="00142C1A"/>
    <w:rsid w:val="00143542"/>
    <w:rsid w:val="00143661"/>
    <w:rsid w:val="00144360"/>
    <w:rsid w:val="001449FC"/>
    <w:rsid w:val="00145587"/>
    <w:rsid w:val="00146865"/>
    <w:rsid w:val="00150B0F"/>
    <w:rsid w:val="00150B8D"/>
    <w:rsid w:val="0015240B"/>
    <w:rsid w:val="00153457"/>
    <w:rsid w:val="00153A72"/>
    <w:rsid w:val="00154EDE"/>
    <w:rsid w:val="00155023"/>
    <w:rsid w:val="001551C9"/>
    <w:rsid w:val="00155D92"/>
    <w:rsid w:val="00156322"/>
    <w:rsid w:val="0015644E"/>
    <w:rsid w:val="00156470"/>
    <w:rsid w:val="001565F3"/>
    <w:rsid w:val="001566CD"/>
    <w:rsid w:val="00157296"/>
    <w:rsid w:val="001606B7"/>
    <w:rsid w:val="00160782"/>
    <w:rsid w:val="00161221"/>
    <w:rsid w:val="001614B7"/>
    <w:rsid w:val="00161668"/>
    <w:rsid w:val="00161DA3"/>
    <w:rsid w:val="00162770"/>
    <w:rsid w:val="00162CEB"/>
    <w:rsid w:val="00162DF8"/>
    <w:rsid w:val="00162E5A"/>
    <w:rsid w:val="00163071"/>
    <w:rsid w:val="00163233"/>
    <w:rsid w:val="001633CE"/>
    <w:rsid w:val="001635FF"/>
    <w:rsid w:val="00163804"/>
    <w:rsid w:val="001644CA"/>
    <w:rsid w:val="001648A5"/>
    <w:rsid w:val="00164908"/>
    <w:rsid w:val="00164C24"/>
    <w:rsid w:val="001650AE"/>
    <w:rsid w:val="00165648"/>
    <w:rsid w:val="001657BA"/>
    <w:rsid w:val="00165B0F"/>
    <w:rsid w:val="001669CA"/>
    <w:rsid w:val="00167AC6"/>
    <w:rsid w:val="00167B9E"/>
    <w:rsid w:val="00167E47"/>
    <w:rsid w:val="00167F3C"/>
    <w:rsid w:val="00167F50"/>
    <w:rsid w:val="00170BF2"/>
    <w:rsid w:val="00170D4C"/>
    <w:rsid w:val="00170FAE"/>
    <w:rsid w:val="00171731"/>
    <w:rsid w:val="00171DBC"/>
    <w:rsid w:val="00171EE8"/>
    <w:rsid w:val="001722A0"/>
    <w:rsid w:val="00173A27"/>
    <w:rsid w:val="00173EE7"/>
    <w:rsid w:val="001744CE"/>
    <w:rsid w:val="00174C0D"/>
    <w:rsid w:val="00175415"/>
    <w:rsid w:val="00175923"/>
    <w:rsid w:val="0017606A"/>
    <w:rsid w:val="00177047"/>
    <w:rsid w:val="00177544"/>
    <w:rsid w:val="0018043F"/>
    <w:rsid w:val="00180DAB"/>
    <w:rsid w:val="00181354"/>
    <w:rsid w:val="0018177A"/>
    <w:rsid w:val="0018177B"/>
    <w:rsid w:val="00181CD2"/>
    <w:rsid w:val="00182331"/>
    <w:rsid w:val="00182A08"/>
    <w:rsid w:val="001834C1"/>
    <w:rsid w:val="0018381D"/>
    <w:rsid w:val="00183ABF"/>
    <w:rsid w:val="00183BF9"/>
    <w:rsid w:val="00183FE0"/>
    <w:rsid w:val="001843EF"/>
    <w:rsid w:val="00184AF9"/>
    <w:rsid w:val="00184C91"/>
    <w:rsid w:val="00185357"/>
    <w:rsid w:val="00186353"/>
    <w:rsid w:val="001863CF"/>
    <w:rsid w:val="00186899"/>
    <w:rsid w:val="00186EF2"/>
    <w:rsid w:val="00190E60"/>
    <w:rsid w:val="00190ED5"/>
    <w:rsid w:val="00191CEF"/>
    <w:rsid w:val="00191EB5"/>
    <w:rsid w:val="00192B95"/>
    <w:rsid w:val="001934E9"/>
    <w:rsid w:val="00193EA1"/>
    <w:rsid w:val="00194F62"/>
    <w:rsid w:val="0019536C"/>
    <w:rsid w:val="001953DB"/>
    <w:rsid w:val="00195EA1"/>
    <w:rsid w:val="0019644B"/>
    <w:rsid w:val="00197B6C"/>
    <w:rsid w:val="00197CD5"/>
    <w:rsid w:val="001A04C1"/>
    <w:rsid w:val="001A0638"/>
    <w:rsid w:val="001A097E"/>
    <w:rsid w:val="001A0C21"/>
    <w:rsid w:val="001A0F4E"/>
    <w:rsid w:val="001A154C"/>
    <w:rsid w:val="001A1806"/>
    <w:rsid w:val="001A18F6"/>
    <w:rsid w:val="001A2538"/>
    <w:rsid w:val="001A3140"/>
    <w:rsid w:val="001A31CF"/>
    <w:rsid w:val="001A36D1"/>
    <w:rsid w:val="001A37C9"/>
    <w:rsid w:val="001A43D1"/>
    <w:rsid w:val="001A55ED"/>
    <w:rsid w:val="001A5C3F"/>
    <w:rsid w:val="001A604C"/>
    <w:rsid w:val="001A66E8"/>
    <w:rsid w:val="001A67C6"/>
    <w:rsid w:val="001A6D7A"/>
    <w:rsid w:val="001A6E0A"/>
    <w:rsid w:val="001A6F6E"/>
    <w:rsid w:val="001A77FB"/>
    <w:rsid w:val="001A7B80"/>
    <w:rsid w:val="001A7D9D"/>
    <w:rsid w:val="001A7EBD"/>
    <w:rsid w:val="001B1112"/>
    <w:rsid w:val="001B19D5"/>
    <w:rsid w:val="001B1A8D"/>
    <w:rsid w:val="001B1D50"/>
    <w:rsid w:val="001B2783"/>
    <w:rsid w:val="001B3047"/>
    <w:rsid w:val="001B3C8E"/>
    <w:rsid w:val="001B3F4B"/>
    <w:rsid w:val="001B44B5"/>
    <w:rsid w:val="001B514A"/>
    <w:rsid w:val="001B5533"/>
    <w:rsid w:val="001B66EC"/>
    <w:rsid w:val="001B6C8E"/>
    <w:rsid w:val="001B6FD3"/>
    <w:rsid w:val="001B70DA"/>
    <w:rsid w:val="001B73A3"/>
    <w:rsid w:val="001B7E9C"/>
    <w:rsid w:val="001B7EEB"/>
    <w:rsid w:val="001C0098"/>
    <w:rsid w:val="001C05BE"/>
    <w:rsid w:val="001C0737"/>
    <w:rsid w:val="001C0C80"/>
    <w:rsid w:val="001C1583"/>
    <w:rsid w:val="001C20BD"/>
    <w:rsid w:val="001C23E0"/>
    <w:rsid w:val="001C2A46"/>
    <w:rsid w:val="001C3628"/>
    <w:rsid w:val="001C37C9"/>
    <w:rsid w:val="001C3EE0"/>
    <w:rsid w:val="001C4082"/>
    <w:rsid w:val="001C4284"/>
    <w:rsid w:val="001C4EE3"/>
    <w:rsid w:val="001C51F7"/>
    <w:rsid w:val="001C5ACA"/>
    <w:rsid w:val="001C67BF"/>
    <w:rsid w:val="001C764D"/>
    <w:rsid w:val="001C7ABC"/>
    <w:rsid w:val="001C7C0F"/>
    <w:rsid w:val="001D0061"/>
    <w:rsid w:val="001D0695"/>
    <w:rsid w:val="001D1046"/>
    <w:rsid w:val="001D1C8F"/>
    <w:rsid w:val="001D22E4"/>
    <w:rsid w:val="001D2BDC"/>
    <w:rsid w:val="001D439B"/>
    <w:rsid w:val="001D569C"/>
    <w:rsid w:val="001D5B8D"/>
    <w:rsid w:val="001D5D81"/>
    <w:rsid w:val="001D6B0B"/>
    <w:rsid w:val="001D6DED"/>
    <w:rsid w:val="001D6E01"/>
    <w:rsid w:val="001D775F"/>
    <w:rsid w:val="001D78C3"/>
    <w:rsid w:val="001D7FAA"/>
    <w:rsid w:val="001E0CFB"/>
    <w:rsid w:val="001E1424"/>
    <w:rsid w:val="001E16CD"/>
    <w:rsid w:val="001E1994"/>
    <w:rsid w:val="001E1A2B"/>
    <w:rsid w:val="001E262B"/>
    <w:rsid w:val="001E2F35"/>
    <w:rsid w:val="001E33BF"/>
    <w:rsid w:val="001E36A2"/>
    <w:rsid w:val="001E3842"/>
    <w:rsid w:val="001E40C6"/>
    <w:rsid w:val="001E56D9"/>
    <w:rsid w:val="001E62A7"/>
    <w:rsid w:val="001E7091"/>
    <w:rsid w:val="001E72C9"/>
    <w:rsid w:val="001E7D8D"/>
    <w:rsid w:val="001F005D"/>
    <w:rsid w:val="001F00C2"/>
    <w:rsid w:val="001F0196"/>
    <w:rsid w:val="001F1335"/>
    <w:rsid w:val="001F23A2"/>
    <w:rsid w:val="001F248B"/>
    <w:rsid w:val="001F30C5"/>
    <w:rsid w:val="001F3E84"/>
    <w:rsid w:val="001F55F4"/>
    <w:rsid w:val="001F58D9"/>
    <w:rsid w:val="001F62C3"/>
    <w:rsid w:val="001F6D5D"/>
    <w:rsid w:val="00200DA2"/>
    <w:rsid w:val="00201D96"/>
    <w:rsid w:val="00201E37"/>
    <w:rsid w:val="00201F11"/>
    <w:rsid w:val="00201F97"/>
    <w:rsid w:val="0020207E"/>
    <w:rsid w:val="00202574"/>
    <w:rsid w:val="002036E8"/>
    <w:rsid w:val="00203EAA"/>
    <w:rsid w:val="00204755"/>
    <w:rsid w:val="00204A6B"/>
    <w:rsid w:val="00204C6F"/>
    <w:rsid w:val="00206412"/>
    <w:rsid w:val="00206632"/>
    <w:rsid w:val="00206B8F"/>
    <w:rsid w:val="00210A6F"/>
    <w:rsid w:val="00210C40"/>
    <w:rsid w:val="002112DD"/>
    <w:rsid w:val="0021154A"/>
    <w:rsid w:val="00211EFC"/>
    <w:rsid w:val="00212094"/>
    <w:rsid w:val="00212567"/>
    <w:rsid w:val="0021353C"/>
    <w:rsid w:val="00213B7E"/>
    <w:rsid w:val="0021431E"/>
    <w:rsid w:val="002156ED"/>
    <w:rsid w:val="00216E6F"/>
    <w:rsid w:val="00217301"/>
    <w:rsid w:val="0021774C"/>
    <w:rsid w:val="00220C13"/>
    <w:rsid w:val="002214AB"/>
    <w:rsid w:val="00221E92"/>
    <w:rsid w:val="00222C45"/>
    <w:rsid w:val="00222D1B"/>
    <w:rsid w:val="002231EA"/>
    <w:rsid w:val="00223460"/>
    <w:rsid w:val="002238B9"/>
    <w:rsid w:val="00223B4E"/>
    <w:rsid w:val="002242AB"/>
    <w:rsid w:val="00224BFC"/>
    <w:rsid w:val="00224F3D"/>
    <w:rsid w:val="00225F25"/>
    <w:rsid w:val="00226634"/>
    <w:rsid w:val="002266F3"/>
    <w:rsid w:val="002268AB"/>
    <w:rsid w:val="002271B2"/>
    <w:rsid w:val="00227F7F"/>
    <w:rsid w:val="0023099F"/>
    <w:rsid w:val="002310E9"/>
    <w:rsid w:val="00231302"/>
    <w:rsid w:val="002329AC"/>
    <w:rsid w:val="00233FEA"/>
    <w:rsid w:val="00236DCD"/>
    <w:rsid w:val="0023706F"/>
    <w:rsid w:val="002402F9"/>
    <w:rsid w:val="0024170E"/>
    <w:rsid w:val="002419F0"/>
    <w:rsid w:val="002428D3"/>
    <w:rsid w:val="00243D4B"/>
    <w:rsid w:val="00244044"/>
    <w:rsid w:val="00244B92"/>
    <w:rsid w:val="002454BC"/>
    <w:rsid w:val="002457C5"/>
    <w:rsid w:val="002459D8"/>
    <w:rsid w:val="00245CB4"/>
    <w:rsid w:val="002463B6"/>
    <w:rsid w:val="00246595"/>
    <w:rsid w:val="00247156"/>
    <w:rsid w:val="00247C25"/>
    <w:rsid w:val="00250054"/>
    <w:rsid w:val="00250723"/>
    <w:rsid w:val="002509B5"/>
    <w:rsid w:val="002514FB"/>
    <w:rsid w:val="00251927"/>
    <w:rsid w:val="002520F0"/>
    <w:rsid w:val="00253504"/>
    <w:rsid w:val="002548D0"/>
    <w:rsid w:val="0025496E"/>
    <w:rsid w:val="00254E5D"/>
    <w:rsid w:val="00260327"/>
    <w:rsid w:val="002605FC"/>
    <w:rsid w:val="002608FB"/>
    <w:rsid w:val="0026171B"/>
    <w:rsid w:val="00261B43"/>
    <w:rsid w:val="00262167"/>
    <w:rsid w:val="0026221F"/>
    <w:rsid w:val="002624D9"/>
    <w:rsid w:val="00262ABB"/>
    <w:rsid w:val="0026354F"/>
    <w:rsid w:val="002640AC"/>
    <w:rsid w:val="002648AD"/>
    <w:rsid w:val="00265765"/>
    <w:rsid w:val="00265D0E"/>
    <w:rsid w:val="00265EBD"/>
    <w:rsid w:val="00266B3F"/>
    <w:rsid w:val="00266D74"/>
    <w:rsid w:val="0026728B"/>
    <w:rsid w:val="00267B98"/>
    <w:rsid w:val="002703BD"/>
    <w:rsid w:val="00271478"/>
    <w:rsid w:val="00271BDE"/>
    <w:rsid w:val="002721C9"/>
    <w:rsid w:val="00273186"/>
    <w:rsid w:val="0027355E"/>
    <w:rsid w:val="00273F84"/>
    <w:rsid w:val="002746DB"/>
    <w:rsid w:val="00274D01"/>
    <w:rsid w:val="00274F62"/>
    <w:rsid w:val="00274F93"/>
    <w:rsid w:val="0027510F"/>
    <w:rsid w:val="00275111"/>
    <w:rsid w:val="00275120"/>
    <w:rsid w:val="002761E1"/>
    <w:rsid w:val="002763C7"/>
    <w:rsid w:val="0027685D"/>
    <w:rsid w:val="00276DAB"/>
    <w:rsid w:val="002770F6"/>
    <w:rsid w:val="00280A6C"/>
    <w:rsid w:val="00280AFD"/>
    <w:rsid w:val="00280B2A"/>
    <w:rsid w:val="00280EF7"/>
    <w:rsid w:val="00282464"/>
    <w:rsid w:val="00282961"/>
    <w:rsid w:val="00282AAC"/>
    <w:rsid w:val="0028375B"/>
    <w:rsid w:val="00283F71"/>
    <w:rsid w:val="00284315"/>
    <w:rsid w:val="00284887"/>
    <w:rsid w:val="00284AB1"/>
    <w:rsid w:val="00284AEE"/>
    <w:rsid w:val="00285729"/>
    <w:rsid w:val="002857BD"/>
    <w:rsid w:val="00285C45"/>
    <w:rsid w:val="00285FFE"/>
    <w:rsid w:val="002871A3"/>
    <w:rsid w:val="002908F5"/>
    <w:rsid w:val="00291BE4"/>
    <w:rsid w:val="0029329B"/>
    <w:rsid w:val="00293716"/>
    <w:rsid w:val="00293EFF"/>
    <w:rsid w:val="002948B6"/>
    <w:rsid w:val="00295B7A"/>
    <w:rsid w:val="00296538"/>
    <w:rsid w:val="002968BC"/>
    <w:rsid w:val="00296CF6"/>
    <w:rsid w:val="00297666"/>
    <w:rsid w:val="002977F3"/>
    <w:rsid w:val="00297C91"/>
    <w:rsid w:val="002A12A9"/>
    <w:rsid w:val="002A1576"/>
    <w:rsid w:val="002A1A54"/>
    <w:rsid w:val="002A23FA"/>
    <w:rsid w:val="002A2B27"/>
    <w:rsid w:val="002A35D1"/>
    <w:rsid w:val="002A37E8"/>
    <w:rsid w:val="002A3DC8"/>
    <w:rsid w:val="002A42EC"/>
    <w:rsid w:val="002A4486"/>
    <w:rsid w:val="002A4CC9"/>
    <w:rsid w:val="002A52F8"/>
    <w:rsid w:val="002A7309"/>
    <w:rsid w:val="002A7CC5"/>
    <w:rsid w:val="002A7D87"/>
    <w:rsid w:val="002B00E6"/>
    <w:rsid w:val="002B0CF6"/>
    <w:rsid w:val="002B1116"/>
    <w:rsid w:val="002B1304"/>
    <w:rsid w:val="002B1D6A"/>
    <w:rsid w:val="002B2ABE"/>
    <w:rsid w:val="002B2F7F"/>
    <w:rsid w:val="002B3C42"/>
    <w:rsid w:val="002B3D52"/>
    <w:rsid w:val="002B3DF7"/>
    <w:rsid w:val="002B3F77"/>
    <w:rsid w:val="002B4036"/>
    <w:rsid w:val="002B4307"/>
    <w:rsid w:val="002B4BD6"/>
    <w:rsid w:val="002B4CD3"/>
    <w:rsid w:val="002B603D"/>
    <w:rsid w:val="002B71D7"/>
    <w:rsid w:val="002B7E73"/>
    <w:rsid w:val="002C01F1"/>
    <w:rsid w:val="002C0690"/>
    <w:rsid w:val="002C0783"/>
    <w:rsid w:val="002C07BD"/>
    <w:rsid w:val="002C0F95"/>
    <w:rsid w:val="002C19BB"/>
    <w:rsid w:val="002C2632"/>
    <w:rsid w:val="002C28FE"/>
    <w:rsid w:val="002C2DDD"/>
    <w:rsid w:val="002C4A3D"/>
    <w:rsid w:val="002C4D1A"/>
    <w:rsid w:val="002C4FAC"/>
    <w:rsid w:val="002C6498"/>
    <w:rsid w:val="002C6C8F"/>
    <w:rsid w:val="002C6CAA"/>
    <w:rsid w:val="002C721B"/>
    <w:rsid w:val="002D109D"/>
    <w:rsid w:val="002D12EB"/>
    <w:rsid w:val="002D1E8B"/>
    <w:rsid w:val="002D1ECF"/>
    <w:rsid w:val="002D26A8"/>
    <w:rsid w:val="002D2AAD"/>
    <w:rsid w:val="002D3552"/>
    <w:rsid w:val="002D4571"/>
    <w:rsid w:val="002D49FA"/>
    <w:rsid w:val="002D6244"/>
    <w:rsid w:val="002D66B1"/>
    <w:rsid w:val="002D67A7"/>
    <w:rsid w:val="002D67B1"/>
    <w:rsid w:val="002D6E82"/>
    <w:rsid w:val="002D7511"/>
    <w:rsid w:val="002D7F61"/>
    <w:rsid w:val="002E01F0"/>
    <w:rsid w:val="002E0735"/>
    <w:rsid w:val="002E078F"/>
    <w:rsid w:val="002E1D82"/>
    <w:rsid w:val="002E2314"/>
    <w:rsid w:val="002E2E5F"/>
    <w:rsid w:val="002E38DA"/>
    <w:rsid w:val="002E3B65"/>
    <w:rsid w:val="002E3EE8"/>
    <w:rsid w:val="002E4A3A"/>
    <w:rsid w:val="002E6EB3"/>
    <w:rsid w:val="002E7C0A"/>
    <w:rsid w:val="002E7D90"/>
    <w:rsid w:val="002E7E99"/>
    <w:rsid w:val="002F044F"/>
    <w:rsid w:val="002F120D"/>
    <w:rsid w:val="002F3066"/>
    <w:rsid w:val="002F30D2"/>
    <w:rsid w:val="002F3823"/>
    <w:rsid w:val="002F489B"/>
    <w:rsid w:val="002F4BB7"/>
    <w:rsid w:val="002F4DA9"/>
    <w:rsid w:val="002F4EDC"/>
    <w:rsid w:val="002F4EE7"/>
    <w:rsid w:val="002F4F4B"/>
    <w:rsid w:val="002F50BB"/>
    <w:rsid w:val="002F5517"/>
    <w:rsid w:val="002F59A4"/>
    <w:rsid w:val="002F5AC9"/>
    <w:rsid w:val="002F60E2"/>
    <w:rsid w:val="002F6295"/>
    <w:rsid w:val="002F62CE"/>
    <w:rsid w:val="002F6E55"/>
    <w:rsid w:val="002F70A8"/>
    <w:rsid w:val="002F7D29"/>
    <w:rsid w:val="00300B81"/>
    <w:rsid w:val="00300C43"/>
    <w:rsid w:val="00301A73"/>
    <w:rsid w:val="00301F37"/>
    <w:rsid w:val="0030214D"/>
    <w:rsid w:val="00302AFA"/>
    <w:rsid w:val="00303D40"/>
    <w:rsid w:val="00304557"/>
    <w:rsid w:val="00305617"/>
    <w:rsid w:val="003059BC"/>
    <w:rsid w:val="00305CC3"/>
    <w:rsid w:val="00305D6A"/>
    <w:rsid w:val="00305EF1"/>
    <w:rsid w:val="00306C6F"/>
    <w:rsid w:val="00306E75"/>
    <w:rsid w:val="0030798B"/>
    <w:rsid w:val="00307D60"/>
    <w:rsid w:val="00307DD6"/>
    <w:rsid w:val="003104C7"/>
    <w:rsid w:val="0031094B"/>
    <w:rsid w:val="00311324"/>
    <w:rsid w:val="00311385"/>
    <w:rsid w:val="003123C3"/>
    <w:rsid w:val="0031260C"/>
    <w:rsid w:val="0031296E"/>
    <w:rsid w:val="00313ADB"/>
    <w:rsid w:val="00313C61"/>
    <w:rsid w:val="00314182"/>
    <w:rsid w:val="003144F8"/>
    <w:rsid w:val="00314EEC"/>
    <w:rsid w:val="00315C57"/>
    <w:rsid w:val="0031605B"/>
    <w:rsid w:val="0031668E"/>
    <w:rsid w:val="00316826"/>
    <w:rsid w:val="00316B7C"/>
    <w:rsid w:val="00317986"/>
    <w:rsid w:val="00317A21"/>
    <w:rsid w:val="00317D0A"/>
    <w:rsid w:val="003201F2"/>
    <w:rsid w:val="00320405"/>
    <w:rsid w:val="0032144D"/>
    <w:rsid w:val="003215DC"/>
    <w:rsid w:val="003220B8"/>
    <w:rsid w:val="003231C7"/>
    <w:rsid w:val="00323318"/>
    <w:rsid w:val="00323798"/>
    <w:rsid w:val="00324347"/>
    <w:rsid w:val="0032465E"/>
    <w:rsid w:val="00325AAA"/>
    <w:rsid w:val="0032645E"/>
    <w:rsid w:val="0032654B"/>
    <w:rsid w:val="00326CF6"/>
    <w:rsid w:val="00330295"/>
    <w:rsid w:val="00330637"/>
    <w:rsid w:val="00331061"/>
    <w:rsid w:val="00331299"/>
    <w:rsid w:val="0033172C"/>
    <w:rsid w:val="003317E3"/>
    <w:rsid w:val="00331D39"/>
    <w:rsid w:val="003321B5"/>
    <w:rsid w:val="0033328B"/>
    <w:rsid w:val="0033350E"/>
    <w:rsid w:val="00333954"/>
    <w:rsid w:val="00333A25"/>
    <w:rsid w:val="00334824"/>
    <w:rsid w:val="00334CFE"/>
    <w:rsid w:val="00335172"/>
    <w:rsid w:val="0033583F"/>
    <w:rsid w:val="0033597A"/>
    <w:rsid w:val="00336628"/>
    <w:rsid w:val="00336E10"/>
    <w:rsid w:val="00337786"/>
    <w:rsid w:val="00340365"/>
    <w:rsid w:val="00340A1E"/>
    <w:rsid w:val="003411C0"/>
    <w:rsid w:val="003415FA"/>
    <w:rsid w:val="003417CC"/>
    <w:rsid w:val="003437E1"/>
    <w:rsid w:val="003441FC"/>
    <w:rsid w:val="00344F19"/>
    <w:rsid w:val="00345C06"/>
    <w:rsid w:val="00345CA0"/>
    <w:rsid w:val="00345DC1"/>
    <w:rsid w:val="00345FB1"/>
    <w:rsid w:val="003463C6"/>
    <w:rsid w:val="00346808"/>
    <w:rsid w:val="00346B9F"/>
    <w:rsid w:val="0034731B"/>
    <w:rsid w:val="0034774B"/>
    <w:rsid w:val="00350172"/>
    <w:rsid w:val="003502B9"/>
    <w:rsid w:val="00350A64"/>
    <w:rsid w:val="00351517"/>
    <w:rsid w:val="00351632"/>
    <w:rsid w:val="00352271"/>
    <w:rsid w:val="003545EC"/>
    <w:rsid w:val="00354617"/>
    <w:rsid w:val="00354722"/>
    <w:rsid w:val="003547B5"/>
    <w:rsid w:val="0035511D"/>
    <w:rsid w:val="003552F8"/>
    <w:rsid w:val="003554FB"/>
    <w:rsid w:val="00356192"/>
    <w:rsid w:val="00356C67"/>
    <w:rsid w:val="003577C3"/>
    <w:rsid w:val="00357814"/>
    <w:rsid w:val="00357D86"/>
    <w:rsid w:val="00357EC6"/>
    <w:rsid w:val="00360C18"/>
    <w:rsid w:val="0036106C"/>
    <w:rsid w:val="00361C92"/>
    <w:rsid w:val="00362059"/>
    <w:rsid w:val="00362082"/>
    <w:rsid w:val="003620F9"/>
    <w:rsid w:val="00362BDB"/>
    <w:rsid w:val="00363216"/>
    <w:rsid w:val="0036409B"/>
    <w:rsid w:val="003648BA"/>
    <w:rsid w:val="0036494F"/>
    <w:rsid w:val="003653D9"/>
    <w:rsid w:val="0036548A"/>
    <w:rsid w:val="003664AC"/>
    <w:rsid w:val="00366500"/>
    <w:rsid w:val="00366F10"/>
    <w:rsid w:val="00367D1C"/>
    <w:rsid w:val="00371410"/>
    <w:rsid w:val="00371428"/>
    <w:rsid w:val="00371CB7"/>
    <w:rsid w:val="003723DE"/>
    <w:rsid w:val="00372E41"/>
    <w:rsid w:val="00373325"/>
    <w:rsid w:val="00373C42"/>
    <w:rsid w:val="0037414F"/>
    <w:rsid w:val="0037433F"/>
    <w:rsid w:val="003748E3"/>
    <w:rsid w:val="00375309"/>
    <w:rsid w:val="00375475"/>
    <w:rsid w:val="00375A5B"/>
    <w:rsid w:val="00375B91"/>
    <w:rsid w:val="003763C0"/>
    <w:rsid w:val="0037675F"/>
    <w:rsid w:val="00376A80"/>
    <w:rsid w:val="00376D65"/>
    <w:rsid w:val="00377982"/>
    <w:rsid w:val="003804D9"/>
    <w:rsid w:val="00380D08"/>
    <w:rsid w:val="0038160D"/>
    <w:rsid w:val="003816AD"/>
    <w:rsid w:val="00381933"/>
    <w:rsid w:val="00382793"/>
    <w:rsid w:val="00382D7D"/>
    <w:rsid w:val="00382EC9"/>
    <w:rsid w:val="003835F9"/>
    <w:rsid w:val="0038390C"/>
    <w:rsid w:val="00383DA2"/>
    <w:rsid w:val="00383EE1"/>
    <w:rsid w:val="00384C19"/>
    <w:rsid w:val="003850A4"/>
    <w:rsid w:val="0038618F"/>
    <w:rsid w:val="00387192"/>
    <w:rsid w:val="00387BD7"/>
    <w:rsid w:val="0039129A"/>
    <w:rsid w:val="0039211F"/>
    <w:rsid w:val="003922C1"/>
    <w:rsid w:val="003922D7"/>
    <w:rsid w:val="003933EE"/>
    <w:rsid w:val="00393E8A"/>
    <w:rsid w:val="00393F8E"/>
    <w:rsid w:val="0039467A"/>
    <w:rsid w:val="00394BCA"/>
    <w:rsid w:val="00394F04"/>
    <w:rsid w:val="003952D6"/>
    <w:rsid w:val="0039587C"/>
    <w:rsid w:val="0039619D"/>
    <w:rsid w:val="00396933"/>
    <w:rsid w:val="003979A2"/>
    <w:rsid w:val="003A0589"/>
    <w:rsid w:val="003A0D9B"/>
    <w:rsid w:val="003A16E0"/>
    <w:rsid w:val="003A1D15"/>
    <w:rsid w:val="003A1FC8"/>
    <w:rsid w:val="003A214E"/>
    <w:rsid w:val="003A21E9"/>
    <w:rsid w:val="003A25DD"/>
    <w:rsid w:val="003A36B7"/>
    <w:rsid w:val="003A3B40"/>
    <w:rsid w:val="003A42B2"/>
    <w:rsid w:val="003A4766"/>
    <w:rsid w:val="003A47A0"/>
    <w:rsid w:val="003A4834"/>
    <w:rsid w:val="003A4D12"/>
    <w:rsid w:val="003A4F81"/>
    <w:rsid w:val="003A56EC"/>
    <w:rsid w:val="003A581C"/>
    <w:rsid w:val="003A5DF1"/>
    <w:rsid w:val="003A62BB"/>
    <w:rsid w:val="003A6E4F"/>
    <w:rsid w:val="003A7B8D"/>
    <w:rsid w:val="003A7BAC"/>
    <w:rsid w:val="003A7C55"/>
    <w:rsid w:val="003B0115"/>
    <w:rsid w:val="003B0505"/>
    <w:rsid w:val="003B0827"/>
    <w:rsid w:val="003B0843"/>
    <w:rsid w:val="003B14D0"/>
    <w:rsid w:val="003B19A7"/>
    <w:rsid w:val="003B19C7"/>
    <w:rsid w:val="003B28E8"/>
    <w:rsid w:val="003B3300"/>
    <w:rsid w:val="003B3337"/>
    <w:rsid w:val="003B38EE"/>
    <w:rsid w:val="003B4EE1"/>
    <w:rsid w:val="003B5D8D"/>
    <w:rsid w:val="003B612A"/>
    <w:rsid w:val="003B7845"/>
    <w:rsid w:val="003C1040"/>
    <w:rsid w:val="003C11BF"/>
    <w:rsid w:val="003C1D4C"/>
    <w:rsid w:val="003C237E"/>
    <w:rsid w:val="003C277E"/>
    <w:rsid w:val="003C2F78"/>
    <w:rsid w:val="003C2FBD"/>
    <w:rsid w:val="003C32E2"/>
    <w:rsid w:val="003C32FB"/>
    <w:rsid w:val="003C35A8"/>
    <w:rsid w:val="003C4CF9"/>
    <w:rsid w:val="003C5696"/>
    <w:rsid w:val="003C6195"/>
    <w:rsid w:val="003C6666"/>
    <w:rsid w:val="003C730A"/>
    <w:rsid w:val="003C7712"/>
    <w:rsid w:val="003C7F46"/>
    <w:rsid w:val="003D0F0A"/>
    <w:rsid w:val="003D0F64"/>
    <w:rsid w:val="003D1594"/>
    <w:rsid w:val="003D3795"/>
    <w:rsid w:val="003D3D4A"/>
    <w:rsid w:val="003D4849"/>
    <w:rsid w:val="003D4D21"/>
    <w:rsid w:val="003D4DEB"/>
    <w:rsid w:val="003D51F2"/>
    <w:rsid w:val="003D5419"/>
    <w:rsid w:val="003D56F6"/>
    <w:rsid w:val="003D570F"/>
    <w:rsid w:val="003D5C80"/>
    <w:rsid w:val="003D5F2A"/>
    <w:rsid w:val="003D6446"/>
    <w:rsid w:val="003D6F3C"/>
    <w:rsid w:val="003D72F6"/>
    <w:rsid w:val="003E01AC"/>
    <w:rsid w:val="003E03F0"/>
    <w:rsid w:val="003E0E73"/>
    <w:rsid w:val="003E1283"/>
    <w:rsid w:val="003E17A3"/>
    <w:rsid w:val="003E1B04"/>
    <w:rsid w:val="003E2E72"/>
    <w:rsid w:val="003E2EAC"/>
    <w:rsid w:val="003E3DDE"/>
    <w:rsid w:val="003E4D1B"/>
    <w:rsid w:val="003E53BA"/>
    <w:rsid w:val="003E5EEB"/>
    <w:rsid w:val="003E693A"/>
    <w:rsid w:val="003E6C09"/>
    <w:rsid w:val="003E6ED9"/>
    <w:rsid w:val="003E7541"/>
    <w:rsid w:val="003E7F77"/>
    <w:rsid w:val="003F12B4"/>
    <w:rsid w:val="003F1F37"/>
    <w:rsid w:val="003F23F7"/>
    <w:rsid w:val="003F2686"/>
    <w:rsid w:val="003F2B06"/>
    <w:rsid w:val="003F2E5B"/>
    <w:rsid w:val="003F323E"/>
    <w:rsid w:val="003F45F7"/>
    <w:rsid w:val="003F5EC3"/>
    <w:rsid w:val="003F68C0"/>
    <w:rsid w:val="003F6C24"/>
    <w:rsid w:val="003F6CD2"/>
    <w:rsid w:val="003F6DF8"/>
    <w:rsid w:val="003F74F8"/>
    <w:rsid w:val="00400707"/>
    <w:rsid w:val="0040131E"/>
    <w:rsid w:val="00401742"/>
    <w:rsid w:val="00401ED2"/>
    <w:rsid w:val="004022AC"/>
    <w:rsid w:val="00402A65"/>
    <w:rsid w:val="00402F6B"/>
    <w:rsid w:val="00402FFB"/>
    <w:rsid w:val="00403370"/>
    <w:rsid w:val="004036E2"/>
    <w:rsid w:val="00405A8B"/>
    <w:rsid w:val="004063F8"/>
    <w:rsid w:val="00406670"/>
    <w:rsid w:val="004075FA"/>
    <w:rsid w:val="00407B03"/>
    <w:rsid w:val="00407D3C"/>
    <w:rsid w:val="00410411"/>
    <w:rsid w:val="004104D5"/>
    <w:rsid w:val="004109B9"/>
    <w:rsid w:val="004115AB"/>
    <w:rsid w:val="00412048"/>
    <w:rsid w:val="004134A9"/>
    <w:rsid w:val="004137EA"/>
    <w:rsid w:val="004143AF"/>
    <w:rsid w:val="00414703"/>
    <w:rsid w:val="0041507E"/>
    <w:rsid w:val="0041567C"/>
    <w:rsid w:val="004156F4"/>
    <w:rsid w:val="004166FC"/>
    <w:rsid w:val="004171A6"/>
    <w:rsid w:val="0042002D"/>
    <w:rsid w:val="00420556"/>
    <w:rsid w:val="004205FC"/>
    <w:rsid w:val="004216F1"/>
    <w:rsid w:val="00421975"/>
    <w:rsid w:val="00421B25"/>
    <w:rsid w:val="00422B13"/>
    <w:rsid w:val="00422E26"/>
    <w:rsid w:val="004237CA"/>
    <w:rsid w:val="0042420B"/>
    <w:rsid w:val="00424731"/>
    <w:rsid w:val="004247E0"/>
    <w:rsid w:val="00424FA2"/>
    <w:rsid w:val="004256DA"/>
    <w:rsid w:val="00427762"/>
    <w:rsid w:val="004300C0"/>
    <w:rsid w:val="0043058A"/>
    <w:rsid w:val="00431463"/>
    <w:rsid w:val="00431E22"/>
    <w:rsid w:val="00432150"/>
    <w:rsid w:val="0043215D"/>
    <w:rsid w:val="0043299B"/>
    <w:rsid w:val="00432A01"/>
    <w:rsid w:val="00432D18"/>
    <w:rsid w:val="00433222"/>
    <w:rsid w:val="004356BE"/>
    <w:rsid w:val="00436410"/>
    <w:rsid w:val="0044033B"/>
    <w:rsid w:val="0044049C"/>
    <w:rsid w:val="004404E5"/>
    <w:rsid w:val="004407FB"/>
    <w:rsid w:val="0044162B"/>
    <w:rsid w:val="00441E26"/>
    <w:rsid w:val="004421A8"/>
    <w:rsid w:val="0044270B"/>
    <w:rsid w:val="00444BF3"/>
    <w:rsid w:val="0044503C"/>
    <w:rsid w:val="0044654A"/>
    <w:rsid w:val="00446C72"/>
    <w:rsid w:val="0045116B"/>
    <w:rsid w:val="0045186F"/>
    <w:rsid w:val="00451D45"/>
    <w:rsid w:val="004526FC"/>
    <w:rsid w:val="00452BF6"/>
    <w:rsid w:val="00452FCA"/>
    <w:rsid w:val="0045333A"/>
    <w:rsid w:val="00453755"/>
    <w:rsid w:val="00453865"/>
    <w:rsid w:val="004540B5"/>
    <w:rsid w:val="004543F0"/>
    <w:rsid w:val="0045475D"/>
    <w:rsid w:val="004548D1"/>
    <w:rsid w:val="00454AD6"/>
    <w:rsid w:val="004556EE"/>
    <w:rsid w:val="00455B79"/>
    <w:rsid w:val="00455BC5"/>
    <w:rsid w:val="00455DA1"/>
    <w:rsid w:val="0045623D"/>
    <w:rsid w:val="004562B3"/>
    <w:rsid w:val="00460646"/>
    <w:rsid w:val="004618C8"/>
    <w:rsid w:val="00461D68"/>
    <w:rsid w:val="004622CF"/>
    <w:rsid w:val="00462574"/>
    <w:rsid w:val="00462588"/>
    <w:rsid w:val="004627AE"/>
    <w:rsid w:val="0046292E"/>
    <w:rsid w:val="00462A0D"/>
    <w:rsid w:val="0046318C"/>
    <w:rsid w:val="004645AD"/>
    <w:rsid w:val="00465BD0"/>
    <w:rsid w:val="00465FD5"/>
    <w:rsid w:val="004664E3"/>
    <w:rsid w:val="00466BD9"/>
    <w:rsid w:val="00466FC9"/>
    <w:rsid w:val="0046702E"/>
    <w:rsid w:val="00467417"/>
    <w:rsid w:val="0046750A"/>
    <w:rsid w:val="00467721"/>
    <w:rsid w:val="004679ED"/>
    <w:rsid w:val="00471557"/>
    <w:rsid w:val="004716E8"/>
    <w:rsid w:val="00471879"/>
    <w:rsid w:val="004732B7"/>
    <w:rsid w:val="0047368E"/>
    <w:rsid w:val="00473888"/>
    <w:rsid w:val="00473B42"/>
    <w:rsid w:val="004741E3"/>
    <w:rsid w:val="004748AC"/>
    <w:rsid w:val="00475B94"/>
    <w:rsid w:val="00475CC7"/>
    <w:rsid w:val="00475F52"/>
    <w:rsid w:val="00477796"/>
    <w:rsid w:val="0047784D"/>
    <w:rsid w:val="00477BAD"/>
    <w:rsid w:val="004805F7"/>
    <w:rsid w:val="00480AFC"/>
    <w:rsid w:val="00480B28"/>
    <w:rsid w:val="004815E5"/>
    <w:rsid w:val="00481763"/>
    <w:rsid w:val="00481D1C"/>
    <w:rsid w:val="00481F28"/>
    <w:rsid w:val="00482325"/>
    <w:rsid w:val="00482401"/>
    <w:rsid w:val="004827F5"/>
    <w:rsid w:val="0048298D"/>
    <w:rsid w:val="004835F2"/>
    <w:rsid w:val="00483978"/>
    <w:rsid w:val="00484A18"/>
    <w:rsid w:val="00484BF9"/>
    <w:rsid w:val="00485137"/>
    <w:rsid w:val="0048566F"/>
    <w:rsid w:val="00485BFE"/>
    <w:rsid w:val="00485FDB"/>
    <w:rsid w:val="0048667D"/>
    <w:rsid w:val="004866AB"/>
    <w:rsid w:val="004867F2"/>
    <w:rsid w:val="00486CFA"/>
    <w:rsid w:val="00486EF2"/>
    <w:rsid w:val="004870CE"/>
    <w:rsid w:val="00487234"/>
    <w:rsid w:val="00487C0A"/>
    <w:rsid w:val="00487F0C"/>
    <w:rsid w:val="00490251"/>
    <w:rsid w:val="00490933"/>
    <w:rsid w:val="00490D5C"/>
    <w:rsid w:val="00491B9F"/>
    <w:rsid w:val="00491C02"/>
    <w:rsid w:val="00492272"/>
    <w:rsid w:val="004925C7"/>
    <w:rsid w:val="004927ED"/>
    <w:rsid w:val="004943A6"/>
    <w:rsid w:val="00494843"/>
    <w:rsid w:val="00494C4E"/>
    <w:rsid w:val="00495443"/>
    <w:rsid w:val="00496203"/>
    <w:rsid w:val="004965D0"/>
    <w:rsid w:val="004966A5"/>
    <w:rsid w:val="00496A01"/>
    <w:rsid w:val="00497679"/>
    <w:rsid w:val="0049792B"/>
    <w:rsid w:val="004A0462"/>
    <w:rsid w:val="004A04B0"/>
    <w:rsid w:val="004A051A"/>
    <w:rsid w:val="004A0577"/>
    <w:rsid w:val="004A0BBA"/>
    <w:rsid w:val="004A0D09"/>
    <w:rsid w:val="004A0E9E"/>
    <w:rsid w:val="004A1196"/>
    <w:rsid w:val="004A1288"/>
    <w:rsid w:val="004A164D"/>
    <w:rsid w:val="004A183C"/>
    <w:rsid w:val="004A1F71"/>
    <w:rsid w:val="004A22A3"/>
    <w:rsid w:val="004A251F"/>
    <w:rsid w:val="004A2A2D"/>
    <w:rsid w:val="004A2F42"/>
    <w:rsid w:val="004A2F5E"/>
    <w:rsid w:val="004A374B"/>
    <w:rsid w:val="004A4839"/>
    <w:rsid w:val="004A49D7"/>
    <w:rsid w:val="004A4B98"/>
    <w:rsid w:val="004A59E4"/>
    <w:rsid w:val="004A62D4"/>
    <w:rsid w:val="004A6410"/>
    <w:rsid w:val="004A6AF4"/>
    <w:rsid w:val="004A7216"/>
    <w:rsid w:val="004B02D5"/>
    <w:rsid w:val="004B0E5D"/>
    <w:rsid w:val="004B13A0"/>
    <w:rsid w:val="004B1D75"/>
    <w:rsid w:val="004B334C"/>
    <w:rsid w:val="004B3694"/>
    <w:rsid w:val="004B374E"/>
    <w:rsid w:val="004B3D17"/>
    <w:rsid w:val="004B5615"/>
    <w:rsid w:val="004B5B5D"/>
    <w:rsid w:val="004B5EFA"/>
    <w:rsid w:val="004B6109"/>
    <w:rsid w:val="004B67C8"/>
    <w:rsid w:val="004B6B81"/>
    <w:rsid w:val="004B6C92"/>
    <w:rsid w:val="004B6DB0"/>
    <w:rsid w:val="004B6DC5"/>
    <w:rsid w:val="004B74BA"/>
    <w:rsid w:val="004B75CF"/>
    <w:rsid w:val="004B7A4E"/>
    <w:rsid w:val="004C0F88"/>
    <w:rsid w:val="004C1DEF"/>
    <w:rsid w:val="004C2678"/>
    <w:rsid w:val="004C2AD3"/>
    <w:rsid w:val="004C30E2"/>
    <w:rsid w:val="004C3F51"/>
    <w:rsid w:val="004C4274"/>
    <w:rsid w:val="004C4E62"/>
    <w:rsid w:val="004C59DB"/>
    <w:rsid w:val="004C5CF8"/>
    <w:rsid w:val="004C6598"/>
    <w:rsid w:val="004C6877"/>
    <w:rsid w:val="004C7825"/>
    <w:rsid w:val="004C7B16"/>
    <w:rsid w:val="004D0D6E"/>
    <w:rsid w:val="004D0DD3"/>
    <w:rsid w:val="004D1386"/>
    <w:rsid w:val="004D2087"/>
    <w:rsid w:val="004D3C86"/>
    <w:rsid w:val="004D3FDE"/>
    <w:rsid w:val="004D4AF8"/>
    <w:rsid w:val="004D4F21"/>
    <w:rsid w:val="004D5CD4"/>
    <w:rsid w:val="004D6A22"/>
    <w:rsid w:val="004D6C35"/>
    <w:rsid w:val="004D7281"/>
    <w:rsid w:val="004D7BA1"/>
    <w:rsid w:val="004D7CCF"/>
    <w:rsid w:val="004E0850"/>
    <w:rsid w:val="004E0E7E"/>
    <w:rsid w:val="004E1940"/>
    <w:rsid w:val="004E2C9E"/>
    <w:rsid w:val="004E348D"/>
    <w:rsid w:val="004E3F15"/>
    <w:rsid w:val="004E4039"/>
    <w:rsid w:val="004E47F6"/>
    <w:rsid w:val="004E48B0"/>
    <w:rsid w:val="004E564F"/>
    <w:rsid w:val="004E5A50"/>
    <w:rsid w:val="004E5E87"/>
    <w:rsid w:val="004E6063"/>
    <w:rsid w:val="004E634F"/>
    <w:rsid w:val="004E7B49"/>
    <w:rsid w:val="004E7CD7"/>
    <w:rsid w:val="004F036E"/>
    <w:rsid w:val="004F0E57"/>
    <w:rsid w:val="004F1A27"/>
    <w:rsid w:val="004F1F8B"/>
    <w:rsid w:val="004F34C2"/>
    <w:rsid w:val="004F3829"/>
    <w:rsid w:val="004F3CCA"/>
    <w:rsid w:val="004F4310"/>
    <w:rsid w:val="004F4A14"/>
    <w:rsid w:val="004F52A0"/>
    <w:rsid w:val="004F64E5"/>
    <w:rsid w:val="004F6F0F"/>
    <w:rsid w:val="00500881"/>
    <w:rsid w:val="00502798"/>
    <w:rsid w:val="00503C70"/>
    <w:rsid w:val="00504039"/>
    <w:rsid w:val="00504654"/>
    <w:rsid w:val="00504974"/>
    <w:rsid w:val="00504BC3"/>
    <w:rsid w:val="005056E2"/>
    <w:rsid w:val="005063B4"/>
    <w:rsid w:val="00506DA6"/>
    <w:rsid w:val="00506E70"/>
    <w:rsid w:val="00506EDC"/>
    <w:rsid w:val="00506F36"/>
    <w:rsid w:val="00510245"/>
    <w:rsid w:val="00510564"/>
    <w:rsid w:val="00511C6B"/>
    <w:rsid w:val="00511F23"/>
    <w:rsid w:val="0051259B"/>
    <w:rsid w:val="00512644"/>
    <w:rsid w:val="00512DD2"/>
    <w:rsid w:val="005135D6"/>
    <w:rsid w:val="005138C6"/>
    <w:rsid w:val="005150E4"/>
    <w:rsid w:val="00515232"/>
    <w:rsid w:val="00515D1B"/>
    <w:rsid w:val="00515F82"/>
    <w:rsid w:val="005163AB"/>
    <w:rsid w:val="005171B1"/>
    <w:rsid w:val="00517A50"/>
    <w:rsid w:val="00517B61"/>
    <w:rsid w:val="00517E29"/>
    <w:rsid w:val="005200C5"/>
    <w:rsid w:val="00520516"/>
    <w:rsid w:val="00520602"/>
    <w:rsid w:val="00522493"/>
    <w:rsid w:val="00522653"/>
    <w:rsid w:val="0052279B"/>
    <w:rsid w:val="005230BE"/>
    <w:rsid w:val="005242FA"/>
    <w:rsid w:val="005245A5"/>
    <w:rsid w:val="005245A8"/>
    <w:rsid w:val="0052469A"/>
    <w:rsid w:val="00524AFE"/>
    <w:rsid w:val="0052618E"/>
    <w:rsid w:val="00526BB9"/>
    <w:rsid w:val="005274A8"/>
    <w:rsid w:val="005276DD"/>
    <w:rsid w:val="0053109E"/>
    <w:rsid w:val="00531ACF"/>
    <w:rsid w:val="0053258F"/>
    <w:rsid w:val="00532B38"/>
    <w:rsid w:val="00533D67"/>
    <w:rsid w:val="00533DAF"/>
    <w:rsid w:val="005348C1"/>
    <w:rsid w:val="0053576C"/>
    <w:rsid w:val="005357A6"/>
    <w:rsid w:val="00536617"/>
    <w:rsid w:val="00536940"/>
    <w:rsid w:val="00536FC8"/>
    <w:rsid w:val="005372A2"/>
    <w:rsid w:val="005373BE"/>
    <w:rsid w:val="005378F8"/>
    <w:rsid w:val="00540506"/>
    <w:rsid w:val="005420A7"/>
    <w:rsid w:val="00542719"/>
    <w:rsid w:val="00542863"/>
    <w:rsid w:val="00542D08"/>
    <w:rsid w:val="005436B0"/>
    <w:rsid w:val="00543AEA"/>
    <w:rsid w:val="0054470A"/>
    <w:rsid w:val="00544DC6"/>
    <w:rsid w:val="00545B5F"/>
    <w:rsid w:val="00546482"/>
    <w:rsid w:val="00546BE1"/>
    <w:rsid w:val="00546E64"/>
    <w:rsid w:val="0054743E"/>
    <w:rsid w:val="0055051A"/>
    <w:rsid w:val="0055067A"/>
    <w:rsid w:val="00551568"/>
    <w:rsid w:val="00551770"/>
    <w:rsid w:val="00551A16"/>
    <w:rsid w:val="00551B25"/>
    <w:rsid w:val="00553481"/>
    <w:rsid w:val="005537A4"/>
    <w:rsid w:val="005539A8"/>
    <w:rsid w:val="00553D47"/>
    <w:rsid w:val="00554BAC"/>
    <w:rsid w:val="00554ED6"/>
    <w:rsid w:val="00554FF0"/>
    <w:rsid w:val="00555B99"/>
    <w:rsid w:val="0055627B"/>
    <w:rsid w:val="00557603"/>
    <w:rsid w:val="00557EFE"/>
    <w:rsid w:val="00560133"/>
    <w:rsid w:val="005605E8"/>
    <w:rsid w:val="0056178D"/>
    <w:rsid w:val="005617DA"/>
    <w:rsid w:val="0056197D"/>
    <w:rsid w:val="00561D0E"/>
    <w:rsid w:val="00561ECE"/>
    <w:rsid w:val="00563211"/>
    <w:rsid w:val="00563611"/>
    <w:rsid w:val="005648E2"/>
    <w:rsid w:val="005649F5"/>
    <w:rsid w:val="00565195"/>
    <w:rsid w:val="00565215"/>
    <w:rsid w:val="00565E5B"/>
    <w:rsid w:val="00565E92"/>
    <w:rsid w:val="005661D0"/>
    <w:rsid w:val="00567862"/>
    <w:rsid w:val="00567E2C"/>
    <w:rsid w:val="0057003C"/>
    <w:rsid w:val="00570707"/>
    <w:rsid w:val="005707C5"/>
    <w:rsid w:val="005708C4"/>
    <w:rsid w:val="0057172D"/>
    <w:rsid w:val="0057185E"/>
    <w:rsid w:val="00571F65"/>
    <w:rsid w:val="00573645"/>
    <w:rsid w:val="005739C5"/>
    <w:rsid w:val="005740E4"/>
    <w:rsid w:val="005742DB"/>
    <w:rsid w:val="005744BE"/>
    <w:rsid w:val="0057523A"/>
    <w:rsid w:val="00575291"/>
    <w:rsid w:val="00577576"/>
    <w:rsid w:val="005808B8"/>
    <w:rsid w:val="00580A93"/>
    <w:rsid w:val="00580AB9"/>
    <w:rsid w:val="00581D43"/>
    <w:rsid w:val="005832C8"/>
    <w:rsid w:val="005838A3"/>
    <w:rsid w:val="005838C2"/>
    <w:rsid w:val="00584423"/>
    <w:rsid w:val="0058448A"/>
    <w:rsid w:val="00585410"/>
    <w:rsid w:val="00586211"/>
    <w:rsid w:val="00587EC9"/>
    <w:rsid w:val="00590033"/>
    <w:rsid w:val="00590D39"/>
    <w:rsid w:val="005913AE"/>
    <w:rsid w:val="0059188E"/>
    <w:rsid w:val="005919E4"/>
    <w:rsid w:val="00592003"/>
    <w:rsid w:val="00593F9A"/>
    <w:rsid w:val="0059407A"/>
    <w:rsid w:val="00594397"/>
    <w:rsid w:val="00594706"/>
    <w:rsid w:val="00596E3F"/>
    <w:rsid w:val="00596FC3"/>
    <w:rsid w:val="005979A4"/>
    <w:rsid w:val="00597DCB"/>
    <w:rsid w:val="005A00FC"/>
    <w:rsid w:val="005A03F3"/>
    <w:rsid w:val="005A118B"/>
    <w:rsid w:val="005A155D"/>
    <w:rsid w:val="005A1A73"/>
    <w:rsid w:val="005A2229"/>
    <w:rsid w:val="005A2593"/>
    <w:rsid w:val="005A2D41"/>
    <w:rsid w:val="005A3141"/>
    <w:rsid w:val="005A3361"/>
    <w:rsid w:val="005A34B0"/>
    <w:rsid w:val="005A3A72"/>
    <w:rsid w:val="005A5500"/>
    <w:rsid w:val="005A5645"/>
    <w:rsid w:val="005A5A9D"/>
    <w:rsid w:val="005A6514"/>
    <w:rsid w:val="005A6D30"/>
    <w:rsid w:val="005A7C64"/>
    <w:rsid w:val="005B0D76"/>
    <w:rsid w:val="005B1671"/>
    <w:rsid w:val="005B1C71"/>
    <w:rsid w:val="005B2CF1"/>
    <w:rsid w:val="005B3206"/>
    <w:rsid w:val="005B36D0"/>
    <w:rsid w:val="005B4339"/>
    <w:rsid w:val="005B444B"/>
    <w:rsid w:val="005B4942"/>
    <w:rsid w:val="005B4B7D"/>
    <w:rsid w:val="005B50D6"/>
    <w:rsid w:val="005B5DE6"/>
    <w:rsid w:val="005B64A1"/>
    <w:rsid w:val="005B688A"/>
    <w:rsid w:val="005B6F75"/>
    <w:rsid w:val="005B7192"/>
    <w:rsid w:val="005B71A3"/>
    <w:rsid w:val="005B72F5"/>
    <w:rsid w:val="005B74FF"/>
    <w:rsid w:val="005B7552"/>
    <w:rsid w:val="005B7BF2"/>
    <w:rsid w:val="005C0D08"/>
    <w:rsid w:val="005C19FF"/>
    <w:rsid w:val="005C2DCB"/>
    <w:rsid w:val="005C2FBB"/>
    <w:rsid w:val="005C424F"/>
    <w:rsid w:val="005C4343"/>
    <w:rsid w:val="005C4765"/>
    <w:rsid w:val="005C578F"/>
    <w:rsid w:val="005C596E"/>
    <w:rsid w:val="005C5BB9"/>
    <w:rsid w:val="005C633F"/>
    <w:rsid w:val="005C6F0F"/>
    <w:rsid w:val="005C71EB"/>
    <w:rsid w:val="005D022A"/>
    <w:rsid w:val="005D025E"/>
    <w:rsid w:val="005D0524"/>
    <w:rsid w:val="005D0967"/>
    <w:rsid w:val="005D0EBF"/>
    <w:rsid w:val="005D0F70"/>
    <w:rsid w:val="005D116C"/>
    <w:rsid w:val="005D1226"/>
    <w:rsid w:val="005D14F3"/>
    <w:rsid w:val="005D1A75"/>
    <w:rsid w:val="005D1CA2"/>
    <w:rsid w:val="005D2295"/>
    <w:rsid w:val="005D309C"/>
    <w:rsid w:val="005D411B"/>
    <w:rsid w:val="005D422A"/>
    <w:rsid w:val="005D4801"/>
    <w:rsid w:val="005D4A6A"/>
    <w:rsid w:val="005D5977"/>
    <w:rsid w:val="005D5B4B"/>
    <w:rsid w:val="005D60F6"/>
    <w:rsid w:val="005D6EDE"/>
    <w:rsid w:val="005D6F3F"/>
    <w:rsid w:val="005D7280"/>
    <w:rsid w:val="005D77F4"/>
    <w:rsid w:val="005E0322"/>
    <w:rsid w:val="005E0D77"/>
    <w:rsid w:val="005E0F32"/>
    <w:rsid w:val="005E14FE"/>
    <w:rsid w:val="005E19CE"/>
    <w:rsid w:val="005E1CA9"/>
    <w:rsid w:val="005E1FD3"/>
    <w:rsid w:val="005E3688"/>
    <w:rsid w:val="005E3973"/>
    <w:rsid w:val="005E419F"/>
    <w:rsid w:val="005E42E4"/>
    <w:rsid w:val="005E48AF"/>
    <w:rsid w:val="005E4C8E"/>
    <w:rsid w:val="005E781F"/>
    <w:rsid w:val="005E7D54"/>
    <w:rsid w:val="005E7E9E"/>
    <w:rsid w:val="005F0AB6"/>
    <w:rsid w:val="005F23CA"/>
    <w:rsid w:val="005F28B1"/>
    <w:rsid w:val="005F40EF"/>
    <w:rsid w:val="005F46BE"/>
    <w:rsid w:val="005F4915"/>
    <w:rsid w:val="005F50B7"/>
    <w:rsid w:val="005F577F"/>
    <w:rsid w:val="005F5EDD"/>
    <w:rsid w:val="005F70D5"/>
    <w:rsid w:val="005F70ED"/>
    <w:rsid w:val="005F74A1"/>
    <w:rsid w:val="005F79B8"/>
    <w:rsid w:val="006001EA"/>
    <w:rsid w:val="0060023D"/>
    <w:rsid w:val="00600681"/>
    <w:rsid w:val="00601EDF"/>
    <w:rsid w:val="00602063"/>
    <w:rsid w:val="00602074"/>
    <w:rsid w:val="0060266D"/>
    <w:rsid w:val="00602E36"/>
    <w:rsid w:val="00604DBB"/>
    <w:rsid w:val="0060539A"/>
    <w:rsid w:val="0060555C"/>
    <w:rsid w:val="0060655C"/>
    <w:rsid w:val="0060689A"/>
    <w:rsid w:val="006103C7"/>
    <w:rsid w:val="006107E6"/>
    <w:rsid w:val="00611B77"/>
    <w:rsid w:val="006122AA"/>
    <w:rsid w:val="00612526"/>
    <w:rsid w:val="00612BBA"/>
    <w:rsid w:val="00612C6F"/>
    <w:rsid w:val="00614593"/>
    <w:rsid w:val="00614654"/>
    <w:rsid w:val="00615587"/>
    <w:rsid w:val="00615BBD"/>
    <w:rsid w:val="00615BC2"/>
    <w:rsid w:val="00615C0A"/>
    <w:rsid w:val="0061625A"/>
    <w:rsid w:val="00616F2F"/>
    <w:rsid w:val="006170A2"/>
    <w:rsid w:val="006172FE"/>
    <w:rsid w:val="0062110C"/>
    <w:rsid w:val="00621191"/>
    <w:rsid w:val="006212D2"/>
    <w:rsid w:val="0062193D"/>
    <w:rsid w:val="00622357"/>
    <w:rsid w:val="0062294F"/>
    <w:rsid w:val="00622D0F"/>
    <w:rsid w:val="00622E53"/>
    <w:rsid w:val="00623306"/>
    <w:rsid w:val="00623540"/>
    <w:rsid w:val="006239B9"/>
    <w:rsid w:val="00623B03"/>
    <w:rsid w:val="00624CA9"/>
    <w:rsid w:val="00625576"/>
    <w:rsid w:val="00625617"/>
    <w:rsid w:val="00626975"/>
    <w:rsid w:val="00627E06"/>
    <w:rsid w:val="00630239"/>
    <w:rsid w:val="00631E92"/>
    <w:rsid w:val="00632B51"/>
    <w:rsid w:val="006338E6"/>
    <w:rsid w:val="00633958"/>
    <w:rsid w:val="00633F81"/>
    <w:rsid w:val="00634974"/>
    <w:rsid w:val="0063648A"/>
    <w:rsid w:val="006366D1"/>
    <w:rsid w:val="006375A7"/>
    <w:rsid w:val="00637968"/>
    <w:rsid w:val="0064052B"/>
    <w:rsid w:val="00640AFA"/>
    <w:rsid w:val="00641F49"/>
    <w:rsid w:val="00642386"/>
    <w:rsid w:val="00643979"/>
    <w:rsid w:val="00644697"/>
    <w:rsid w:val="00645881"/>
    <w:rsid w:val="00645F36"/>
    <w:rsid w:val="00646DAD"/>
    <w:rsid w:val="0065156F"/>
    <w:rsid w:val="00651C99"/>
    <w:rsid w:val="0065242E"/>
    <w:rsid w:val="00652CFB"/>
    <w:rsid w:val="006533A9"/>
    <w:rsid w:val="006534F2"/>
    <w:rsid w:val="00653ECD"/>
    <w:rsid w:val="0065475F"/>
    <w:rsid w:val="0065570A"/>
    <w:rsid w:val="00655ACD"/>
    <w:rsid w:val="00655F31"/>
    <w:rsid w:val="006565D4"/>
    <w:rsid w:val="00657249"/>
    <w:rsid w:val="006573DB"/>
    <w:rsid w:val="00657A4B"/>
    <w:rsid w:val="00657BBF"/>
    <w:rsid w:val="00657D2A"/>
    <w:rsid w:val="00660662"/>
    <w:rsid w:val="006612A9"/>
    <w:rsid w:val="00661386"/>
    <w:rsid w:val="00662F8A"/>
    <w:rsid w:val="00663421"/>
    <w:rsid w:val="00663EA0"/>
    <w:rsid w:val="00663F09"/>
    <w:rsid w:val="00664B09"/>
    <w:rsid w:val="00666514"/>
    <w:rsid w:val="00667103"/>
    <w:rsid w:val="00667546"/>
    <w:rsid w:val="00667632"/>
    <w:rsid w:val="0066791A"/>
    <w:rsid w:val="006705E1"/>
    <w:rsid w:val="00670699"/>
    <w:rsid w:val="006707E6"/>
    <w:rsid w:val="00672482"/>
    <w:rsid w:val="006725EC"/>
    <w:rsid w:val="00674810"/>
    <w:rsid w:val="00675725"/>
    <w:rsid w:val="0067587F"/>
    <w:rsid w:val="00676F8A"/>
    <w:rsid w:val="0067707F"/>
    <w:rsid w:val="006771F8"/>
    <w:rsid w:val="006779DF"/>
    <w:rsid w:val="00677EB0"/>
    <w:rsid w:val="00680005"/>
    <w:rsid w:val="00682929"/>
    <w:rsid w:val="00682CFE"/>
    <w:rsid w:val="00683938"/>
    <w:rsid w:val="006839A6"/>
    <w:rsid w:val="00685E32"/>
    <w:rsid w:val="00691385"/>
    <w:rsid w:val="00691725"/>
    <w:rsid w:val="00691EB5"/>
    <w:rsid w:val="00691FBC"/>
    <w:rsid w:val="00694063"/>
    <w:rsid w:val="00694099"/>
    <w:rsid w:val="006945AD"/>
    <w:rsid w:val="0069636C"/>
    <w:rsid w:val="0069698B"/>
    <w:rsid w:val="006976BB"/>
    <w:rsid w:val="006A099C"/>
    <w:rsid w:val="006A15F1"/>
    <w:rsid w:val="006A1C60"/>
    <w:rsid w:val="006A2873"/>
    <w:rsid w:val="006A2BCF"/>
    <w:rsid w:val="006A32CB"/>
    <w:rsid w:val="006A3FD5"/>
    <w:rsid w:val="006A4469"/>
    <w:rsid w:val="006A5E9C"/>
    <w:rsid w:val="006A614E"/>
    <w:rsid w:val="006A62AF"/>
    <w:rsid w:val="006A65E0"/>
    <w:rsid w:val="006A69F3"/>
    <w:rsid w:val="006A6B78"/>
    <w:rsid w:val="006A6F36"/>
    <w:rsid w:val="006A792F"/>
    <w:rsid w:val="006B05B7"/>
    <w:rsid w:val="006B0687"/>
    <w:rsid w:val="006B0DF9"/>
    <w:rsid w:val="006B10C8"/>
    <w:rsid w:val="006B17E6"/>
    <w:rsid w:val="006B1AD8"/>
    <w:rsid w:val="006B1C25"/>
    <w:rsid w:val="006B3CFF"/>
    <w:rsid w:val="006B47AF"/>
    <w:rsid w:val="006B4C26"/>
    <w:rsid w:val="006B520D"/>
    <w:rsid w:val="006B5D4F"/>
    <w:rsid w:val="006B6A3C"/>
    <w:rsid w:val="006B6F0D"/>
    <w:rsid w:val="006C0ED4"/>
    <w:rsid w:val="006C13B7"/>
    <w:rsid w:val="006C19DD"/>
    <w:rsid w:val="006C2164"/>
    <w:rsid w:val="006C24F5"/>
    <w:rsid w:val="006C3231"/>
    <w:rsid w:val="006C3690"/>
    <w:rsid w:val="006C3C59"/>
    <w:rsid w:val="006C48F3"/>
    <w:rsid w:val="006C4A95"/>
    <w:rsid w:val="006C6801"/>
    <w:rsid w:val="006C7995"/>
    <w:rsid w:val="006D02E1"/>
    <w:rsid w:val="006D15F9"/>
    <w:rsid w:val="006D20F0"/>
    <w:rsid w:val="006D31D6"/>
    <w:rsid w:val="006D31DC"/>
    <w:rsid w:val="006D3454"/>
    <w:rsid w:val="006D3573"/>
    <w:rsid w:val="006D37F7"/>
    <w:rsid w:val="006D3BE3"/>
    <w:rsid w:val="006D4A10"/>
    <w:rsid w:val="006D53AA"/>
    <w:rsid w:val="006D62D1"/>
    <w:rsid w:val="006D6DBC"/>
    <w:rsid w:val="006D7187"/>
    <w:rsid w:val="006D7543"/>
    <w:rsid w:val="006D79A2"/>
    <w:rsid w:val="006E026F"/>
    <w:rsid w:val="006E0D8F"/>
    <w:rsid w:val="006E29C6"/>
    <w:rsid w:val="006E2C76"/>
    <w:rsid w:val="006E3C20"/>
    <w:rsid w:val="006E3D01"/>
    <w:rsid w:val="006E7004"/>
    <w:rsid w:val="006E7060"/>
    <w:rsid w:val="006E7D01"/>
    <w:rsid w:val="006F175C"/>
    <w:rsid w:val="006F1F41"/>
    <w:rsid w:val="006F2C6E"/>
    <w:rsid w:val="006F4076"/>
    <w:rsid w:val="006F4105"/>
    <w:rsid w:val="006F41FC"/>
    <w:rsid w:val="006F4445"/>
    <w:rsid w:val="006F4447"/>
    <w:rsid w:val="006F4526"/>
    <w:rsid w:val="006F5D1C"/>
    <w:rsid w:val="006F689F"/>
    <w:rsid w:val="006F698C"/>
    <w:rsid w:val="006F7702"/>
    <w:rsid w:val="00700195"/>
    <w:rsid w:val="007001EF"/>
    <w:rsid w:val="00700499"/>
    <w:rsid w:val="007008B9"/>
    <w:rsid w:val="00700FCC"/>
    <w:rsid w:val="00701364"/>
    <w:rsid w:val="00701D6E"/>
    <w:rsid w:val="007025CB"/>
    <w:rsid w:val="00703B07"/>
    <w:rsid w:val="0070486E"/>
    <w:rsid w:val="00706137"/>
    <w:rsid w:val="0070687A"/>
    <w:rsid w:val="0070702D"/>
    <w:rsid w:val="007079B2"/>
    <w:rsid w:val="007103CA"/>
    <w:rsid w:val="00710663"/>
    <w:rsid w:val="00710F25"/>
    <w:rsid w:val="00711550"/>
    <w:rsid w:val="007124FB"/>
    <w:rsid w:val="0071313F"/>
    <w:rsid w:val="0071369D"/>
    <w:rsid w:val="00713CC4"/>
    <w:rsid w:val="00714D75"/>
    <w:rsid w:val="00714E5C"/>
    <w:rsid w:val="00717ECD"/>
    <w:rsid w:val="00721116"/>
    <w:rsid w:val="00721899"/>
    <w:rsid w:val="00722304"/>
    <w:rsid w:val="007227BD"/>
    <w:rsid w:val="00722820"/>
    <w:rsid w:val="00722A76"/>
    <w:rsid w:val="00722CDA"/>
    <w:rsid w:val="00722F94"/>
    <w:rsid w:val="007238CB"/>
    <w:rsid w:val="00723FD2"/>
    <w:rsid w:val="0072430A"/>
    <w:rsid w:val="0072438D"/>
    <w:rsid w:val="00724AE3"/>
    <w:rsid w:val="00725E2D"/>
    <w:rsid w:val="007262D3"/>
    <w:rsid w:val="007262E2"/>
    <w:rsid w:val="0072634B"/>
    <w:rsid w:val="00726995"/>
    <w:rsid w:val="00726FBD"/>
    <w:rsid w:val="007272DC"/>
    <w:rsid w:val="00727A56"/>
    <w:rsid w:val="00730281"/>
    <w:rsid w:val="00730A44"/>
    <w:rsid w:val="00731029"/>
    <w:rsid w:val="00731403"/>
    <w:rsid w:val="00731659"/>
    <w:rsid w:val="007319A9"/>
    <w:rsid w:val="00731BD5"/>
    <w:rsid w:val="00731C4D"/>
    <w:rsid w:val="00732B52"/>
    <w:rsid w:val="00733174"/>
    <w:rsid w:val="00733428"/>
    <w:rsid w:val="00733585"/>
    <w:rsid w:val="00734DF0"/>
    <w:rsid w:val="00734F88"/>
    <w:rsid w:val="007359ED"/>
    <w:rsid w:val="00735DBE"/>
    <w:rsid w:val="00736038"/>
    <w:rsid w:val="0073645B"/>
    <w:rsid w:val="007369DA"/>
    <w:rsid w:val="00737EC5"/>
    <w:rsid w:val="00737F44"/>
    <w:rsid w:val="00740FDA"/>
    <w:rsid w:val="0074128D"/>
    <w:rsid w:val="0074138F"/>
    <w:rsid w:val="007424A4"/>
    <w:rsid w:val="00743960"/>
    <w:rsid w:val="00743C8D"/>
    <w:rsid w:val="007449FE"/>
    <w:rsid w:val="007451DA"/>
    <w:rsid w:val="00745700"/>
    <w:rsid w:val="00746595"/>
    <w:rsid w:val="007467E9"/>
    <w:rsid w:val="0074718A"/>
    <w:rsid w:val="00747A99"/>
    <w:rsid w:val="00750AFE"/>
    <w:rsid w:val="00751637"/>
    <w:rsid w:val="007517F4"/>
    <w:rsid w:val="00753B0A"/>
    <w:rsid w:val="0075547A"/>
    <w:rsid w:val="00755B7A"/>
    <w:rsid w:val="00755FD6"/>
    <w:rsid w:val="007567CC"/>
    <w:rsid w:val="007572BA"/>
    <w:rsid w:val="007573A7"/>
    <w:rsid w:val="007579D5"/>
    <w:rsid w:val="00757E5A"/>
    <w:rsid w:val="00761701"/>
    <w:rsid w:val="00762013"/>
    <w:rsid w:val="007634A3"/>
    <w:rsid w:val="00763954"/>
    <w:rsid w:val="00764217"/>
    <w:rsid w:val="00764A55"/>
    <w:rsid w:val="007652D6"/>
    <w:rsid w:val="007655BD"/>
    <w:rsid w:val="0076642E"/>
    <w:rsid w:val="00766C06"/>
    <w:rsid w:val="00767DA6"/>
    <w:rsid w:val="00770E08"/>
    <w:rsid w:val="00770EC5"/>
    <w:rsid w:val="0077165E"/>
    <w:rsid w:val="0077175F"/>
    <w:rsid w:val="00771F71"/>
    <w:rsid w:val="00773094"/>
    <w:rsid w:val="00773142"/>
    <w:rsid w:val="007739D6"/>
    <w:rsid w:val="0077465E"/>
    <w:rsid w:val="007746E1"/>
    <w:rsid w:val="0077491A"/>
    <w:rsid w:val="00774B5E"/>
    <w:rsid w:val="00774EE2"/>
    <w:rsid w:val="00775792"/>
    <w:rsid w:val="007758F2"/>
    <w:rsid w:val="0077698A"/>
    <w:rsid w:val="00776F32"/>
    <w:rsid w:val="00776FBC"/>
    <w:rsid w:val="00780305"/>
    <w:rsid w:val="0078140F"/>
    <w:rsid w:val="00781C7D"/>
    <w:rsid w:val="0078235B"/>
    <w:rsid w:val="007825EF"/>
    <w:rsid w:val="007826D4"/>
    <w:rsid w:val="0078278D"/>
    <w:rsid w:val="00782880"/>
    <w:rsid w:val="0078368D"/>
    <w:rsid w:val="0078371C"/>
    <w:rsid w:val="0078393D"/>
    <w:rsid w:val="00783CA3"/>
    <w:rsid w:val="0078453A"/>
    <w:rsid w:val="007847A8"/>
    <w:rsid w:val="00784FBC"/>
    <w:rsid w:val="00785A3F"/>
    <w:rsid w:val="00790D0F"/>
    <w:rsid w:val="00790DD1"/>
    <w:rsid w:val="0079147A"/>
    <w:rsid w:val="007921AE"/>
    <w:rsid w:val="007928DD"/>
    <w:rsid w:val="007937E1"/>
    <w:rsid w:val="00794C9A"/>
    <w:rsid w:val="007952FD"/>
    <w:rsid w:val="0079569F"/>
    <w:rsid w:val="007958C9"/>
    <w:rsid w:val="00795D10"/>
    <w:rsid w:val="00795D59"/>
    <w:rsid w:val="00797379"/>
    <w:rsid w:val="0079757C"/>
    <w:rsid w:val="00797F09"/>
    <w:rsid w:val="007A0040"/>
    <w:rsid w:val="007A05B5"/>
    <w:rsid w:val="007A11AE"/>
    <w:rsid w:val="007A161C"/>
    <w:rsid w:val="007A18E3"/>
    <w:rsid w:val="007A28FE"/>
    <w:rsid w:val="007A2A6F"/>
    <w:rsid w:val="007A2C06"/>
    <w:rsid w:val="007A2C0E"/>
    <w:rsid w:val="007A2C2E"/>
    <w:rsid w:val="007A2E51"/>
    <w:rsid w:val="007A3C7E"/>
    <w:rsid w:val="007A5EBE"/>
    <w:rsid w:val="007A6CE9"/>
    <w:rsid w:val="007A77A5"/>
    <w:rsid w:val="007A7AAE"/>
    <w:rsid w:val="007A7AEF"/>
    <w:rsid w:val="007A7F08"/>
    <w:rsid w:val="007B0BA2"/>
    <w:rsid w:val="007B1767"/>
    <w:rsid w:val="007B195F"/>
    <w:rsid w:val="007B2F3E"/>
    <w:rsid w:val="007B3336"/>
    <w:rsid w:val="007B3D4F"/>
    <w:rsid w:val="007B3D9A"/>
    <w:rsid w:val="007B3EDA"/>
    <w:rsid w:val="007B5302"/>
    <w:rsid w:val="007B6BF0"/>
    <w:rsid w:val="007B7AAF"/>
    <w:rsid w:val="007B7C5C"/>
    <w:rsid w:val="007C0AC2"/>
    <w:rsid w:val="007C1711"/>
    <w:rsid w:val="007C1BE0"/>
    <w:rsid w:val="007C2414"/>
    <w:rsid w:val="007C283E"/>
    <w:rsid w:val="007C49E0"/>
    <w:rsid w:val="007C5082"/>
    <w:rsid w:val="007C56E2"/>
    <w:rsid w:val="007C5A19"/>
    <w:rsid w:val="007C6786"/>
    <w:rsid w:val="007C6CE3"/>
    <w:rsid w:val="007C72C0"/>
    <w:rsid w:val="007C791B"/>
    <w:rsid w:val="007C7B24"/>
    <w:rsid w:val="007D03E6"/>
    <w:rsid w:val="007D0A9D"/>
    <w:rsid w:val="007D1179"/>
    <w:rsid w:val="007D1A16"/>
    <w:rsid w:val="007D22DA"/>
    <w:rsid w:val="007D27E6"/>
    <w:rsid w:val="007D2F28"/>
    <w:rsid w:val="007D33AE"/>
    <w:rsid w:val="007D3480"/>
    <w:rsid w:val="007D450E"/>
    <w:rsid w:val="007D4880"/>
    <w:rsid w:val="007D4BA3"/>
    <w:rsid w:val="007D4C39"/>
    <w:rsid w:val="007D4DDF"/>
    <w:rsid w:val="007D4FCA"/>
    <w:rsid w:val="007D511E"/>
    <w:rsid w:val="007D6BBA"/>
    <w:rsid w:val="007D760E"/>
    <w:rsid w:val="007D76A6"/>
    <w:rsid w:val="007D76CC"/>
    <w:rsid w:val="007D781E"/>
    <w:rsid w:val="007E1089"/>
    <w:rsid w:val="007E2AC7"/>
    <w:rsid w:val="007E39BE"/>
    <w:rsid w:val="007E3D14"/>
    <w:rsid w:val="007E3DD4"/>
    <w:rsid w:val="007E43CF"/>
    <w:rsid w:val="007E5260"/>
    <w:rsid w:val="007E60CF"/>
    <w:rsid w:val="007E64BD"/>
    <w:rsid w:val="007E6BC3"/>
    <w:rsid w:val="007E6F4B"/>
    <w:rsid w:val="007E7C67"/>
    <w:rsid w:val="007E7CCE"/>
    <w:rsid w:val="007F02EA"/>
    <w:rsid w:val="007F0CF2"/>
    <w:rsid w:val="007F18BC"/>
    <w:rsid w:val="007F1F2D"/>
    <w:rsid w:val="007F2155"/>
    <w:rsid w:val="007F3011"/>
    <w:rsid w:val="007F33FC"/>
    <w:rsid w:val="007F3477"/>
    <w:rsid w:val="007F3EE4"/>
    <w:rsid w:val="007F4444"/>
    <w:rsid w:val="007F4EFF"/>
    <w:rsid w:val="007F6069"/>
    <w:rsid w:val="007F61BB"/>
    <w:rsid w:val="007F61C9"/>
    <w:rsid w:val="007F6DC4"/>
    <w:rsid w:val="007F72E0"/>
    <w:rsid w:val="007F73AB"/>
    <w:rsid w:val="007F7A40"/>
    <w:rsid w:val="008000FB"/>
    <w:rsid w:val="008004BB"/>
    <w:rsid w:val="00801549"/>
    <w:rsid w:val="008017F2"/>
    <w:rsid w:val="008020B5"/>
    <w:rsid w:val="0080268D"/>
    <w:rsid w:val="00802878"/>
    <w:rsid w:val="00803339"/>
    <w:rsid w:val="00804175"/>
    <w:rsid w:val="0080431C"/>
    <w:rsid w:val="00804C83"/>
    <w:rsid w:val="00804DA2"/>
    <w:rsid w:val="00806913"/>
    <w:rsid w:val="00806968"/>
    <w:rsid w:val="00806A1B"/>
    <w:rsid w:val="00806F27"/>
    <w:rsid w:val="00807FFB"/>
    <w:rsid w:val="0081011F"/>
    <w:rsid w:val="008118AC"/>
    <w:rsid w:val="008123DE"/>
    <w:rsid w:val="00812502"/>
    <w:rsid w:val="00812D79"/>
    <w:rsid w:val="008130E2"/>
    <w:rsid w:val="00813355"/>
    <w:rsid w:val="00813C6D"/>
    <w:rsid w:val="00813C96"/>
    <w:rsid w:val="00814875"/>
    <w:rsid w:val="00814B5A"/>
    <w:rsid w:val="008154D7"/>
    <w:rsid w:val="00815B90"/>
    <w:rsid w:val="00815CC7"/>
    <w:rsid w:val="008162C6"/>
    <w:rsid w:val="00816550"/>
    <w:rsid w:val="0081671C"/>
    <w:rsid w:val="008167C0"/>
    <w:rsid w:val="00816920"/>
    <w:rsid w:val="00816E6E"/>
    <w:rsid w:val="0081726D"/>
    <w:rsid w:val="00817862"/>
    <w:rsid w:val="00817BEB"/>
    <w:rsid w:val="00817DB1"/>
    <w:rsid w:val="00820056"/>
    <w:rsid w:val="008201D7"/>
    <w:rsid w:val="00821250"/>
    <w:rsid w:val="008217F1"/>
    <w:rsid w:val="008218FA"/>
    <w:rsid w:val="00821AE1"/>
    <w:rsid w:val="00821CA7"/>
    <w:rsid w:val="00821E55"/>
    <w:rsid w:val="00822A51"/>
    <w:rsid w:val="00822EBE"/>
    <w:rsid w:val="00823638"/>
    <w:rsid w:val="00824239"/>
    <w:rsid w:val="00824930"/>
    <w:rsid w:val="00824BA1"/>
    <w:rsid w:val="00824DC6"/>
    <w:rsid w:val="00825390"/>
    <w:rsid w:val="00826C18"/>
    <w:rsid w:val="00827408"/>
    <w:rsid w:val="00827CA2"/>
    <w:rsid w:val="0083161B"/>
    <w:rsid w:val="00831A3F"/>
    <w:rsid w:val="00831D03"/>
    <w:rsid w:val="00831EE5"/>
    <w:rsid w:val="00832E45"/>
    <w:rsid w:val="00833989"/>
    <w:rsid w:val="008344DF"/>
    <w:rsid w:val="00834F31"/>
    <w:rsid w:val="008353A4"/>
    <w:rsid w:val="008358DD"/>
    <w:rsid w:val="00836315"/>
    <w:rsid w:val="00836860"/>
    <w:rsid w:val="00836E6D"/>
    <w:rsid w:val="008372B3"/>
    <w:rsid w:val="00840B25"/>
    <w:rsid w:val="00841057"/>
    <w:rsid w:val="008414A8"/>
    <w:rsid w:val="00842035"/>
    <w:rsid w:val="00842E28"/>
    <w:rsid w:val="0084409D"/>
    <w:rsid w:val="0084415E"/>
    <w:rsid w:val="00845196"/>
    <w:rsid w:val="00845205"/>
    <w:rsid w:val="008452BE"/>
    <w:rsid w:val="008453CA"/>
    <w:rsid w:val="008458F3"/>
    <w:rsid w:val="008460A1"/>
    <w:rsid w:val="008461F3"/>
    <w:rsid w:val="00846227"/>
    <w:rsid w:val="00846815"/>
    <w:rsid w:val="00847054"/>
    <w:rsid w:val="008478F8"/>
    <w:rsid w:val="00847C0D"/>
    <w:rsid w:val="0085038D"/>
    <w:rsid w:val="008516DD"/>
    <w:rsid w:val="0085209E"/>
    <w:rsid w:val="008524B2"/>
    <w:rsid w:val="00852B85"/>
    <w:rsid w:val="00852C08"/>
    <w:rsid w:val="00853172"/>
    <w:rsid w:val="008534CA"/>
    <w:rsid w:val="00854FB5"/>
    <w:rsid w:val="00855092"/>
    <w:rsid w:val="00855915"/>
    <w:rsid w:val="00855A4F"/>
    <w:rsid w:val="00855AAE"/>
    <w:rsid w:val="00855E6E"/>
    <w:rsid w:val="008563C4"/>
    <w:rsid w:val="008563FF"/>
    <w:rsid w:val="008565F8"/>
    <w:rsid w:val="008571BF"/>
    <w:rsid w:val="008574AB"/>
    <w:rsid w:val="00860890"/>
    <w:rsid w:val="00860F92"/>
    <w:rsid w:val="00860FA7"/>
    <w:rsid w:val="008610D2"/>
    <w:rsid w:val="0086120B"/>
    <w:rsid w:val="008615F9"/>
    <w:rsid w:val="00861CB7"/>
    <w:rsid w:val="00861F8F"/>
    <w:rsid w:val="00862A8C"/>
    <w:rsid w:val="00862F4F"/>
    <w:rsid w:val="0086339B"/>
    <w:rsid w:val="00863A44"/>
    <w:rsid w:val="00864A50"/>
    <w:rsid w:val="00864DAF"/>
    <w:rsid w:val="0087043E"/>
    <w:rsid w:val="0087095B"/>
    <w:rsid w:val="00870DB4"/>
    <w:rsid w:val="0087104A"/>
    <w:rsid w:val="0087154D"/>
    <w:rsid w:val="00872473"/>
    <w:rsid w:val="008727C4"/>
    <w:rsid w:val="0087464B"/>
    <w:rsid w:val="00874D9D"/>
    <w:rsid w:val="00875929"/>
    <w:rsid w:val="0087608A"/>
    <w:rsid w:val="008760E5"/>
    <w:rsid w:val="008760F3"/>
    <w:rsid w:val="008764DD"/>
    <w:rsid w:val="008765CC"/>
    <w:rsid w:val="00876FA8"/>
    <w:rsid w:val="00877E1E"/>
    <w:rsid w:val="00880616"/>
    <w:rsid w:val="008815AE"/>
    <w:rsid w:val="00881DB5"/>
    <w:rsid w:val="00881FC4"/>
    <w:rsid w:val="008844EC"/>
    <w:rsid w:val="008858A9"/>
    <w:rsid w:val="00886241"/>
    <w:rsid w:val="00886DF8"/>
    <w:rsid w:val="008870AB"/>
    <w:rsid w:val="00887787"/>
    <w:rsid w:val="00887A3A"/>
    <w:rsid w:val="0089004A"/>
    <w:rsid w:val="0089056D"/>
    <w:rsid w:val="00890600"/>
    <w:rsid w:val="008906E9"/>
    <w:rsid w:val="008925E0"/>
    <w:rsid w:val="008926EA"/>
    <w:rsid w:val="00892EFE"/>
    <w:rsid w:val="0089352A"/>
    <w:rsid w:val="00893A82"/>
    <w:rsid w:val="00895467"/>
    <w:rsid w:val="00896D00"/>
    <w:rsid w:val="0089786B"/>
    <w:rsid w:val="0089794B"/>
    <w:rsid w:val="00897B75"/>
    <w:rsid w:val="008A02AA"/>
    <w:rsid w:val="008A17AD"/>
    <w:rsid w:val="008A1E86"/>
    <w:rsid w:val="008A2A8B"/>
    <w:rsid w:val="008A2C3A"/>
    <w:rsid w:val="008A31D3"/>
    <w:rsid w:val="008A3A52"/>
    <w:rsid w:val="008A4B50"/>
    <w:rsid w:val="008A4DC1"/>
    <w:rsid w:val="008A572A"/>
    <w:rsid w:val="008A58B2"/>
    <w:rsid w:val="008A5BFB"/>
    <w:rsid w:val="008A7960"/>
    <w:rsid w:val="008B0001"/>
    <w:rsid w:val="008B00EC"/>
    <w:rsid w:val="008B035E"/>
    <w:rsid w:val="008B042C"/>
    <w:rsid w:val="008B05D8"/>
    <w:rsid w:val="008B11DD"/>
    <w:rsid w:val="008B14E1"/>
    <w:rsid w:val="008B1915"/>
    <w:rsid w:val="008B1EAF"/>
    <w:rsid w:val="008B20D9"/>
    <w:rsid w:val="008B220E"/>
    <w:rsid w:val="008B22F1"/>
    <w:rsid w:val="008B286F"/>
    <w:rsid w:val="008B2997"/>
    <w:rsid w:val="008B2DA1"/>
    <w:rsid w:val="008B3FA1"/>
    <w:rsid w:val="008B4A8D"/>
    <w:rsid w:val="008B4D24"/>
    <w:rsid w:val="008B4E09"/>
    <w:rsid w:val="008B4FBB"/>
    <w:rsid w:val="008B5239"/>
    <w:rsid w:val="008B5CB2"/>
    <w:rsid w:val="008B5DA7"/>
    <w:rsid w:val="008B6588"/>
    <w:rsid w:val="008B698F"/>
    <w:rsid w:val="008B6E2C"/>
    <w:rsid w:val="008B7269"/>
    <w:rsid w:val="008B7406"/>
    <w:rsid w:val="008B7B80"/>
    <w:rsid w:val="008C0BA4"/>
    <w:rsid w:val="008C233D"/>
    <w:rsid w:val="008C25AD"/>
    <w:rsid w:val="008C4087"/>
    <w:rsid w:val="008C47D9"/>
    <w:rsid w:val="008C4CE5"/>
    <w:rsid w:val="008C4D16"/>
    <w:rsid w:val="008C53FE"/>
    <w:rsid w:val="008C5D8E"/>
    <w:rsid w:val="008C5E41"/>
    <w:rsid w:val="008C6217"/>
    <w:rsid w:val="008C688E"/>
    <w:rsid w:val="008C7532"/>
    <w:rsid w:val="008C7ED8"/>
    <w:rsid w:val="008C7FD0"/>
    <w:rsid w:val="008D02B9"/>
    <w:rsid w:val="008D0422"/>
    <w:rsid w:val="008D061E"/>
    <w:rsid w:val="008D0A18"/>
    <w:rsid w:val="008D0C05"/>
    <w:rsid w:val="008D0FA1"/>
    <w:rsid w:val="008D2233"/>
    <w:rsid w:val="008D3003"/>
    <w:rsid w:val="008D3637"/>
    <w:rsid w:val="008D3930"/>
    <w:rsid w:val="008D4676"/>
    <w:rsid w:val="008D477D"/>
    <w:rsid w:val="008D4C39"/>
    <w:rsid w:val="008D4FAC"/>
    <w:rsid w:val="008D56BF"/>
    <w:rsid w:val="008D601B"/>
    <w:rsid w:val="008D6C42"/>
    <w:rsid w:val="008D781B"/>
    <w:rsid w:val="008E0151"/>
    <w:rsid w:val="008E01E2"/>
    <w:rsid w:val="008E0313"/>
    <w:rsid w:val="008E0A21"/>
    <w:rsid w:val="008E1221"/>
    <w:rsid w:val="008E2539"/>
    <w:rsid w:val="008E2CE3"/>
    <w:rsid w:val="008E2E27"/>
    <w:rsid w:val="008E41A2"/>
    <w:rsid w:val="008E45BF"/>
    <w:rsid w:val="008E4A29"/>
    <w:rsid w:val="008E4C99"/>
    <w:rsid w:val="008E59D8"/>
    <w:rsid w:val="008E60DC"/>
    <w:rsid w:val="008E744C"/>
    <w:rsid w:val="008E7CEC"/>
    <w:rsid w:val="008F0003"/>
    <w:rsid w:val="008F0032"/>
    <w:rsid w:val="008F0170"/>
    <w:rsid w:val="008F0547"/>
    <w:rsid w:val="008F08E1"/>
    <w:rsid w:val="008F15DD"/>
    <w:rsid w:val="008F2665"/>
    <w:rsid w:val="008F2844"/>
    <w:rsid w:val="008F3A9C"/>
    <w:rsid w:val="008F3EE9"/>
    <w:rsid w:val="008F4F25"/>
    <w:rsid w:val="008F543F"/>
    <w:rsid w:val="008F618E"/>
    <w:rsid w:val="008F64C9"/>
    <w:rsid w:val="008F6743"/>
    <w:rsid w:val="008F7651"/>
    <w:rsid w:val="009005F4"/>
    <w:rsid w:val="009010DC"/>
    <w:rsid w:val="00901A96"/>
    <w:rsid w:val="009028D4"/>
    <w:rsid w:val="009035E3"/>
    <w:rsid w:val="009039C7"/>
    <w:rsid w:val="00903B58"/>
    <w:rsid w:val="00904809"/>
    <w:rsid w:val="00904848"/>
    <w:rsid w:val="009058A0"/>
    <w:rsid w:val="00906201"/>
    <w:rsid w:val="009063B0"/>
    <w:rsid w:val="00906809"/>
    <w:rsid w:val="00907511"/>
    <w:rsid w:val="009075FA"/>
    <w:rsid w:val="00907C3F"/>
    <w:rsid w:val="00907ED0"/>
    <w:rsid w:val="00907F2D"/>
    <w:rsid w:val="00910471"/>
    <w:rsid w:val="00911127"/>
    <w:rsid w:val="009112AB"/>
    <w:rsid w:val="00913770"/>
    <w:rsid w:val="0091518C"/>
    <w:rsid w:val="00915EF5"/>
    <w:rsid w:val="00916AB4"/>
    <w:rsid w:val="00916B92"/>
    <w:rsid w:val="00916F72"/>
    <w:rsid w:val="009170D3"/>
    <w:rsid w:val="0091714E"/>
    <w:rsid w:val="00917D7A"/>
    <w:rsid w:val="00920319"/>
    <w:rsid w:val="00920C89"/>
    <w:rsid w:val="0092115D"/>
    <w:rsid w:val="0092197F"/>
    <w:rsid w:val="00921E5D"/>
    <w:rsid w:val="00921FB7"/>
    <w:rsid w:val="00922379"/>
    <w:rsid w:val="00922576"/>
    <w:rsid w:val="00922BB7"/>
    <w:rsid w:val="00923013"/>
    <w:rsid w:val="00924AD8"/>
    <w:rsid w:val="00924FF1"/>
    <w:rsid w:val="00925166"/>
    <w:rsid w:val="009251C9"/>
    <w:rsid w:val="009257D9"/>
    <w:rsid w:val="00925CB7"/>
    <w:rsid w:val="00926404"/>
    <w:rsid w:val="00926467"/>
    <w:rsid w:val="0092711A"/>
    <w:rsid w:val="009277A2"/>
    <w:rsid w:val="00927F9D"/>
    <w:rsid w:val="00930524"/>
    <w:rsid w:val="00930AFC"/>
    <w:rsid w:val="0093106E"/>
    <w:rsid w:val="0093114D"/>
    <w:rsid w:val="009318D8"/>
    <w:rsid w:val="00931E8C"/>
    <w:rsid w:val="009336D3"/>
    <w:rsid w:val="009339DB"/>
    <w:rsid w:val="00933FC3"/>
    <w:rsid w:val="009347E0"/>
    <w:rsid w:val="00935550"/>
    <w:rsid w:val="00936458"/>
    <w:rsid w:val="009376AF"/>
    <w:rsid w:val="009377A2"/>
    <w:rsid w:val="00937CF3"/>
    <w:rsid w:val="0094049A"/>
    <w:rsid w:val="00940637"/>
    <w:rsid w:val="009406AF"/>
    <w:rsid w:val="00940D21"/>
    <w:rsid w:val="0094292B"/>
    <w:rsid w:val="00943DA6"/>
    <w:rsid w:val="0094498C"/>
    <w:rsid w:val="00944BDD"/>
    <w:rsid w:val="0094787B"/>
    <w:rsid w:val="0095015D"/>
    <w:rsid w:val="00950464"/>
    <w:rsid w:val="00950CCB"/>
    <w:rsid w:val="009513DC"/>
    <w:rsid w:val="00952A9A"/>
    <w:rsid w:val="00952E87"/>
    <w:rsid w:val="00953CE3"/>
    <w:rsid w:val="00954524"/>
    <w:rsid w:val="0095498C"/>
    <w:rsid w:val="00954D51"/>
    <w:rsid w:val="00955343"/>
    <w:rsid w:val="009569BB"/>
    <w:rsid w:val="00956A98"/>
    <w:rsid w:val="00956BD6"/>
    <w:rsid w:val="00956DB9"/>
    <w:rsid w:val="00956E3F"/>
    <w:rsid w:val="00957CE7"/>
    <w:rsid w:val="0096013D"/>
    <w:rsid w:val="00960574"/>
    <w:rsid w:val="009612FF"/>
    <w:rsid w:val="00961354"/>
    <w:rsid w:val="00961628"/>
    <w:rsid w:val="009618D3"/>
    <w:rsid w:val="00961E00"/>
    <w:rsid w:val="00961EAD"/>
    <w:rsid w:val="0096393E"/>
    <w:rsid w:val="00963E33"/>
    <w:rsid w:val="00965BDD"/>
    <w:rsid w:val="00967748"/>
    <w:rsid w:val="00967A36"/>
    <w:rsid w:val="009706E6"/>
    <w:rsid w:val="00970E97"/>
    <w:rsid w:val="00972C68"/>
    <w:rsid w:val="00972EC7"/>
    <w:rsid w:val="009734F8"/>
    <w:rsid w:val="00973CF1"/>
    <w:rsid w:val="00973D8F"/>
    <w:rsid w:val="0097443A"/>
    <w:rsid w:val="00974BE2"/>
    <w:rsid w:val="00974FDB"/>
    <w:rsid w:val="00975361"/>
    <w:rsid w:val="0097572A"/>
    <w:rsid w:val="00975E53"/>
    <w:rsid w:val="00980217"/>
    <w:rsid w:val="0098069A"/>
    <w:rsid w:val="00980C8B"/>
    <w:rsid w:val="00981324"/>
    <w:rsid w:val="009813D3"/>
    <w:rsid w:val="009813E9"/>
    <w:rsid w:val="00981D0A"/>
    <w:rsid w:val="00982252"/>
    <w:rsid w:val="00982F33"/>
    <w:rsid w:val="00982F71"/>
    <w:rsid w:val="00983346"/>
    <w:rsid w:val="00984EA6"/>
    <w:rsid w:val="009854AD"/>
    <w:rsid w:val="00985597"/>
    <w:rsid w:val="009868D3"/>
    <w:rsid w:val="00986E65"/>
    <w:rsid w:val="00987715"/>
    <w:rsid w:val="00990753"/>
    <w:rsid w:val="00991191"/>
    <w:rsid w:val="009911C5"/>
    <w:rsid w:val="00991392"/>
    <w:rsid w:val="009913EF"/>
    <w:rsid w:val="0099243A"/>
    <w:rsid w:val="009928A3"/>
    <w:rsid w:val="00992A65"/>
    <w:rsid w:val="00992FB7"/>
    <w:rsid w:val="0099358B"/>
    <w:rsid w:val="00994553"/>
    <w:rsid w:val="00994FCA"/>
    <w:rsid w:val="00996274"/>
    <w:rsid w:val="009976F3"/>
    <w:rsid w:val="009A0059"/>
    <w:rsid w:val="009A06E7"/>
    <w:rsid w:val="009A080E"/>
    <w:rsid w:val="009A1BE3"/>
    <w:rsid w:val="009A1CC5"/>
    <w:rsid w:val="009A2D27"/>
    <w:rsid w:val="009A325D"/>
    <w:rsid w:val="009A333F"/>
    <w:rsid w:val="009A3343"/>
    <w:rsid w:val="009A3576"/>
    <w:rsid w:val="009A3AD6"/>
    <w:rsid w:val="009A4759"/>
    <w:rsid w:val="009A4779"/>
    <w:rsid w:val="009A6937"/>
    <w:rsid w:val="009A6D0F"/>
    <w:rsid w:val="009A6D8E"/>
    <w:rsid w:val="009A6E22"/>
    <w:rsid w:val="009A7E0E"/>
    <w:rsid w:val="009B0D64"/>
    <w:rsid w:val="009B1825"/>
    <w:rsid w:val="009B1BAC"/>
    <w:rsid w:val="009B26EA"/>
    <w:rsid w:val="009B2F3C"/>
    <w:rsid w:val="009B3815"/>
    <w:rsid w:val="009B42F1"/>
    <w:rsid w:val="009B43AE"/>
    <w:rsid w:val="009B5800"/>
    <w:rsid w:val="009B5E77"/>
    <w:rsid w:val="009B6CF6"/>
    <w:rsid w:val="009B6D22"/>
    <w:rsid w:val="009C0782"/>
    <w:rsid w:val="009C0796"/>
    <w:rsid w:val="009C0F09"/>
    <w:rsid w:val="009C12BF"/>
    <w:rsid w:val="009C1AD9"/>
    <w:rsid w:val="009C2C4C"/>
    <w:rsid w:val="009C4268"/>
    <w:rsid w:val="009C4793"/>
    <w:rsid w:val="009C49F1"/>
    <w:rsid w:val="009C4B73"/>
    <w:rsid w:val="009C4DAB"/>
    <w:rsid w:val="009C6ADF"/>
    <w:rsid w:val="009C715A"/>
    <w:rsid w:val="009D1578"/>
    <w:rsid w:val="009D16E3"/>
    <w:rsid w:val="009D2072"/>
    <w:rsid w:val="009D2FBB"/>
    <w:rsid w:val="009D32F8"/>
    <w:rsid w:val="009D3396"/>
    <w:rsid w:val="009D3531"/>
    <w:rsid w:val="009D4374"/>
    <w:rsid w:val="009D5689"/>
    <w:rsid w:val="009D5A4E"/>
    <w:rsid w:val="009D5E7A"/>
    <w:rsid w:val="009D5F50"/>
    <w:rsid w:val="009D6E42"/>
    <w:rsid w:val="009D73CC"/>
    <w:rsid w:val="009E0BB5"/>
    <w:rsid w:val="009E0F5A"/>
    <w:rsid w:val="009E103F"/>
    <w:rsid w:val="009E1335"/>
    <w:rsid w:val="009E17F1"/>
    <w:rsid w:val="009E1F33"/>
    <w:rsid w:val="009E2013"/>
    <w:rsid w:val="009E4B9A"/>
    <w:rsid w:val="009E5820"/>
    <w:rsid w:val="009E5A96"/>
    <w:rsid w:val="009E5F51"/>
    <w:rsid w:val="009E675E"/>
    <w:rsid w:val="009E7E36"/>
    <w:rsid w:val="009F077A"/>
    <w:rsid w:val="009F0AB7"/>
    <w:rsid w:val="009F0C18"/>
    <w:rsid w:val="009F0C55"/>
    <w:rsid w:val="009F0CF4"/>
    <w:rsid w:val="009F0F52"/>
    <w:rsid w:val="009F1249"/>
    <w:rsid w:val="009F178E"/>
    <w:rsid w:val="009F1C0D"/>
    <w:rsid w:val="009F2B1F"/>
    <w:rsid w:val="009F4520"/>
    <w:rsid w:val="009F50EF"/>
    <w:rsid w:val="009F57FA"/>
    <w:rsid w:val="009F5880"/>
    <w:rsid w:val="009F6C83"/>
    <w:rsid w:val="009F6E7D"/>
    <w:rsid w:val="009F78C6"/>
    <w:rsid w:val="00A0082D"/>
    <w:rsid w:val="00A01186"/>
    <w:rsid w:val="00A019D0"/>
    <w:rsid w:val="00A0217D"/>
    <w:rsid w:val="00A02835"/>
    <w:rsid w:val="00A031F9"/>
    <w:rsid w:val="00A03C74"/>
    <w:rsid w:val="00A04E08"/>
    <w:rsid w:val="00A0624F"/>
    <w:rsid w:val="00A069BB"/>
    <w:rsid w:val="00A0732E"/>
    <w:rsid w:val="00A1018E"/>
    <w:rsid w:val="00A10655"/>
    <w:rsid w:val="00A10C4D"/>
    <w:rsid w:val="00A11032"/>
    <w:rsid w:val="00A11140"/>
    <w:rsid w:val="00A11531"/>
    <w:rsid w:val="00A12D20"/>
    <w:rsid w:val="00A134D2"/>
    <w:rsid w:val="00A13851"/>
    <w:rsid w:val="00A14266"/>
    <w:rsid w:val="00A17EB4"/>
    <w:rsid w:val="00A20150"/>
    <w:rsid w:val="00A2032F"/>
    <w:rsid w:val="00A21169"/>
    <w:rsid w:val="00A2138A"/>
    <w:rsid w:val="00A21B7F"/>
    <w:rsid w:val="00A21C0A"/>
    <w:rsid w:val="00A22473"/>
    <w:rsid w:val="00A22BC5"/>
    <w:rsid w:val="00A22C65"/>
    <w:rsid w:val="00A22C90"/>
    <w:rsid w:val="00A23152"/>
    <w:rsid w:val="00A2360B"/>
    <w:rsid w:val="00A2362B"/>
    <w:rsid w:val="00A239A8"/>
    <w:rsid w:val="00A23A0D"/>
    <w:rsid w:val="00A247BD"/>
    <w:rsid w:val="00A247FB"/>
    <w:rsid w:val="00A253D2"/>
    <w:rsid w:val="00A25744"/>
    <w:rsid w:val="00A25A06"/>
    <w:rsid w:val="00A26692"/>
    <w:rsid w:val="00A26B21"/>
    <w:rsid w:val="00A272A0"/>
    <w:rsid w:val="00A274F0"/>
    <w:rsid w:val="00A27ACA"/>
    <w:rsid w:val="00A3030A"/>
    <w:rsid w:val="00A32001"/>
    <w:rsid w:val="00A33735"/>
    <w:rsid w:val="00A3447E"/>
    <w:rsid w:val="00A34829"/>
    <w:rsid w:val="00A34AF4"/>
    <w:rsid w:val="00A34F8F"/>
    <w:rsid w:val="00A3508B"/>
    <w:rsid w:val="00A3514B"/>
    <w:rsid w:val="00A3561F"/>
    <w:rsid w:val="00A35D51"/>
    <w:rsid w:val="00A36038"/>
    <w:rsid w:val="00A372AE"/>
    <w:rsid w:val="00A37D44"/>
    <w:rsid w:val="00A40CF2"/>
    <w:rsid w:val="00A4264A"/>
    <w:rsid w:val="00A42702"/>
    <w:rsid w:val="00A43A6B"/>
    <w:rsid w:val="00A45F85"/>
    <w:rsid w:val="00A4685C"/>
    <w:rsid w:val="00A46991"/>
    <w:rsid w:val="00A46B95"/>
    <w:rsid w:val="00A475E5"/>
    <w:rsid w:val="00A47A64"/>
    <w:rsid w:val="00A5056D"/>
    <w:rsid w:val="00A5214B"/>
    <w:rsid w:val="00A53F31"/>
    <w:rsid w:val="00A547A9"/>
    <w:rsid w:val="00A548EF"/>
    <w:rsid w:val="00A55E0F"/>
    <w:rsid w:val="00A572AD"/>
    <w:rsid w:val="00A574C5"/>
    <w:rsid w:val="00A60762"/>
    <w:rsid w:val="00A60B16"/>
    <w:rsid w:val="00A61453"/>
    <w:rsid w:val="00A61813"/>
    <w:rsid w:val="00A6194C"/>
    <w:rsid w:val="00A6237B"/>
    <w:rsid w:val="00A623C8"/>
    <w:rsid w:val="00A63BE8"/>
    <w:rsid w:val="00A64C34"/>
    <w:rsid w:val="00A64F84"/>
    <w:rsid w:val="00A65ED3"/>
    <w:rsid w:val="00A6641B"/>
    <w:rsid w:val="00A668EC"/>
    <w:rsid w:val="00A673C9"/>
    <w:rsid w:val="00A70C37"/>
    <w:rsid w:val="00A70F12"/>
    <w:rsid w:val="00A71A23"/>
    <w:rsid w:val="00A71C3C"/>
    <w:rsid w:val="00A71C94"/>
    <w:rsid w:val="00A71EFE"/>
    <w:rsid w:val="00A7257D"/>
    <w:rsid w:val="00A72B40"/>
    <w:rsid w:val="00A72E27"/>
    <w:rsid w:val="00A736D8"/>
    <w:rsid w:val="00A73B66"/>
    <w:rsid w:val="00A73D86"/>
    <w:rsid w:val="00A752E6"/>
    <w:rsid w:val="00A756A2"/>
    <w:rsid w:val="00A7649D"/>
    <w:rsid w:val="00A771D3"/>
    <w:rsid w:val="00A7720F"/>
    <w:rsid w:val="00A805F1"/>
    <w:rsid w:val="00A80664"/>
    <w:rsid w:val="00A812EB"/>
    <w:rsid w:val="00A814BE"/>
    <w:rsid w:val="00A815EE"/>
    <w:rsid w:val="00A81A00"/>
    <w:rsid w:val="00A82F1D"/>
    <w:rsid w:val="00A831B6"/>
    <w:rsid w:val="00A83293"/>
    <w:rsid w:val="00A8390D"/>
    <w:rsid w:val="00A84296"/>
    <w:rsid w:val="00A84BA1"/>
    <w:rsid w:val="00A84F2F"/>
    <w:rsid w:val="00A85411"/>
    <w:rsid w:val="00A85451"/>
    <w:rsid w:val="00A8584F"/>
    <w:rsid w:val="00A866BC"/>
    <w:rsid w:val="00A87EEB"/>
    <w:rsid w:val="00A90062"/>
    <w:rsid w:val="00A90207"/>
    <w:rsid w:val="00A90319"/>
    <w:rsid w:val="00A90338"/>
    <w:rsid w:val="00A903FA"/>
    <w:rsid w:val="00A90720"/>
    <w:rsid w:val="00A91BC3"/>
    <w:rsid w:val="00A92509"/>
    <w:rsid w:val="00A927AE"/>
    <w:rsid w:val="00A92933"/>
    <w:rsid w:val="00A92C95"/>
    <w:rsid w:val="00A9399E"/>
    <w:rsid w:val="00A93CBB"/>
    <w:rsid w:val="00A944AA"/>
    <w:rsid w:val="00A947AA"/>
    <w:rsid w:val="00A947F6"/>
    <w:rsid w:val="00A94896"/>
    <w:rsid w:val="00A94ECB"/>
    <w:rsid w:val="00A967A6"/>
    <w:rsid w:val="00A97C45"/>
    <w:rsid w:val="00AA09CB"/>
    <w:rsid w:val="00AA0BD8"/>
    <w:rsid w:val="00AA10CF"/>
    <w:rsid w:val="00AA16DC"/>
    <w:rsid w:val="00AA2745"/>
    <w:rsid w:val="00AA4420"/>
    <w:rsid w:val="00AA5747"/>
    <w:rsid w:val="00AA5DE8"/>
    <w:rsid w:val="00AA700D"/>
    <w:rsid w:val="00AA728A"/>
    <w:rsid w:val="00AA7D5A"/>
    <w:rsid w:val="00AA7D92"/>
    <w:rsid w:val="00AB03A7"/>
    <w:rsid w:val="00AB0EE1"/>
    <w:rsid w:val="00AB1887"/>
    <w:rsid w:val="00AB1FA4"/>
    <w:rsid w:val="00AB2544"/>
    <w:rsid w:val="00AB295B"/>
    <w:rsid w:val="00AB2E80"/>
    <w:rsid w:val="00AB3B4C"/>
    <w:rsid w:val="00AB3C40"/>
    <w:rsid w:val="00AB3C49"/>
    <w:rsid w:val="00AB4B4E"/>
    <w:rsid w:val="00AB5209"/>
    <w:rsid w:val="00AB524F"/>
    <w:rsid w:val="00AB53D5"/>
    <w:rsid w:val="00AB6458"/>
    <w:rsid w:val="00AB64D0"/>
    <w:rsid w:val="00AB69ED"/>
    <w:rsid w:val="00AB6C7D"/>
    <w:rsid w:val="00AB6DDE"/>
    <w:rsid w:val="00AB7F9D"/>
    <w:rsid w:val="00AC10D0"/>
    <w:rsid w:val="00AC1476"/>
    <w:rsid w:val="00AC17D9"/>
    <w:rsid w:val="00AC1E6A"/>
    <w:rsid w:val="00AC2F0D"/>
    <w:rsid w:val="00AC2F9E"/>
    <w:rsid w:val="00AC2FB6"/>
    <w:rsid w:val="00AC3025"/>
    <w:rsid w:val="00AC3962"/>
    <w:rsid w:val="00AC4525"/>
    <w:rsid w:val="00AC58EB"/>
    <w:rsid w:val="00AC59EE"/>
    <w:rsid w:val="00AC670D"/>
    <w:rsid w:val="00AC70E3"/>
    <w:rsid w:val="00AC711C"/>
    <w:rsid w:val="00AC77ED"/>
    <w:rsid w:val="00AC7ABD"/>
    <w:rsid w:val="00AD08FF"/>
    <w:rsid w:val="00AD0AF3"/>
    <w:rsid w:val="00AD1456"/>
    <w:rsid w:val="00AD1B90"/>
    <w:rsid w:val="00AD2F79"/>
    <w:rsid w:val="00AD3341"/>
    <w:rsid w:val="00AD3790"/>
    <w:rsid w:val="00AD455C"/>
    <w:rsid w:val="00AD56B6"/>
    <w:rsid w:val="00AD5700"/>
    <w:rsid w:val="00AD5B3E"/>
    <w:rsid w:val="00AD6CE0"/>
    <w:rsid w:val="00AD70AF"/>
    <w:rsid w:val="00AD740C"/>
    <w:rsid w:val="00AE1BA4"/>
    <w:rsid w:val="00AE1D37"/>
    <w:rsid w:val="00AE2BFC"/>
    <w:rsid w:val="00AE33E9"/>
    <w:rsid w:val="00AE37B6"/>
    <w:rsid w:val="00AE5D5A"/>
    <w:rsid w:val="00AE5D9D"/>
    <w:rsid w:val="00AE71C3"/>
    <w:rsid w:val="00AE7C62"/>
    <w:rsid w:val="00AE7E3A"/>
    <w:rsid w:val="00AF099B"/>
    <w:rsid w:val="00AF19A3"/>
    <w:rsid w:val="00AF1AE1"/>
    <w:rsid w:val="00AF1BC5"/>
    <w:rsid w:val="00AF23FD"/>
    <w:rsid w:val="00AF2F89"/>
    <w:rsid w:val="00AF3377"/>
    <w:rsid w:val="00AF38EE"/>
    <w:rsid w:val="00AF40B7"/>
    <w:rsid w:val="00AF43B5"/>
    <w:rsid w:val="00AF4915"/>
    <w:rsid w:val="00AF5BB7"/>
    <w:rsid w:val="00AF5F75"/>
    <w:rsid w:val="00AF7FE6"/>
    <w:rsid w:val="00B00B62"/>
    <w:rsid w:val="00B01760"/>
    <w:rsid w:val="00B01BF3"/>
    <w:rsid w:val="00B024A1"/>
    <w:rsid w:val="00B02D93"/>
    <w:rsid w:val="00B0365C"/>
    <w:rsid w:val="00B038EB"/>
    <w:rsid w:val="00B03B2B"/>
    <w:rsid w:val="00B0475C"/>
    <w:rsid w:val="00B049C0"/>
    <w:rsid w:val="00B04A64"/>
    <w:rsid w:val="00B058DA"/>
    <w:rsid w:val="00B05A97"/>
    <w:rsid w:val="00B06354"/>
    <w:rsid w:val="00B069C9"/>
    <w:rsid w:val="00B06A66"/>
    <w:rsid w:val="00B06AAC"/>
    <w:rsid w:val="00B079C6"/>
    <w:rsid w:val="00B07C0C"/>
    <w:rsid w:val="00B10544"/>
    <w:rsid w:val="00B1070B"/>
    <w:rsid w:val="00B107B6"/>
    <w:rsid w:val="00B10A1F"/>
    <w:rsid w:val="00B116AA"/>
    <w:rsid w:val="00B12209"/>
    <w:rsid w:val="00B128E7"/>
    <w:rsid w:val="00B13465"/>
    <w:rsid w:val="00B135D7"/>
    <w:rsid w:val="00B141B2"/>
    <w:rsid w:val="00B141C1"/>
    <w:rsid w:val="00B14D53"/>
    <w:rsid w:val="00B15192"/>
    <w:rsid w:val="00B159FC"/>
    <w:rsid w:val="00B16DA3"/>
    <w:rsid w:val="00B17746"/>
    <w:rsid w:val="00B17AB9"/>
    <w:rsid w:val="00B20685"/>
    <w:rsid w:val="00B209B3"/>
    <w:rsid w:val="00B2115A"/>
    <w:rsid w:val="00B21EDA"/>
    <w:rsid w:val="00B221A2"/>
    <w:rsid w:val="00B22AEE"/>
    <w:rsid w:val="00B233BE"/>
    <w:rsid w:val="00B23652"/>
    <w:rsid w:val="00B239C1"/>
    <w:rsid w:val="00B23F9F"/>
    <w:rsid w:val="00B23FBD"/>
    <w:rsid w:val="00B2412F"/>
    <w:rsid w:val="00B241C6"/>
    <w:rsid w:val="00B24787"/>
    <w:rsid w:val="00B24B46"/>
    <w:rsid w:val="00B26337"/>
    <w:rsid w:val="00B2648D"/>
    <w:rsid w:val="00B26B30"/>
    <w:rsid w:val="00B26B7C"/>
    <w:rsid w:val="00B26F11"/>
    <w:rsid w:val="00B2701B"/>
    <w:rsid w:val="00B27368"/>
    <w:rsid w:val="00B2740D"/>
    <w:rsid w:val="00B275D9"/>
    <w:rsid w:val="00B27A93"/>
    <w:rsid w:val="00B27B82"/>
    <w:rsid w:val="00B3130A"/>
    <w:rsid w:val="00B3209C"/>
    <w:rsid w:val="00B32B73"/>
    <w:rsid w:val="00B32EA9"/>
    <w:rsid w:val="00B33087"/>
    <w:rsid w:val="00B33766"/>
    <w:rsid w:val="00B34BDC"/>
    <w:rsid w:val="00B34C32"/>
    <w:rsid w:val="00B34D38"/>
    <w:rsid w:val="00B351E0"/>
    <w:rsid w:val="00B36732"/>
    <w:rsid w:val="00B37135"/>
    <w:rsid w:val="00B371A0"/>
    <w:rsid w:val="00B374CF"/>
    <w:rsid w:val="00B37C31"/>
    <w:rsid w:val="00B4044E"/>
    <w:rsid w:val="00B40F35"/>
    <w:rsid w:val="00B427BF"/>
    <w:rsid w:val="00B42B72"/>
    <w:rsid w:val="00B43638"/>
    <w:rsid w:val="00B45D67"/>
    <w:rsid w:val="00B463C2"/>
    <w:rsid w:val="00B46D4A"/>
    <w:rsid w:val="00B4712E"/>
    <w:rsid w:val="00B52067"/>
    <w:rsid w:val="00B525E0"/>
    <w:rsid w:val="00B5298D"/>
    <w:rsid w:val="00B52A45"/>
    <w:rsid w:val="00B52F8F"/>
    <w:rsid w:val="00B53453"/>
    <w:rsid w:val="00B538A8"/>
    <w:rsid w:val="00B54069"/>
    <w:rsid w:val="00B5509C"/>
    <w:rsid w:val="00B56071"/>
    <w:rsid w:val="00B56889"/>
    <w:rsid w:val="00B575E7"/>
    <w:rsid w:val="00B57733"/>
    <w:rsid w:val="00B57BD7"/>
    <w:rsid w:val="00B61F6A"/>
    <w:rsid w:val="00B62972"/>
    <w:rsid w:val="00B629EC"/>
    <w:rsid w:val="00B635DC"/>
    <w:rsid w:val="00B6417C"/>
    <w:rsid w:val="00B641BC"/>
    <w:rsid w:val="00B64833"/>
    <w:rsid w:val="00B650F4"/>
    <w:rsid w:val="00B651B9"/>
    <w:rsid w:val="00B6572C"/>
    <w:rsid w:val="00B65AA1"/>
    <w:rsid w:val="00B65AEB"/>
    <w:rsid w:val="00B7006C"/>
    <w:rsid w:val="00B707E5"/>
    <w:rsid w:val="00B708EA"/>
    <w:rsid w:val="00B70FCE"/>
    <w:rsid w:val="00B71109"/>
    <w:rsid w:val="00B71348"/>
    <w:rsid w:val="00B71E6B"/>
    <w:rsid w:val="00B72A33"/>
    <w:rsid w:val="00B734BC"/>
    <w:rsid w:val="00B73A2C"/>
    <w:rsid w:val="00B73C2A"/>
    <w:rsid w:val="00B74C4C"/>
    <w:rsid w:val="00B7533B"/>
    <w:rsid w:val="00B75841"/>
    <w:rsid w:val="00B7604E"/>
    <w:rsid w:val="00B763D8"/>
    <w:rsid w:val="00B768BE"/>
    <w:rsid w:val="00B77CE7"/>
    <w:rsid w:val="00B8185E"/>
    <w:rsid w:val="00B8188A"/>
    <w:rsid w:val="00B829C0"/>
    <w:rsid w:val="00B83060"/>
    <w:rsid w:val="00B831DE"/>
    <w:rsid w:val="00B83A75"/>
    <w:rsid w:val="00B840EB"/>
    <w:rsid w:val="00B84106"/>
    <w:rsid w:val="00B84273"/>
    <w:rsid w:val="00B851A8"/>
    <w:rsid w:val="00B85E14"/>
    <w:rsid w:val="00B8687C"/>
    <w:rsid w:val="00B874EF"/>
    <w:rsid w:val="00B877B8"/>
    <w:rsid w:val="00B9006A"/>
    <w:rsid w:val="00B905F1"/>
    <w:rsid w:val="00B9072A"/>
    <w:rsid w:val="00B90BF5"/>
    <w:rsid w:val="00B910A5"/>
    <w:rsid w:val="00B91B29"/>
    <w:rsid w:val="00B91DB8"/>
    <w:rsid w:val="00B92686"/>
    <w:rsid w:val="00B92F78"/>
    <w:rsid w:val="00B94846"/>
    <w:rsid w:val="00B94B80"/>
    <w:rsid w:val="00B94FC4"/>
    <w:rsid w:val="00B95557"/>
    <w:rsid w:val="00B957E8"/>
    <w:rsid w:val="00B95836"/>
    <w:rsid w:val="00B96178"/>
    <w:rsid w:val="00B9628F"/>
    <w:rsid w:val="00B97552"/>
    <w:rsid w:val="00BA0344"/>
    <w:rsid w:val="00BA0347"/>
    <w:rsid w:val="00BA0B1C"/>
    <w:rsid w:val="00BA3303"/>
    <w:rsid w:val="00BA38F3"/>
    <w:rsid w:val="00BA40DE"/>
    <w:rsid w:val="00BA56F8"/>
    <w:rsid w:val="00BA59A3"/>
    <w:rsid w:val="00BA610F"/>
    <w:rsid w:val="00BA657A"/>
    <w:rsid w:val="00BA6580"/>
    <w:rsid w:val="00BA7780"/>
    <w:rsid w:val="00BA7B34"/>
    <w:rsid w:val="00BA7CF3"/>
    <w:rsid w:val="00BB0106"/>
    <w:rsid w:val="00BB09E6"/>
    <w:rsid w:val="00BB0D16"/>
    <w:rsid w:val="00BB0FB1"/>
    <w:rsid w:val="00BB196E"/>
    <w:rsid w:val="00BB19E6"/>
    <w:rsid w:val="00BB25D9"/>
    <w:rsid w:val="00BB28CB"/>
    <w:rsid w:val="00BB3F58"/>
    <w:rsid w:val="00BB5445"/>
    <w:rsid w:val="00BB5ADC"/>
    <w:rsid w:val="00BB6B0B"/>
    <w:rsid w:val="00BB6D48"/>
    <w:rsid w:val="00BB74BB"/>
    <w:rsid w:val="00BB77A6"/>
    <w:rsid w:val="00BB781F"/>
    <w:rsid w:val="00BC018F"/>
    <w:rsid w:val="00BC1775"/>
    <w:rsid w:val="00BC18C2"/>
    <w:rsid w:val="00BC1DEF"/>
    <w:rsid w:val="00BC23D7"/>
    <w:rsid w:val="00BC33AD"/>
    <w:rsid w:val="00BC379F"/>
    <w:rsid w:val="00BC3B47"/>
    <w:rsid w:val="00BC3C1E"/>
    <w:rsid w:val="00BC4C8F"/>
    <w:rsid w:val="00BC4D7C"/>
    <w:rsid w:val="00BC4DED"/>
    <w:rsid w:val="00BC52A3"/>
    <w:rsid w:val="00BC52CD"/>
    <w:rsid w:val="00BC57AE"/>
    <w:rsid w:val="00BC5B45"/>
    <w:rsid w:val="00BD113B"/>
    <w:rsid w:val="00BD174D"/>
    <w:rsid w:val="00BD1C7B"/>
    <w:rsid w:val="00BD2A9E"/>
    <w:rsid w:val="00BD354F"/>
    <w:rsid w:val="00BD527E"/>
    <w:rsid w:val="00BD64BF"/>
    <w:rsid w:val="00BD6605"/>
    <w:rsid w:val="00BE08EE"/>
    <w:rsid w:val="00BE0D11"/>
    <w:rsid w:val="00BE1172"/>
    <w:rsid w:val="00BE1A92"/>
    <w:rsid w:val="00BE1D36"/>
    <w:rsid w:val="00BE2997"/>
    <w:rsid w:val="00BE2AA3"/>
    <w:rsid w:val="00BE4195"/>
    <w:rsid w:val="00BE4918"/>
    <w:rsid w:val="00BE4F98"/>
    <w:rsid w:val="00BE5180"/>
    <w:rsid w:val="00BE6115"/>
    <w:rsid w:val="00BE6AA0"/>
    <w:rsid w:val="00BE7103"/>
    <w:rsid w:val="00BE7C0E"/>
    <w:rsid w:val="00BE7C96"/>
    <w:rsid w:val="00BF044F"/>
    <w:rsid w:val="00BF0C5B"/>
    <w:rsid w:val="00BF0ECE"/>
    <w:rsid w:val="00BF1FB6"/>
    <w:rsid w:val="00BF2BFD"/>
    <w:rsid w:val="00BF3D2E"/>
    <w:rsid w:val="00BF456A"/>
    <w:rsid w:val="00BF4C8D"/>
    <w:rsid w:val="00BF6270"/>
    <w:rsid w:val="00BF6D56"/>
    <w:rsid w:val="00BF7035"/>
    <w:rsid w:val="00BF737B"/>
    <w:rsid w:val="00C00458"/>
    <w:rsid w:val="00C00715"/>
    <w:rsid w:val="00C010C4"/>
    <w:rsid w:val="00C01F9E"/>
    <w:rsid w:val="00C02CB3"/>
    <w:rsid w:val="00C03189"/>
    <w:rsid w:val="00C04151"/>
    <w:rsid w:val="00C04175"/>
    <w:rsid w:val="00C04C2F"/>
    <w:rsid w:val="00C058DA"/>
    <w:rsid w:val="00C05F68"/>
    <w:rsid w:val="00C06254"/>
    <w:rsid w:val="00C062DC"/>
    <w:rsid w:val="00C06319"/>
    <w:rsid w:val="00C0634E"/>
    <w:rsid w:val="00C072DB"/>
    <w:rsid w:val="00C0733A"/>
    <w:rsid w:val="00C073DB"/>
    <w:rsid w:val="00C07AF8"/>
    <w:rsid w:val="00C07C8A"/>
    <w:rsid w:val="00C107F8"/>
    <w:rsid w:val="00C113AD"/>
    <w:rsid w:val="00C11798"/>
    <w:rsid w:val="00C1185E"/>
    <w:rsid w:val="00C133D4"/>
    <w:rsid w:val="00C139B5"/>
    <w:rsid w:val="00C13CEE"/>
    <w:rsid w:val="00C1415D"/>
    <w:rsid w:val="00C14B80"/>
    <w:rsid w:val="00C14C1A"/>
    <w:rsid w:val="00C15178"/>
    <w:rsid w:val="00C16A50"/>
    <w:rsid w:val="00C2040F"/>
    <w:rsid w:val="00C20419"/>
    <w:rsid w:val="00C20A64"/>
    <w:rsid w:val="00C20D07"/>
    <w:rsid w:val="00C20E08"/>
    <w:rsid w:val="00C20FDD"/>
    <w:rsid w:val="00C21C55"/>
    <w:rsid w:val="00C230AC"/>
    <w:rsid w:val="00C23236"/>
    <w:rsid w:val="00C23997"/>
    <w:rsid w:val="00C23BE0"/>
    <w:rsid w:val="00C254B4"/>
    <w:rsid w:val="00C25990"/>
    <w:rsid w:val="00C25FFD"/>
    <w:rsid w:val="00C270C6"/>
    <w:rsid w:val="00C27344"/>
    <w:rsid w:val="00C2750E"/>
    <w:rsid w:val="00C278DA"/>
    <w:rsid w:val="00C27AC3"/>
    <w:rsid w:val="00C304F1"/>
    <w:rsid w:val="00C313E4"/>
    <w:rsid w:val="00C31550"/>
    <w:rsid w:val="00C32DF7"/>
    <w:rsid w:val="00C33234"/>
    <w:rsid w:val="00C335BE"/>
    <w:rsid w:val="00C35197"/>
    <w:rsid w:val="00C35432"/>
    <w:rsid w:val="00C35945"/>
    <w:rsid w:val="00C36E11"/>
    <w:rsid w:val="00C37833"/>
    <w:rsid w:val="00C378E9"/>
    <w:rsid w:val="00C37ABA"/>
    <w:rsid w:val="00C403E2"/>
    <w:rsid w:val="00C40573"/>
    <w:rsid w:val="00C40B85"/>
    <w:rsid w:val="00C432CB"/>
    <w:rsid w:val="00C43557"/>
    <w:rsid w:val="00C43F88"/>
    <w:rsid w:val="00C456CB"/>
    <w:rsid w:val="00C46A5E"/>
    <w:rsid w:val="00C46DCC"/>
    <w:rsid w:val="00C47624"/>
    <w:rsid w:val="00C50952"/>
    <w:rsid w:val="00C50D5D"/>
    <w:rsid w:val="00C51707"/>
    <w:rsid w:val="00C524AD"/>
    <w:rsid w:val="00C52B97"/>
    <w:rsid w:val="00C53795"/>
    <w:rsid w:val="00C545D5"/>
    <w:rsid w:val="00C54E7B"/>
    <w:rsid w:val="00C54F52"/>
    <w:rsid w:val="00C5588D"/>
    <w:rsid w:val="00C56A2E"/>
    <w:rsid w:val="00C5709E"/>
    <w:rsid w:val="00C5714A"/>
    <w:rsid w:val="00C60936"/>
    <w:rsid w:val="00C61208"/>
    <w:rsid w:val="00C6138D"/>
    <w:rsid w:val="00C6194A"/>
    <w:rsid w:val="00C62163"/>
    <w:rsid w:val="00C62D48"/>
    <w:rsid w:val="00C631EB"/>
    <w:rsid w:val="00C644BF"/>
    <w:rsid w:val="00C6601C"/>
    <w:rsid w:val="00C66041"/>
    <w:rsid w:val="00C66243"/>
    <w:rsid w:val="00C66F28"/>
    <w:rsid w:val="00C678BE"/>
    <w:rsid w:val="00C70659"/>
    <w:rsid w:val="00C71D94"/>
    <w:rsid w:val="00C721B5"/>
    <w:rsid w:val="00C7279A"/>
    <w:rsid w:val="00C7454B"/>
    <w:rsid w:val="00C74616"/>
    <w:rsid w:val="00C746DA"/>
    <w:rsid w:val="00C748CC"/>
    <w:rsid w:val="00C750F0"/>
    <w:rsid w:val="00C757C4"/>
    <w:rsid w:val="00C76218"/>
    <w:rsid w:val="00C764F6"/>
    <w:rsid w:val="00C767AD"/>
    <w:rsid w:val="00C76B28"/>
    <w:rsid w:val="00C77DFF"/>
    <w:rsid w:val="00C80210"/>
    <w:rsid w:val="00C80895"/>
    <w:rsid w:val="00C81197"/>
    <w:rsid w:val="00C811EA"/>
    <w:rsid w:val="00C81436"/>
    <w:rsid w:val="00C814A2"/>
    <w:rsid w:val="00C81D9F"/>
    <w:rsid w:val="00C81DEB"/>
    <w:rsid w:val="00C822BB"/>
    <w:rsid w:val="00C8385E"/>
    <w:rsid w:val="00C8417C"/>
    <w:rsid w:val="00C84771"/>
    <w:rsid w:val="00C84ACE"/>
    <w:rsid w:val="00C84F27"/>
    <w:rsid w:val="00C86CD7"/>
    <w:rsid w:val="00C871B0"/>
    <w:rsid w:val="00C87467"/>
    <w:rsid w:val="00C8779E"/>
    <w:rsid w:val="00C87B6A"/>
    <w:rsid w:val="00C87D26"/>
    <w:rsid w:val="00C905B6"/>
    <w:rsid w:val="00C90F5E"/>
    <w:rsid w:val="00C91118"/>
    <w:rsid w:val="00C91354"/>
    <w:rsid w:val="00C91641"/>
    <w:rsid w:val="00C91A42"/>
    <w:rsid w:val="00C91C84"/>
    <w:rsid w:val="00C93038"/>
    <w:rsid w:val="00C93240"/>
    <w:rsid w:val="00C943B2"/>
    <w:rsid w:val="00C95525"/>
    <w:rsid w:val="00C961ED"/>
    <w:rsid w:val="00C96450"/>
    <w:rsid w:val="00C967D8"/>
    <w:rsid w:val="00C96E54"/>
    <w:rsid w:val="00CA06A3"/>
    <w:rsid w:val="00CA0DF2"/>
    <w:rsid w:val="00CA182A"/>
    <w:rsid w:val="00CA3682"/>
    <w:rsid w:val="00CA3832"/>
    <w:rsid w:val="00CA3AF7"/>
    <w:rsid w:val="00CA42B6"/>
    <w:rsid w:val="00CA43FC"/>
    <w:rsid w:val="00CA4464"/>
    <w:rsid w:val="00CA5489"/>
    <w:rsid w:val="00CA6042"/>
    <w:rsid w:val="00CA6338"/>
    <w:rsid w:val="00CA656B"/>
    <w:rsid w:val="00CA65BD"/>
    <w:rsid w:val="00CA66D7"/>
    <w:rsid w:val="00CA6943"/>
    <w:rsid w:val="00CA6D0B"/>
    <w:rsid w:val="00CA791B"/>
    <w:rsid w:val="00CA791E"/>
    <w:rsid w:val="00CA79DD"/>
    <w:rsid w:val="00CB15B4"/>
    <w:rsid w:val="00CB33FF"/>
    <w:rsid w:val="00CB3945"/>
    <w:rsid w:val="00CB3C9E"/>
    <w:rsid w:val="00CB4966"/>
    <w:rsid w:val="00CB4FFE"/>
    <w:rsid w:val="00CB60D5"/>
    <w:rsid w:val="00CB61F8"/>
    <w:rsid w:val="00CB66D4"/>
    <w:rsid w:val="00CB6A4D"/>
    <w:rsid w:val="00CB6CE0"/>
    <w:rsid w:val="00CB7303"/>
    <w:rsid w:val="00CC0563"/>
    <w:rsid w:val="00CC1C83"/>
    <w:rsid w:val="00CC26BC"/>
    <w:rsid w:val="00CC2A70"/>
    <w:rsid w:val="00CC30D8"/>
    <w:rsid w:val="00CC31DF"/>
    <w:rsid w:val="00CC4B4F"/>
    <w:rsid w:val="00CC4DDE"/>
    <w:rsid w:val="00CC51C2"/>
    <w:rsid w:val="00CC5434"/>
    <w:rsid w:val="00CC559A"/>
    <w:rsid w:val="00CC5C9F"/>
    <w:rsid w:val="00CC6B7D"/>
    <w:rsid w:val="00CC6FC3"/>
    <w:rsid w:val="00CC7071"/>
    <w:rsid w:val="00CC7F93"/>
    <w:rsid w:val="00CD144E"/>
    <w:rsid w:val="00CD187F"/>
    <w:rsid w:val="00CD27C8"/>
    <w:rsid w:val="00CD4C02"/>
    <w:rsid w:val="00CD4CDF"/>
    <w:rsid w:val="00CD5372"/>
    <w:rsid w:val="00CD632B"/>
    <w:rsid w:val="00CD6CC8"/>
    <w:rsid w:val="00CE0311"/>
    <w:rsid w:val="00CE0354"/>
    <w:rsid w:val="00CE0850"/>
    <w:rsid w:val="00CE0BD0"/>
    <w:rsid w:val="00CE1643"/>
    <w:rsid w:val="00CE1B8C"/>
    <w:rsid w:val="00CE2308"/>
    <w:rsid w:val="00CE2AAA"/>
    <w:rsid w:val="00CE4AE8"/>
    <w:rsid w:val="00CE5D9E"/>
    <w:rsid w:val="00CE609B"/>
    <w:rsid w:val="00CE6938"/>
    <w:rsid w:val="00CE6D59"/>
    <w:rsid w:val="00CF01DC"/>
    <w:rsid w:val="00CF040A"/>
    <w:rsid w:val="00CF09FC"/>
    <w:rsid w:val="00CF1AAA"/>
    <w:rsid w:val="00CF343A"/>
    <w:rsid w:val="00CF364A"/>
    <w:rsid w:val="00CF44FA"/>
    <w:rsid w:val="00CF4F02"/>
    <w:rsid w:val="00CF4FB2"/>
    <w:rsid w:val="00CF6C27"/>
    <w:rsid w:val="00CF7821"/>
    <w:rsid w:val="00CF7FBA"/>
    <w:rsid w:val="00D001F6"/>
    <w:rsid w:val="00D0068E"/>
    <w:rsid w:val="00D03FA0"/>
    <w:rsid w:val="00D045FA"/>
    <w:rsid w:val="00D0491D"/>
    <w:rsid w:val="00D058D8"/>
    <w:rsid w:val="00D05C46"/>
    <w:rsid w:val="00D05FBC"/>
    <w:rsid w:val="00D079F1"/>
    <w:rsid w:val="00D10A79"/>
    <w:rsid w:val="00D117D6"/>
    <w:rsid w:val="00D11B6D"/>
    <w:rsid w:val="00D13817"/>
    <w:rsid w:val="00D14362"/>
    <w:rsid w:val="00D150DD"/>
    <w:rsid w:val="00D152FD"/>
    <w:rsid w:val="00D15421"/>
    <w:rsid w:val="00D161E9"/>
    <w:rsid w:val="00D16215"/>
    <w:rsid w:val="00D163C6"/>
    <w:rsid w:val="00D163EA"/>
    <w:rsid w:val="00D16D90"/>
    <w:rsid w:val="00D16EA6"/>
    <w:rsid w:val="00D17953"/>
    <w:rsid w:val="00D17DC9"/>
    <w:rsid w:val="00D208BC"/>
    <w:rsid w:val="00D211AE"/>
    <w:rsid w:val="00D212E1"/>
    <w:rsid w:val="00D2153A"/>
    <w:rsid w:val="00D222D3"/>
    <w:rsid w:val="00D2267A"/>
    <w:rsid w:val="00D23BB5"/>
    <w:rsid w:val="00D23BC0"/>
    <w:rsid w:val="00D23BD2"/>
    <w:rsid w:val="00D23CC3"/>
    <w:rsid w:val="00D25866"/>
    <w:rsid w:val="00D26F74"/>
    <w:rsid w:val="00D27410"/>
    <w:rsid w:val="00D276CA"/>
    <w:rsid w:val="00D303BB"/>
    <w:rsid w:val="00D306C6"/>
    <w:rsid w:val="00D3139B"/>
    <w:rsid w:val="00D31BCC"/>
    <w:rsid w:val="00D31D77"/>
    <w:rsid w:val="00D32DAB"/>
    <w:rsid w:val="00D33A1A"/>
    <w:rsid w:val="00D3418A"/>
    <w:rsid w:val="00D35106"/>
    <w:rsid w:val="00D36331"/>
    <w:rsid w:val="00D36EDB"/>
    <w:rsid w:val="00D403D2"/>
    <w:rsid w:val="00D40B6E"/>
    <w:rsid w:val="00D41932"/>
    <w:rsid w:val="00D42066"/>
    <w:rsid w:val="00D4251B"/>
    <w:rsid w:val="00D42965"/>
    <w:rsid w:val="00D42DAC"/>
    <w:rsid w:val="00D435B0"/>
    <w:rsid w:val="00D44090"/>
    <w:rsid w:val="00D4476D"/>
    <w:rsid w:val="00D44CF5"/>
    <w:rsid w:val="00D45316"/>
    <w:rsid w:val="00D46228"/>
    <w:rsid w:val="00D467BD"/>
    <w:rsid w:val="00D47908"/>
    <w:rsid w:val="00D5008E"/>
    <w:rsid w:val="00D50A29"/>
    <w:rsid w:val="00D50BA9"/>
    <w:rsid w:val="00D51109"/>
    <w:rsid w:val="00D51CC6"/>
    <w:rsid w:val="00D51EC8"/>
    <w:rsid w:val="00D530F9"/>
    <w:rsid w:val="00D53798"/>
    <w:rsid w:val="00D54364"/>
    <w:rsid w:val="00D54400"/>
    <w:rsid w:val="00D5467A"/>
    <w:rsid w:val="00D5470B"/>
    <w:rsid w:val="00D549ED"/>
    <w:rsid w:val="00D5575C"/>
    <w:rsid w:val="00D558E6"/>
    <w:rsid w:val="00D55C33"/>
    <w:rsid w:val="00D57E32"/>
    <w:rsid w:val="00D6066B"/>
    <w:rsid w:val="00D61B45"/>
    <w:rsid w:val="00D61EBA"/>
    <w:rsid w:val="00D62B4C"/>
    <w:rsid w:val="00D62C74"/>
    <w:rsid w:val="00D63F8F"/>
    <w:rsid w:val="00D642FC"/>
    <w:rsid w:val="00D655B3"/>
    <w:rsid w:val="00D65658"/>
    <w:rsid w:val="00D65C23"/>
    <w:rsid w:val="00D66E52"/>
    <w:rsid w:val="00D679DC"/>
    <w:rsid w:val="00D67D6E"/>
    <w:rsid w:val="00D70667"/>
    <w:rsid w:val="00D70839"/>
    <w:rsid w:val="00D718A1"/>
    <w:rsid w:val="00D72D81"/>
    <w:rsid w:val="00D7331A"/>
    <w:rsid w:val="00D74693"/>
    <w:rsid w:val="00D74A5E"/>
    <w:rsid w:val="00D762C0"/>
    <w:rsid w:val="00D76947"/>
    <w:rsid w:val="00D76B25"/>
    <w:rsid w:val="00D7755E"/>
    <w:rsid w:val="00D80213"/>
    <w:rsid w:val="00D802BC"/>
    <w:rsid w:val="00D80373"/>
    <w:rsid w:val="00D80398"/>
    <w:rsid w:val="00D80E30"/>
    <w:rsid w:val="00D813CF"/>
    <w:rsid w:val="00D81438"/>
    <w:rsid w:val="00D81A39"/>
    <w:rsid w:val="00D82147"/>
    <w:rsid w:val="00D833F6"/>
    <w:rsid w:val="00D83606"/>
    <w:rsid w:val="00D83DA5"/>
    <w:rsid w:val="00D854E7"/>
    <w:rsid w:val="00D85DCD"/>
    <w:rsid w:val="00D874E4"/>
    <w:rsid w:val="00D900C1"/>
    <w:rsid w:val="00D918A5"/>
    <w:rsid w:val="00D92336"/>
    <w:rsid w:val="00D9296A"/>
    <w:rsid w:val="00D932D5"/>
    <w:rsid w:val="00D93D18"/>
    <w:rsid w:val="00D940D2"/>
    <w:rsid w:val="00D94DE2"/>
    <w:rsid w:val="00D95376"/>
    <w:rsid w:val="00D96371"/>
    <w:rsid w:val="00D976A7"/>
    <w:rsid w:val="00D977AB"/>
    <w:rsid w:val="00DA03F9"/>
    <w:rsid w:val="00DA16CD"/>
    <w:rsid w:val="00DA29DC"/>
    <w:rsid w:val="00DA3290"/>
    <w:rsid w:val="00DA34C7"/>
    <w:rsid w:val="00DA3D7D"/>
    <w:rsid w:val="00DA650D"/>
    <w:rsid w:val="00DB15EE"/>
    <w:rsid w:val="00DB190A"/>
    <w:rsid w:val="00DB1AB7"/>
    <w:rsid w:val="00DB1D87"/>
    <w:rsid w:val="00DB3779"/>
    <w:rsid w:val="00DB460F"/>
    <w:rsid w:val="00DB5171"/>
    <w:rsid w:val="00DB52D5"/>
    <w:rsid w:val="00DB60F5"/>
    <w:rsid w:val="00DB633E"/>
    <w:rsid w:val="00DB696B"/>
    <w:rsid w:val="00DB7565"/>
    <w:rsid w:val="00DB7693"/>
    <w:rsid w:val="00DC07D6"/>
    <w:rsid w:val="00DC21FE"/>
    <w:rsid w:val="00DC27AB"/>
    <w:rsid w:val="00DC2BBF"/>
    <w:rsid w:val="00DC3D95"/>
    <w:rsid w:val="00DC4B02"/>
    <w:rsid w:val="00DC4C15"/>
    <w:rsid w:val="00DC6A88"/>
    <w:rsid w:val="00DC6FBD"/>
    <w:rsid w:val="00DD02D7"/>
    <w:rsid w:val="00DD0DEB"/>
    <w:rsid w:val="00DD0DF5"/>
    <w:rsid w:val="00DD0F3E"/>
    <w:rsid w:val="00DD0F9F"/>
    <w:rsid w:val="00DD27B4"/>
    <w:rsid w:val="00DD2947"/>
    <w:rsid w:val="00DD29ED"/>
    <w:rsid w:val="00DD2AE1"/>
    <w:rsid w:val="00DD337B"/>
    <w:rsid w:val="00DD35DC"/>
    <w:rsid w:val="00DD392E"/>
    <w:rsid w:val="00DD4172"/>
    <w:rsid w:val="00DD609F"/>
    <w:rsid w:val="00DD60A1"/>
    <w:rsid w:val="00DD698A"/>
    <w:rsid w:val="00DD69C4"/>
    <w:rsid w:val="00DD6C53"/>
    <w:rsid w:val="00DD78D2"/>
    <w:rsid w:val="00DE10EF"/>
    <w:rsid w:val="00DE1143"/>
    <w:rsid w:val="00DE1154"/>
    <w:rsid w:val="00DE241A"/>
    <w:rsid w:val="00DE2E5C"/>
    <w:rsid w:val="00DE44A5"/>
    <w:rsid w:val="00DE47ED"/>
    <w:rsid w:val="00DE49E5"/>
    <w:rsid w:val="00DE5D1C"/>
    <w:rsid w:val="00DE5E2C"/>
    <w:rsid w:val="00DE6614"/>
    <w:rsid w:val="00DE68D0"/>
    <w:rsid w:val="00DE6C93"/>
    <w:rsid w:val="00DE7920"/>
    <w:rsid w:val="00DF00BE"/>
    <w:rsid w:val="00DF13B0"/>
    <w:rsid w:val="00DF153C"/>
    <w:rsid w:val="00DF2787"/>
    <w:rsid w:val="00DF299E"/>
    <w:rsid w:val="00DF4AD7"/>
    <w:rsid w:val="00DF570F"/>
    <w:rsid w:val="00DF60C3"/>
    <w:rsid w:val="00DF6131"/>
    <w:rsid w:val="00DF6623"/>
    <w:rsid w:val="00DF791D"/>
    <w:rsid w:val="00DF7D49"/>
    <w:rsid w:val="00E0028B"/>
    <w:rsid w:val="00E00B5C"/>
    <w:rsid w:val="00E0130D"/>
    <w:rsid w:val="00E01616"/>
    <w:rsid w:val="00E02595"/>
    <w:rsid w:val="00E0425B"/>
    <w:rsid w:val="00E043E2"/>
    <w:rsid w:val="00E04462"/>
    <w:rsid w:val="00E044E9"/>
    <w:rsid w:val="00E051E0"/>
    <w:rsid w:val="00E05773"/>
    <w:rsid w:val="00E05C50"/>
    <w:rsid w:val="00E060B5"/>
    <w:rsid w:val="00E0625F"/>
    <w:rsid w:val="00E064B1"/>
    <w:rsid w:val="00E065A4"/>
    <w:rsid w:val="00E06D60"/>
    <w:rsid w:val="00E07A07"/>
    <w:rsid w:val="00E07DEE"/>
    <w:rsid w:val="00E10087"/>
    <w:rsid w:val="00E1021C"/>
    <w:rsid w:val="00E10DFB"/>
    <w:rsid w:val="00E10FE9"/>
    <w:rsid w:val="00E11289"/>
    <w:rsid w:val="00E11B8E"/>
    <w:rsid w:val="00E122C2"/>
    <w:rsid w:val="00E126D8"/>
    <w:rsid w:val="00E12A79"/>
    <w:rsid w:val="00E13146"/>
    <w:rsid w:val="00E13DA6"/>
    <w:rsid w:val="00E14467"/>
    <w:rsid w:val="00E14723"/>
    <w:rsid w:val="00E15A89"/>
    <w:rsid w:val="00E15CB1"/>
    <w:rsid w:val="00E15CFE"/>
    <w:rsid w:val="00E16D3A"/>
    <w:rsid w:val="00E16E55"/>
    <w:rsid w:val="00E203A8"/>
    <w:rsid w:val="00E205D3"/>
    <w:rsid w:val="00E20F39"/>
    <w:rsid w:val="00E2159B"/>
    <w:rsid w:val="00E2226A"/>
    <w:rsid w:val="00E228D4"/>
    <w:rsid w:val="00E22CCE"/>
    <w:rsid w:val="00E234DF"/>
    <w:rsid w:val="00E24FBC"/>
    <w:rsid w:val="00E25F6E"/>
    <w:rsid w:val="00E2627E"/>
    <w:rsid w:val="00E263E7"/>
    <w:rsid w:val="00E26815"/>
    <w:rsid w:val="00E272B6"/>
    <w:rsid w:val="00E2738C"/>
    <w:rsid w:val="00E27A2D"/>
    <w:rsid w:val="00E27F8B"/>
    <w:rsid w:val="00E30287"/>
    <w:rsid w:val="00E306C0"/>
    <w:rsid w:val="00E3093F"/>
    <w:rsid w:val="00E30C7D"/>
    <w:rsid w:val="00E31126"/>
    <w:rsid w:val="00E3120D"/>
    <w:rsid w:val="00E32063"/>
    <w:rsid w:val="00E32344"/>
    <w:rsid w:val="00E33B37"/>
    <w:rsid w:val="00E33C6D"/>
    <w:rsid w:val="00E366E0"/>
    <w:rsid w:val="00E367D0"/>
    <w:rsid w:val="00E370C5"/>
    <w:rsid w:val="00E379D1"/>
    <w:rsid w:val="00E37C94"/>
    <w:rsid w:val="00E4148B"/>
    <w:rsid w:val="00E4168E"/>
    <w:rsid w:val="00E421B1"/>
    <w:rsid w:val="00E4263A"/>
    <w:rsid w:val="00E428E4"/>
    <w:rsid w:val="00E42FF2"/>
    <w:rsid w:val="00E432F2"/>
    <w:rsid w:val="00E44587"/>
    <w:rsid w:val="00E4552A"/>
    <w:rsid w:val="00E4577B"/>
    <w:rsid w:val="00E45965"/>
    <w:rsid w:val="00E461C2"/>
    <w:rsid w:val="00E470F7"/>
    <w:rsid w:val="00E50CF9"/>
    <w:rsid w:val="00E510B0"/>
    <w:rsid w:val="00E513B3"/>
    <w:rsid w:val="00E51959"/>
    <w:rsid w:val="00E51AE3"/>
    <w:rsid w:val="00E52937"/>
    <w:rsid w:val="00E53F3C"/>
    <w:rsid w:val="00E543B9"/>
    <w:rsid w:val="00E54943"/>
    <w:rsid w:val="00E54D74"/>
    <w:rsid w:val="00E54E6D"/>
    <w:rsid w:val="00E5603C"/>
    <w:rsid w:val="00E560C8"/>
    <w:rsid w:val="00E56EE3"/>
    <w:rsid w:val="00E60248"/>
    <w:rsid w:val="00E60C5C"/>
    <w:rsid w:val="00E60C9C"/>
    <w:rsid w:val="00E60D76"/>
    <w:rsid w:val="00E6105E"/>
    <w:rsid w:val="00E629B6"/>
    <w:rsid w:val="00E636FD"/>
    <w:rsid w:val="00E63BA3"/>
    <w:rsid w:val="00E64431"/>
    <w:rsid w:val="00E646FE"/>
    <w:rsid w:val="00E653B4"/>
    <w:rsid w:val="00E65A09"/>
    <w:rsid w:val="00E660AD"/>
    <w:rsid w:val="00E66162"/>
    <w:rsid w:val="00E66DA7"/>
    <w:rsid w:val="00E66E35"/>
    <w:rsid w:val="00E67078"/>
    <w:rsid w:val="00E67308"/>
    <w:rsid w:val="00E6776E"/>
    <w:rsid w:val="00E67F8D"/>
    <w:rsid w:val="00E67F9E"/>
    <w:rsid w:val="00E7001B"/>
    <w:rsid w:val="00E70ADB"/>
    <w:rsid w:val="00E70BCE"/>
    <w:rsid w:val="00E719EE"/>
    <w:rsid w:val="00E71EDB"/>
    <w:rsid w:val="00E72BD7"/>
    <w:rsid w:val="00E72F0A"/>
    <w:rsid w:val="00E73E01"/>
    <w:rsid w:val="00E74DA5"/>
    <w:rsid w:val="00E74F78"/>
    <w:rsid w:val="00E7565A"/>
    <w:rsid w:val="00E762F7"/>
    <w:rsid w:val="00E76436"/>
    <w:rsid w:val="00E76DE6"/>
    <w:rsid w:val="00E770B5"/>
    <w:rsid w:val="00E80D2C"/>
    <w:rsid w:val="00E81699"/>
    <w:rsid w:val="00E8176D"/>
    <w:rsid w:val="00E824DA"/>
    <w:rsid w:val="00E82645"/>
    <w:rsid w:val="00E82BC9"/>
    <w:rsid w:val="00E839CD"/>
    <w:rsid w:val="00E83B87"/>
    <w:rsid w:val="00E84320"/>
    <w:rsid w:val="00E84517"/>
    <w:rsid w:val="00E859D8"/>
    <w:rsid w:val="00E85BDB"/>
    <w:rsid w:val="00E861F6"/>
    <w:rsid w:val="00E86FD9"/>
    <w:rsid w:val="00E87BFD"/>
    <w:rsid w:val="00E90040"/>
    <w:rsid w:val="00E9240A"/>
    <w:rsid w:val="00E92C12"/>
    <w:rsid w:val="00E92D77"/>
    <w:rsid w:val="00E93A4A"/>
    <w:rsid w:val="00E93AB4"/>
    <w:rsid w:val="00E94A52"/>
    <w:rsid w:val="00E94BFB"/>
    <w:rsid w:val="00E95990"/>
    <w:rsid w:val="00E95B3D"/>
    <w:rsid w:val="00E95CDA"/>
    <w:rsid w:val="00E967A4"/>
    <w:rsid w:val="00E96BA4"/>
    <w:rsid w:val="00E96C0A"/>
    <w:rsid w:val="00E97344"/>
    <w:rsid w:val="00E97771"/>
    <w:rsid w:val="00E97930"/>
    <w:rsid w:val="00EA17B1"/>
    <w:rsid w:val="00EA1ADE"/>
    <w:rsid w:val="00EA1F3E"/>
    <w:rsid w:val="00EA20A0"/>
    <w:rsid w:val="00EA21E1"/>
    <w:rsid w:val="00EA337C"/>
    <w:rsid w:val="00EA38B4"/>
    <w:rsid w:val="00EA49A6"/>
    <w:rsid w:val="00EA4B70"/>
    <w:rsid w:val="00EA51AA"/>
    <w:rsid w:val="00EA5210"/>
    <w:rsid w:val="00EA525A"/>
    <w:rsid w:val="00EA5260"/>
    <w:rsid w:val="00EA55D3"/>
    <w:rsid w:val="00EA6100"/>
    <w:rsid w:val="00EA6277"/>
    <w:rsid w:val="00EA6B6B"/>
    <w:rsid w:val="00EA7A85"/>
    <w:rsid w:val="00EB1625"/>
    <w:rsid w:val="00EB1779"/>
    <w:rsid w:val="00EB2239"/>
    <w:rsid w:val="00EB2300"/>
    <w:rsid w:val="00EB2681"/>
    <w:rsid w:val="00EB2D17"/>
    <w:rsid w:val="00EB3544"/>
    <w:rsid w:val="00EB4B27"/>
    <w:rsid w:val="00EB4C1C"/>
    <w:rsid w:val="00EB4E3E"/>
    <w:rsid w:val="00EB52F4"/>
    <w:rsid w:val="00EB5842"/>
    <w:rsid w:val="00EB5E06"/>
    <w:rsid w:val="00EB6637"/>
    <w:rsid w:val="00EB7361"/>
    <w:rsid w:val="00EB738E"/>
    <w:rsid w:val="00EC01C3"/>
    <w:rsid w:val="00EC01D7"/>
    <w:rsid w:val="00EC0549"/>
    <w:rsid w:val="00EC069C"/>
    <w:rsid w:val="00EC1479"/>
    <w:rsid w:val="00EC2AC0"/>
    <w:rsid w:val="00EC2E0C"/>
    <w:rsid w:val="00EC307D"/>
    <w:rsid w:val="00EC3550"/>
    <w:rsid w:val="00EC411B"/>
    <w:rsid w:val="00EC4730"/>
    <w:rsid w:val="00EC486A"/>
    <w:rsid w:val="00EC5619"/>
    <w:rsid w:val="00EC5D9D"/>
    <w:rsid w:val="00ED1C0C"/>
    <w:rsid w:val="00ED1DA1"/>
    <w:rsid w:val="00ED3816"/>
    <w:rsid w:val="00ED3CF4"/>
    <w:rsid w:val="00ED3D60"/>
    <w:rsid w:val="00ED4563"/>
    <w:rsid w:val="00ED4C52"/>
    <w:rsid w:val="00ED5240"/>
    <w:rsid w:val="00ED5A39"/>
    <w:rsid w:val="00ED6620"/>
    <w:rsid w:val="00ED69B2"/>
    <w:rsid w:val="00ED77C1"/>
    <w:rsid w:val="00ED7F27"/>
    <w:rsid w:val="00EE117B"/>
    <w:rsid w:val="00EE1A75"/>
    <w:rsid w:val="00EE1B31"/>
    <w:rsid w:val="00EE2605"/>
    <w:rsid w:val="00EE2AAD"/>
    <w:rsid w:val="00EE3254"/>
    <w:rsid w:val="00EE3D68"/>
    <w:rsid w:val="00EE4227"/>
    <w:rsid w:val="00EE4BA1"/>
    <w:rsid w:val="00EE4C89"/>
    <w:rsid w:val="00EE53D9"/>
    <w:rsid w:val="00EE5DE5"/>
    <w:rsid w:val="00EE5F18"/>
    <w:rsid w:val="00EE62F0"/>
    <w:rsid w:val="00EE7B17"/>
    <w:rsid w:val="00EF0930"/>
    <w:rsid w:val="00EF0ADB"/>
    <w:rsid w:val="00EF1142"/>
    <w:rsid w:val="00EF178D"/>
    <w:rsid w:val="00EF2164"/>
    <w:rsid w:val="00EF23DF"/>
    <w:rsid w:val="00EF28A2"/>
    <w:rsid w:val="00EF3981"/>
    <w:rsid w:val="00EF3FD7"/>
    <w:rsid w:val="00EF42D4"/>
    <w:rsid w:val="00EF4358"/>
    <w:rsid w:val="00EF544F"/>
    <w:rsid w:val="00EF563A"/>
    <w:rsid w:val="00EF5D5E"/>
    <w:rsid w:val="00EF5D7F"/>
    <w:rsid w:val="00EF5E1F"/>
    <w:rsid w:val="00EF67E3"/>
    <w:rsid w:val="00EF6F00"/>
    <w:rsid w:val="00EF793C"/>
    <w:rsid w:val="00EF7B6F"/>
    <w:rsid w:val="00EF7FED"/>
    <w:rsid w:val="00F00109"/>
    <w:rsid w:val="00F008B1"/>
    <w:rsid w:val="00F01052"/>
    <w:rsid w:val="00F019C9"/>
    <w:rsid w:val="00F01CE7"/>
    <w:rsid w:val="00F02904"/>
    <w:rsid w:val="00F03EB5"/>
    <w:rsid w:val="00F04429"/>
    <w:rsid w:val="00F0501B"/>
    <w:rsid w:val="00F054B2"/>
    <w:rsid w:val="00F0553E"/>
    <w:rsid w:val="00F057BD"/>
    <w:rsid w:val="00F100E1"/>
    <w:rsid w:val="00F10C4C"/>
    <w:rsid w:val="00F119C6"/>
    <w:rsid w:val="00F11E65"/>
    <w:rsid w:val="00F122FB"/>
    <w:rsid w:val="00F12CD7"/>
    <w:rsid w:val="00F13466"/>
    <w:rsid w:val="00F151DF"/>
    <w:rsid w:val="00F155AF"/>
    <w:rsid w:val="00F15CC9"/>
    <w:rsid w:val="00F15E53"/>
    <w:rsid w:val="00F1725C"/>
    <w:rsid w:val="00F17EB9"/>
    <w:rsid w:val="00F20401"/>
    <w:rsid w:val="00F208B3"/>
    <w:rsid w:val="00F2117A"/>
    <w:rsid w:val="00F21C7D"/>
    <w:rsid w:val="00F22852"/>
    <w:rsid w:val="00F23267"/>
    <w:rsid w:val="00F23EC4"/>
    <w:rsid w:val="00F2482A"/>
    <w:rsid w:val="00F24AD9"/>
    <w:rsid w:val="00F24B73"/>
    <w:rsid w:val="00F252CD"/>
    <w:rsid w:val="00F25B07"/>
    <w:rsid w:val="00F25B9C"/>
    <w:rsid w:val="00F26362"/>
    <w:rsid w:val="00F26917"/>
    <w:rsid w:val="00F271F0"/>
    <w:rsid w:val="00F30412"/>
    <w:rsid w:val="00F3231E"/>
    <w:rsid w:val="00F33452"/>
    <w:rsid w:val="00F34BD2"/>
    <w:rsid w:val="00F34BD3"/>
    <w:rsid w:val="00F34DE0"/>
    <w:rsid w:val="00F35D13"/>
    <w:rsid w:val="00F36CD3"/>
    <w:rsid w:val="00F36F6A"/>
    <w:rsid w:val="00F37045"/>
    <w:rsid w:val="00F40254"/>
    <w:rsid w:val="00F4171D"/>
    <w:rsid w:val="00F437A2"/>
    <w:rsid w:val="00F43A25"/>
    <w:rsid w:val="00F4581C"/>
    <w:rsid w:val="00F45BB0"/>
    <w:rsid w:val="00F47552"/>
    <w:rsid w:val="00F47DC0"/>
    <w:rsid w:val="00F509C4"/>
    <w:rsid w:val="00F50A42"/>
    <w:rsid w:val="00F525B1"/>
    <w:rsid w:val="00F53B3B"/>
    <w:rsid w:val="00F542E3"/>
    <w:rsid w:val="00F551B4"/>
    <w:rsid w:val="00F55494"/>
    <w:rsid w:val="00F55B71"/>
    <w:rsid w:val="00F564DE"/>
    <w:rsid w:val="00F56DB4"/>
    <w:rsid w:val="00F56EAA"/>
    <w:rsid w:val="00F56FFF"/>
    <w:rsid w:val="00F5732B"/>
    <w:rsid w:val="00F602B0"/>
    <w:rsid w:val="00F606C0"/>
    <w:rsid w:val="00F60706"/>
    <w:rsid w:val="00F60746"/>
    <w:rsid w:val="00F60B83"/>
    <w:rsid w:val="00F62211"/>
    <w:rsid w:val="00F638AD"/>
    <w:rsid w:val="00F640FF"/>
    <w:rsid w:val="00F64425"/>
    <w:rsid w:val="00F64BDA"/>
    <w:rsid w:val="00F65026"/>
    <w:rsid w:val="00F65204"/>
    <w:rsid w:val="00F659E4"/>
    <w:rsid w:val="00F65AA1"/>
    <w:rsid w:val="00F65C76"/>
    <w:rsid w:val="00F65E3C"/>
    <w:rsid w:val="00F6724C"/>
    <w:rsid w:val="00F7056A"/>
    <w:rsid w:val="00F70D66"/>
    <w:rsid w:val="00F70FDC"/>
    <w:rsid w:val="00F71A37"/>
    <w:rsid w:val="00F726D9"/>
    <w:rsid w:val="00F736F0"/>
    <w:rsid w:val="00F73931"/>
    <w:rsid w:val="00F742DF"/>
    <w:rsid w:val="00F74623"/>
    <w:rsid w:val="00F74708"/>
    <w:rsid w:val="00F74741"/>
    <w:rsid w:val="00F7562C"/>
    <w:rsid w:val="00F76426"/>
    <w:rsid w:val="00F764D2"/>
    <w:rsid w:val="00F76987"/>
    <w:rsid w:val="00F774BE"/>
    <w:rsid w:val="00F80A58"/>
    <w:rsid w:val="00F819BA"/>
    <w:rsid w:val="00F83BEF"/>
    <w:rsid w:val="00F83CC2"/>
    <w:rsid w:val="00F859CE"/>
    <w:rsid w:val="00F860D8"/>
    <w:rsid w:val="00F86B46"/>
    <w:rsid w:val="00F87248"/>
    <w:rsid w:val="00F901EB"/>
    <w:rsid w:val="00F904C5"/>
    <w:rsid w:val="00F906D9"/>
    <w:rsid w:val="00F907D3"/>
    <w:rsid w:val="00F90876"/>
    <w:rsid w:val="00F90E87"/>
    <w:rsid w:val="00F910DC"/>
    <w:rsid w:val="00F917B0"/>
    <w:rsid w:val="00F92BCA"/>
    <w:rsid w:val="00F932BD"/>
    <w:rsid w:val="00F93D51"/>
    <w:rsid w:val="00F94EAC"/>
    <w:rsid w:val="00F9508D"/>
    <w:rsid w:val="00F95B9F"/>
    <w:rsid w:val="00F9641D"/>
    <w:rsid w:val="00F974AF"/>
    <w:rsid w:val="00FA00FF"/>
    <w:rsid w:val="00FA146B"/>
    <w:rsid w:val="00FA2280"/>
    <w:rsid w:val="00FA233B"/>
    <w:rsid w:val="00FA29EE"/>
    <w:rsid w:val="00FA2CED"/>
    <w:rsid w:val="00FA3054"/>
    <w:rsid w:val="00FA346E"/>
    <w:rsid w:val="00FA38C5"/>
    <w:rsid w:val="00FA45EB"/>
    <w:rsid w:val="00FA4CEA"/>
    <w:rsid w:val="00FA4D1E"/>
    <w:rsid w:val="00FA50B5"/>
    <w:rsid w:val="00FA6784"/>
    <w:rsid w:val="00FA692C"/>
    <w:rsid w:val="00FA6B60"/>
    <w:rsid w:val="00FA77F7"/>
    <w:rsid w:val="00FB0268"/>
    <w:rsid w:val="00FB0B9A"/>
    <w:rsid w:val="00FB0FF2"/>
    <w:rsid w:val="00FB156D"/>
    <w:rsid w:val="00FB15A1"/>
    <w:rsid w:val="00FB198E"/>
    <w:rsid w:val="00FB1A51"/>
    <w:rsid w:val="00FB1BC8"/>
    <w:rsid w:val="00FB1EA9"/>
    <w:rsid w:val="00FB2006"/>
    <w:rsid w:val="00FB2597"/>
    <w:rsid w:val="00FB306A"/>
    <w:rsid w:val="00FB37AB"/>
    <w:rsid w:val="00FB3B6B"/>
    <w:rsid w:val="00FB5BA7"/>
    <w:rsid w:val="00FB7EDC"/>
    <w:rsid w:val="00FB7EF4"/>
    <w:rsid w:val="00FB7F6F"/>
    <w:rsid w:val="00FC03B2"/>
    <w:rsid w:val="00FC10DC"/>
    <w:rsid w:val="00FC129C"/>
    <w:rsid w:val="00FC1AEC"/>
    <w:rsid w:val="00FC1C67"/>
    <w:rsid w:val="00FC1EB4"/>
    <w:rsid w:val="00FC2C98"/>
    <w:rsid w:val="00FC3314"/>
    <w:rsid w:val="00FC3AD6"/>
    <w:rsid w:val="00FC45A2"/>
    <w:rsid w:val="00FC483D"/>
    <w:rsid w:val="00FC4B24"/>
    <w:rsid w:val="00FC58C2"/>
    <w:rsid w:val="00FC5B2E"/>
    <w:rsid w:val="00FC78ED"/>
    <w:rsid w:val="00FD0CD1"/>
    <w:rsid w:val="00FD14C3"/>
    <w:rsid w:val="00FD2718"/>
    <w:rsid w:val="00FD35AF"/>
    <w:rsid w:val="00FD3812"/>
    <w:rsid w:val="00FD64BA"/>
    <w:rsid w:val="00FD65CB"/>
    <w:rsid w:val="00FD6DE6"/>
    <w:rsid w:val="00FD78F2"/>
    <w:rsid w:val="00FE04BB"/>
    <w:rsid w:val="00FE0F55"/>
    <w:rsid w:val="00FE10E4"/>
    <w:rsid w:val="00FE168D"/>
    <w:rsid w:val="00FE17ED"/>
    <w:rsid w:val="00FE1DF0"/>
    <w:rsid w:val="00FE2446"/>
    <w:rsid w:val="00FE25C2"/>
    <w:rsid w:val="00FE2C3F"/>
    <w:rsid w:val="00FE30AD"/>
    <w:rsid w:val="00FE35C0"/>
    <w:rsid w:val="00FE3E2F"/>
    <w:rsid w:val="00FE4B29"/>
    <w:rsid w:val="00FE6142"/>
    <w:rsid w:val="00FE6607"/>
    <w:rsid w:val="00FE66EF"/>
    <w:rsid w:val="00FE6A9C"/>
    <w:rsid w:val="00FE7094"/>
    <w:rsid w:val="00FE74B7"/>
    <w:rsid w:val="00FE7CBD"/>
    <w:rsid w:val="00FE7CBF"/>
    <w:rsid w:val="00FE7E34"/>
    <w:rsid w:val="00FE7E65"/>
    <w:rsid w:val="00FF0947"/>
    <w:rsid w:val="00FF0BE7"/>
    <w:rsid w:val="00FF1704"/>
    <w:rsid w:val="00FF1FC0"/>
    <w:rsid w:val="00FF22DD"/>
    <w:rsid w:val="00FF2876"/>
    <w:rsid w:val="00FF2CC2"/>
    <w:rsid w:val="00FF4C23"/>
    <w:rsid w:val="00FF5A51"/>
    <w:rsid w:val="00FF6769"/>
    <w:rsid w:val="00FF749E"/>
    <w:rsid w:val="00FF7764"/>
    <w:rsid w:val="00FF7A98"/>
    <w:rsid w:val="00FF7BB7"/>
    <w:rsid w:val="00FF7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F7C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EE9"/>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D6620"/>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ED662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D6620"/>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6F444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620"/>
    <w:rPr>
      <w:rFonts w:ascii="Times New Roman" w:eastAsiaTheme="majorEastAsia" w:hAnsi="Times New Roman" w:cstheme="majorBidi"/>
      <w:b/>
      <w:bCs/>
      <w:color w:val="000000" w:themeColor="text1"/>
      <w:sz w:val="24"/>
      <w:szCs w:val="28"/>
      <w:lang w:val="en-GB"/>
    </w:rPr>
  </w:style>
  <w:style w:type="paragraph" w:styleId="BalloonText">
    <w:name w:val="Balloon Text"/>
    <w:basedOn w:val="Normal"/>
    <w:link w:val="BalloonTextChar"/>
    <w:uiPriority w:val="99"/>
    <w:semiHidden/>
    <w:unhideWhenUsed/>
    <w:rsid w:val="006379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968"/>
    <w:rPr>
      <w:rFonts w:ascii="Tahoma" w:hAnsi="Tahoma" w:cs="Tahoma"/>
      <w:sz w:val="16"/>
      <w:szCs w:val="16"/>
    </w:rPr>
  </w:style>
  <w:style w:type="character" w:customStyle="1" w:styleId="apple-converted-space">
    <w:name w:val="apple-converted-space"/>
    <w:basedOn w:val="DefaultParagraphFont"/>
    <w:rsid w:val="00C644BF"/>
  </w:style>
  <w:style w:type="paragraph" w:styleId="Header">
    <w:name w:val="header"/>
    <w:basedOn w:val="Normal"/>
    <w:link w:val="HeaderChar"/>
    <w:uiPriority w:val="99"/>
    <w:unhideWhenUsed/>
    <w:rsid w:val="00F10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0E1"/>
    <w:rPr>
      <w:rFonts w:ascii="Times New Roman" w:hAnsi="Times New Roman"/>
      <w:sz w:val="24"/>
    </w:rPr>
  </w:style>
  <w:style w:type="paragraph" w:styleId="Footer">
    <w:name w:val="footer"/>
    <w:basedOn w:val="Normal"/>
    <w:link w:val="FooterChar"/>
    <w:uiPriority w:val="99"/>
    <w:unhideWhenUsed/>
    <w:rsid w:val="00F10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0E1"/>
    <w:rPr>
      <w:rFonts w:ascii="Times New Roman" w:hAnsi="Times New Roman"/>
      <w:sz w:val="24"/>
    </w:rPr>
  </w:style>
  <w:style w:type="paragraph" w:styleId="TOCHeading">
    <w:name w:val="TOC Heading"/>
    <w:basedOn w:val="Heading1"/>
    <w:next w:val="Normal"/>
    <w:uiPriority w:val="39"/>
    <w:unhideWhenUsed/>
    <w:qFormat/>
    <w:rsid w:val="00F100E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F100E1"/>
    <w:pPr>
      <w:spacing w:after="100"/>
    </w:pPr>
  </w:style>
  <w:style w:type="character" w:styleId="Hyperlink">
    <w:name w:val="Hyperlink"/>
    <w:basedOn w:val="DefaultParagraphFont"/>
    <w:uiPriority w:val="99"/>
    <w:unhideWhenUsed/>
    <w:rsid w:val="00F100E1"/>
    <w:rPr>
      <w:color w:val="0000FF" w:themeColor="hyperlink"/>
      <w:u w:val="single"/>
    </w:rPr>
  </w:style>
  <w:style w:type="character" w:customStyle="1" w:styleId="Heading2Char">
    <w:name w:val="Heading 2 Char"/>
    <w:basedOn w:val="DefaultParagraphFont"/>
    <w:link w:val="Heading2"/>
    <w:uiPriority w:val="9"/>
    <w:rsid w:val="00ED6620"/>
    <w:rPr>
      <w:rFonts w:ascii="Times New Roman" w:eastAsiaTheme="majorEastAsia" w:hAnsi="Times New Roman" w:cstheme="majorBidi"/>
      <w:b/>
      <w:bCs/>
      <w:sz w:val="24"/>
      <w:szCs w:val="26"/>
      <w:lang w:val="en-GB"/>
    </w:rPr>
  </w:style>
  <w:style w:type="paragraph" w:styleId="TOC2">
    <w:name w:val="toc 2"/>
    <w:basedOn w:val="Normal"/>
    <w:next w:val="Normal"/>
    <w:autoRedefine/>
    <w:uiPriority w:val="39"/>
    <w:unhideWhenUsed/>
    <w:rsid w:val="007579D5"/>
    <w:pPr>
      <w:tabs>
        <w:tab w:val="right" w:leader="dot" w:pos="9016"/>
      </w:tabs>
      <w:spacing w:after="100" w:line="276" w:lineRule="auto"/>
      <w:ind w:left="240"/>
    </w:pPr>
  </w:style>
  <w:style w:type="paragraph" w:styleId="ListParagraph">
    <w:name w:val="List Paragraph"/>
    <w:basedOn w:val="Normal"/>
    <w:uiPriority w:val="34"/>
    <w:qFormat/>
    <w:rsid w:val="004171A6"/>
    <w:pPr>
      <w:ind w:left="720"/>
      <w:contextualSpacing/>
    </w:pPr>
  </w:style>
  <w:style w:type="table" w:styleId="TableGrid">
    <w:name w:val="Table Grid"/>
    <w:basedOn w:val="TableNormal"/>
    <w:uiPriority w:val="39"/>
    <w:rsid w:val="00D655B3"/>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ED6620"/>
    <w:rPr>
      <w:rFonts w:ascii="Times New Roman" w:eastAsiaTheme="majorEastAsia" w:hAnsi="Times New Roman" w:cstheme="majorBidi"/>
      <w:b/>
      <w:color w:val="000000" w:themeColor="text1"/>
      <w:sz w:val="24"/>
      <w:szCs w:val="24"/>
      <w:lang w:val="en-GB"/>
    </w:rPr>
  </w:style>
  <w:style w:type="paragraph" w:styleId="TOC3">
    <w:name w:val="toc 3"/>
    <w:basedOn w:val="Normal"/>
    <w:next w:val="Normal"/>
    <w:autoRedefine/>
    <w:uiPriority w:val="39"/>
    <w:unhideWhenUsed/>
    <w:rsid w:val="00B95557"/>
    <w:pPr>
      <w:spacing w:after="100"/>
      <w:ind w:left="480"/>
    </w:pPr>
  </w:style>
  <w:style w:type="paragraph" w:styleId="FootnoteText">
    <w:name w:val="footnote text"/>
    <w:basedOn w:val="Normal"/>
    <w:link w:val="FootnoteTextChar"/>
    <w:uiPriority w:val="99"/>
    <w:semiHidden/>
    <w:unhideWhenUsed/>
    <w:rsid w:val="00FB15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156D"/>
    <w:rPr>
      <w:rFonts w:ascii="Times New Roman" w:hAnsi="Times New Roman"/>
      <w:sz w:val="20"/>
      <w:szCs w:val="20"/>
      <w:lang w:val="en-GB"/>
    </w:rPr>
  </w:style>
  <w:style w:type="character" w:styleId="FootnoteReference">
    <w:name w:val="footnote reference"/>
    <w:basedOn w:val="DefaultParagraphFont"/>
    <w:uiPriority w:val="99"/>
    <w:semiHidden/>
    <w:unhideWhenUsed/>
    <w:rsid w:val="00FB156D"/>
    <w:rPr>
      <w:vertAlign w:val="superscript"/>
    </w:rPr>
  </w:style>
  <w:style w:type="character" w:customStyle="1" w:styleId="UnresolvedMention1">
    <w:name w:val="Unresolved Mention1"/>
    <w:basedOn w:val="DefaultParagraphFont"/>
    <w:uiPriority w:val="99"/>
    <w:semiHidden/>
    <w:unhideWhenUsed/>
    <w:rsid w:val="005E0322"/>
    <w:rPr>
      <w:color w:val="605E5C"/>
      <w:shd w:val="clear" w:color="auto" w:fill="E1DFDD"/>
    </w:rPr>
  </w:style>
  <w:style w:type="paragraph" w:styleId="NormalWeb">
    <w:name w:val="Normal (Web)"/>
    <w:basedOn w:val="Normal"/>
    <w:uiPriority w:val="99"/>
    <w:semiHidden/>
    <w:unhideWhenUsed/>
    <w:rsid w:val="007D4C39"/>
    <w:pPr>
      <w:spacing w:before="100" w:beforeAutospacing="1" w:after="100" w:afterAutospacing="1" w:line="240" w:lineRule="auto"/>
      <w:jc w:val="left"/>
    </w:pPr>
    <w:rPr>
      <w:rFonts w:eastAsiaTheme="minorEastAsia" w:cs="Times New Roman"/>
      <w:szCs w:val="24"/>
      <w:lang w:val="en-US"/>
    </w:rPr>
  </w:style>
  <w:style w:type="character" w:customStyle="1" w:styleId="Heading4Char">
    <w:name w:val="Heading 4 Char"/>
    <w:basedOn w:val="DefaultParagraphFont"/>
    <w:link w:val="Heading4"/>
    <w:uiPriority w:val="9"/>
    <w:rsid w:val="006F4447"/>
    <w:rPr>
      <w:rFonts w:asciiTheme="majorHAnsi" w:eastAsiaTheme="majorEastAsia" w:hAnsiTheme="majorHAnsi" w:cstheme="majorBidi"/>
      <w:i/>
      <w:iCs/>
      <w:color w:val="365F91" w:themeColor="accent1" w:themeShade="BF"/>
      <w:sz w:val="24"/>
      <w:lang w:val="en-GB"/>
    </w:rPr>
  </w:style>
  <w:style w:type="paragraph" w:styleId="NoSpacing">
    <w:name w:val="No Spacing"/>
    <w:uiPriority w:val="1"/>
    <w:qFormat/>
    <w:rsid w:val="00646DAD"/>
    <w:pPr>
      <w:spacing w:after="0" w:line="240" w:lineRule="auto"/>
      <w:jc w:val="both"/>
    </w:pPr>
    <w:rPr>
      <w:rFonts w:ascii="Times New Roman" w:hAnsi="Times New Roman"/>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EE9"/>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D6620"/>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ED662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D6620"/>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6F444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620"/>
    <w:rPr>
      <w:rFonts w:ascii="Times New Roman" w:eastAsiaTheme="majorEastAsia" w:hAnsi="Times New Roman" w:cstheme="majorBidi"/>
      <w:b/>
      <w:bCs/>
      <w:color w:val="000000" w:themeColor="text1"/>
      <w:sz w:val="24"/>
      <w:szCs w:val="28"/>
      <w:lang w:val="en-GB"/>
    </w:rPr>
  </w:style>
  <w:style w:type="paragraph" w:styleId="BalloonText">
    <w:name w:val="Balloon Text"/>
    <w:basedOn w:val="Normal"/>
    <w:link w:val="BalloonTextChar"/>
    <w:uiPriority w:val="99"/>
    <w:semiHidden/>
    <w:unhideWhenUsed/>
    <w:rsid w:val="006379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968"/>
    <w:rPr>
      <w:rFonts w:ascii="Tahoma" w:hAnsi="Tahoma" w:cs="Tahoma"/>
      <w:sz w:val="16"/>
      <w:szCs w:val="16"/>
    </w:rPr>
  </w:style>
  <w:style w:type="character" w:customStyle="1" w:styleId="apple-converted-space">
    <w:name w:val="apple-converted-space"/>
    <w:basedOn w:val="DefaultParagraphFont"/>
    <w:rsid w:val="00C644BF"/>
  </w:style>
  <w:style w:type="paragraph" w:styleId="Header">
    <w:name w:val="header"/>
    <w:basedOn w:val="Normal"/>
    <w:link w:val="HeaderChar"/>
    <w:uiPriority w:val="99"/>
    <w:unhideWhenUsed/>
    <w:rsid w:val="00F10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0E1"/>
    <w:rPr>
      <w:rFonts w:ascii="Times New Roman" w:hAnsi="Times New Roman"/>
      <w:sz w:val="24"/>
    </w:rPr>
  </w:style>
  <w:style w:type="paragraph" w:styleId="Footer">
    <w:name w:val="footer"/>
    <w:basedOn w:val="Normal"/>
    <w:link w:val="FooterChar"/>
    <w:uiPriority w:val="99"/>
    <w:unhideWhenUsed/>
    <w:rsid w:val="00F10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0E1"/>
    <w:rPr>
      <w:rFonts w:ascii="Times New Roman" w:hAnsi="Times New Roman"/>
      <w:sz w:val="24"/>
    </w:rPr>
  </w:style>
  <w:style w:type="paragraph" w:styleId="TOCHeading">
    <w:name w:val="TOC Heading"/>
    <w:basedOn w:val="Heading1"/>
    <w:next w:val="Normal"/>
    <w:uiPriority w:val="39"/>
    <w:unhideWhenUsed/>
    <w:qFormat/>
    <w:rsid w:val="00F100E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F100E1"/>
    <w:pPr>
      <w:spacing w:after="100"/>
    </w:pPr>
  </w:style>
  <w:style w:type="character" w:styleId="Hyperlink">
    <w:name w:val="Hyperlink"/>
    <w:basedOn w:val="DefaultParagraphFont"/>
    <w:uiPriority w:val="99"/>
    <w:unhideWhenUsed/>
    <w:rsid w:val="00F100E1"/>
    <w:rPr>
      <w:color w:val="0000FF" w:themeColor="hyperlink"/>
      <w:u w:val="single"/>
    </w:rPr>
  </w:style>
  <w:style w:type="character" w:customStyle="1" w:styleId="Heading2Char">
    <w:name w:val="Heading 2 Char"/>
    <w:basedOn w:val="DefaultParagraphFont"/>
    <w:link w:val="Heading2"/>
    <w:uiPriority w:val="9"/>
    <w:rsid w:val="00ED6620"/>
    <w:rPr>
      <w:rFonts w:ascii="Times New Roman" w:eastAsiaTheme="majorEastAsia" w:hAnsi="Times New Roman" w:cstheme="majorBidi"/>
      <w:b/>
      <w:bCs/>
      <w:sz w:val="24"/>
      <w:szCs w:val="26"/>
      <w:lang w:val="en-GB"/>
    </w:rPr>
  </w:style>
  <w:style w:type="paragraph" w:styleId="TOC2">
    <w:name w:val="toc 2"/>
    <w:basedOn w:val="Normal"/>
    <w:next w:val="Normal"/>
    <w:autoRedefine/>
    <w:uiPriority w:val="39"/>
    <w:unhideWhenUsed/>
    <w:rsid w:val="007579D5"/>
    <w:pPr>
      <w:tabs>
        <w:tab w:val="right" w:leader="dot" w:pos="9016"/>
      </w:tabs>
      <w:spacing w:after="100" w:line="276" w:lineRule="auto"/>
      <w:ind w:left="240"/>
    </w:pPr>
  </w:style>
  <w:style w:type="paragraph" w:styleId="ListParagraph">
    <w:name w:val="List Paragraph"/>
    <w:basedOn w:val="Normal"/>
    <w:uiPriority w:val="34"/>
    <w:qFormat/>
    <w:rsid w:val="004171A6"/>
    <w:pPr>
      <w:ind w:left="720"/>
      <w:contextualSpacing/>
    </w:pPr>
  </w:style>
  <w:style w:type="table" w:styleId="TableGrid">
    <w:name w:val="Table Grid"/>
    <w:basedOn w:val="TableNormal"/>
    <w:uiPriority w:val="39"/>
    <w:rsid w:val="00D655B3"/>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ED6620"/>
    <w:rPr>
      <w:rFonts w:ascii="Times New Roman" w:eastAsiaTheme="majorEastAsia" w:hAnsi="Times New Roman" w:cstheme="majorBidi"/>
      <w:b/>
      <w:color w:val="000000" w:themeColor="text1"/>
      <w:sz w:val="24"/>
      <w:szCs w:val="24"/>
      <w:lang w:val="en-GB"/>
    </w:rPr>
  </w:style>
  <w:style w:type="paragraph" w:styleId="TOC3">
    <w:name w:val="toc 3"/>
    <w:basedOn w:val="Normal"/>
    <w:next w:val="Normal"/>
    <w:autoRedefine/>
    <w:uiPriority w:val="39"/>
    <w:unhideWhenUsed/>
    <w:rsid w:val="00B95557"/>
    <w:pPr>
      <w:spacing w:after="100"/>
      <w:ind w:left="480"/>
    </w:pPr>
  </w:style>
  <w:style w:type="paragraph" w:styleId="FootnoteText">
    <w:name w:val="footnote text"/>
    <w:basedOn w:val="Normal"/>
    <w:link w:val="FootnoteTextChar"/>
    <w:uiPriority w:val="99"/>
    <w:semiHidden/>
    <w:unhideWhenUsed/>
    <w:rsid w:val="00FB15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156D"/>
    <w:rPr>
      <w:rFonts w:ascii="Times New Roman" w:hAnsi="Times New Roman"/>
      <w:sz w:val="20"/>
      <w:szCs w:val="20"/>
      <w:lang w:val="en-GB"/>
    </w:rPr>
  </w:style>
  <w:style w:type="character" w:styleId="FootnoteReference">
    <w:name w:val="footnote reference"/>
    <w:basedOn w:val="DefaultParagraphFont"/>
    <w:uiPriority w:val="99"/>
    <w:semiHidden/>
    <w:unhideWhenUsed/>
    <w:rsid w:val="00FB156D"/>
    <w:rPr>
      <w:vertAlign w:val="superscript"/>
    </w:rPr>
  </w:style>
  <w:style w:type="character" w:customStyle="1" w:styleId="UnresolvedMention1">
    <w:name w:val="Unresolved Mention1"/>
    <w:basedOn w:val="DefaultParagraphFont"/>
    <w:uiPriority w:val="99"/>
    <w:semiHidden/>
    <w:unhideWhenUsed/>
    <w:rsid w:val="005E0322"/>
    <w:rPr>
      <w:color w:val="605E5C"/>
      <w:shd w:val="clear" w:color="auto" w:fill="E1DFDD"/>
    </w:rPr>
  </w:style>
  <w:style w:type="paragraph" w:styleId="NormalWeb">
    <w:name w:val="Normal (Web)"/>
    <w:basedOn w:val="Normal"/>
    <w:uiPriority w:val="99"/>
    <w:semiHidden/>
    <w:unhideWhenUsed/>
    <w:rsid w:val="007D4C39"/>
    <w:pPr>
      <w:spacing w:before="100" w:beforeAutospacing="1" w:after="100" w:afterAutospacing="1" w:line="240" w:lineRule="auto"/>
      <w:jc w:val="left"/>
    </w:pPr>
    <w:rPr>
      <w:rFonts w:eastAsiaTheme="minorEastAsia" w:cs="Times New Roman"/>
      <w:szCs w:val="24"/>
      <w:lang w:val="en-US"/>
    </w:rPr>
  </w:style>
  <w:style w:type="character" w:customStyle="1" w:styleId="Heading4Char">
    <w:name w:val="Heading 4 Char"/>
    <w:basedOn w:val="DefaultParagraphFont"/>
    <w:link w:val="Heading4"/>
    <w:uiPriority w:val="9"/>
    <w:rsid w:val="006F4447"/>
    <w:rPr>
      <w:rFonts w:asciiTheme="majorHAnsi" w:eastAsiaTheme="majorEastAsia" w:hAnsiTheme="majorHAnsi" w:cstheme="majorBidi"/>
      <w:i/>
      <w:iCs/>
      <w:color w:val="365F91" w:themeColor="accent1" w:themeShade="BF"/>
      <w:sz w:val="24"/>
      <w:lang w:val="en-GB"/>
    </w:rPr>
  </w:style>
  <w:style w:type="paragraph" w:styleId="NoSpacing">
    <w:name w:val="No Spacing"/>
    <w:uiPriority w:val="1"/>
    <w:qFormat/>
    <w:rsid w:val="00646DAD"/>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552543">
      <w:bodyDiv w:val="1"/>
      <w:marLeft w:val="0"/>
      <w:marRight w:val="0"/>
      <w:marTop w:val="0"/>
      <w:marBottom w:val="0"/>
      <w:divBdr>
        <w:top w:val="none" w:sz="0" w:space="0" w:color="auto"/>
        <w:left w:val="none" w:sz="0" w:space="0" w:color="auto"/>
        <w:bottom w:val="none" w:sz="0" w:space="0" w:color="auto"/>
        <w:right w:val="none" w:sz="0" w:space="0" w:color="auto"/>
      </w:divBdr>
    </w:div>
    <w:div w:id="152721077">
      <w:bodyDiv w:val="1"/>
      <w:marLeft w:val="0"/>
      <w:marRight w:val="0"/>
      <w:marTop w:val="0"/>
      <w:marBottom w:val="0"/>
      <w:divBdr>
        <w:top w:val="none" w:sz="0" w:space="0" w:color="auto"/>
        <w:left w:val="none" w:sz="0" w:space="0" w:color="auto"/>
        <w:bottom w:val="none" w:sz="0" w:space="0" w:color="auto"/>
        <w:right w:val="none" w:sz="0" w:space="0" w:color="auto"/>
      </w:divBdr>
    </w:div>
    <w:div w:id="174616214">
      <w:bodyDiv w:val="1"/>
      <w:marLeft w:val="0"/>
      <w:marRight w:val="0"/>
      <w:marTop w:val="0"/>
      <w:marBottom w:val="0"/>
      <w:divBdr>
        <w:top w:val="none" w:sz="0" w:space="0" w:color="auto"/>
        <w:left w:val="none" w:sz="0" w:space="0" w:color="auto"/>
        <w:bottom w:val="none" w:sz="0" w:space="0" w:color="auto"/>
        <w:right w:val="none" w:sz="0" w:space="0" w:color="auto"/>
      </w:divBdr>
    </w:div>
    <w:div w:id="411511430">
      <w:bodyDiv w:val="1"/>
      <w:marLeft w:val="0"/>
      <w:marRight w:val="0"/>
      <w:marTop w:val="0"/>
      <w:marBottom w:val="0"/>
      <w:divBdr>
        <w:top w:val="none" w:sz="0" w:space="0" w:color="auto"/>
        <w:left w:val="none" w:sz="0" w:space="0" w:color="auto"/>
        <w:bottom w:val="none" w:sz="0" w:space="0" w:color="auto"/>
        <w:right w:val="none" w:sz="0" w:space="0" w:color="auto"/>
      </w:divBdr>
    </w:div>
    <w:div w:id="436146150">
      <w:bodyDiv w:val="1"/>
      <w:marLeft w:val="0"/>
      <w:marRight w:val="0"/>
      <w:marTop w:val="0"/>
      <w:marBottom w:val="0"/>
      <w:divBdr>
        <w:top w:val="none" w:sz="0" w:space="0" w:color="auto"/>
        <w:left w:val="none" w:sz="0" w:space="0" w:color="auto"/>
        <w:bottom w:val="none" w:sz="0" w:space="0" w:color="auto"/>
        <w:right w:val="none" w:sz="0" w:space="0" w:color="auto"/>
      </w:divBdr>
    </w:div>
    <w:div w:id="579406701">
      <w:bodyDiv w:val="1"/>
      <w:marLeft w:val="0"/>
      <w:marRight w:val="0"/>
      <w:marTop w:val="0"/>
      <w:marBottom w:val="0"/>
      <w:divBdr>
        <w:top w:val="none" w:sz="0" w:space="0" w:color="auto"/>
        <w:left w:val="none" w:sz="0" w:space="0" w:color="auto"/>
        <w:bottom w:val="none" w:sz="0" w:space="0" w:color="auto"/>
        <w:right w:val="none" w:sz="0" w:space="0" w:color="auto"/>
      </w:divBdr>
    </w:div>
    <w:div w:id="638992612">
      <w:bodyDiv w:val="1"/>
      <w:marLeft w:val="0"/>
      <w:marRight w:val="0"/>
      <w:marTop w:val="0"/>
      <w:marBottom w:val="0"/>
      <w:divBdr>
        <w:top w:val="none" w:sz="0" w:space="0" w:color="auto"/>
        <w:left w:val="none" w:sz="0" w:space="0" w:color="auto"/>
        <w:bottom w:val="none" w:sz="0" w:space="0" w:color="auto"/>
        <w:right w:val="none" w:sz="0" w:space="0" w:color="auto"/>
      </w:divBdr>
    </w:div>
    <w:div w:id="667485096">
      <w:bodyDiv w:val="1"/>
      <w:marLeft w:val="0"/>
      <w:marRight w:val="0"/>
      <w:marTop w:val="0"/>
      <w:marBottom w:val="0"/>
      <w:divBdr>
        <w:top w:val="none" w:sz="0" w:space="0" w:color="auto"/>
        <w:left w:val="none" w:sz="0" w:space="0" w:color="auto"/>
        <w:bottom w:val="none" w:sz="0" w:space="0" w:color="auto"/>
        <w:right w:val="none" w:sz="0" w:space="0" w:color="auto"/>
      </w:divBdr>
    </w:div>
    <w:div w:id="705445623">
      <w:bodyDiv w:val="1"/>
      <w:marLeft w:val="0"/>
      <w:marRight w:val="0"/>
      <w:marTop w:val="0"/>
      <w:marBottom w:val="0"/>
      <w:divBdr>
        <w:top w:val="none" w:sz="0" w:space="0" w:color="auto"/>
        <w:left w:val="none" w:sz="0" w:space="0" w:color="auto"/>
        <w:bottom w:val="none" w:sz="0" w:space="0" w:color="auto"/>
        <w:right w:val="none" w:sz="0" w:space="0" w:color="auto"/>
      </w:divBdr>
      <w:divsChild>
        <w:div w:id="1790850953">
          <w:marLeft w:val="0"/>
          <w:marRight w:val="0"/>
          <w:marTop w:val="90"/>
          <w:marBottom w:val="0"/>
          <w:divBdr>
            <w:top w:val="none" w:sz="0" w:space="0" w:color="auto"/>
            <w:left w:val="none" w:sz="0" w:space="0" w:color="auto"/>
            <w:bottom w:val="none" w:sz="0" w:space="0" w:color="auto"/>
            <w:right w:val="none" w:sz="0" w:space="0" w:color="auto"/>
          </w:divBdr>
          <w:divsChild>
            <w:div w:id="1325931595">
              <w:marLeft w:val="0"/>
              <w:marRight w:val="0"/>
              <w:marTop w:val="0"/>
              <w:marBottom w:val="420"/>
              <w:divBdr>
                <w:top w:val="none" w:sz="0" w:space="0" w:color="auto"/>
                <w:left w:val="none" w:sz="0" w:space="0" w:color="auto"/>
                <w:bottom w:val="none" w:sz="0" w:space="0" w:color="auto"/>
                <w:right w:val="none" w:sz="0" w:space="0" w:color="auto"/>
              </w:divBdr>
              <w:divsChild>
                <w:div w:id="1919755018">
                  <w:marLeft w:val="0"/>
                  <w:marRight w:val="0"/>
                  <w:marTop w:val="0"/>
                  <w:marBottom w:val="0"/>
                  <w:divBdr>
                    <w:top w:val="none" w:sz="0" w:space="0" w:color="auto"/>
                    <w:left w:val="none" w:sz="0" w:space="0" w:color="auto"/>
                    <w:bottom w:val="none" w:sz="0" w:space="0" w:color="auto"/>
                    <w:right w:val="none" w:sz="0" w:space="0" w:color="auto"/>
                  </w:divBdr>
                  <w:divsChild>
                    <w:div w:id="178653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951884">
      <w:bodyDiv w:val="1"/>
      <w:marLeft w:val="0"/>
      <w:marRight w:val="0"/>
      <w:marTop w:val="0"/>
      <w:marBottom w:val="0"/>
      <w:divBdr>
        <w:top w:val="none" w:sz="0" w:space="0" w:color="auto"/>
        <w:left w:val="none" w:sz="0" w:space="0" w:color="auto"/>
        <w:bottom w:val="none" w:sz="0" w:space="0" w:color="auto"/>
        <w:right w:val="none" w:sz="0" w:space="0" w:color="auto"/>
      </w:divBdr>
    </w:div>
    <w:div w:id="722828108">
      <w:bodyDiv w:val="1"/>
      <w:marLeft w:val="0"/>
      <w:marRight w:val="0"/>
      <w:marTop w:val="0"/>
      <w:marBottom w:val="0"/>
      <w:divBdr>
        <w:top w:val="none" w:sz="0" w:space="0" w:color="auto"/>
        <w:left w:val="none" w:sz="0" w:space="0" w:color="auto"/>
        <w:bottom w:val="none" w:sz="0" w:space="0" w:color="auto"/>
        <w:right w:val="none" w:sz="0" w:space="0" w:color="auto"/>
      </w:divBdr>
      <w:divsChild>
        <w:div w:id="1846360563">
          <w:marLeft w:val="-25"/>
          <w:marRight w:val="200"/>
          <w:marTop w:val="0"/>
          <w:marBottom w:val="163"/>
          <w:divBdr>
            <w:top w:val="none" w:sz="0" w:space="0" w:color="auto"/>
            <w:left w:val="none" w:sz="0" w:space="0" w:color="auto"/>
            <w:bottom w:val="none" w:sz="0" w:space="0" w:color="auto"/>
            <w:right w:val="none" w:sz="0" w:space="0" w:color="auto"/>
          </w:divBdr>
          <w:divsChild>
            <w:div w:id="155504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322631">
      <w:bodyDiv w:val="1"/>
      <w:marLeft w:val="0"/>
      <w:marRight w:val="0"/>
      <w:marTop w:val="0"/>
      <w:marBottom w:val="0"/>
      <w:divBdr>
        <w:top w:val="none" w:sz="0" w:space="0" w:color="auto"/>
        <w:left w:val="none" w:sz="0" w:space="0" w:color="auto"/>
        <w:bottom w:val="none" w:sz="0" w:space="0" w:color="auto"/>
        <w:right w:val="none" w:sz="0" w:space="0" w:color="auto"/>
      </w:divBdr>
    </w:div>
    <w:div w:id="742526176">
      <w:bodyDiv w:val="1"/>
      <w:marLeft w:val="0"/>
      <w:marRight w:val="0"/>
      <w:marTop w:val="0"/>
      <w:marBottom w:val="0"/>
      <w:divBdr>
        <w:top w:val="none" w:sz="0" w:space="0" w:color="auto"/>
        <w:left w:val="none" w:sz="0" w:space="0" w:color="auto"/>
        <w:bottom w:val="none" w:sz="0" w:space="0" w:color="auto"/>
        <w:right w:val="none" w:sz="0" w:space="0" w:color="auto"/>
      </w:divBdr>
    </w:div>
    <w:div w:id="746539709">
      <w:bodyDiv w:val="1"/>
      <w:marLeft w:val="0"/>
      <w:marRight w:val="0"/>
      <w:marTop w:val="0"/>
      <w:marBottom w:val="0"/>
      <w:divBdr>
        <w:top w:val="none" w:sz="0" w:space="0" w:color="auto"/>
        <w:left w:val="none" w:sz="0" w:space="0" w:color="auto"/>
        <w:bottom w:val="none" w:sz="0" w:space="0" w:color="auto"/>
        <w:right w:val="none" w:sz="0" w:space="0" w:color="auto"/>
      </w:divBdr>
    </w:div>
    <w:div w:id="770703526">
      <w:bodyDiv w:val="1"/>
      <w:marLeft w:val="0"/>
      <w:marRight w:val="0"/>
      <w:marTop w:val="0"/>
      <w:marBottom w:val="0"/>
      <w:divBdr>
        <w:top w:val="none" w:sz="0" w:space="0" w:color="auto"/>
        <w:left w:val="none" w:sz="0" w:space="0" w:color="auto"/>
        <w:bottom w:val="none" w:sz="0" w:space="0" w:color="auto"/>
        <w:right w:val="none" w:sz="0" w:space="0" w:color="auto"/>
      </w:divBdr>
    </w:div>
    <w:div w:id="854803590">
      <w:bodyDiv w:val="1"/>
      <w:marLeft w:val="0"/>
      <w:marRight w:val="0"/>
      <w:marTop w:val="0"/>
      <w:marBottom w:val="0"/>
      <w:divBdr>
        <w:top w:val="none" w:sz="0" w:space="0" w:color="auto"/>
        <w:left w:val="none" w:sz="0" w:space="0" w:color="auto"/>
        <w:bottom w:val="none" w:sz="0" w:space="0" w:color="auto"/>
        <w:right w:val="none" w:sz="0" w:space="0" w:color="auto"/>
      </w:divBdr>
    </w:div>
    <w:div w:id="919099883">
      <w:bodyDiv w:val="1"/>
      <w:marLeft w:val="0"/>
      <w:marRight w:val="0"/>
      <w:marTop w:val="0"/>
      <w:marBottom w:val="0"/>
      <w:divBdr>
        <w:top w:val="none" w:sz="0" w:space="0" w:color="auto"/>
        <w:left w:val="none" w:sz="0" w:space="0" w:color="auto"/>
        <w:bottom w:val="none" w:sz="0" w:space="0" w:color="auto"/>
        <w:right w:val="none" w:sz="0" w:space="0" w:color="auto"/>
      </w:divBdr>
    </w:div>
    <w:div w:id="919480547">
      <w:bodyDiv w:val="1"/>
      <w:marLeft w:val="0"/>
      <w:marRight w:val="0"/>
      <w:marTop w:val="0"/>
      <w:marBottom w:val="0"/>
      <w:divBdr>
        <w:top w:val="none" w:sz="0" w:space="0" w:color="auto"/>
        <w:left w:val="none" w:sz="0" w:space="0" w:color="auto"/>
        <w:bottom w:val="none" w:sz="0" w:space="0" w:color="auto"/>
        <w:right w:val="none" w:sz="0" w:space="0" w:color="auto"/>
      </w:divBdr>
    </w:div>
    <w:div w:id="927152889">
      <w:bodyDiv w:val="1"/>
      <w:marLeft w:val="0"/>
      <w:marRight w:val="0"/>
      <w:marTop w:val="0"/>
      <w:marBottom w:val="0"/>
      <w:divBdr>
        <w:top w:val="none" w:sz="0" w:space="0" w:color="auto"/>
        <w:left w:val="none" w:sz="0" w:space="0" w:color="auto"/>
        <w:bottom w:val="none" w:sz="0" w:space="0" w:color="auto"/>
        <w:right w:val="none" w:sz="0" w:space="0" w:color="auto"/>
      </w:divBdr>
    </w:div>
    <w:div w:id="938098694">
      <w:bodyDiv w:val="1"/>
      <w:marLeft w:val="0"/>
      <w:marRight w:val="0"/>
      <w:marTop w:val="0"/>
      <w:marBottom w:val="0"/>
      <w:divBdr>
        <w:top w:val="none" w:sz="0" w:space="0" w:color="auto"/>
        <w:left w:val="none" w:sz="0" w:space="0" w:color="auto"/>
        <w:bottom w:val="none" w:sz="0" w:space="0" w:color="auto"/>
        <w:right w:val="none" w:sz="0" w:space="0" w:color="auto"/>
      </w:divBdr>
    </w:div>
    <w:div w:id="1020471597">
      <w:bodyDiv w:val="1"/>
      <w:marLeft w:val="0"/>
      <w:marRight w:val="0"/>
      <w:marTop w:val="0"/>
      <w:marBottom w:val="0"/>
      <w:divBdr>
        <w:top w:val="none" w:sz="0" w:space="0" w:color="auto"/>
        <w:left w:val="none" w:sz="0" w:space="0" w:color="auto"/>
        <w:bottom w:val="none" w:sz="0" w:space="0" w:color="auto"/>
        <w:right w:val="none" w:sz="0" w:space="0" w:color="auto"/>
      </w:divBdr>
    </w:div>
    <w:div w:id="1070882711">
      <w:bodyDiv w:val="1"/>
      <w:marLeft w:val="0"/>
      <w:marRight w:val="0"/>
      <w:marTop w:val="0"/>
      <w:marBottom w:val="0"/>
      <w:divBdr>
        <w:top w:val="none" w:sz="0" w:space="0" w:color="auto"/>
        <w:left w:val="none" w:sz="0" w:space="0" w:color="auto"/>
        <w:bottom w:val="none" w:sz="0" w:space="0" w:color="auto"/>
        <w:right w:val="none" w:sz="0" w:space="0" w:color="auto"/>
      </w:divBdr>
      <w:divsChild>
        <w:div w:id="5374140">
          <w:marLeft w:val="-25"/>
          <w:marRight w:val="200"/>
          <w:marTop w:val="0"/>
          <w:marBottom w:val="163"/>
          <w:divBdr>
            <w:top w:val="none" w:sz="0" w:space="0" w:color="auto"/>
            <w:left w:val="none" w:sz="0" w:space="0" w:color="auto"/>
            <w:bottom w:val="none" w:sz="0" w:space="0" w:color="auto"/>
            <w:right w:val="none" w:sz="0" w:space="0" w:color="auto"/>
          </w:divBdr>
          <w:divsChild>
            <w:div w:id="191720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983072">
      <w:bodyDiv w:val="1"/>
      <w:marLeft w:val="0"/>
      <w:marRight w:val="0"/>
      <w:marTop w:val="0"/>
      <w:marBottom w:val="0"/>
      <w:divBdr>
        <w:top w:val="none" w:sz="0" w:space="0" w:color="auto"/>
        <w:left w:val="none" w:sz="0" w:space="0" w:color="auto"/>
        <w:bottom w:val="none" w:sz="0" w:space="0" w:color="auto"/>
        <w:right w:val="none" w:sz="0" w:space="0" w:color="auto"/>
      </w:divBdr>
    </w:div>
    <w:div w:id="1131940817">
      <w:bodyDiv w:val="1"/>
      <w:marLeft w:val="0"/>
      <w:marRight w:val="0"/>
      <w:marTop w:val="0"/>
      <w:marBottom w:val="0"/>
      <w:divBdr>
        <w:top w:val="none" w:sz="0" w:space="0" w:color="auto"/>
        <w:left w:val="none" w:sz="0" w:space="0" w:color="auto"/>
        <w:bottom w:val="none" w:sz="0" w:space="0" w:color="auto"/>
        <w:right w:val="none" w:sz="0" w:space="0" w:color="auto"/>
      </w:divBdr>
    </w:div>
    <w:div w:id="1290669219">
      <w:bodyDiv w:val="1"/>
      <w:marLeft w:val="0"/>
      <w:marRight w:val="0"/>
      <w:marTop w:val="0"/>
      <w:marBottom w:val="0"/>
      <w:divBdr>
        <w:top w:val="none" w:sz="0" w:space="0" w:color="auto"/>
        <w:left w:val="none" w:sz="0" w:space="0" w:color="auto"/>
        <w:bottom w:val="none" w:sz="0" w:space="0" w:color="auto"/>
        <w:right w:val="none" w:sz="0" w:space="0" w:color="auto"/>
      </w:divBdr>
    </w:div>
    <w:div w:id="1411728416">
      <w:bodyDiv w:val="1"/>
      <w:marLeft w:val="0"/>
      <w:marRight w:val="0"/>
      <w:marTop w:val="0"/>
      <w:marBottom w:val="0"/>
      <w:divBdr>
        <w:top w:val="none" w:sz="0" w:space="0" w:color="auto"/>
        <w:left w:val="none" w:sz="0" w:space="0" w:color="auto"/>
        <w:bottom w:val="none" w:sz="0" w:space="0" w:color="auto"/>
        <w:right w:val="none" w:sz="0" w:space="0" w:color="auto"/>
      </w:divBdr>
    </w:div>
    <w:div w:id="1485580910">
      <w:bodyDiv w:val="1"/>
      <w:marLeft w:val="0"/>
      <w:marRight w:val="0"/>
      <w:marTop w:val="0"/>
      <w:marBottom w:val="0"/>
      <w:divBdr>
        <w:top w:val="none" w:sz="0" w:space="0" w:color="auto"/>
        <w:left w:val="none" w:sz="0" w:space="0" w:color="auto"/>
        <w:bottom w:val="none" w:sz="0" w:space="0" w:color="auto"/>
        <w:right w:val="none" w:sz="0" w:space="0" w:color="auto"/>
      </w:divBdr>
    </w:div>
    <w:div w:id="1510412722">
      <w:bodyDiv w:val="1"/>
      <w:marLeft w:val="0"/>
      <w:marRight w:val="0"/>
      <w:marTop w:val="0"/>
      <w:marBottom w:val="0"/>
      <w:divBdr>
        <w:top w:val="none" w:sz="0" w:space="0" w:color="auto"/>
        <w:left w:val="none" w:sz="0" w:space="0" w:color="auto"/>
        <w:bottom w:val="none" w:sz="0" w:space="0" w:color="auto"/>
        <w:right w:val="none" w:sz="0" w:space="0" w:color="auto"/>
      </w:divBdr>
    </w:div>
    <w:div w:id="1583567275">
      <w:bodyDiv w:val="1"/>
      <w:marLeft w:val="0"/>
      <w:marRight w:val="0"/>
      <w:marTop w:val="0"/>
      <w:marBottom w:val="0"/>
      <w:divBdr>
        <w:top w:val="none" w:sz="0" w:space="0" w:color="auto"/>
        <w:left w:val="none" w:sz="0" w:space="0" w:color="auto"/>
        <w:bottom w:val="none" w:sz="0" w:space="0" w:color="auto"/>
        <w:right w:val="none" w:sz="0" w:space="0" w:color="auto"/>
      </w:divBdr>
      <w:divsChild>
        <w:div w:id="1143229736">
          <w:marLeft w:val="0"/>
          <w:marRight w:val="0"/>
          <w:marTop w:val="0"/>
          <w:marBottom w:val="0"/>
          <w:divBdr>
            <w:top w:val="none" w:sz="0" w:space="0" w:color="auto"/>
            <w:left w:val="none" w:sz="0" w:space="0" w:color="auto"/>
            <w:bottom w:val="none" w:sz="0" w:space="0" w:color="auto"/>
            <w:right w:val="none" w:sz="0" w:space="0" w:color="auto"/>
          </w:divBdr>
        </w:div>
      </w:divsChild>
    </w:div>
    <w:div w:id="1644920770">
      <w:bodyDiv w:val="1"/>
      <w:marLeft w:val="0"/>
      <w:marRight w:val="0"/>
      <w:marTop w:val="0"/>
      <w:marBottom w:val="0"/>
      <w:divBdr>
        <w:top w:val="none" w:sz="0" w:space="0" w:color="auto"/>
        <w:left w:val="none" w:sz="0" w:space="0" w:color="auto"/>
        <w:bottom w:val="none" w:sz="0" w:space="0" w:color="auto"/>
        <w:right w:val="none" w:sz="0" w:space="0" w:color="auto"/>
      </w:divBdr>
    </w:div>
    <w:div w:id="1645163707">
      <w:bodyDiv w:val="1"/>
      <w:marLeft w:val="0"/>
      <w:marRight w:val="0"/>
      <w:marTop w:val="0"/>
      <w:marBottom w:val="0"/>
      <w:divBdr>
        <w:top w:val="none" w:sz="0" w:space="0" w:color="auto"/>
        <w:left w:val="none" w:sz="0" w:space="0" w:color="auto"/>
        <w:bottom w:val="none" w:sz="0" w:space="0" w:color="auto"/>
        <w:right w:val="none" w:sz="0" w:space="0" w:color="auto"/>
      </w:divBdr>
      <w:divsChild>
        <w:div w:id="2141528789">
          <w:marLeft w:val="-25"/>
          <w:marRight w:val="200"/>
          <w:marTop w:val="0"/>
          <w:marBottom w:val="163"/>
          <w:divBdr>
            <w:top w:val="none" w:sz="0" w:space="0" w:color="auto"/>
            <w:left w:val="none" w:sz="0" w:space="0" w:color="auto"/>
            <w:bottom w:val="none" w:sz="0" w:space="0" w:color="auto"/>
            <w:right w:val="none" w:sz="0" w:space="0" w:color="auto"/>
          </w:divBdr>
          <w:divsChild>
            <w:div w:id="137280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323778">
      <w:bodyDiv w:val="1"/>
      <w:marLeft w:val="0"/>
      <w:marRight w:val="0"/>
      <w:marTop w:val="0"/>
      <w:marBottom w:val="0"/>
      <w:divBdr>
        <w:top w:val="none" w:sz="0" w:space="0" w:color="auto"/>
        <w:left w:val="none" w:sz="0" w:space="0" w:color="auto"/>
        <w:bottom w:val="none" w:sz="0" w:space="0" w:color="auto"/>
        <w:right w:val="none" w:sz="0" w:space="0" w:color="auto"/>
      </w:divBdr>
    </w:div>
    <w:div w:id="1815442645">
      <w:bodyDiv w:val="1"/>
      <w:marLeft w:val="0"/>
      <w:marRight w:val="0"/>
      <w:marTop w:val="0"/>
      <w:marBottom w:val="0"/>
      <w:divBdr>
        <w:top w:val="none" w:sz="0" w:space="0" w:color="auto"/>
        <w:left w:val="none" w:sz="0" w:space="0" w:color="auto"/>
        <w:bottom w:val="none" w:sz="0" w:space="0" w:color="auto"/>
        <w:right w:val="none" w:sz="0" w:space="0" w:color="auto"/>
      </w:divBdr>
    </w:div>
    <w:div w:id="1826164541">
      <w:bodyDiv w:val="1"/>
      <w:marLeft w:val="0"/>
      <w:marRight w:val="0"/>
      <w:marTop w:val="0"/>
      <w:marBottom w:val="0"/>
      <w:divBdr>
        <w:top w:val="none" w:sz="0" w:space="0" w:color="auto"/>
        <w:left w:val="none" w:sz="0" w:space="0" w:color="auto"/>
        <w:bottom w:val="none" w:sz="0" w:space="0" w:color="auto"/>
        <w:right w:val="none" w:sz="0" w:space="0" w:color="auto"/>
      </w:divBdr>
    </w:div>
    <w:div w:id="1997758200">
      <w:bodyDiv w:val="1"/>
      <w:marLeft w:val="0"/>
      <w:marRight w:val="0"/>
      <w:marTop w:val="0"/>
      <w:marBottom w:val="0"/>
      <w:divBdr>
        <w:top w:val="none" w:sz="0" w:space="0" w:color="auto"/>
        <w:left w:val="none" w:sz="0" w:space="0" w:color="auto"/>
        <w:bottom w:val="none" w:sz="0" w:space="0" w:color="auto"/>
        <w:right w:val="none" w:sz="0" w:space="0" w:color="auto"/>
      </w:divBdr>
    </w:div>
    <w:div w:id="2022314493">
      <w:bodyDiv w:val="1"/>
      <w:marLeft w:val="0"/>
      <w:marRight w:val="0"/>
      <w:marTop w:val="0"/>
      <w:marBottom w:val="0"/>
      <w:divBdr>
        <w:top w:val="none" w:sz="0" w:space="0" w:color="auto"/>
        <w:left w:val="none" w:sz="0" w:space="0" w:color="auto"/>
        <w:bottom w:val="none" w:sz="0" w:space="0" w:color="auto"/>
        <w:right w:val="none" w:sz="0" w:space="0" w:color="auto"/>
      </w:divBdr>
    </w:div>
    <w:div w:id="2056731639">
      <w:bodyDiv w:val="1"/>
      <w:marLeft w:val="0"/>
      <w:marRight w:val="0"/>
      <w:marTop w:val="0"/>
      <w:marBottom w:val="0"/>
      <w:divBdr>
        <w:top w:val="none" w:sz="0" w:space="0" w:color="auto"/>
        <w:left w:val="none" w:sz="0" w:space="0" w:color="auto"/>
        <w:bottom w:val="none" w:sz="0" w:space="0" w:color="auto"/>
        <w:right w:val="none" w:sz="0" w:space="0" w:color="auto"/>
      </w:divBdr>
    </w:div>
    <w:div w:id="206775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8BD508-D694-464D-A970-440086F25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5993</Words>
  <Characters>34164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2020-06-15T11:29:00Z</dcterms:created>
  <dcterms:modified xsi:type="dcterms:W3CDTF">2021-05-10T19:58:00Z</dcterms:modified>
</cp:coreProperties>
</file>