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7FACF" w14:textId="0C0D652C" w:rsidR="006461E6" w:rsidRDefault="006461E6" w:rsidP="006461E6">
      <w:pPr>
        <w:pStyle w:val="NormalWeb"/>
        <w:spacing w:before="0" w:beforeAutospacing="0" w:after="0" w:afterAutospacing="0"/>
        <w:ind w:left="-180" w:right="-334"/>
      </w:pPr>
      <w:r>
        <w:rPr>
          <w:noProof/>
        </w:rPr>
        <w:drawing>
          <wp:inline distT="0" distB="0" distL="0" distR="0" wp14:anchorId="6BFF010B" wp14:editId="14AEAC1C">
            <wp:extent cx="1905000" cy="638175"/>
            <wp:effectExtent l="19050" t="19050" r="19050" b="2857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68BD9BC2" w14:textId="77777777" w:rsidR="006461E6" w:rsidRDefault="006461E6" w:rsidP="006461E6">
      <w:pPr>
        <w:pStyle w:val="NormalWeb"/>
        <w:spacing w:before="0" w:beforeAutospacing="0" w:after="0" w:afterAutospacing="0"/>
        <w:ind w:left="-180" w:right="-334"/>
      </w:pPr>
    </w:p>
    <w:p w14:paraId="4D0D4308" w14:textId="77777777" w:rsidR="006461E6" w:rsidRDefault="006461E6" w:rsidP="006461E6">
      <w:pPr>
        <w:pStyle w:val="NormalWeb"/>
        <w:spacing w:before="0" w:beforeAutospacing="0" w:after="0" w:afterAutospacing="0"/>
        <w:ind w:left="-180" w:right="-334"/>
      </w:pPr>
    </w:p>
    <w:p w14:paraId="10D176C8" w14:textId="77777777" w:rsidR="006461E6" w:rsidRDefault="006461E6" w:rsidP="006461E6">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4EC68736" w14:textId="77777777" w:rsidR="006461E6" w:rsidRDefault="006461E6" w:rsidP="006461E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313DF111" w14:textId="77777777" w:rsidR="006461E6" w:rsidRDefault="006461E6" w:rsidP="006461E6">
      <w:pPr>
        <w:rPr>
          <w:sz w:val="28"/>
          <w:szCs w:val="28"/>
          <w:lang w:val="cy-GB"/>
        </w:rPr>
      </w:pPr>
    </w:p>
    <w:p w14:paraId="3055F9D6" w14:textId="77777777" w:rsidR="006461E6" w:rsidRDefault="006461E6" w:rsidP="006461E6">
      <w:pPr>
        <w:pStyle w:val="Heading3"/>
        <w:jc w:val="center"/>
        <w:rPr>
          <w:rFonts w:ascii="Tahoma" w:eastAsia="SimSun" w:hAnsi="Tahoma" w:cs="Tahoma"/>
          <w:sz w:val="20"/>
          <w:szCs w:val="20"/>
          <w:lang w:val="cy-GB"/>
        </w:rPr>
      </w:pPr>
      <w:r>
        <w:rPr>
          <w:rFonts w:eastAsia="SimSun"/>
          <w:lang w:val="cy-GB"/>
        </w:rPr>
        <w:t>THIS SHEET MUST BE THE FIRST PAGE OF THE ASSIGNMENT YOU ARE SUBMITTING  (DO NOT SEND AS A SEPARATE FILE)</w:t>
      </w:r>
    </w:p>
    <w:p w14:paraId="6D5E465B" w14:textId="77777777" w:rsidR="006461E6" w:rsidRDefault="006461E6" w:rsidP="006461E6">
      <w:pPr>
        <w:pStyle w:val="Heading3"/>
        <w:jc w:val="center"/>
        <w:rPr>
          <w:rFonts w:ascii="Trebuchet MS" w:eastAsia="SimSun" w:hAnsi="Trebuchet MS"/>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461E6" w14:paraId="16229D22" w14:textId="77777777" w:rsidTr="006461E6">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54BDF310" w14:textId="77777777" w:rsidR="006461E6" w:rsidRDefault="006461E6">
            <w:pPr>
              <w:pStyle w:val="NormalWeb"/>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6461E6" w14:paraId="2B8DD0BD" w14:textId="77777777" w:rsidTr="006461E6">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48F2DF8B" w14:textId="0904B41F"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Student Name: Ying Ching Lee</w:t>
            </w:r>
          </w:p>
          <w:p w14:paraId="2876A832" w14:textId="77777777" w:rsidR="006461E6" w:rsidRDefault="006461E6">
            <w:pPr>
              <w:pStyle w:val="NormalWeb"/>
              <w:spacing w:before="0" w:beforeAutospacing="0" w:after="0" w:afterAutospacing="0"/>
              <w:ind w:right="34"/>
              <w:rPr>
                <w:rFonts w:ascii="Arial" w:hAnsi="Arial" w:cs="Arial"/>
                <w:sz w:val="22"/>
                <w:szCs w:val="22"/>
              </w:rPr>
            </w:pPr>
          </w:p>
          <w:p w14:paraId="6B1F51B1" w14:textId="6C848FAE"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Email: 2126627@student.uwtsd.ac.uk</w:t>
            </w:r>
          </w:p>
        </w:tc>
      </w:tr>
      <w:tr w:rsidR="006461E6" w14:paraId="1B719C2F" w14:textId="77777777" w:rsidTr="006461E6">
        <w:trPr>
          <w:trHeight w:val="849"/>
        </w:trPr>
        <w:tc>
          <w:tcPr>
            <w:tcW w:w="4788" w:type="dxa"/>
            <w:tcBorders>
              <w:top w:val="single" w:sz="4" w:space="0" w:color="000000"/>
              <w:left w:val="single" w:sz="4" w:space="0" w:color="000000"/>
              <w:bottom w:val="single" w:sz="4" w:space="0" w:color="000000"/>
              <w:right w:val="single" w:sz="4" w:space="0" w:color="000000"/>
            </w:tcBorders>
          </w:tcPr>
          <w:p w14:paraId="7A8DA99D" w14:textId="676C7F7A"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Module code: HPCA7015</w:t>
            </w:r>
          </w:p>
          <w:p w14:paraId="27B0ECC4" w14:textId="77777777" w:rsidR="006461E6" w:rsidRDefault="006461E6">
            <w:pPr>
              <w:pStyle w:val="NormalWeb"/>
              <w:spacing w:before="0" w:beforeAutospacing="0" w:after="0" w:afterAutospacing="0"/>
              <w:ind w:right="34"/>
              <w:rPr>
                <w:rFonts w:ascii="Arial" w:hAnsi="Arial" w:cs="Arial"/>
                <w:sz w:val="22"/>
                <w:szCs w:val="22"/>
              </w:rPr>
            </w:pPr>
          </w:p>
          <w:p w14:paraId="4977D114" w14:textId="0ABA37D9"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Module title: Foundations in Cultural Astronomy and Astrology</w:t>
            </w:r>
          </w:p>
          <w:p w14:paraId="149CB6BF" w14:textId="77777777" w:rsidR="006461E6" w:rsidRDefault="006461E6">
            <w:pPr>
              <w:pStyle w:val="NormalWeb"/>
              <w:spacing w:before="0" w:beforeAutospacing="0" w:after="0" w:afterAutospacing="0"/>
              <w:ind w:right="34"/>
              <w:rPr>
                <w:rFonts w:ascii="Arial" w:hAnsi="Arial" w:cs="Arial"/>
                <w:sz w:val="22"/>
                <w:szCs w:val="22"/>
              </w:rPr>
            </w:pPr>
          </w:p>
          <w:p w14:paraId="5B1B85FE" w14:textId="77777777" w:rsidR="006461E6" w:rsidRDefault="006461E6">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23638FD1" w14:textId="77777777"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Student ID number:</w:t>
            </w:r>
          </w:p>
          <w:p w14:paraId="49F03B7D" w14:textId="214EFE0D"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2126627</w:t>
            </w:r>
          </w:p>
        </w:tc>
        <w:tc>
          <w:tcPr>
            <w:tcW w:w="1802" w:type="dxa"/>
            <w:tcBorders>
              <w:top w:val="single" w:sz="4" w:space="0" w:color="000000"/>
              <w:left w:val="single" w:sz="4" w:space="0" w:color="000000"/>
              <w:bottom w:val="single" w:sz="4" w:space="0" w:color="000000"/>
              <w:right w:val="single" w:sz="4" w:space="0" w:color="000000"/>
            </w:tcBorders>
            <w:hideMark/>
          </w:tcPr>
          <w:p w14:paraId="2026F890" w14:textId="77777777"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121A711A" w14:textId="2CE07C3F"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6461E6" w14:paraId="182C508C" w14:textId="77777777" w:rsidTr="006461E6">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70817137" w14:textId="44782687"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Assignment title:</w:t>
            </w:r>
            <w:r w:rsidR="00434482">
              <w:rPr>
                <w:rFonts w:ascii="Arial" w:hAnsi="Arial" w:cs="Arial"/>
                <w:sz w:val="22"/>
                <w:szCs w:val="22"/>
              </w:rPr>
              <w:t xml:space="preserve"> A Critical Comparison of 2 JSTOR Papers   </w:t>
            </w:r>
          </w:p>
          <w:p w14:paraId="30E14963" w14:textId="77777777" w:rsidR="006461E6" w:rsidRDefault="006461E6">
            <w:pPr>
              <w:pStyle w:val="NormalWeb"/>
              <w:spacing w:before="0" w:beforeAutospacing="0" w:after="0" w:afterAutospacing="0"/>
              <w:ind w:right="34"/>
              <w:rPr>
                <w:rFonts w:ascii="Arial" w:hAnsi="Arial" w:cs="Arial"/>
                <w:sz w:val="22"/>
                <w:szCs w:val="22"/>
              </w:rPr>
            </w:pPr>
          </w:p>
          <w:p w14:paraId="4DC91EED" w14:textId="77777777" w:rsidR="006461E6" w:rsidRDefault="006461E6">
            <w:pPr>
              <w:pStyle w:val="NormalWeb"/>
              <w:spacing w:before="0" w:beforeAutospacing="0" w:after="0" w:afterAutospacing="0"/>
              <w:ind w:right="34"/>
              <w:rPr>
                <w:rFonts w:ascii="Arial" w:hAnsi="Arial" w:cs="Arial"/>
                <w:sz w:val="22"/>
                <w:szCs w:val="22"/>
              </w:rPr>
            </w:pPr>
          </w:p>
          <w:p w14:paraId="37B43A46" w14:textId="28F2FA2C"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w:t>
            </w:r>
            <w:r w:rsidR="00A43416">
              <w:rPr>
                <w:rFonts w:ascii="Arial" w:hAnsi="Arial" w:cs="Arial"/>
                <w:sz w:val="22"/>
                <w:szCs w:val="22"/>
              </w:rPr>
              <w:t xml:space="preserve"> 7</w:t>
            </w:r>
            <w:r w:rsidR="00A43416" w:rsidRPr="00A43416">
              <w:rPr>
                <w:rFonts w:ascii="Arial" w:hAnsi="Arial" w:cs="Arial"/>
                <w:sz w:val="22"/>
                <w:szCs w:val="22"/>
                <w:vertAlign w:val="superscript"/>
              </w:rPr>
              <w:t>th</w:t>
            </w:r>
            <w:r w:rsidR="00A43416">
              <w:rPr>
                <w:rFonts w:ascii="Arial" w:hAnsi="Arial" w:cs="Arial"/>
                <w:sz w:val="22"/>
                <w:szCs w:val="22"/>
              </w:rPr>
              <w:t xml:space="preserve"> Nov 2022</w:t>
            </w:r>
          </w:p>
        </w:tc>
      </w:tr>
      <w:tr w:rsidR="006461E6" w14:paraId="5721A521" w14:textId="77777777" w:rsidTr="006461E6">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771AB86A" w14:textId="2C950BA2" w:rsidR="006461E6" w:rsidRDefault="006461E6">
            <w:r>
              <w:t>This assignment is for the       1</w:t>
            </w:r>
            <w:r>
              <w:rPr>
                <w:vertAlign w:val="superscript"/>
              </w:rPr>
              <w:t xml:space="preserve">st </w:t>
            </w:r>
            <w:r>
              <w:fldChar w:fldCharType="begin">
                <w:ffData>
                  <w:name w:val="Check13"/>
                  <w:enabled/>
                  <w:calcOnExit w:val="0"/>
                  <w:checkBox>
                    <w:sizeAuto/>
                    <w:default w:val="0"/>
                  </w:checkBox>
                </w:ffData>
              </w:fldChar>
            </w:r>
            <w:bookmarkStart w:id="0" w:name="Check13"/>
            <w:r>
              <w:instrText xml:space="preserve"> FORMCHECKBOX </w:instrText>
            </w:r>
            <w:r w:rsidR="00000000">
              <w:fldChar w:fldCharType="separate"/>
            </w:r>
            <w:r>
              <w:rPr>
                <w:rFonts w:ascii="Times New Roman" w:hAnsi="Times New Roman" w:cs="Times New Roman"/>
                <w:sz w:val="24"/>
                <w:szCs w:val="24"/>
              </w:rPr>
              <w:fldChar w:fldCharType="end"/>
            </w:r>
            <w:bookmarkEnd w:id="0"/>
            <w:r>
              <w:t xml:space="preserve">    2</w:t>
            </w:r>
            <w:r>
              <w:rPr>
                <w:vertAlign w:val="superscript"/>
              </w:rPr>
              <w:t>nd</w:t>
            </w:r>
            <w:r>
              <w:t xml:space="preserve">  </w:t>
            </w:r>
            <w:r>
              <w:fldChar w:fldCharType="begin">
                <w:ffData>
                  <w:name w:val="Check14"/>
                  <w:enabled/>
                  <w:calcOnExit w:val="0"/>
                  <w:checkBox>
                    <w:sizeAuto/>
                    <w:default w:val="0"/>
                  </w:checkBox>
                </w:ffData>
              </w:fldChar>
            </w:r>
            <w:bookmarkStart w:id="1" w:name="Check14"/>
            <w:r>
              <w:instrText xml:space="preserve"> FORMCHECKBOX </w:instrText>
            </w:r>
            <w:r w:rsidR="00000000">
              <w:fldChar w:fldCharType="separate"/>
            </w:r>
            <w:r>
              <w:rPr>
                <w:rFonts w:ascii="Times New Roman" w:hAnsi="Times New Roman" w:cs="Times New Roman"/>
                <w:sz w:val="24"/>
                <w:szCs w:val="24"/>
              </w:rPr>
              <w:fldChar w:fldCharType="end"/>
            </w:r>
            <w:bookmarkEnd w:id="1"/>
            <w:r>
              <w:t xml:space="preserve">     3</w:t>
            </w:r>
            <w:r>
              <w:rPr>
                <w:vertAlign w:val="superscript"/>
              </w:rPr>
              <w:t>rd</w:t>
            </w:r>
            <w:r>
              <w:t xml:space="preserve">  </w:t>
            </w:r>
            <w:r>
              <w:fldChar w:fldCharType="begin">
                <w:ffData>
                  <w:name w:val="Check15"/>
                  <w:enabled/>
                  <w:calcOnExit w:val="0"/>
                  <w:checkBox>
                    <w:sizeAuto/>
                    <w:default w:val="1"/>
                  </w:checkBox>
                </w:ffData>
              </w:fldChar>
            </w:r>
            <w:bookmarkStart w:id="2" w:name="Check15"/>
            <w:r>
              <w:instrText xml:space="preserve"> FORMCHECKBOX </w:instrText>
            </w:r>
            <w:r w:rsidR="00000000">
              <w:fldChar w:fldCharType="separate"/>
            </w:r>
            <w:r>
              <w:fldChar w:fldCharType="end"/>
            </w:r>
            <w:bookmarkEnd w:id="2"/>
            <w:r>
              <w:t xml:space="preserve">      4</w:t>
            </w:r>
            <w:r>
              <w:rPr>
                <w:vertAlign w:val="superscript"/>
              </w:rPr>
              <w:t>th</w:t>
            </w:r>
            <w:r>
              <w:t xml:space="preserve"> </w:t>
            </w:r>
            <w:r>
              <w:fldChar w:fldCharType="begin">
                <w:ffData>
                  <w:name w:val="Check16"/>
                  <w:enabled/>
                  <w:calcOnExit w:val="0"/>
                  <w:checkBox>
                    <w:sizeAuto/>
                    <w:default w:val="0"/>
                  </w:checkBox>
                </w:ffData>
              </w:fldChar>
            </w:r>
            <w:bookmarkStart w:id="3" w:name="Check16"/>
            <w:r>
              <w:instrText xml:space="preserve"> FORMCHECKBOX </w:instrText>
            </w:r>
            <w:r w:rsidR="00000000">
              <w:fldChar w:fldCharType="separate"/>
            </w:r>
            <w:r>
              <w:rPr>
                <w:rFonts w:ascii="Times New Roman" w:hAnsi="Times New Roman" w:cs="Times New Roman"/>
                <w:sz w:val="24"/>
                <w:szCs w:val="24"/>
              </w:rPr>
              <w:fldChar w:fldCharType="end"/>
            </w:r>
            <w:bookmarkEnd w:id="3"/>
            <w:r>
              <w:t xml:space="preserve">      5</w:t>
            </w:r>
            <w:r>
              <w:rPr>
                <w:vertAlign w:val="superscript"/>
              </w:rPr>
              <w:t>th</w:t>
            </w:r>
            <w:r>
              <w:t xml:space="preserve"> </w:t>
            </w:r>
            <w:r>
              <w:fldChar w:fldCharType="begin">
                <w:ffData>
                  <w:name w:val="Check17"/>
                  <w:enabled/>
                  <w:calcOnExit w:val="0"/>
                  <w:checkBox>
                    <w:sizeAuto/>
                    <w:default w:val="0"/>
                  </w:checkBox>
                </w:ffData>
              </w:fldChar>
            </w:r>
            <w:bookmarkStart w:id="4" w:name="Check17"/>
            <w:r>
              <w:instrText xml:space="preserve"> FORMCHECKBOX </w:instrText>
            </w:r>
            <w:r w:rsidR="00000000">
              <w:fldChar w:fldCharType="separate"/>
            </w:r>
            <w:r>
              <w:rPr>
                <w:rFonts w:ascii="Times New Roman" w:hAnsi="Times New Roman" w:cs="Times New Roman"/>
                <w:sz w:val="24"/>
                <w:szCs w:val="24"/>
              </w:rPr>
              <w:fldChar w:fldCharType="end"/>
            </w:r>
            <w:bookmarkEnd w:id="4"/>
            <w:r>
              <w:t xml:space="preserve">      6</w:t>
            </w:r>
            <w:r>
              <w:rPr>
                <w:vertAlign w:val="superscript"/>
              </w:rPr>
              <w:t>th</w:t>
            </w:r>
            <w:r>
              <w:t xml:space="preserve"> </w:t>
            </w:r>
            <w:r>
              <w:fldChar w:fldCharType="begin">
                <w:ffData>
                  <w:name w:val="Check18"/>
                  <w:enabled/>
                  <w:calcOnExit w:val="0"/>
                  <w:checkBox>
                    <w:sizeAuto/>
                    <w:default w:val="0"/>
                  </w:checkBox>
                </w:ffData>
              </w:fldChar>
            </w:r>
            <w:bookmarkStart w:id="5" w:name="Check18"/>
            <w:r>
              <w:instrText xml:space="preserve"> FORMCHECKBOX </w:instrText>
            </w:r>
            <w:r w:rsidR="00000000">
              <w:fldChar w:fldCharType="separate"/>
            </w:r>
            <w:r>
              <w:rPr>
                <w:rFonts w:ascii="Times New Roman" w:hAnsi="Times New Roman" w:cs="Times New Roman"/>
                <w:sz w:val="24"/>
                <w:szCs w:val="24"/>
              </w:rPr>
              <w:fldChar w:fldCharType="end"/>
            </w:r>
            <w:bookmarkEnd w:id="5"/>
            <w:r>
              <w:rPr>
                <w:b/>
              </w:rPr>
              <w:t xml:space="preserve">   </w:t>
            </w:r>
            <w:r>
              <w:t>module of the degree</w:t>
            </w:r>
          </w:p>
        </w:tc>
      </w:tr>
      <w:tr w:rsidR="006461E6" w14:paraId="7DFFE9AE" w14:textId="77777777" w:rsidTr="006461E6">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40C8CF1C" w14:textId="77777777"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72BE4321" w14:textId="02FF23E7" w:rsidR="006461E6" w:rsidRDefault="006461E6">
            <w:pPr>
              <w:pStyle w:val="NormalWeb"/>
              <w:spacing w:before="0" w:beforeAutospacing="0" w:after="0" w:afterAutospacing="0"/>
              <w:ind w:right="34"/>
              <w:rPr>
                <w:rFonts w:ascii="Arial" w:hAnsi="Arial" w:cs="Arial"/>
                <w:sz w:val="22"/>
                <w:szCs w:val="22"/>
              </w:rPr>
            </w:pPr>
            <w:r>
              <w:rPr>
                <w:rFonts w:ascii="Arial" w:hAnsi="Arial" w:cs="Arial"/>
                <w:sz w:val="22"/>
                <w:szCs w:val="22"/>
              </w:rPr>
              <w:t>Signed …………Ying Ching Lee…………………………………………………</w:t>
            </w:r>
          </w:p>
          <w:p w14:paraId="082240A7" w14:textId="77777777" w:rsidR="006461E6" w:rsidRDefault="006461E6">
            <w:pPr>
              <w:pStyle w:val="NormalWeb"/>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w:t>
            </w:r>
            <w:proofErr w:type="spellStart"/>
            <w:r>
              <w:rPr>
                <w:rFonts w:ascii="Calibri" w:hAnsi="Calibri" w:cs="Tahoma"/>
                <w:b/>
                <w:sz w:val="24"/>
                <w:szCs w:val="24"/>
              </w:rPr>
              <w:t>submission:if</w:t>
            </w:r>
            <w:proofErr w:type="spellEnd"/>
            <w:r>
              <w:rPr>
                <w:rFonts w:ascii="Calibri" w:hAnsi="Calibri" w:cs="Tahoma"/>
                <w:b/>
                <w:sz w:val="24"/>
                <w:szCs w:val="24"/>
              </w:rPr>
              <w:t xml:space="preserve"> you are submitting this form via email, please tick this box </w:t>
            </w:r>
            <w:r>
              <w:rPr>
                <w:rFonts w:ascii="Calibri" w:hAnsi="Calibri" w:cs="Calibri"/>
                <w:b/>
                <w:sz w:val="44"/>
                <w:szCs w:val="44"/>
              </w:rPr>
              <w:t>□</w:t>
            </w:r>
          </w:p>
          <w:p w14:paraId="2516FD4B" w14:textId="77777777" w:rsidR="006461E6" w:rsidRDefault="006461E6">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6461E6" w14:paraId="6442183C" w14:textId="77777777" w:rsidTr="006461E6">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5DB4A455" w14:textId="77777777" w:rsidR="006461E6" w:rsidRDefault="006461E6">
            <w:pPr>
              <w:rPr>
                <w:rFonts w:cs="Times New Roman"/>
                <w:b/>
                <w:sz w:val="24"/>
                <w:szCs w:val="24"/>
              </w:rPr>
            </w:pPr>
          </w:p>
          <w:p w14:paraId="76112EE9" w14:textId="77777777" w:rsidR="006461E6" w:rsidRDefault="006461E6">
            <w:r>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461E6" w14:paraId="2F44275D" w14:textId="77777777">
              <w:tc>
                <w:tcPr>
                  <w:tcW w:w="6970" w:type="dxa"/>
                  <w:tcBorders>
                    <w:top w:val="single" w:sz="4" w:space="0" w:color="auto"/>
                    <w:left w:val="single" w:sz="4" w:space="0" w:color="auto"/>
                    <w:bottom w:val="single" w:sz="4" w:space="0" w:color="auto"/>
                    <w:right w:val="single" w:sz="4" w:space="0" w:color="auto"/>
                  </w:tcBorders>
                </w:tcPr>
                <w:p w14:paraId="0C419F47" w14:textId="77777777" w:rsidR="006461E6" w:rsidRDefault="006461E6">
                  <w:pPr>
                    <w:rPr>
                      <w:sz w:val="20"/>
                      <w:szCs w:val="20"/>
                    </w:rPr>
                  </w:pPr>
                </w:p>
                <w:p w14:paraId="4C88195E" w14:textId="77777777" w:rsidR="006461E6" w:rsidRDefault="006461E6">
                  <w:pPr>
                    <w:rPr>
                      <w:sz w:val="20"/>
                      <w:szCs w:val="20"/>
                    </w:rPr>
                  </w:pPr>
                  <w:r>
                    <w:rPr>
                      <w:sz w:val="20"/>
                      <w:szCs w:val="20"/>
                    </w:rPr>
                    <w:t>1</w:t>
                  </w:r>
                  <w:r>
                    <w:rPr>
                      <w:sz w:val="20"/>
                      <w:szCs w:val="20"/>
                      <w:vertAlign w:val="superscript"/>
                    </w:rPr>
                    <w:t>st</w:t>
                  </w:r>
                  <w:r>
                    <w:rPr>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1C421C4B" w14:textId="77777777" w:rsidR="006461E6" w:rsidRDefault="006461E6">
                  <w:pPr>
                    <w:rPr>
                      <w:sz w:val="20"/>
                      <w:szCs w:val="20"/>
                    </w:rPr>
                  </w:pPr>
                </w:p>
              </w:tc>
            </w:tr>
            <w:tr w:rsidR="006461E6" w14:paraId="1755A748" w14:textId="77777777">
              <w:tc>
                <w:tcPr>
                  <w:tcW w:w="6970" w:type="dxa"/>
                  <w:tcBorders>
                    <w:top w:val="single" w:sz="4" w:space="0" w:color="auto"/>
                    <w:left w:val="single" w:sz="4" w:space="0" w:color="auto"/>
                    <w:bottom w:val="single" w:sz="4" w:space="0" w:color="auto"/>
                    <w:right w:val="single" w:sz="4" w:space="0" w:color="auto"/>
                  </w:tcBorders>
                </w:tcPr>
                <w:p w14:paraId="64A6E483" w14:textId="77777777" w:rsidR="006461E6" w:rsidRDefault="006461E6">
                  <w:pPr>
                    <w:rPr>
                      <w:sz w:val="20"/>
                      <w:szCs w:val="20"/>
                    </w:rPr>
                  </w:pPr>
                </w:p>
                <w:p w14:paraId="71996B99" w14:textId="77777777" w:rsidR="006461E6" w:rsidRDefault="006461E6">
                  <w:pPr>
                    <w:rPr>
                      <w:sz w:val="20"/>
                      <w:szCs w:val="20"/>
                    </w:rPr>
                  </w:pPr>
                  <w:r>
                    <w:rPr>
                      <w:sz w:val="20"/>
                      <w:szCs w:val="20"/>
                    </w:rPr>
                    <w:t>2</w:t>
                  </w:r>
                  <w:r>
                    <w:rPr>
                      <w:sz w:val="20"/>
                      <w:szCs w:val="20"/>
                      <w:vertAlign w:val="superscript"/>
                    </w:rPr>
                    <w:t>nd</w:t>
                  </w:r>
                  <w:r>
                    <w:rPr>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25C1D002" w14:textId="77777777" w:rsidR="006461E6" w:rsidRDefault="006461E6">
                  <w:pPr>
                    <w:rPr>
                      <w:sz w:val="20"/>
                      <w:szCs w:val="20"/>
                    </w:rPr>
                  </w:pPr>
                </w:p>
              </w:tc>
            </w:tr>
            <w:tr w:rsidR="006461E6" w14:paraId="143712CE" w14:textId="77777777">
              <w:tc>
                <w:tcPr>
                  <w:tcW w:w="6970" w:type="dxa"/>
                  <w:tcBorders>
                    <w:top w:val="single" w:sz="4" w:space="0" w:color="auto"/>
                    <w:left w:val="single" w:sz="4" w:space="0" w:color="auto"/>
                    <w:bottom w:val="single" w:sz="4" w:space="0" w:color="auto"/>
                    <w:right w:val="single" w:sz="4" w:space="0" w:color="auto"/>
                  </w:tcBorders>
                </w:tcPr>
                <w:p w14:paraId="4BFF44BB" w14:textId="77777777" w:rsidR="006461E6" w:rsidRDefault="006461E6">
                  <w:pPr>
                    <w:rPr>
                      <w:sz w:val="20"/>
                      <w:szCs w:val="20"/>
                    </w:rPr>
                  </w:pPr>
                </w:p>
                <w:p w14:paraId="1AFC9007" w14:textId="77777777" w:rsidR="006461E6" w:rsidRDefault="006461E6">
                  <w:pPr>
                    <w:rPr>
                      <w:sz w:val="20"/>
                      <w:szCs w:val="20"/>
                    </w:rPr>
                  </w:pPr>
                  <w:r>
                    <w:rPr>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662E2B11" w14:textId="77777777" w:rsidR="006461E6" w:rsidRDefault="006461E6">
                  <w:pPr>
                    <w:rPr>
                      <w:sz w:val="20"/>
                      <w:szCs w:val="20"/>
                    </w:rPr>
                  </w:pPr>
                </w:p>
              </w:tc>
            </w:tr>
            <w:tr w:rsidR="006461E6" w14:paraId="7232A07D" w14:textId="77777777">
              <w:tc>
                <w:tcPr>
                  <w:tcW w:w="6970" w:type="dxa"/>
                  <w:tcBorders>
                    <w:top w:val="single" w:sz="4" w:space="0" w:color="auto"/>
                    <w:left w:val="single" w:sz="4" w:space="0" w:color="auto"/>
                    <w:bottom w:val="single" w:sz="4" w:space="0" w:color="auto"/>
                    <w:right w:val="single" w:sz="4" w:space="0" w:color="auto"/>
                  </w:tcBorders>
                </w:tcPr>
                <w:p w14:paraId="1FD92455" w14:textId="77777777" w:rsidR="006461E6" w:rsidRDefault="006461E6">
                  <w:pPr>
                    <w:rPr>
                      <w:sz w:val="20"/>
                      <w:szCs w:val="20"/>
                    </w:rPr>
                  </w:pPr>
                </w:p>
                <w:p w14:paraId="68538CE5" w14:textId="77777777" w:rsidR="006461E6" w:rsidRDefault="006461E6">
                  <w:pPr>
                    <w:rPr>
                      <w:b/>
                      <w:sz w:val="20"/>
                      <w:szCs w:val="20"/>
                    </w:rPr>
                  </w:pPr>
                  <w:r>
                    <w:rPr>
                      <w:b/>
                      <w:sz w:val="20"/>
                      <w:szCs w:val="20"/>
                    </w:rPr>
                    <w:t>Final Mark</w:t>
                  </w:r>
                </w:p>
                <w:p w14:paraId="685119FC" w14:textId="77777777" w:rsidR="006461E6" w:rsidRDefault="006461E6">
                  <w:pPr>
                    <w:rPr>
                      <w:sz w:val="20"/>
                      <w:szCs w:val="20"/>
                    </w:rPr>
                  </w:pPr>
                </w:p>
              </w:tc>
              <w:tc>
                <w:tcPr>
                  <w:tcW w:w="1660" w:type="dxa"/>
                  <w:tcBorders>
                    <w:top w:val="single" w:sz="4" w:space="0" w:color="auto"/>
                    <w:left w:val="single" w:sz="4" w:space="0" w:color="auto"/>
                    <w:bottom w:val="single" w:sz="4" w:space="0" w:color="auto"/>
                    <w:right w:val="single" w:sz="4" w:space="0" w:color="auto"/>
                  </w:tcBorders>
                </w:tcPr>
                <w:p w14:paraId="0A5ECEDD" w14:textId="77777777" w:rsidR="006461E6" w:rsidRDefault="006461E6">
                  <w:pPr>
                    <w:rPr>
                      <w:sz w:val="20"/>
                      <w:szCs w:val="20"/>
                    </w:rPr>
                  </w:pPr>
                </w:p>
              </w:tc>
            </w:tr>
          </w:tbl>
          <w:p w14:paraId="1B43E20F" w14:textId="77777777" w:rsidR="006461E6" w:rsidRDefault="006461E6">
            <w:pPr>
              <w:pStyle w:val="NormalWeb"/>
              <w:spacing w:before="0" w:beforeAutospacing="0" w:after="0" w:afterAutospacing="0"/>
              <w:ind w:left="142" w:right="34"/>
              <w:rPr>
                <w:rFonts w:ascii="Arial" w:hAnsi="Arial" w:cs="Arial"/>
                <w:b/>
                <w:sz w:val="22"/>
                <w:szCs w:val="22"/>
              </w:rPr>
            </w:pPr>
          </w:p>
          <w:p w14:paraId="16441CAA" w14:textId="77777777" w:rsidR="006461E6" w:rsidRDefault="006461E6">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4E0C569C" w14:textId="77777777" w:rsidR="006461E6" w:rsidRDefault="006461E6">
            <w:pPr>
              <w:pStyle w:val="NormalWeb"/>
              <w:spacing w:before="0" w:beforeAutospacing="0" w:after="0" w:afterAutospacing="0"/>
              <w:rPr>
                <w:rFonts w:ascii="Arial" w:hAnsi="Arial" w:cs="Arial"/>
                <w:b/>
                <w:sz w:val="22"/>
                <w:szCs w:val="22"/>
              </w:rPr>
            </w:pPr>
          </w:p>
          <w:p w14:paraId="4A6388FF" w14:textId="77777777" w:rsidR="006461E6" w:rsidRDefault="006461E6">
            <w:pPr>
              <w:pStyle w:val="NormalWeb"/>
              <w:spacing w:before="0" w:beforeAutospacing="0" w:after="0" w:afterAutospacing="0"/>
              <w:rPr>
                <w:rFonts w:ascii="Arial" w:hAnsi="Arial" w:cs="Arial"/>
                <w:b/>
                <w:sz w:val="22"/>
                <w:szCs w:val="22"/>
              </w:rPr>
            </w:pPr>
          </w:p>
          <w:p w14:paraId="678B6ECF" w14:textId="77777777" w:rsidR="006461E6" w:rsidRDefault="006461E6">
            <w:pPr>
              <w:pStyle w:val="NormalWeb"/>
              <w:spacing w:before="0" w:beforeAutospacing="0" w:after="0" w:afterAutospacing="0"/>
              <w:rPr>
                <w:rFonts w:ascii="Arial" w:hAnsi="Arial" w:cs="Arial"/>
                <w:b/>
                <w:sz w:val="22"/>
                <w:szCs w:val="22"/>
              </w:rPr>
            </w:pPr>
          </w:p>
          <w:p w14:paraId="6B26E2AC" w14:textId="77777777" w:rsidR="006461E6" w:rsidRDefault="006461E6">
            <w:pPr>
              <w:pStyle w:val="NormalWeb"/>
              <w:spacing w:before="0" w:beforeAutospacing="0" w:after="0" w:afterAutospacing="0"/>
              <w:rPr>
                <w:rFonts w:ascii="Arial" w:hAnsi="Arial" w:cs="Arial"/>
                <w:b/>
                <w:sz w:val="22"/>
                <w:szCs w:val="22"/>
              </w:rPr>
            </w:pPr>
          </w:p>
          <w:p w14:paraId="4DD2DAC4" w14:textId="77777777" w:rsidR="006461E6" w:rsidRDefault="006461E6">
            <w:pPr>
              <w:pStyle w:val="NormalWeb"/>
              <w:spacing w:before="0" w:beforeAutospacing="0" w:after="0" w:afterAutospacing="0"/>
              <w:rPr>
                <w:rFonts w:ascii="Arial" w:hAnsi="Arial" w:cs="Arial"/>
                <w:b/>
                <w:sz w:val="22"/>
                <w:szCs w:val="22"/>
              </w:rPr>
            </w:pPr>
          </w:p>
          <w:p w14:paraId="2D1F7BD4" w14:textId="77777777" w:rsidR="006461E6" w:rsidRDefault="006461E6">
            <w:pPr>
              <w:pStyle w:val="NormalWeb"/>
              <w:spacing w:before="0" w:beforeAutospacing="0" w:after="0" w:afterAutospacing="0"/>
              <w:rPr>
                <w:rFonts w:ascii="Arial" w:hAnsi="Arial" w:cs="Arial"/>
                <w:b/>
                <w:sz w:val="22"/>
                <w:szCs w:val="22"/>
              </w:rPr>
            </w:pPr>
            <w:r>
              <w:rPr>
                <w:rFonts w:ascii="Arial" w:hAnsi="Arial" w:cs="Arial"/>
                <w:b/>
                <w:sz w:val="22"/>
                <w:szCs w:val="22"/>
              </w:rPr>
              <w:t>For completion by Marker 1 :</w:t>
            </w:r>
          </w:p>
          <w:p w14:paraId="2BDE39B3" w14:textId="77777777" w:rsidR="006461E6" w:rsidRDefault="006461E6">
            <w:pPr>
              <w:pStyle w:val="NormalWeb"/>
              <w:rPr>
                <w:rFonts w:ascii="Arial" w:hAnsi="Arial" w:cs="Arial"/>
                <w:sz w:val="22"/>
                <w:szCs w:val="22"/>
              </w:rPr>
            </w:pPr>
            <w:r>
              <w:rPr>
                <w:rFonts w:ascii="Arial" w:hAnsi="Arial" w:cs="Arial"/>
                <w:sz w:val="22"/>
                <w:szCs w:val="22"/>
              </w:rPr>
              <w:t>Comments:</w:t>
            </w:r>
          </w:p>
          <w:p w14:paraId="07585F06" w14:textId="77777777" w:rsidR="006461E6" w:rsidRDefault="006461E6">
            <w:pPr>
              <w:pStyle w:val="NormalWeb"/>
              <w:rPr>
                <w:rFonts w:ascii="Arial" w:hAnsi="Arial" w:cs="Arial"/>
                <w:sz w:val="22"/>
                <w:szCs w:val="22"/>
              </w:rPr>
            </w:pPr>
          </w:p>
        </w:tc>
      </w:tr>
      <w:tr w:rsidR="006461E6" w14:paraId="2DBC8EEB" w14:textId="77777777" w:rsidTr="006461E6">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56A89255" w14:textId="77777777" w:rsidR="006461E6" w:rsidRDefault="006461E6">
            <w:pPr>
              <w:pStyle w:val="NormalWeb"/>
              <w:spacing w:beforeAutospacing="0" w:afterAutospacing="0"/>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1C02AD3C" w14:textId="77777777" w:rsidR="006461E6" w:rsidRDefault="006461E6">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6461E6" w14:paraId="04D81495" w14:textId="77777777" w:rsidTr="006461E6">
        <w:tc>
          <w:tcPr>
            <w:tcW w:w="8856" w:type="dxa"/>
            <w:gridSpan w:val="5"/>
            <w:tcBorders>
              <w:top w:val="single" w:sz="4" w:space="0" w:color="000000"/>
              <w:left w:val="single" w:sz="4" w:space="0" w:color="000000"/>
              <w:bottom w:val="single" w:sz="4" w:space="0" w:color="000000"/>
              <w:right w:val="single" w:sz="4" w:space="0" w:color="000000"/>
            </w:tcBorders>
          </w:tcPr>
          <w:p w14:paraId="35C3A916" w14:textId="77777777" w:rsidR="006461E6" w:rsidRDefault="006461E6">
            <w:pPr>
              <w:pStyle w:val="NormalWeb"/>
              <w:spacing w:before="0" w:beforeAutospacing="0" w:after="0" w:afterAutospacing="0"/>
              <w:ind w:right="-334"/>
              <w:rPr>
                <w:rFonts w:ascii="Arial" w:hAnsi="Arial" w:cs="Arial"/>
                <w:bCs/>
                <w:i/>
                <w:sz w:val="22"/>
                <w:szCs w:val="22"/>
              </w:rPr>
            </w:pPr>
          </w:p>
          <w:p w14:paraId="2E3A710F" w14:textId="77777777" w:rsidR="006461E6" w:rsidRDefault="006461E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13100B8B" w14:textId="77777777" w:rsidR="006461E6" w:rsidRDefault="006461E6">
            <w:pPr>
              <w:pStyle w:val="NormalWeb"/>
              <w:spacing w:before="0" w:beforeAutospacing="0" w:after="0" w:afterAutospacing="0"/>
              <w:ind w:right="-334"/>
              <w:rPr>
                <w:rFonts w:ascii="Arial" w:hAnsi="Arial" w:cs="Arial"/>
                <w:b/>
                <w:bCs/>
                <w:sz w:val="22"/>
                <w:szCs w:val="22"/>
              </w:rPr>
            </w:pPr>
          </w:p>
          <w:p w14:paraId="699784B9" w14:textId="77777777" w:rsidR="006461E6" w:rsidRDefault="006461E6">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314D13FF" w14:textId="77777777" w:rsidR="006461E6" w:rsidRDefault="006461E6">
            <w:pPr>
              <w:pStyle w:val="NormalWeb"/>
              <w:spacing w:before="0" w:beforeAutospacing="0" w:after="0" w:afterAutospacing="0"/>
              <w:ind w:right="-334"/>
              <w:rPr>
                <w:rFonts w:ascii="Arial" w:hAnsi="Arial" w:cs="Arial"/>
                <w:bCs/>
                <w:sz w:val="22"/>
                <w:szCs w:val="22"/>
              </w:rPr>
            </w:pPr>
          </w:p>
          <w:p w14:paraId="7504DE26" w14:textId="77777777" w:rsidR="006461E6" w:rsidRDefault="006461E6">
            <w:pPr>
              <w:pStyle w:val="NormalWeb"/>
              <w:spacing w:before="0" w:beforeAutospacing="0" w:after="0" w:afterAutospacing="0"/>
              <w:ind w:right="-334"/>
              <w:rPr>
                <w:rFonts w:ascii="Arial" w:hAnsi="Arial" w:cs="Arial"/>
                <w:bCs/>
                <w:sz w:val="22"/>
                <w:szCs w:val="22"/>
              </w:rPr>
            </w:pPr>
          </w:p>
          <w:p w14:paraId="56CB40B4" w14:textId="77777777" w:rsidR="006461E6" w:rsidRDefault="006461E6">
            <w:pPr>
              <w:pStyle w:val="NormalWeb"/>
              <w:spacing w:before="0" w:beforeAutospacing="0" w:after="0" w:afterAutospacing="0"/>
              <w:ind w:right="-334"/>
              <w:rPr>
                <w:rFonts w:ascii="Arial" w:hAnsi="Arial" w:cs="Arial"/>
                <w:bCs/>
                <w:sz w:val="22"/>
                <w:szCs w:val="22"/>
              </w:rPr>
            </w:pPr>
          </w:p>
          <w:p w14:paraId="4E7E1E9E" w14:textId="77777777" w:rsidR="006461E6" w:rsidRDefault="006461E6">
            <w:pPr>
              <w:pStyle w:val="NormalWeb"/>
              <w:spacing w:before="0" w:beforeAutospacing="0" w:after="0" w:afterAutospacing="0"/>
              <w:ind w:right="-334"/>
              <w:rPr>
                <w:rFonts w:ascii="Arial" w:hAnsi="Arial" w:cs="Arial"/>
                <w:bCs/>
                <w:sz w:val="22"/>
                <w:szCs w:val="22"/>
              </w:rPr>
            </w:pPr>
          </w:p>
          <w:p w14:paraId="57697C72" w14:textId="77777777" w:rsidR="006461E6" w:rsidRDefault="006461E6">
            <w:pPr>
              <w:pStyle w:val="NormalWeb"/>
              <w:spacing w:before="0" w:beforeAutospacing="0" w:after="0" w:afterAutospacing="0"/>
              <w:ind w:right="-334"/>
              <w:rPr>
                <w:rFonts w:ascii="Arial" w:hAnsi="Arial" w:cs="Arial"/>
                <w:bCs/>
                <w:sz w:val="22"/>
                <w:szCs w:val="22"/>
              </w:rPr>
            </w:pPr>
          </w:p>
        </w:tc>
      </w:tr>
      <w:tr w:rsidR="006461E6" w14:paraId="2804D07B" w14:textId="77777777" w:rsidTr="006461E6">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09A5292" w14:textId="77777777" w:rsidR="006461E6" w:rsidRDefault="006461E6">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6B5E9EF3" w14:textId="77777777" w:rsidR="006461E6" w:rsidRDefault="006461E6">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6461E6" w14:paraId="0769D396" w14:textId="77777777" w:rsidTr="006461E6">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5BBED06E" w14:textId="77777777" w:rsidR="006461E6" w:rsidRDefault="006461E6">
            <w:pPr>
              <w:rPr>
                <w:b/>
              </w:rPr>
            </w:pPr>
            <w:r>
              <w:rPr>
                <w:b/>
              </w:rPr>
              <w:t>External Examiner’s comments (if relevant)</w:t>
            </w:r>
          </w:p>
          <w:p w14:paraId="424EEC52" w14:textId="77777777" w:rsidR="006461E6" w:rsidRDefault="006461E6">
            <w:pPr>
              <w:pStyle w:val="NormalWeb"/>
              <w:spacing w:before="0" w:beforeAutospacing="0" w:after="0" w:afterAutospacing="0"/>
              <w:ind w:right="-334"/>
              <w:rPr>
                <w:rFonts w:ascii="Arial" w:hAnsi="Arial" w:cs="Arial"/>
                <w:bCs/>
                <w:sz w:val="22"/>
                <w:szCs w:val="22"/>
              </w:rPr>
            </w:pPr>
          </w:p>
          <w:p w14:paraId="68CCCFE4" w14:textId="77777777" w:rsidR="006461E6" w:rsidRDefault="006461E6">
            <w:pPr>
              <w:pStyle w:val="NormalWeb"/>
              <w:spacing w:before="0" w:beforeAutospacing="0" w:after="0" w:afterAutospacing="0"/>
              <w:ind w:right="-334"/>
              <w:rPr>
                <w:rFonts w:ascii="Arial" w:hAnsi="Arial" w:cs="Arial"/>
                <w:bCs/>
                <w:sz w:val="22"/>
                <w:szCs w:val="22"/>
              </w:rPr>
            </w:pPr>
          </w:p>
          <w:p w14:paraId="14505052" w14:textId="77777777" w:rsidR="006461E6" w:rsidRDefault="006461E6">
            <w:pPr>
              <w:pStyle w:val="NormalWeb"/>
              <w:spacing w:before="0" w:beforeAutospacing="0" w:after="0" w:afterAutospacing="0"/>
              <w:ind w:right="-334"/>
              <w:rPr>
                <w:rFonts w:ascii="Arial" w:hAnsi="Arial" w:cs="Arial"/>
                <w:bCs/>
                <w:sz w:val="22"/>
                <w:szCs w:val="22"/>
              </w:rPr>
            </w:pPr>
          </w:p>
          <w:p w14:paraId="6826223E" w14:textId="77777777" w:rsidR="006461E6" w:rsidRDefault="006461E6">
            <w:pPr>
              <w:pStyle w:val="NormalWeb"/>
              <w:spacing w:before="0" w:beforeAutospacing="0" w:after="0" w:afterAutospacing="0"/>
              <w:ind w:right="-334"/>
              <w:rPr>
                <w:rFonts w:ascii="Arial" w:hAnsi="Arial" w:cs="Arial"/>
                <w:bCs/>
                <w:sz w:val="22"/>
                <w:szCs w:val="22"/>
              </w:rPr>
            </w:pPr>
          </w:p>
          <w:p w14:paraId="19FC972B" w14:textId="77777777" w:rsidR="006461E6" w:rsidRDefault="006461E6">
            <w:pPr>
              <w:pStyle w:val="NormalWeb"/>
              <w:spacing w:before="0" w:beforeAutospacing="0" w:after="0" w:afterAutospacing="0"/>
              <w:ind w:right="-334"/>
              <w:rPr>
                <w:rFonts w:ascii="Arial" w:hAnsi="Arial" w:cs="Arial"/>
                <w:bCs/>
                <w:sz w:val="22"/>
                <w:szCs w:val="22"/>
              </w:rPr>
            </w:pPr>
          </w:p>
          <w:p w14:paraId="7557BF22" w14:textId="77777777" w:rsidR="006461E6" w:rsidRDefault="006461E6">
            <w:pPr>
              <w:pStyle w:val="NormalWeb"/>
              <w:spacing w:before="0" w:beforeAutospacing="0" w:after="0" w:afterAutospacing="0"/>
              <w:ind w:right="-334"/>
              <w:rPr>
                <w:rFonts w:ascii="Arial" w:hAnsi="Arial" w:cs="Arial"/>
                <w:bCs/>
                <w:sz w:val="22"/>
                <w:szCs w:val="22"/>
              </w:rPr>
            </w:pPr>
          </w:p>
          <w:p w14:paraId="424C6274" w14:textId="77777777" w:rsidR="006461E6" w:rsidRDefault="006461E6">
            <w:pPr>
              <w:pStyle w:val="NormalWeb"/>
              <w:spacing w:before="0" w:beforeAutospacing="0" w:after="0" w:afterAutospacing="0"/>
              <w:ind w:right="-334"/>
              <w:rPr>
                <w:rFonts w:ascii="Arial" w:hAnsi="Arial" w:cs="Arial"/>
                <w:bCs/>
                <w:sz w:val="22"/>
                <w:szCs w:val="22"/>
              </w:rPr>
            </w:pPr>
          </w:p>
        </w:tc>
      </w:tr>
      <w:tr w:rsidR="006461E6" w14:paraId="62C17B04" w14:textId="77777777" w:rsidTr="006461E6">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01E6D3FF" w14:textId="77777777" w:rsidR="006461E6" w:rsidRDefault="006461E6">
            <w: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0F5FA173" w14:textId="77777777" w:rsidR="006461E6" w:rsidRDefault="006461E6">
            <w:r>
              <w:t>Date:</w:t>
            </w:r>
          </w:p>
        </w:tc>
      </w:tr>
    </w:tbl>
    <w:p w14:paraId="339928D0" w14:textId="77777777" w:rsidR="006461E6" w:rsidRDefault="006461E6" w:rsidP="006461E6">
      <w:pPr>
        <w:pStyle w:val="NormalWeb"/>
        <w:spacing w:before="0" w:beforeAutospacing="0" w:after="0" w:afterAutospacing="0"/>
        <w:ind w:right="-334"/>
        <w:rPr>
          <w:rFonts w:ascii="Trebuchet MS" w:hAnsi="Trebuchet MS" w:cs="Tahoma"/>
          <w:bCs/>
          <w:sz w:val="24"/>
          <w:szCs w:val="24"/>
        </w:rPr>
      </w:pPr>
    </w:p>
    <w:p w14:paraId="00000002" w14:textId="77777777" w:rsidR="00DE040A" w:rsidRDefault="00000000">
      <w:pPr>
        <w:spacing w:before="240" w:after="240"/>
      </w:pPr>
      <w:r>
        <w:rPr>
          <w:b/>
        </w:rPr>
        <w:lastRenderedPageBreak/>
        <w:t>Introduction</w:t>
      </w:r>
    </w:p>
    <w:p w14:paraId="00000003" w14:textId="0046BBF3" w:rsidR="00DE040A" w:rsidRDefault="00000000">
      <w:pPr>
        <w:spacing w:before="240" w:after="240"/>
        <w:ind w:firstLine="720"/>
      </w:pPr>
      <w:r>
        <w:t>“Cosmologies…are conditioned by many and various historical, environmental…psychological and social factors…undermining its morale even when material conditions improve and permit expansion.”</w:t>
      </w:r>
      <w:r w:rsidR="008765D9" w:rsidRPr="00A43416">
        <w:rPr>
          <w:rStyle w:val="FootnoteReference"/>
        </w:rPr>
        <w:footnoteReference w:id="1"/>
      </w:r>
      <w:r>
        <w:t xml:space="preserve"> As cosmologies evolved from the “theory or study of the universe as an orderly system”</w:t>
      </w:r>
      <w:r w:rsidR="008765D9" w:rsidRPr="00A43416">
        <w:rPr>
          <w:rStyle w:val="FootnoteReference"/>
        </w:rPr>
        <w:footnoteReference w:id="2"/>
      </w:r>
      <w:r>
        <w:t xml:space="preserve"> to a form of culture that changes nature</w:t>
      </w:r>
      <w:r w:rsidR="008765D9" w:rsidRPr="00A43416">
        <w:rPr>
          <w:rStyle w:val="FootnoteReference"/>
        </w:rPr>
        <w:footnoteReference w:id="3"/>
      </w:r>
      <w:r>
        <w:t>. It continues to refashion itself as a set of unconscious codes or mechanisms governing behavior.</w:t>
      </w:r>
      <w:r w:rsidR="008765D9" w:rsidRPr="00A43416">
        <w:rPr>
          <w:rStyle w:val="FootnoteReference"/>
        </w:rPr>
        <w:footnoteReference w:id="4"/>
      </w:r>
      <w:r>
        <w:t xml:space="preserve"> Containing the tension between naturalism and idealism, cosmology as a form of culture provides a framework to evaluate socio-political complexities revealed in ancient urbanism.  </w:t>
      </w:r>
    </w:p>
    <w:p w14:paraId="00000004" w14:textId="3492A1AD" w:rsidR="00DE040A" w:rsidRDefault="00000000">
      <w:pPr>
        <w:spacing w:before="240" w:after="240"/>
        <w:ind w:firstLine="720"/>
      </w:pPr>
      <w:r>
        <w:t xml:space="preserve">This paper aims to understand the cultural context of cosmological beliefs and legacy in the ancient Aztec and Chinese societies, by comparing and contrasting David </w:t>
      </w:r>
      <w:r w:rsidR="008765D9">
        <w:t>Carrasco’s “</w:t>
      </w:r>
      <w:r>
        <w:t xml:space="preserve">City as Symbol in Aztec Thought: The Clues from the Codex Mendoza”, with David W </w:t>
      </w:r>
      <w:proofErr w:type="spellStart"/>
      <w:r>
        <w:t>Pankenier’s</w:t>
      </w:r>
      <w:proofErr w:type="spellEnd"/>
      <w:r>
        <w:t xml:space="preserve"> “The Cosmic Center in Early China and its Archaic Resonances”. These papers examine each cultures’ ancient capital cities through their respective cosmogonic myths, archeological evidences and documentations. Additionally, they identify the development of urbanization in relation to the cosmology and political dimensions in a cultural framework.</w:t>
      </w:r>
    </w:p>
    <w:p w14:paraId="00000005" w14:textId="77777777" w:rsidR="00DE040A" w:rsidRDefault="00000000">
      <w:pPr>
        <w:spacing w:before="240" w:after="240"/>
        <w:rPr>
          <w:b/>
        </w:rPr>
      </w:pPr>
      <w:r>
        <w:rPr>
          <w:b/>
        </w:rPr>
        <w:t>Context</w:t>
      </w:r>
    </w:p>
    <w:p w14:paraId="00000006" w14:textId="77777777" w:rsidR="00DE040A" w:rsidRDefault="00000000">
      <w:pPr>
        <w:spacing w:before="240" w:after="240"/>
        <w:rPr>
          <w:b/>
        </w:rPr>
      </w:pPr>
      <w:r>
        <w:rPr>
          <w:b/>
        </w:rPr>
        <w:t>David Carrasco: “City as Symbol in Aztec Thought: The Clues from the Codex Mendoza”</w:t>
      </w:r>
    </w:p>
    <w:p w14:paraId="00000007" w14:textId="60DAF973" w:rsidR="00DE040A" w:rsidRDefault="00000000">
      <w:pPr>
        <w:spacing w:before="240" w:after="240"/>
        <w:ind w:firstLine="720"/>
      </w:pPr>
      <w:r>
        <w:t>David Carrasco is currently a professor of the Study of Latin America at Harvard Divinity School and the director of the Moses Mesoamerican Archive and Research Project</w:t>
      </w:r>
      <w:r w:rsidR="008765D9">
        <w:t>.</w:t>
      </w:r>
      <w:r w:rsidR="008765D9" w:rsidRPr="00A43416">
        <w:rPr>
          <w:rStyle w:val="FootnoteReference"/>
        </w:rPr>
        <w:footnoteReference w:id="5"/>
      </w:r>
      <w:r>
        <w:t xml:space="preserve"> He is a well-respected Mexican American historian of religions and was a student of Mircea Eliade.</w:t>
      </w:r>
      <w:r w:rsidR="008765D9" w:rsidRPr="00A43416">
        <w:rPr>
          <w:rStyle w:val="FootnoteReference"/>
        </w:rPr>
        <w:footnoteReference w:id="6"/>
      </w:r>
      <w:r>
        <w:t xml:space="preserve"> Carrasco’s work focuses on Mesoamerican cities as symbols and has published and edited over fifteen books including the Oxford Encyclopedia of Mesoamerican Cultures.</w:t>
      </w:r>
      <w:r w:rsidR="008765D9">
        <w:t xml:space="preserve"> </w:t>
      </w:r>
      <w:r>
        <w:t xml:space="preserve">Carrasco studies the cultural influence of cosmological symbols </w:t>
      </w:r>
      <w:r w:rsidR="008765D9">
        <w:t>in the</w:t>
      </w:r>
      <w:r>
        <w:t xml:space="preserve"> Aztec city based on Paul Wheatley’s concept in “City as Symbol”</w:t>
      </w:r>
      <w:r w:rsidR="008765D9" w:rsidRPr="00A43416">
        <w:rPr>
          <w:rStyle w:val="FootnoteReference"/>
        </w:rPr>
        <w:footnoteReference w:id="7"/>
      </w:r>
      <w:r>
        <w:t xml:space="preserve">. Focused on ancient urbanism influenced by Wheatley, Carrasco analyzed the sources of the cosmological, </w:t>
      </w:r>
      <w:r w:rsidR="008765D9">
        <w:t>social,</w:t>
      </w:r>
      <w:r>
        <w:t xml:space="preserve"> and political significance on the </w:t>
      </w:r>
      <w:r w:rsidR="008765D9">
        <w:t>landscape. Researched</w:t>
      </w:r>
      <w:r>
        <w:t xml:space="preserve"> into the role of “</w:t>
      </w:r>
      <w:proofErr w:type="spellStart"/>
      <w:r>
        <w:t>cosmo</w:t>
      </w:r>
      <w:proofErr w:type="spellEnd"/>
      <w:r>
        <w:t>-magical thought”</w:t>
      </w:r>
      <w:r w:rsidR="008765D9" w:rsidRPr="00A43416">
        <w:rPr>
          <w:rStyle w:val="FootnoteReference"/>
        </w:rPr>
        <w:footnoteReference w:id="8"/>
      </w:r>
      <w:r>
        <w:t xml:space="preserve"> through the study of the archeological excavation and historical artifacts in relation to the geographical spatial orientation of the city. The main subject matter in the study was Tenochtitlan, the Aztec capital. Upon Spanish military conquest in the 1500</w:t>
      </w:r>
      <w:r w:rsidR="008765D9">
        <w:t>s,</w:t>
      </w:r>
      <w:r>
        <w:t xml:space="preserve"> aggressive measures were imposed to culturally hegemonize Aztec. From destroying religious images and rituals to financially patronizing survivors to reinterpret </w:t>
      </w:r>
      <w:r>
        <w:lastRenderedPageBreak/>
        <w:t xml:space="preserve">and rewrite their own history. Carrasco attempted to reconstruct and research into Aztec </w:t>
      </w:r>
      <w:r w:rsidR="008765D9">
        <w:t>cosmology from</w:t>
      </w:r>
      <w:r>
        <w:t xml:space="preserve"> the structural characteristics of the capital with the limited historic records. This paper was published in 1981, a few years after Mexican archeologist Mato Moctezuma invited Carrasco to participate in the project of excavation at the Great Aztec Temple in Mexico. While also deeply influenced by Anthony </w:t>
      </w:r>
      <w:proofErr w:type="spellStart"/>
      <w:r>
        <w:t>Aveni</w:t>
      </w:r>
      <w:proofErr w:type="spellEnd"/>
      <w:r>
        <w:t xml:space="preserve">, an </w:t>
      </w:r>
      <w:proofErr w:type="spellStart"/>
      <w:r>
        <w:t>archeoastronomer</w:t>
      </w:r>
      <w:proofErr w:type="spellEnd"/>
      <w:r>
        <w:t xml:space="preserve"> who developed a method of study in science and religion of the Mesoamericans. The trio founded the Moses Mesoamerican Archive and Research Project along with a few other like-minded scholars in 1984.</w:t>
      </w:r>
      <w:r w:rsidR="008765D9" w:rsidRPr="00A43416">
        <w:rPr>
          <w:rStyle w:val="FootnoteReference"/>
        </w:rPr>
        <w:footnoteReference w:id="9"/>
      </w:r>
      <w:r w:rsidR="008765D9">
        <w:t xml:space="preserve"> </w:t>
      </w:r>
    </w:p>
    <w:p w14:paraId="00000008" w14:textId="77777777" w:rsidR="00DE040A" w:rsidRDefault="00000000">
      <w:pPr>
        <w:spacing w:before="240" w:after="240"/>
        <w:rPr>
          <w:b/>
        </w:rPr>
      </w:pPr>
      <w:r>
        <w:rPr>
          <w:b/>
        </w:rPr>
        <w:t xml:space="preserve">David W </w:t>
      </w:r>
      <w:proofErr w:type="spellStart"/>
      <w:r>
        <w:rPr>
          <w:b/>
        </w:rPr>
        <w:t>Pankenier</w:t>
      </w:r>
      <w:proofErr w:type="spellEnd"/>
      <w:r>
        <w:rPr>
          <w:b/>
        </w:rPr>
        <w:t>: The Cosmic Center in Early China and its Archaic Resonances</w:t>
      </w:r>
    </w:p>
    <w:p w14:paraId="00000009" w14:textId="04DABE92" w:rsidR="00DE040A" w:rsidRDefault="00000000">
      <w:pPr>
        <w:spacing w:before="240" w:after="240"/>
        <w:ind w:firstLine="720"/>
      </w:pPr>
      <w:r>
        <w:t xml:space="preserve">David </w:t>
      </w:r>
      <w:proofErr w:type="spellStart"/>
      <w:r>
        <w:t>Pankenier</w:t>
      </w:r>
      <w:proofErr w:type="spellEnd"/>
      <w:r>
        <w:t xml:space="preserve"> is a scholar in Chinese studies, currently teaching at Lehigh University. </w:t>
      </w:r>
      <w:proofErr w:type="spellStart"/>
      <w:r>
        <w:t>Pankenier’s</w:t>
      </w:r>
      <w:proofErr w:type="spellEnd"/>
      <w:r>
        <w:t xml:space="preserve"> work is recognized among Chinese academia in ancient Chinese studies and was the first scholar to identify the astronomical dates in Shang and Western Zhou to be 1046 BCE. Having 60 publications in which 14 of them were translated in 4 languages, with the main focus in ancient Chinese ideas, cultural astronomy and archeoastronomy.</w:t>
      </w:r>
      <w:r w:rsidR="008765D9" w:rsidRPr="00A43416">
        <w:rPr>
          <w:rStyle w:val="FootnoteReference"/>
        </w:rPr>
        <w:footnoteReference w:id="10"/>
      </w:r>
      <w:r>
        <w:t xml:space="preserve"> He was a private student of Aisin </w:t>
      </w:r>
      <w:proofErr w:type="spellStart"/>
      <w:r>
        <w:t>Gioro</w:t>
      </w:r>
      <w:proofErr w:type="spellEnd"/>
      <w:r>
        <w:t xml:space="preserve"> </w:t>
      </w:r>
      <w:proofErr w:type="spellStart"/>
      <w:r>
        <w:t>Yü-yün</w:t>
      </w:r>
      <w:proofErr w:type="spellEnd"/>
      <w:r>
        <w:t xml:space="preserve"> who was the last royalty of Qing Dynasty China while undertaking Chinese studies in Taiwan in the 1970s.</w:t>
      </w:r>
      <w:r w:rsidR="008765D9" w:rsidRPr="00A43416">
        <w:rPr>
          <w:rStyle w:val="FootnoteReference"/>
        </w:rPr>
        <w:footnoteReference w:id="11"/>
      </w:r>
      <w:r>
        <w:t xml:space="preserve"> Based on the theory of archeoastronomy and the ideology of the Chinese imperial state, </w:t>
      </w:r>
      <w:proofErr w:type="spellStart"/>
      <w:r>
        <w:t>Pankenier</w:t>
      </w:r>
      <w:proofErr w:type="spellEnd"/>
      <w:r>
        <w:t xml:space="preserve"> focuses on the study and the cultural role of astronomy in the context of the ancient Chinese astrological system. This paper combined theoretical insights from the historic records and archeological evidence from the 4th millennium BCE through the Han Dynasty (206 BCE- 220 CE). </w:t>
      </w:r>
      <w:proofErr w:type="spellStart"/>
      <w:r>
        <w:t>Pankenier</w:t>
      </w:r>
      <w:proofErr w:type="spellEnd"/>
      <w:r>
        <w:t xml:space="preserve"> concludes that cosmological symbolism was more than a symbol, the order of the cosmos was a cultural and religious form of instrument to elevate the role of the ruler and the imperial state. He also critically reviewed the research among the Western academia, namely Wheatley in misinterpreting ancient Chinese cosmology with a Western perspective of the </w:t>
      </w:r>
      <w:r w:rsidR="008765D9">
        <w:t>sky. From</w:t>
      </w:r>
      <w:r>
        <w:t xml:space="preserve"> traditions found practiced among elite individuals in the Neolithic times to the emperor in Qin (221-206 BCE)</w:t>
      </w:r>
      <w:r w:rsidR="008765D9" w:rsidRPr="00A43416">
        <w:rPr>
          <w:rStyle w:val="FootnoteReference"/>
        </w:rPr>
        <w:footnoteReference w:id="12"/>
      </w:r>
      <w:r>
        <w:t xml:space="preserve"> and Han Dynasty</w:t>
      </w:r>
      <w:r w:rsidR="008765D9" w:rsidRPr="00A43416">
        <w:rPr>
          <w:rStyle w:val="FootnoteReference"/>
        </w:rPr>
        <w:footnoteReference w:id="13"/>
      </w:r>
      <w:r>
        <w:t xml:space="preserve">. The paper focuses on the astronomical alignments in the design of the ancient city structures and spatial organization. Examine the lineage and the role of Chinese cosmography on kingship to the way of </w:t>
      </w:r>
      <w:proofErr w:type="spellStart"/>
      <w:r>
        <w:t>life.The</w:t>
      </w:r>
      <w:proofErr w:type="spellEnd"/>
      <w:r>
        <w:t xml:space="preserve"> paper was published in 2011 at the Oxford IX International Symposia on Archeoastronomy. The Oxford conference began in 1981, aimed at sharing archeoastronomy and cultural astronomy of various disciplines with researchers around the world. The article was academic research on the subject matter shared with fellow scholars.</w:t>
      </w:r>
    </w:p>
    <w:p w14:paraId="0000000A" w14:textId="77777777" w:rsidR="00DE040A" w:rsidRDefault="00000000">
      <w:pPr>
        <w:spacing w:before="240" w:after="240"/>
        <w:rPr>
          <w:b/>
        </w:rPr>
      </w:pPr>
      <w:r>
        <w:rPr>
          <w:b/>
        </w:rPr>
        <w:t>Summary</w:t>
      </w:r>
    </w:p>
    <w:p w14:paraId="0000000B" w14:textId="77777777" w:rsidR="00DE040A" w:rsidRDefault="00000000">
      <w:pPr>
        <w:spacing w:before="240" w:after="240"/>
        <w:rPr>
          <w:b/>
        </w:rPr>
      </w:pPr>
      <w:r>
        <w:rPr>
          <w:b/>
        </w:rPr>
        <w:lastRenderedPageBreak/>
        <w:t>Aztec</w:t>
      </w:r>
    </w:p>
    <w:p w14:paraId="0000000C" w14:textId="2B2C0A23" w:rsidR="00DE040A" w:rsidRDefault="00000000">
      <w:pPr>
        <w:spacing w:before="240" w:after="240"/>
        <w:ind w:firstLine="720"/>
      </w:pPr>
      <w:r>
        <w:t>The idea of the City as a cosmic symbol or a religious form</w:t>
      </w:r>
      <w:r w:rsidR="008765D9" w:rsidRPr="00A43416">
        <w:rPr>
          <w:rStyle w:val="FootnoteReference"/>
        </w:rPr>
        <w:footnoteReference w:id="14"/>
      </w:r>
      <w:r>
        <w:t xml:space="preserve"> influenced the Aztecs from pre-Columbian times to long after the fall of the empire. Presented as an imago mundi</w:t>
      </w:r>
      <w:r w:rsidR="003B5A7F" w:rsidRPr="00A43416">
        <w:rPr>
          <w:rStyle w:val="FootnoteReference"/>
        </w:rPr>
        <w:footnoteReference w:id="15"/>
      </w:r>
      <w:r>
        <w:t>, the rise and fall of Tenochtitlan was studied through cosmogonic myths from Aztec poems and artifacts including the post-conquest picture book, the Codex Mendoza</w:t>
      </w:r>
      <w:r w:rsidR="003B5A7F" w:rsidRPr="00A43416">
        <w:rPr>
          <w:rStyle w:val="FootnoteReference"/>
        </w:rPr>
        <w:footnoteReference w:id="16"/>
      </w:r>
      <w:r>
        <w:t xml:space="preserve"> and archeological evidence of the ceremonial center, </w:t>
      </w:r>
      <w:proofErr w:type="spellStart"/>
      <w:r>
        <w:t>Templo</w:t>
      </w:r>
      <w:proofErr w:type="spellEnd"/>
      <w:r>
        <w:t xml:space="preserve"> Mayo</w:t>
      </w:r>
      <w:r w:rsidR="003B5A7F" w:rsidRPr="00A43416">
        <w:rPr>
          <w:rStyle w:val="FootnoteReference"/>
        </w:rPr>
        <w:footnoteReference w:id="17"/>
      </w:r>
      <w:r>
        <w:t xml:space="preserve">. </w:t>
      </w:r>
    </w:p>
    <w:p w14:paraId="0000000D" w14:textId="3568AC32" w:rsidR="00DE040A" w:rsidRDefault="00000000">
      <w:pPr>
        <w:spacing w:before="240" w:after="240"/>
        <w:ind w:firstLine="720"/>
      </w:pPr>
      <w:r>
        <w:t>The main argument states the Aztec’s cosmology was “not simple-minded attempts by unsophisticated men of an earlier age…but rather protosciences”.</w:t>
      </w:r>
      <w:r w:rsidR="003B5A7F" w:rsidRPr="00A43416">
        <w:rPr>
          <w:rStyle w:val="FootnoteReference"/>
        </w:rPr>
        <w:footnoteReference w:id="18"/>
      </w:r>
      <w:r>
        <w:t xml:space="preserve"> The statement was studied through three aspects derived from Wheatley’s concept of ancient urbanism: the symbolism of the center of the city, its cardinal axiality of the four corners, and the parallelism between macrocosms and microcosmos in the architecture.</w:t>
      </w:r>
      <w:r w:rsidR="003B5A7F" w:rsidRPr="00A43416">
        <w:rPr>
          <w:rStyle w:val="FootnoteReference"/>
        </w:rPr>
        <w:footnoteReference w:id="19"/>
      </w:r>
      <w:r w:rsidR="003B5A7F">
        <w:t xml:space="preserve"> </w:t>
      </w:r>
    </w:p>
    <w:p w14:paraId="0000000E" w14:textId="2F25D3D6" w:rsidR="00DE040A" w:rsidRDefault="00000000">
      <w:pPr>
        <w:spacing w:before="240" w:after="240"/>
        <w:ind w:firstLine="720"/>
      </w:pPr>
      <w:r>
        <w:t xml:space="preserve">In the Aztec cosmogonic myth, with the surface of the Earth being the connection center between Heaven and the Underworld. Tenochtitlan was considered to be the axis mundi of the Aztec universe, “the Giver of Life”. While the </w:t>
      </w:r>
      <w:proofErr w:type="spellStart"/>
      <w:r>
        <w:t>Templo</w:t>
      </w:r>
      <w:proofErr w:type="spellEnd"/>
      <w:r>
        <w:t xml:space="preserve"> Mayor at the heart of the capital emerged as a form of social integration legitimizing the Aztec ruler with the mythical gods. The building and reenacting of rituals such as human sacrifice and offerings of valuable objects reinforced the symbolism of the “foundation of heaven”. As the prosperity of the Universe tightly connected with the wellness of the ceremonial center, the fall of the physical structure also signified a fall of the city as an omen. This mindset was present  among Aztec survivors upon the destruction of the holies and shrines by the Spanish. Regardless of the series of aggression and acculturation under Spanish colonization, the conserved </w:t>
      </w:r>
      <w:proofErr w:type="spellStart"/>
      <w:r>
        <w:t>cosmo</w:t>
      </w:r>
      <w:proofErr w:type="spellEnd"/>
      <w:r>
        <w:t xml:space="preserve">-magical thought permeated through with increasing socio-political complexity.  </w:t>
      </w:r>
    </w:p>
    <w:p w14:paraId="0000000F" w14:textId="77777777" w:rsidR="00DE040A" w:rsidRDefault="00000000">
      <w:pPr>
        <w:spacing w:before="240" w:after="240"/>
        <w:rPr>
          <w:b/>
        </w:rPr>
      </w:pPr>
      <w:r>
        <w:rPr>
          <w:b/>
        </w:rPr>
        <w:t>China</w:t>
      </w:r>
    </w:p>
    <w:p w14:paraId="00000010" w14:textId="7AAA04D0" w:rsidR="00DE040A" w:rsidRDefault="00000000">
      <w:pPr>
        <w:spacing w:before="240" w:after="240"/>
        <w:ind w:firstLine="720"/>
      </w:pPr>
      <w:r>
        <w:t xml:space="preserve">The paper is a study of the lineage of the cosmological worldview in ancient China. Exploring the relationship among Heaven, Earth and humanity through the urban structures of the ancient capital cities and architectural features. With the cardinal positions aligning with the Chinese constellations relating to the Celestial Pole. </w:t>
      </w:r>
      <w:proofErr w:type="spellStart"/>
      <w:r>
        <w:t>Pankenier</w:t>
      </w:r>
      <w:proofErr w:type="spellEnd"/>
      <w:r>
        <w:t xml:space="preserve"> illustrated the role of the Pole and the way the emperor would orient his palace with the stars of the Great square of Pegasus (the Purple Temple)</w:t>
      </w:r>
      <w:r w:rsidR="003B5A7F" w:rsidRPr="00A43416">
        <w:rPr>
          <w:rStyle w:val="FootnoteReference"/>
        </w:rPr>
        <w:footnoteReference w:id="20"/>
      </w:r>
      <w:r>
        <w:t xml:space="preserve">. Revealed the misunderstanding in the academia towards using Ursa Minor and Ursa Major to orient based on the Western perspective of constellations. The paper demonstrated cosmic parallelism in bringing Heaven on Earth, deliberately creating a top down urban planning, featuring the unmovable center of the Pole as the ceremonial center, and the Purple Temple as the emperor. Physically embodying the Mandate of Heaven supported by the </w:t>
      </w:r>
      <w:r>
        <w:lastRenderedPageBreak/>
        <w:t xml:space="preserve">orientation and the spatial organization of the capital. Cosmic parallelism of Heaven and Earth was core in ancient Chinese cosmology, however, rulers would also leverage the evolving cosmological culture to justify their role and actions. The Qin emperor violently destroyed and reformed culture and traditions to establish himself as the eternal “Di”, while the Han Dynasty selectively engaged with astronomical events to rationalize their revolution.    </w:t>
      </w:r>
    </w:p>
    <w:p w14:paraId="00000011" w14:textId="3367BFA5" w:rsidR="00DE040A" w:rsidRDefault="00000000">
      <w:pPr>
        <w:spacing w:before="240" w:after="240"/>
        <w:ind w:firstLine="720"/>
      </w:pPr>
      <w:r>
        <w:t xml:space="preserve">The Heaven and Earth mirroring effect was not only illustrated in the Mandate of Heaven. The lineage of the cosmological worldview traces back to the </w:t>
      </w:r>
      <w:proofErr w:type="spellStart"/>
      <w:r>
        <w:t>Yangshuo</w:t>
      </w:r>
      <w:proofErr w:type="spellEnd"/>
      <w:r>
        <w:t xml:space="preserve"> culture burial in the late 4th millennium BCE. While in the Mandate of Heaven, </w:t>
      </w:r>
      <w:r w:rsidR="003B5A7F">
        <w:t>t</w:t>
      </w:r>
      <w:r>
        <w:t>rue North was indicated by the Pole being the Supernal Lord, and the Purple Temple was referred to as “Di”, the appointed Supernal Lord on Earth.</w:t>
      </w:r>
      <w:r w:rsidR="003B5A7F" w:rsidRPr="00A43416">
        <w:rPr>
          <w:rStyle w:val="FootnoteReference"/>
        </w:rPr>
        <w:footnoteReference w:id="21"/>
      </w:r>
      <w:r>
        <w:t xml:space="preserve"> In the </w:t>
      </w:r>
      <w:proofErr w:type="spellStart"/>
      <w:r>
        <w:t>Yangshuo</w:t>
      </w:r>
      <w:proofErr w:type="spellEnd"/>
      <w:r>
        <w:t xml:space="preserve"> culture burial, the true North was also indicated with the position of the feet of the cosmic priest with head towards the South. Other two cardinal directions embellished with  two mythical animals with cosmic associations. </w:t>
      </w:r>
    </w:p>
    <w:p w14:paraId="00000012" w14:textId="2055CD1F" w:rsidR="00DE040A" w:rsidRDefault="00000000">
      <w:pPr>
        <w:spacing w:before="240" w:after="240"/>
        <w:ind w:firstLine="720"/>
      </w:pPr>
      <w:r>
        <w:t xml:space="preserve">With the cosmic correlation from the  mythical representations to the direct astronomical representations in the Qin and Han Dynasty, it was evident that the mirroring of the cosmos was intentional. More than a symbol, it was a form of culture or a </w:t>
      </w:r>
      <w:r w:rsidR="003B5A7F">
        <w:t>belief to</w:t>
      </w:r>
      <w:r>
        <w:t xml:space="preserve"> enhance the position of the dead in the Heavens, as well as a way to elevate kingship for divine support. From the tribute of the government to the way of life, the unmovable Pole acts as a centrifugal cosmic force centering power and order in Heaven as on Earth. </w:t>
      </w:r>
    </w:p>
    <w:p w14:paraId="00000013" w14:textId="77777777" w:rsidR="00DE040A" w:rsidRDefault="00000000">
      <w:pPr>
        <w:spacing w:before="240" w:after="240"/>
        <w:rPr>
          <w:b/>
        </w:rPr>
      </w:pPr>
      <w:r>
        <w:rPr>
          <w:b/>
        </w:rPr>
        <w:t xml:space="preserve">Analysis  </w:t>
      </w:r>
    </w:p>
    <w:p w14:paraId="00000014" w14:textId="01EC2F64" w:rsidR="00DE040A" w:rsidRDefault="00000000">
      <w:pPr>
        <w:spacing w:before="240" w:after="240"/>
        <w:ind w:firstLine="720"/>
      </w:pPr>
      <w:r>
        <w:t>Cosmic-magical worldviews in both ancient China and Aztec were shown to be more than symbolism. “An historically transmitted pattern of meanings embodied in symbols, a system of inherited conceptions expressed in symbolic form”</w:t>
      </w:r>
      <w:r w:rsidR="003B5A7F" w:rsidRPr="00A43416">
        <w:rPr>
          <w:rStyle w:val="FootnoteReference"/>
        </w:rPr>
        <w:footnoteReference w:id="22"/>
      </w:r>
      <w:r>
        <w:t xml:space="preserve">.  Their respective </w:t>
      </w:r>
      <w:r w:rsidR="00A43416">
        <w:t>cosmologies</w:t>
      </w:r>
      <w:r>
        <w:t xml:space="preserve"> were the ideal archetypes in their respective civilizations underlying the way of life. With the cosmogonic myths and astronomical events, the belief became a guide for one to look for their own place between Heaven and Earth. From the cardinally oriented </w:t>
      </w:r>
      <w:proofErr w:type="spellStart"/>
      <w:r>
        <w:t>Yangshuo</w:t>
      </w:r>
      <w:proofErr w:type="spellEnd"/>
      <w:r>
        <w:t xml:space="preserve"> culture burial  to the offerings and ritual reenactment from Aztec archeological evidence. The cosmic worldviews showed people actively negotiate and cultivate themselves within the cosmos, in an attempt to “return to the origin”</w:t>
      </w:r>
      <w:r w:rsidR="003B5A7F" w:rsidRPr="00A43416">
        <w:rPr>
          <w:rStyle w:val="FootnoteReference"/>
        </w:rPr>
        <w:footnoteReference w:id="23"/>
      </w:r>
      <w:r w:rsidR="003B5A7F">
        <w:t xml:space="preserve"> </w:t>
      </w:r>
      <w:r>
        <w:t xml:space="preserve">of the ideal archetype as a form for self-realization.  </w:t>
      </w:r>
    </w:p>
    <w:p w14:paraId="00000015" w14:textId="77777777" w:rsidR="00DE040A" w:rsidRDefault="00000000">
      <w:pPr>
        <w:spacing w:before="240" w:after="240"/>
        <w:ind w:firstLine="720"/>
      </w:pPr>
      <w:r>
        <w:t xml:space="preserve">Both civilizations constructed their capitals in an order that would enhance the conception of their perceived Heavenly order. Aztec believed in an Earth-centered vertical cosmos, while Chinese perceived an interactive cosmos activated by patterning.  The Aztec Codex acts as an imago mundi based on human affairs, and the Chinese capital structures showed a more direct mirroring of the stars as a map. Both leveraged the “return to origin” concept to orient and to build ceremonial temples and rituals. Aimed to transform the cosmological culture into a religious form, in an attempt to spiritually pull together the state by altering the physical space. </w:t>
      </w:r>
    </w:p>
    <w:p w14:paraId="00000016" w14:textId="3DE002CC" w:rsidR="00DE040A" w:rsidRDefault="00000000">
      <w:pPr>
        <w:spacing w:before="240" w:after="240"/>
        <w:ind w:firstLine="720"/>
      </w:pPr>
      <w:r>
        <w:lastRenderedPageBreak/>
        <w:t>During the process of building rituals and refashioning traditions, some culture was preserved while others were destroyed. Across the two civilizations in discussion, rulers eliminated culture according to their particular political interests. “</w:t>
      </w:r>
      <w:proofErr w:type="spellStart"/>
      <w:r>
        <w:t>Moulding</w:t>
      </w:r>
      <w:proofErr w:type="spellEnd"/>
      <w:r>
        <w:t xml:space="preserve"> human subjects to the needs of a new kind of polity, remodeling them from the ground up into the docile…uncontentious, disinterested agents of that political order”</w:t>
      </w:r>
      <w:hyperlink r:id="rId7" w:anchor="_ftn27">
        <w:r>
          <w:t xml:space="preserve"> </w:t>
        </w:r>
      </w:hyperlink>
      <w:r w:rsidR="003B5A7F" w:rsidRPr="00A43416">
        <w:rPr>
          <w:rStyle w:val="FootnoteReference"/>
        </w:rPr>
        <w:footnoteReference w:id="24"/>
      </w:r>
      <w:r>
        <w:t xml:space="preserve"> In the Aztec society, forceful cultural hegemony was imposed by the Spanish at the beginning of colonization, while Qin Dynasty also hegemonized culture during its domination. Both the Spanish and the Qin forced a series of cultural reformations, including reinstituting rituals, destroying  ceremonial centers and burning books to wipe out signs of the previous ideologies. With political interests influencing the evolution of cosmic culture. Reenactment of particular rituals and revisiting of history was used for establishing the legitimacy of the throne. As “one cannot ‘begin’ anything unless one knows it’s ‘origin’</w:t>
      </w:r>
      <w:r w:rsidR="003B5A7F">
        <w:t>”</w:t>
      </w:r>
      <w:r w:rsidR="003B5A7F" w:rsidRPr="00A43416">
        <w:rPr>
          <w:rStyle w:val="FootnoteReference"/>
        </w:rPr>
        <w:footnoteReference w:id="25"/>
      </w:r>
      <w:r>
        <w:t xml:space="preserve"> From the Spanish patronized the production of the Codex to the re-editing of astrological history in the Han Dynasty. From Aztec ritual reenactments with human sacrifices to the Qin setting himself as the Supernal Lord on Earth. Cosmogonic myths were used or appropriated as an ideal archetype of “creation”.</w:t>
      </w:r>
    </w:p>
    <w:p w14:paraId="00000017" w14:textId="77777777" w:rsidR="00DE040A" w:rsidRDefault="00000000">
      <w:pPr>
        <w:spacing w:before="240" w:after="240"/>
        <w:ind w:firstLine="720"/>
      </w:pPr>
      <w:r>
        <w:t xml:space="preserve">Both papers study the cosmological system as a form of culture. With different research angles, they investigated the lived experience from the perspective of the peoples. </w:t>
      </w:r>
      <w:proofErr w:type="spellStart"/>
      <w:r>
        <w:t>Pankenier</w:t>
      </w:r>
      <w:proofErr w:type="spellEnd"/>
      <w:r>
        <w:t xml:space="preserve"> delved into the culture through archeoastronomy, while Carrasco focused on unraveling the </w:t>
      </w:r>
      <w:proofErr w:type="spellStart"/>
      <w:r>
        <w:t>cosmo</w:t>
      </w:r>
      <w:proofErr w:type="spellEnd"/>
      <w:r>
        <w:t xml:space="preserve">-magical traditions through cultural hegemony through archeological evidence. Through the studies, both civilizations showed to be embodying their own forms of </w:t>
      </w:r>
      <w:proofErr w:type="spellStart"/>
      <w:r>
        <w:t>cosmo</w:t>
      </w:r>
      <w:proofErr w:type="spellEnd"/>
      <w:r>
        <w:t>-magical worldviews that revolved around the kingdom. Their respective worldviews perpetuated in the culture deeply throughout history.</w:t>
      </w:r>
    </w:p>
    <w:p w14:paraId="00000018" w14:textId="77777777" w:rsidR="00DE040A" w:rsidRDefault="00000000">
      <w:pPr>
        <w:spacing w:before="240" w:after="240"/>
        <w:ind w:firstLine="720"/>
      </w:pPr>
      <w:r>
        <w:t xml:space="preserve">It is interesting to note that both papers were written by non-native scholars studying within the cultures of study. Both are respected in their field and were reflexive towards the research done in the West. Attempted to decolonize the acculturation of the dominant Eurocentric culture in contemporary times. </w:t>
      </w:r>
      <w:proofErr w:type="spellStart"/>
      <w:r>
        <w:t>Pankenier</w:t>
      </w:r>
      <w:proofErr w:type="spellEnd"/>
      <w:r>
        <w:t xml:space="preserve"> used an emic approach to archeoastronomy and Chinese astrology. Carrasco was using an etic approach in archeoastronomy while fluidly using an emic approach to Aztec culture.</w:t>
      </w:r>
    </w:p>
    <w:p w14:paraId="00000019" w14:textId="77777777" w:rsidR="00DE040A" w:rsidRDefault="00000000">
      <w:pPr>
        <w:spacing w:before="240" w:after="240"/>
        <w:rPr>
          <w:b/>
        </w:rPr>
      </w:pPr>
      <w:r>
        <w:rPr>
          <w:b/>
        </w:rPr>
        <w:t>Conclusion</w:t>
      </w:r>
    </w:p>
    <w:p w14:paraId="0000001A" w14:textId="2717B06F" w:rsidR="00DE040A" w:rsidRDefault="00000000">
      <w:pPr>
        <w:spacing w:before="240" w:after="240"/>
        <w:ind w:firstLine="720"/>
      </w:pPr>
      <w:r>
        <w:t>If nature represents the origin of the Universe precedes any other individual history, cosmology serves as a model for all “creations”. As culture continues to refashion cosmology, culture, then, became “the unconscious verso of the recto of civilized life, the taken for-granted beliefs and predilections which must be dimly present for us to be able to act at all…bred in the bone rather than conceived by the brain.”</w:t>
      </w:r>
      <w:r w:rsidR="003B5A7F" w:rsidRPr="00A43416">
        <w:rPr>
          <w:rStyle w:val="FootnoteReference"/>
        </w:rPr>
        <w:footnoteReference w:id="26"/>
      </w:r>
      <w:r>
        <w:t xml:space="preserve"> Cosmology was more than a symbol, as a form of culture it governed the way of life in both ancient civilizations. Regardless of rituals and cultural reformation, cosmological worldviews remained the underlying tradition to “return to the origin”. Whether the interpretation of the cosmogonic myth reflects the “origin” or was it a culturally </w:t>
      </w:r>
      <w:r>
        <w:lastRenderedPageBreak/>
        <w:t xml:space="preserve">constructed version is open for discussion. The order of the Universe referred to in the myths continued to be perceived as a core foundation in both ancient civilizations. </w:t>
      </w:r>
    </w:p>
    <w:p w14:paraId="0000001B" w14:textId="77777777" w:rsidR="00DE040A" w:rsidRDefault="00000000">
      <w:pPr>
        <w:spacing w:before="240" w:after="240"/>
      </w:pPr>
      <w:r>
        <w:pict w14:anchorId="4EC3ECCE">
          <v:rect id="_x0000_i1025" style="width:0;height:1.5pt" o:hralign="center" o:hrstd="t" o:hr="t" fillcolor="#a0a0a0" stroked="f"/>
        </w:pict>
      </w:r>
    </w:p>
    <w:p w14:paraId="0000001C" w14:textId="77777777" w:rsidR="00DE040A" w:rsidRDefault="00000000">
      <w:pPr>
        <w:spacing w:before="240" w:after="240"/>
      </w:pPr>
      <w:r>
        <w:rPr>
          <w:b/>
        </w:rPr>
        <w:t>Bibliography</w:t>
      </w:r>
    </w:p>
    <w:p w14:paraId="0000001D" w14:textId="77777777" w:rsidR="00DE040A" w:rsidRDefault="00000000">
      <w:pPr>
        <w:spacing w:before="240" w:after="240"/>
      </w:pPr>
      <w:r>
        <w:t xml:space="preserve">David </w:t>
      </w:r>
      <w:proofErr w:type="spellStart"/>
      <w:r>
        <w:t>Pankenier</w:t>
      </w:r>
      <w:proofErr w:type="spellEnd"/>
      <w:r>
        <w:t xml:space="preserve"> -Lehigh University - Academia.Edu’ &lt;https://lehigh.academia.edu/DavidPankenier/CurriculumVitae&gt; [accessed 24 October 2022]</w:t>
      </w:r>
    </w:p>
    <w:p w14:paraId="0000001E" w14:textId="77777777" w:rsidR="00DE040A" w:rsidRDefault="00000000">
      <w:pPr>
        <w:spacing w:before="240" w:after="240"/>
      </w:pPr>
      <w:r>
        <w:t>Brady, Bernadette, ‘The Horoscope as an Imago Mundi, - Rethinking the Nature of the Astrologer’s Map’, 17</w:t>
      </w:r>
    </w:p>
    <w:p w14:paraId="0000001F" w14:textId="77777777" w:rsidR="00DE040A" w:rsidRDefault="00000000">
      <w:pPr>
        <w:spacing w:before="240" w:after="240"/>
      </w:pPr>
      <w:r>
        <w:t xml:space="preserve">Carrasco, David, ‘City as Symbol in Aztec Thought: The Clues from the Codex Mendoza’, </w:t>
      </w:r>
      <w:r>
        <w:rPr>
          <w:i/>
        </w:rPr>
        <w:t>History of Religions</w:t>
      </w:r>
      <w:r>
        <w:t>, 20.3 (1981), 199–223 &lt;https://doi.org/10.1086/462868&gt;</w:t>
      </w:r>
    </w:p>
    <w:p w14:paraId="00000020" w14:textId="77777777" w:rsidR="00DE040A" w:rsidRDefault="00000000">
      <w:pPr>
        <w:spacing w:before="240" w:after="240"/>
      </w:pPr>
      <w:r>
        <w:t>‘</w:t>
      </w:r>
      <w:proofErr w:type="spellStart"/>
      <w:r>
        <w:t>Davíd</w:t>
      </w:r>
      <w:proofErr w:type="spellEnd"/>
      <w:r>
        <w:t xml:space="preserve"> Carrasco’ &lt;https://hds.harvard.edu/people/david-carrasco&gt; [accessed 22 October 2022]</w:t>
      </w:r>
    </w:p>
    <w:p w14:paraId="00000021" w14:textId="77777777" w:rsidR="00DE040A" w:rsidRDefault="00000000">
      <w:pPr>
        <w:spacing w:before="240" w:after="240"/>
      </w:pPr>
      <w:r>
        <w:t>‘</w:t>
      </w:r>
      <w:proofErr w:type="spellStart"/>
      <w:r>
        <w:t>Davíd</w:t>
      </w:r>
      <w:proofErr w:type="spellEnd"/>
      <w:r>
        <w:t xml:space="preserve"> Carrasco Historian’, </w:t>
      </w:r>
      <w:r>
        <w:rPr>
          <w:i/>
        </w:rPr>
        <w:t>Davidcarrascohistorian.Com</w:t>
      </w:r>
      <w:r>
        <w:t xml:space="preserve"> &lt;https://davidcarrascohistorian.com/about&gt; [accessed 22 October 2022]</w:t>
      </w:r>
    </w:p>
    <w:p w14:paraId="00000022" w14:textId="77777777" w:rsidR="00DE040A" w:rsidRDefault="00000000">
      <w:pPr>
        <w:spacing w:before="240" w:after="240"/>
      </w:pPr>
      <w:r>
        <w:t xml:space="preserve">Eagleton, Terry, </w:t>
      </w:r>
      <w:r>
        <w:rPr>
          <w:i/>
        </w:rPr>
        <w:t>The Idea of Culture</w:t>
      </w:r>
      <w:r>
        <w:t xml:space="preserve"> (Oxford, Blackwell, 2000)</w:t>
      </w:r>
    </w:p>
    <w:p w14:paraId="00000023" w14:textId="77777777" w:rsidR="00DE040A" w:rsidRDefault="00000000">
      <w:pPr>
        <w:spacing w:before="240" w:after="240"/>
      </w:pPr>
      <w:r>
        <w:t xml:space="preserve">Eliade, Mircea, </w:t>
      </w:r>
      <w:r>
        <w:rPr>
          <w:i/>
        </w:rPr>
        <w:t>Myth and Reality</w:t>
      </w:r>
      <w:r>
        <w:t xml:space="preserve"> (Harper &amp; Row, 1963)</w:t>
      </w:r>
    </w:p>
    <w:p w14:paraId="00000024" w14:textId="77777777" w:rsidR="00DE040A" w:rsidRDefault="00000000">
      <w:pPr>
        <w:spacing w:before="240" w:after="240"/>
      </w:pPr>
      <w:r>
        <w:t xml:space="preserve">Geertz, Clifford, </w:t>
      </w:r>
      <w:r>
        <w:rPr>
          <w:i/>
        </w:rPr>
        <w:t>The Interpretation of Cultures</w:t>
      </w:r>
      <w:r>
        <w:t xml:space="preserve"> (New York: Basic Books Inc., 1973)</w:t>
      </w:r>
    </w:p>
    <w:p w14:paraId="00000025" w14:textId="77777777" w:rsidR="00DE040A" w:rsidRDefault="00000000">
      <w:pPr>
        <w:spacing w:before="240" w:after="240"/>
      </w:pPr>
      <w:r>
        <w:t xml:space="preserve">Hetherington, Norris D, </w:t>
      </w:r>
      <w:r>
        <w:rPr>
          <w:i/>
        </w:rPr>
        <w:t xml:space="preserve">The Encyclopedia of Cosmology: Historical, Philosophical and </w:t>
      </w:r>
      <w:proofErr w:type="spellStart"/>
      <w:r>
        <w:rPr>
          <w:i/>
        </w:rPr>
        <w:t>Scienctific</w:t>
      </w:r>
      <w:proofErr w:type="spellEnd"/>
      <w:r>
        <w:rPr>
          <w:i/>
        </w:rPr>
        <w:t xml:space="preserve"> Foundations of Modern Cosmology</w:t>
      </w:r>
      <w:r>
        <w:t xml:space="preserve"> (New York, 1993)</w:t>
      </w:r>
    </w:p>
    <w:p w14:paraId="00000026" w14:textId="77777777" w:rsidR="00DE040A" w:rsidRDefault="00000000">
      <w:pPr>
        <w:spacing w:before="240" w:after="240"/>
      </w:pPr>
      <w:r>
        <w:t xml:space="preserve">Mathews, Freya, </w:t>
      </w:r>
      <w:r>
        <w:rPr>
          <w:i/>
        </w:rPr>
        <w:t>The Ecological Self</w:t>
      </w:r>
      <w:r>
        <w:t xml:space="preserve"> (MD: Barnes and Noble, 1991)</w:t>
      </w:r>
    </w:p>
    <w:p w14:paraId="00000027" w14:textId="77777777" w:rsidR="00DE040A" w:rsidRDefault="00000000">
      <w:pPr>
        <w:spacing w:before="240" w:after="240"/>
      </w:pPr>
      <w:r>
        <w:t>‘Moses Mesoamerican Archive and Research Project’ &lt;https://mmarp.fas.harvard.edu/en/aboutus&gt; [accessed 22 October 2022]</w:t>
      </w:r>
    </w:p>
    <w:p w14:paraId="00000028" w14:textId="77777777" w:rsidR="00DE040A" w:rsidRDefault="00000000">
      <w:pPr>
        <w:spacing w:before="240" w:after="240"/>
      </w:pPr>
      <w:proofErr w:type="spellStart"/>
      <w:r>
        <w:t>Pankenier</w:t>
      </w:r>
      <w:proofErr w:type="spellEnd"/>
      <w:r>
        <w:t xml:space="preserve">, David W., ‘The Cosmic Center in Early China and Its Archaic Resonances’, </w:t>
      </w:r>
      <w:r>
        <w:rPr>
          <w:i/>
        </w:rPr>
        <w:t>Proceedings of the International Astronomical Union</w:t>
      </w:r>
      <w:r>
        <w:t>, 7.S278 (2011), 298–307 &lt;https://doi.org/10.1017/S1743921311012737&gt;</w:t>
      </w:r>
    </w:p>
    <w:p w14:paraId="00000029" w14:textId="77777777" w:rsidR="00DE040A" w:rsidRDefault="00000000">
      <w:pPr>
        <w:spacing w:before="240" w:after="240"/>
      </w:pPr>
      <w:r>
        <w:t>‘</w:t>
      </w:r>
      <w:proofErr w:type="spellStart"/>
      <w:r>
        <w:t>Pankenier</w:t>
      </w:r>
      <w:proofErr w:type="spellEnd"/>
      <w:r>
        <w:t>, David W. (David William) [</w:t>
      </w:r>
      <w:proofErr w:type="spellStart"/>
      <w:r>
        <w:t>WorldCat</w:t>
      </w:r>
      <w:proofErr w:type="spellEnd"/>
      <w:r>
        <w:t xml:space="preserve"> Identities]’ &lt;http://worldcat.org/identities/lccn-n88612951/&gt; [accessed 24 October 2022]</w:t>
      </w:r>
    </w:p>
    <w:p w14:paraId="0000002A" w14:textId="77777777" w:rsidR="00DE040A" w:rsidRDefault="00DE040A">
      <w:pPr>
        <w:spacing w:before="240" w:after="240"/>
      </w:pPr>
    </w:p>
    <w:p w14:paraId="0000002B" w14:textId="77777777" w:rsidR="00DE040A" w:rsidRDefault="00DE040A">
      <w:pPr>
        <w:spacing w:before="240" w:after="240"/>
        <w:rPr>
          <w:b/>
        </w:rPr>
      </w:pPr>
    </w:p>
    <w:sectPr w:rsidR="00DE040A">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EA08A" w14:textId="77777777" w:rsidR="00B55FF7" w:rsidRDefault="00B55FF7" w:rsidP="008765D9">
      <w:pPr>
        <w:spacing w:line="240" w:lineRule="auto"/>
      </w:pPr>
      <w:r>
        <w:separator/>
      </w:r>
    </w:p>
  </w:endnote>
  <w:endnote w:type="continuationSeparator" w:id="0">
    <w:p w14:paraId="0E394457" w14:textId="77777777" w:rsidR="00B55FF7" w:rsidRDefault="00B55FF7" w:rsidP="008765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3D4C5" w14:textId="77777777" w:rsidR="00B55FF7" w:rsidRDefault="00B55FF7" w:rsidP="008765D9">
      <w:pPr>
        <w:spacing w:line="240" w:lineRule="auto"/>
      </w:pPr>
      <w:r>
        <w:separator/>
      </w:r>
    </w:p>
  </w:footnote>
  <w:footnote w:type="continuationSeparator" w:id="0">
    <w:p w14:paraId="3E003D59" w14:textId="77777777" w:rsidR="00B55FF7" w:rsidRDefault="00B55FF7" w:rsidP="008765D9">
      <w:pPr>
        <w:spacing w:line="240" w:lineRule="auto"/>
      </w:pPr>
      <w:r>
        <w:continuationSeparator/>
      </w:r>
    </w:p>
  </w:footnote>
  <w:footnote w:id="1">
    <w:p w14:paraId="6332F35B" w14:textId="775DB9CF"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{"citationID":"VfG98WcL","properties":{"formattedCitation":"Freya Mathews, {\\i{}The Ecological Self} (MD: Barnes and Noble, 1991), p. 9.","plainCitation":"Freya Mathews, The Ecological Self (MD: Barnes and Noble, 1991), p. 9.","noteIndex":1},"citationItems":[{"id":223,"uris":["http://zotero.org/users/9107787/items/X867QZ98"],"itemData":{"id":223,"type":"book","publisher":"MD: Barnes and Noble","title":"The Ecological Self","author":[{"family":"Mathews","given":"Freya"}],"issued":{"date-parts":[["1991"]]}},"locator":"9","label":"page"}],"schema":"https://github.com/citation-style-language/schema/raw/master/csl-citation.json"} </w:instrText>
      </w:r>
      <w:r>
        <w:fldChar w:fldCharType="separate"/>
      </w:r>
      <w:r w:rsidRPr="008765D9">
        <w:rPr>
          <w:szCs w:val="24"/>
        </w:rPr>
        <w:t xml:space="preserve">Freya Mathews, </w:t>
      </w:r>
      <w:r w:rsidRPr="008765D9">
        <w:rPr>
          <w:i/>
          <w:iCs/>
          <w:szCs w:val="24"/>
        </w:rPr>
        <w:t>The Ecological Self</w:t>
      </w:r>
      <w:r w:rsidRPr="008765D9">
        <w:rPr>
          <w:szCs w:val="24"/>
        </w:rPr>
        <w:t xml:space="preserve"> (MD: Barnes and Noble, 1991), p. 9.</w:t>
      </w:r>
      <w:r>
        <w:fldChar w:fldCharType="end"/>
      </w:r>
    </w:p>
  </w:footnote>
  <w:footnote w:id="2">
    <w:p w14:paraId="208E876D" w14:textId="4E29F65A"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{"citationID":"HMEqcHHS","properties":{"formattedCitation":"Norris D Hetherington, {\\i{}The Encyclopedia of Cosmology: Historical, Philosophical and Scienctific Foundations of Modern Cosmology} (New York, 1993), p. 116.","plainCitation":"Norris D Hetherington, The Encyclopedia of Cosmology: Historical, Philosophical and Scienctific Foundations of Modern Cosmology (New York, 1993), p. 116.","noteIndex":2},"citationItems":[{"id":222,"uris":["http://zotero.org/users/9107787/items/CD98XQU3"],"itemData":{"id":222,"type":"book","publisher":"New York","title":"The Encyclopedia of Cosmology: Historical, Philosophical and Scienctific Foundations of Modern Cosmology","author":[{"family":"Hetherington","given":"Norris D"}],"issued":{"date-parts":[["1993"]]}},"locator":"116","label":"page"}],"schema":"https://github.com/citation-style-language/schema/raw/master/csl-citation.json"} </w:instrText>
      </w:r>
      <w:r>
        <w:fldChar w:fldCharType="separate"/>
      </w:r>
      <w:r w:rsidRPr="008765D9">
        <w:rPr>
          <w:szCs w:val="24"/>
        </w:rPr>
        <w:t xml:space="preserve">Norris D Hetherington, </w:t>
      </w:r>
      <w:r w:rsidRPr="008765D9">
        <w:rPr>
          <w:i/>
          <w:iCs/>
          <w:szCs w:val="24"/>
        </w:rPr>
        <w:t xml:space="preserve">The Encyclopedia of Cosmology: Historical, Philosophical and </w:t>
      </w:r>
      <w:proofErr w:type="spellStart"/>
      <w:r w:rsidRPr="008765D9">
        <w:rPr>
          <w:i/>
          <w:iCs/>
          <w:szCs w:val="24"/>
        </w:rPr>
        <w:t>Scienctific</w:t>
      </w:r>
      <w:proofErr w:type="spellEnd"/>
      <w:r w:rsidRPr="008765D9">
        <w:rPr>
          <w:i/>
          <w:iCs/>
          <w:szCs w:val="24"/>
        </w:rPr>
        <w:t xml:space="preserve"> Foundations of Modern Cosmology</w:t>
      </w:r>
      <w:r w:rsidRPr="008765D9">
        <w:rPr>
          <w:szCs w:val="24"/>
        </w:rPr>
        <w:t xml:space="preserve"> (New York, 1993), p. 116.</w:t>
      </w:r>
      <w:r>
        <w:fldChar w:fldCharType="end"/>
      </w:r>
    </w:p>
  </w:footnote>
  <w:footnote w:id="3">
    <w:p w14:paraId="5AB07727" w14:textId="0C0B1A49"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{"citationID":"IOi3pZYb","properties":{"formattedCitation":"Terry Eagleton, {\\i{}The Idea of Culture} (Oxford, Blackwell, 2000), p. 9.","plainCitation":"Terry Eagleton, The Idea of Culture (Oxford, Blackwell, 2000), p. 9.","noteIndex":3},"citationItems":[{"id":197,"uris":["http://zotero.org/users/9107787/items/RNIZ74KQ"],"itemData":{"id":197,"type":"book","publisher":"Oxford, Blackwell","title":"The Idea of Culture","author":[{"family":"Eagleton","given":"Terry"}],"issued":{"date-parts":[["2000"]]}},"locator":"9","label":"page"}],"schema":"https://github.com/citation-style-language/schema/raw/master/csl-citation.json"} </w:instrText>
      </w:r>
      <w:r>
        <w:fldChar w:fldCharType="separate"/>
      </w:r>
      <w:r w:rsidRPr="008765D9">
        <w:rPr>
          <w:szCs w:val="24"/>
        </w:rPr>
        <w:t xml:space="preserve">Terry Eagleton, </w:t>
      </w:r>
      <w:r w:rsidRPr="008765D9">
        <w:rPr>
          <w:i/>
          <w:iCs/>
          <w:szCs w:val="24"/>
        </w:rPr>
        <w:t>The Idea of Culture</w:t>
      </w:r>
      <w:r w:rsidRPr="008765D9">
        <w:rPr>
          <w:szCs w:val="24"/>
        </w:rPr>
        <w:t xml:space="preserve"> (Oxford, Blackwell, 2000), p. 9.</w:t>
      </w:r>
      <w:r>
        <w:fldChar w:fldCharType="end"/>
      </w:r>
    </w:p>
  </w:footnote>
  <w:footnote w:id="4">
    <w:p w14:paraId="34A51093" w14:textId="4CB75EA1"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{"citationID":"ebRCLSjl","properties":{"formattedCitation":"Eagleton, pp. 8\\uc0\\u8211{}9.","plainCitation":"Eagleton, pp. 8–9.","noteIndex":4},"citationItems":[{"id":197,"uris":["http://zotero.org/users/9107787/items/RNIZ74KQ"],"itemData":{"id":197,"type":"book","publisher":"Oxford, Blackwell","title":"The Idea of Culture","author":[{"family":"Eagleton","given":"Terry"}],"issued":{"date-parts":[["2000"]]}},"locator":"8-9","label":"page"}],"schema":"https://github.com/citation-style-language/schema/raw/master/csl-citation.json"} </w:instrText>
      </w:r>
      <w:r>
        <w:fldChar w:fldCharType="separate"/>
      </w:r>
      <w:r w:rsidRPr="008765D9">
        <w:rPr>
          <w:szCs w:val="24"/>
        </w:rPr>
        <w:t>Eagleton, pp. 8–9.</w:t>
      </w:r>
      <w:r>
        <w:fldChar w:fldCharType="end"/>
      </w:r>
    </w:p>
  </w:footnote>
  <w:footnote w:id="5">
    <w:p w14:paraId="55E6C29A" w14:textId="30CE23AC"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{"citationID":"MGCDstLc","properties":{"formattedCitation":"\\uc0\\u8216{}Dav\\uc0\\u237{}d Carrasco\\uc0\\u8217{} &lt;https://hds.harvard.edu/people/david-carrasco&gt; [accessed 22 October 2022].","plainCitation":"‘Davíd Carrasco’ &lt;https://hds.harvard.edu/people/david-carrasco&gt; [accessed 22 October 2022].","noteIndex":5},"citationItems":[{"id":198,"uris":["http://zotero.org/users/9107787/items/SV6ALJ3X"],"itemData":{"id":198,"type":"webpage","language":"en","title":"Davíd Carrasco","URL":"https://hds.harvard.edu/people/david-carrasco","accessed":{"date-parts":[["2022",10,22]]}}}],"schema":"https://github.com/citation-style-language/schema/raw/master/csl-citation.json"} </w:instrText>
      </w:r>
      <w:r>
        <w:fldChar w:fldCharType="separate"/>
      </w:r>
      <w:r w:rsidRPr="008765D9">
        <w:rPr>
          <w:szCs w:val="24"/>
        </w:rPr>
        <w:t>‘</w:t>
      </w:r>
      <w:proofErr w:type="spellStart"/>
      <w:r w:rsidRPr="008765D9">
        <w:rPr>
          <w:szCs w:val="24"/>
        </w:rPr>
        <w:t>Davíd</w:t>
      </w:r>
      <w:proofErr w:type="spellEnd"/>
      <w:r w:rsidRPr="008765D9">
        <w:rPr>
          <w:szCs w:val="24"/>
        </w:rPr>
        <w:t xml:space="preserve"> Carrasco’ &lt;https://hds.harvard.edu/people/david-carrasco&gt; [accessed 22 October 2022].</w:t>
      </w:r>
      <w:r>
        <w:fldChar w:fldCharType="end"/>
      </w:r>
    </w:p>
  </w:footnote>
  <w:footnote w:id="6">
    <w:p w14:paraId="7A4862FF" w14:textId="7E6BB0A6"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{"citationID":"hnidoT3p","properties":{"formattedCitation":"\\uc0\\u8216{}Dav\\uc0\\u237{}d Carrasco Historian\\uc0\\u8217{}, {\\i{}Davidcarrascohistorian.Com} &lt;https://davidcarrascohistorian.com/about&gt; [accessed 22 October 2022].","plainCitation":"‘Davíd Carrasco Historian’, Davidcarrascohistorian.Com &lt;https://davidcarrascohistorian.com/about&gt; [accessed 22 October 2022].","noteIndex":6},"citationItems":[{"id":200,"uris":["http://zotero.org/users/9107787/items/QZPQ3MNI"],"itemData":{"id":200,"type":"webpage","container-title":"Davidcarrascohistorian.com","language":"en","title":"Davíd Carrasco Historian","URL":"https://davidcarrascohistorian.com/about","accessed":{"date-parts":[["2022",10,22]]}}}],"schema":"https://github.com/citation-style-language/schema/raw/master/csl-citation.json"} </w:instrText>
      </w:r>
      <w:r>
        <w:fldChar w:fldCharType="separate"/>
      </w:r>
      <w:r w:rsidRPr="008765D9">
        <w:rPr>
          <w:szCs w:val="24"/>
        </w:rPr>
        <w:t>‘</w:t>
      </w:r>
      <w:proofErr w:type="spellStart"/>
      <w:r w:rsidRPr="008765D9">
        <w:rPr>
          <w:szCs w:val="24"/>
        </w:rPr>
        <w:t>Davíd</w:t>
      </w:r>
      <w:proofErr w:type="spellEnd"/>
      <w:r w:rsidRPr="008765D9">
        <w:rPr>
          <w:szCs w:val="24"/>
        </w:rPr>
        <w:t xml:space="preserve"> Carrasco Historian’, </w:t>
      </w:r>
      <w:r w:rsidRPr="008765D9">
        <w:rPr>
          <w:i/>
          <w:iCs/>
          <w:szCs w:val="24"/>
        </w:rPr>
        <w:t>Davidcarrascohistorian.Com</w:t>
      </w:r>
      <w:r w:rsidRPr="008765D9">
        <w:rPr>
          <w:szCs w:val="24"/>
        </w:rPr>
        <w:t xml:space="preserve"> &lt;https://davidcarrascohistorian.com/about&gt; [accessed 22 October 2022].</w:t>
      </w:r>
      <w:r>
        <w:fldChar w:fldCharType="end"/>
      </w:r>
    </w:p>
  </w:footnote>
  <w:footnote w:id="7">
    <w:p w14:paraId="2D150C74" w14:textId="5041A97E"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{"citationID":"CIwgxyXN","properties":{"formattedCitation":"David Carrasco, \\uc0\\u8216{}City as Symbol in Aztec Thought: The Clues from the Codex Mendoza\\uc0\\u8217{}, {\\i{}History of Religions}, 20.3 (1981), 199\\uc0\\u8211{}223 (p. 201) &lt;https://doi.org/10.1086/462868&gt;.","plainCitation":"David Carrasco, ‘City as Symbol in Aztec Thought: The Clues from the Codex Mendoza’, History of Religions, 20.3 (1981), 199–223 (p. 201) &lt;https://doi.org/10.1086/462868&gt;.","noteIndex":7},"citationItems":[{"id":193,"uris":["http://zotero.org/users/9107787/items/PSN9WALL"],"itemData":{"id":193,"type":"article-journal","container-title":"History of Religions","DOI":"10.1086/462868","ISSN":"0018-2710, 1545-6935","issue":"3","journalAbbreviation":"History of Religions","language":"en","page":"199-223","source":"DOI.org (Crossref)","title":"City as Symbol in Aztec Thought: The Clues from the Codex Mendoza","title-short":"City as Symbol in Aztec Thought","volume":"20","author":[{"family":"Carrasco","given":"David"}],"issued":{"date-parts":[["1981",2]]}},"locator":"201","label":"page"}],"schema":"https://github.com/citation-style-language/schema/raw/master/csl-citation.json"} </w:instrText>
      </w:r>
      <w:r>
        <w:fldChar w:fldCharType="separate"/>
      </w:r>
      <w:r w:rsidRPr="008765D9">
        <w:rPr>
          <w:szCs w:val="24"/>
        </w:rPr>
        <w:t xml:space="preserve">David Carrasco, ‘City as Symbol in Aztec Thought: The Clues from the Codex Mendoza’, </w:t>
      </w:r>
      <w:r w:rsidRPr="008765D9">
        <w:rPr>
          <w:i/>
          <w:iCs/>
          <w:szCs w:val="24"/>
        </w:rPr>
        <w:t>History of Religions</w:t>
      </w:r>
      <w:r w:rsidRPr="008765D9">
        <w:rPr>
          <w:szCs w:val="24"/>
        </w:rPr>
        <w:t>, 20.3 (1981), 199–223 (p. 201) &lt;https://doi.org/10.1086/462868&gt;.</w:t>
      </w:r>
      <w:r>
        <w:fldChar w:fldCharType="end"/>
      </w:r>
    </w:p>
  </w:footnote>
  <w:footnote w:id="8">
    <w:p w14:paraId="12496A94" w14:textId="3F4F6E54"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{"citationID":"jjvbUXZP","properties":{"formattedCitation":"Carrasco, p. 202.","plainCitation":"Carrasco, p. 202.","noteIndex":8},"citationItems":[{"id":193,"uris":["http://zotero.org/users/9107787/items/PSN9WALL"],"itemData":{"id":193,"type":"article-journal","container-title":"History of Religions","DOI":"10.1086/462868","ISSN":"0018-2710, 1545-6935","issue":"3","journalAbbreviation":"History of Religions","language":"en","page":"199-223","source":"DOI.org (Crossref)","title":"City as Symbol in Aztec Thought: The Clues from the Codex Mendoza","title-short":"City as Symbol in Aztec Thought","volume":"20","author":[{"family":"Carrasco","given":"David"}],"issued":{"date-parts":[["1981",2]]}},"locator":"202","label":"page"}],"schema":"https://github.com/citation-style-language/schema/raw/master/csl-citation.json"} </w:instrText>
      </w:r>
      <w:r>
        <w:fldChar w:fldCharType="separate"/>
      </w:r>
      <w:r w:rsidRPr="008765D9">
        <w:t>Carrasco, p. 202.</w:t>
      </w:r>
      <w:r>
        <w:fldChar w:fldCharType="end"/>
      </w:r>
    </w:p>
  </w:footnote>
  <w:footnote w:id="9">
    <w:p w14:paraId="4BA09C39" w14:textId="7A611AD0"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{"citationID":"vpWHG3yl","properties":{"formattedCitation":"\\uc0\\u8216{}Moses Mesoamerican Archive and Research Project\\uc0\\u8217{} &lt;https://mmarp.fas.harvard.edu/en/aboutus&gt; [accessed 22 October 2022].","plainCitation":"‘Moses Mesoamerican Archive and Research Project’ &lt;https://mmarp.fas.harvard.edu/en/aboutus&gt; [accessed 22 October 2022].","noteIndex":9},"citationItems":[{"id":202,"uris":["http://zotero.org/users/9107787/items/GIX8BCSZ"],"itemData":{"id":202,"type":"webpage","abstract":"HOME »  | English | Español","language":"en","license":"Harvard University","title":"Moses Mesoamerican Archive and Research Project","URL":"https://mmarp.fas.harvard.edu/en/aboutus","accessed":{"date-parts":[["2022",10,22]]}}}],"schema":"https://github.com/citation-style-language/schema/raw/master/csl-citation.json"} </w:instrText>
      </w:r>
      <w:r>
        <w:fldChar w:fldCharType="separate"/>
      </w:r>
      <w:r w:rsidRPr="008765D9">
        <w:rPr>
          <w:szCs w:val="24"/>
        </w:rPr>
        <w:t>‘Moses Mesoamerican Archive and Research Project’ &lt;https://mmarp.fas.harvard.edu/en/aboutus&gt; [accessed 22 October 2022].</w:t>
      </w:r>
      <w:r>
        <w:fldChar w:fldCharType="end"/>
      </w:r>
    </w:p>
  </w:footnote>
  <w:footnote w:id="10">
    <w:p w14:paraId="736C1DFC" w14:textId="1E3F81AF"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{"citationID":"EH90q9QN","properties":{"formattedCitation":"\\uc0\\u8216{}Pankenier, David W. (David William) [WorldCat Identities]\\uc0\\u8217{} &lt;http://worldcat.org/identities/lccn-n88612951/&gt; [accessed 24 October 2022].","plainCitation":"‘Pankenier, David W. (David William) [WorldCat Identities]’ &lt;http://worldcat.org/identities/lccn-n88612951/&gt; [accessed 24 October 2022].","noteIndex":10},"citationItems":[{"id":210,"uris":["http://zotero.org/users/9107787/items/77JC646C"],"itemData":{"id":210,"type":"webpage","title":"Pankenier, David W. (David William) [WorldCat Identities]","URL":"http://worldcat.org/identities/lccn-n88612951/","accessed":{"date-parts":[["2022",10,24]]}}}],"schema":"https://github.com/citation-style-language/schema/raw/master/csl-citation.json"} </w:instrText>
      </w:r>
      <w:r>
        <w:fldChar w:fldCharType="separate"/>
      </w:r>
      <w:r w:rsidRPr="008765D9">
        <w:rPr>
          <w:szCs w:val="24"/>
        </w:rPr>
        <w:t>‘</w:t>
      </w:r>
      <w:proofErr w:type="spellStart"/>
      <w:r w:rsidRPr="008765D9">
        <w:rPr>
          <w:szCs w:val="24"/>
        </w:rPr>
        <w:t>Pankenier</w:t>
      </w:r>
      <w:proofErr w:type="spellEnd"/>
      <w:r w:rsidRPr="008765D9">
        <w:rPr>
          <w:szCs w:val="24"/>
        </w:rPr>
        <w:t>, David W. (David William) [</w:t>
      </w:r>
      <w:proofErr w:type="spellStart"/>
      <w:r w:rsidRPr="008765D9">
        <w:rPr>
          <w:szCs w:val="24"/>
        </w:rPr>
        <w:t>WorldCat</w:t>
      </w:r>
      <w:proofErr w:type="spellEnd"/>
      <w:r w:rsidRPr="008765D9">
        <w:rPr>
          <w:szCs w:val="24"/>
        </w:rPr>
        <w:t xml:space="preserve"> Identities]’ &lt;http://worldcat.org/identities/lccn-n88612951/&gt; [accessed 24 October 2022].</w:t>
      </w:r>
      <w:r>
        <w:fldChar w:fldCharType="end"/>
      </w:r>
    </w:p>
  </w:footnote>
  <w:footnote w:id="11">
    <w:p w14:paraId="51709227" w14:textId="56420C00"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{"citationID":"ByWUhs9p","properties":{"formattedCitation":"\\uc0\\u8216{}(18) David Pankenier | Lehigh University - Academia.Edu\\uc0\\u8217{} &lt;https://lehigh.academia.edu/DavidPankenier/CurriculumVitae&gt; [accessed 24 October 2022].","plainCitation":"‘(18) David Pankenier | Lehigh University - Academia.Edu’ &lt;https://lehigh.academia.edu/DavidPankenier/CurriculumVitae&gt; [accessed 24 October 2022].","noteIndex":11},"citationItems":[{"id":214,"uris":["http://zotero.org/users/9107787/items/D9CTVL6I"],"itemData":{"id":214,"type":"webpage","title":"(18) David Pankenier | Lehigh University - Academia.edu","URL":"https://lehigh.academia.edu/DavidPankenier/CurriculumVitae","accessed":{"date-parts":[["2022",10,24]]}}}],"schema":"https://github.com/citation-style-language/schema/raw/master/csl-citation.json"} </w:instrText>
      </w:r>
      <w:r>
        <w:fldChar w:fldCharType="separate"/>
      </w:r>
      <w:r w:rsidRPr="008765D9">
        <w:rPr>
          <w:szCs w:val="24"/>
        </w:rPr>
        <w:t xml:space="preserve">‘(18) David </w:t>
      </w:r>
      <w:proofErr w:type="spellStart"/>
      <w:r w:rsidRPr="008765D9">
        <w:rPr>
          <w:szCs w:val="24"/>
        </w:rPr>
        <w:t>Pankenier</w:t>
      </w:r>
      <w:proofErr w:type="spellEnd"/>
      <w:r w:rsidRPr="008765D9">
        <w:rPr>
          <w:szCs w:val="24"/>
        </w:rPr>
        <w:t xml:space="preserve"> | Lehigh University - Academia.Edu’ &lt;https://lehigh.academia.edu/DavidPankenier/CurriculumVitae&gt; [accessed 24 October 2022].</w:t>
      </w:r>
      <w:r>
        <w:fldChar w:fldCharType="end"/>
      </w:r>
    </w:p>
  </w:footnote>
  <w:footnote w:id="12">
    <w:p w14:paraId="56CD96D8" w14:textId="2F27FC7F"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{"citationID":"5mJTrVn5","properties":{"formattedCitation":"David W. Pankenier, \\uc0\\u8216{}The Cosmic Center in Early China and Its Archaic Resonances\\uc0\\u8217{}, {\\i{}Proceedings of the International Astronomical Union}, 7.S278 (2011), 298\\uc0\\u8211{}307 (p. 298) &lt;https://doi.org/10.1017/S1743921311012737&gt;.","plainCitation":"David W. Pankenier, ‘The Cosmic Center in Early China and Its Archaic Resonances’, Proceedings of the International Astronomical Union, 7.S278 (2011), 298–307 (p. 298) &lt;https://doi.org/10.1017/S1743921311012737&gt;.","noteIndex":12},"citationItems":[{"id":195,"uris":["http://zotero.org/users/9107787/items/YF4446HQ"],"itemData":{"id":195,"type":"article-journal","abstract":"Study of the role of astronomical alignments in shaping the built environment suggests that centuries before establishment of the Empire in 221 BCE, the Chinese had already developed practical, geometrical applications of astronomical knowledge useful in orienting high-value structures. The archaeological record clearly shows this fundamental disposition was already ﬁrmly established by the formative period of Chinese civilization in the early 2nd millennium BCE. The cosmological identiﬁcation of the imperial center with the celestial Pole and an intense focus on the circumpolar ‘skyscape’ are manifested in the highly symbolic orientation of early imperial capitals. Certain features of this cosmological world-view may have emerged as early as the Neolithic.","container-title":"Proceedings of the International Astronomical Union","DOI":"10.1017/S1743921311012737","ISSN":"1743-9213, 1743-9221","issue":"S278","journalAbbreviation":"Proc. IAU","language":"en","page":"298-307","source":"DOI.org (Crossref)","title":"The cosmic center in Early China and its archaic resonances","volume":"7","author":[{"family":"Pankenier","given":"David W."}],"issued":{"date-parts":[["2011",1]]}},"locator":"298","label":"page"}],"schema":"https://github.com/citation-style-language/schema/raw/master/csl-citation.json"} </w:instrText>
      </w:r>
      <w:r>
        <w:fldChar w:fldCharType="separate"/>
      </w:r>
      <w:r w:rsidRPr="008765D9">
        <w:rPr>
          <w:szCs w:val="24"/>
        </w:rPr>
        <w:t xml:space="preserve">David W. </w:t>
      </w:r>
      <w:proofErr w:type="spellStart"/>
      <w:r w:rsidRPr="008765D9">
        <w:rPr>
          <w:szCs w:val="24"/>
        </w:rPr>
        <w:t>Pankenier</w:t>
      </w:r>
      <w:proofErr w:type="spellEnd"/>
      <w:r w:rsidRPr="008765D9">
        <w:rPr>
          <w:szCs w:val="24"/>
        </w:rPr>
        <w:t xml:space="preserve">, ‘The Cosmic Center in Early China and Its Archaic Resonances’, </w:t>
      </w:r>
      <w:r w:rsidRPr="008765D9">
        <w:rPr>
          <w:i/>
          <w:iCs/>
          <w:szCs w:val="24"/>
        </w:rPr>
        <w:t>Proceedings of the International Astronomical Union</w:t>
      </w:r>
      <w:r w:rsidRPr="008765D9">
        <w:rPr>
          <w:szCs w:val="24"/>
        </w:rPr>
        <w:t>, 7.S278 (2011), 298–307 (p. 298) &lt;https://doi.org/10.1017/S1743921311012737&gt;.</w:t>
      </w:r>
      <w:r>
        <w:fldChar w:fldCharType="end"/>
      </w:r>
    </w:p>
  </w:footnote>
  <w:footnote w:id="13">
    <w:p w14:paraId="05292535" w14:textId="339C5998"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{"citationID":"ug0UmUIU","properties":{"formattedCitation":"Pankenier, p. 330.","plainCitation":"Pankenier, p. 330.","noteIndex":13},"citationItems":[{"id":195,"uris":["http://zotero.org/users/9107787/items/YF4446HQ"],"itemData":{"id":195,"type":"article-journal","abstract":"Study of the role of astronomical alignments in shaping the built environment suggests that centuries before establishment of the Empire in 221 BCE, the Chinese had already developed practical, geometrical applications of astronomical knowledge useful in orienting high-value structures. The archaeological record clearly shows this fundamental disposition was already ﬁrmly established by the formative period of Chinese civilization in the early 2nd millennium BCE. The cosmological identiﬁcation of the imperial center with the celestial Pole and an intense focus on the circumpolar ‘skyscape’ are manifested in the highly symbolic orientation of early imperial capitals. Certain features of this cosmological world-view may have emerged as early as the Neolithic.","container-title":"Proceedings of the International Astronomical Union","DOI":"10.1017/S1743921311012737","ISSN":"1743-9213, 1743-9221","issue":"S278","journalAbbreviation":"Proc. IAU","language":"en","page":"298-307","source":"DOI.org (Crossref)","title":"The cosmic center in Early China and its archaic resonances","volume":"7","author":[{"family":"Pankenier","given":"David W."}],"issued":{"date-parts":[["2011",1]]}},"locator":"330","label":"page"}],"schema":"https://github.com/citation-style-language/schema/raw/master/csl-citation.json"} </w:instrText>
      </w:r>
      <w:r>
        <w:fldChar w:fldCharType="separate"/>
      </w:r>
      <w:proofErr w:type="spellStart"/>
      <w:r w:rsidRPr="008765D9">
        <w:t>Pankenier</w:t>
      </w:r>
      <w:proofErr w:type="spellEnd"/>
      <w:r w:rsidRPr="008765D9">
        <w:t>, p. 330.</w:t>
      </w:r>
      <w:r>
        <w:fldChar w:fldCharType="end"/>
      </w:r>
    </w:p>
  </w:footnote>
  <w:footnote w:id="14">
    <w:p w14:paraId="045CEC98" w14:textId="2CB135DB" w:rsidR="008765D9" w:rsidRPr="008765D9" w:rsidRDefault="008765D9">
      <w:pPr>
        <w:pStyle w:val="FootnoteText"/>
        <w:rPr>
          <w:lang w:val="en-US"/>
        </w:rPr>
      </w:pPr>
      <w:r w:rsidRPr="00A43416">
        <w:rPr>
          <w:rStyle w:val="FootnoteReference"/>
        </w:rPr>
        <w:footnoteRef/>
      </w:r>
      <w:r>
        <w:t xml:space="preserve"> </w:t>
      </w:r>
      <w:r>
        <w:fldChar w:fldCharType="begin"/>
      </w:r>
      <w:r>
        <w:instrText xml:space="preserve"> ADDIN ZOTERO_ITEM CSL_CITATION {"citationID":"ZRkpkf4N","properties":{"formattedCitation":"Carrasco, pp. 201\\uc0\\u8211{}2.","plainCitation":"Carrasco, pp. 201–2.","noteIndex":14},"citationItems":[{"id":193,"uris":["http://zotero.org/users/9107787/items/PSN9WALL"],"itemData":{"id":193,"type":"article-journal","container-title":"History of Religions","DOI":"10.1086/462868","ISSN":"0018-2710, 1545-6935","issue":"3","journalAbbreviation":"History of Religions","language":"en","page":"199-223","source":"DOI.org (Crossref)","title":"City as Symbol in Aztec Thought: The Clues from the Codex Mendoza","title-short":"City as Symbol in Aztec Thought","volume":"20","author":[{"family":"Carrasco","given":"David"}],"issued":{"date-parts":[["1981",2]]}},"locator":"201-202","label":"page"}],"schema":"https://github.com/citation-style-language/schema/raw/master/csl-citation.json"} </w:instrText>
      </w:r>
      <w:r>
        <w:fldChar w:fldCharType="separate"/>
      </w:r>
      <w:r w:rsidRPr="008765D9">
        <w:rPr>
          <w:szCs w:val="24"/>
        </w:rPr>
        <w:t>Carrasco, pp. 201–2.</w:t>
      </w:r>
      <w:r>
        <w:fldChar w:fldCharType="end"/>
      </w:r>
    </w:p>
  </w:footnote>
  <w:footnote w:id="15">
    <w:p w14:paraId="7DF32891" w14:textId="2904777B"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{"citationID":"1wdTyCVG","properties":{"formattedCitation":"Bernadette Brady, \\uc0\\u8216{}The Horoscope as an Imago Mundi, - Rethinking the Nature of the Astrologer\\uc0\\u8217{}s Map\\uc0\\u8217{}, 17 (p. 1).","plainCitation":"Bernadette Brady, ‘The Horoscope as an Imago Mundi, - Rethinking the Nature of the Astrologer’s Map’, 17 (p. 1).","noteIndex":15},"citationItems":[{"id":225,"uris":["http://zotero.org/users/9107787/items/T7JWMK9H"],"itemData":{"id":225,"type":"article-journal","abstract":"Field work into belief in determinism within contemporary western astrology has revealed a wide diversity of opinion and philosophy amongst astrologers. This diversity encompasses beliefs that range from a fatalistic expectation or acceptance of God’s Providence to a humanistic position of the self as the sole creator of one’s life. Despite this diversity there is, however, a common unifying theme—that of the role of the horoscope, the astrologer’s map. This is viewed, not as a mill-stone of determinism, as suggested by critics of astrology, but rather as a symbolic or sacred map suggestive of what Mircea Eliade defined as an imago mundi. That is to say a map of sacred space, where time is non-linear—illud tempus, used to locate an individual in a unique position within their world while at the same time providing a personal link to the cosmos.1 In this light the horoscope can be reappraised: instead of a profane object, a simple tool or map of the solar system open to criticism for its lack of rational representation of the sky, it for the astrologer, is a sacred map belonging within the tradition of other cosmological maps from the medieval period. Such a reappraisal of the nature of the horoscope as a personal, unique cosmological map can contribute to the debates on the role that astrology plays in contemporary culture.","language":"en","page":"17","source":"Zotero","title":"The horoscope as an imago mundi, - rethinking the nature of the astrologer’s map","author":[{"family":"Brady","given":"Bernadette"}]},"locator":"1","label":"page"}],"schema":"https://github.com/citation-style-language/schema/raw/master/csl-citation.json"} </w:instrText>
      </w:r>
      <w:r>
        <w:fldChar w:fldCharType="separate"/>
      </w:r>
      <w:r w:rsidRPr="003B5A7F">
        <w:rPr>
          <w:szCs w:val="24"/>
        </w:rPr>
        <w:t>Bernadette Brady, ‘The Horoscope as an Imago Mundi, - Rethinking the Nature of the Astrologer’s Map’, 17 (p. 1).</w:t>
      </w:r>
      <w:r>
        <w:fldChar w:fldCharType="end"/>
      </w:r>
    </w:p>
  </w:footnote>
  <w:footnote w:id="16">
    <w:p w14:paraId="7EE0474E" w14:textId="03DDBB71"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{"citationID":"TMTNaeWa","properties":{"formattedCitation":"Carrasco, p. 207.","plainCitation":"Carrasco, p. 207.","noteIndex":16},"citationItems":[{"id":193,"uris":["http://zotero.org/users/9107787/items/PSN9WALL"],"itemData":{"id":193,"type":"article-journal","container-title":"History of Religions","DOI":"10.1086/462868","ISSN":"0018-2710, 1545-6935","issue":"3","journalAbbreviation":"History of Religions","language":"en","page":"199-223","source":"DOI.org (Crossref)","title":"City as Symbol in Aztec Thought: The Clues from the Codex Mendoza","title-short":"City as Symbol in Aztec Thought","volume":"20","author":[{"family":"Carrasco","given":"David"}],"issued":{"date-parts":[["1981",2]]}},"locator":"207","label":"page"}],"schema":"https://github.com/citation-style-language/schema/raw/master/csl-citation.json"} </w:instrText>
      </w:r>
      <w:r>
        <w:fldChar w:fldCharType="separate"/>
      </w:r>
      <w:r w:rsidRPr="003B5A7F">
        <w:t>Carrasco, p. 207.</w:t>
      </w:r>
      <w:r>
        <w:fldChar w:fldCharType="end"/>
      </w:r>
    </w:p>
  </w:footnote>
  <w:footnote w:id="17">
    <w:p w14:paraId="538DA041" w14:textId="0FD820D7"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{"citationID":"tlCAaW14","properties":{"formattedCitation":"Carrasco, p. 18.","plainCitation":"Carrasco, p. 18.","noteIndex":17},"citationItems":[{"id":193,"uris":["http://zotero.org/users/9107787/items/PSN9WALL"],"itemData":{"id":193,"type":"article-journal","container-title":"History of Religions","DOI":"10.1086/462868","ISSN":"0018-2710, 1545-6935","issue":"3","journalAbbreviation":"History of Religions","language":"en","page":"199-223","source":"DOI.org (Crossref)","title":"City as Symbol in Aztec Thought: The Clues from the Codex Mendoza","title-short":"City as Symbol in Aztec Thought","volume":"20","author":[{"family":"Carrasco","given":"David"}],"issued":{"date-parts":[["1981",2]]}},"locator":"18","label":"page"}],"schema":"https://github.com/citation-style-language/schema/raw/master/csl-citation.json"} </w:instrText>
      </w:r>
      <w:r>
        <w:fldChar w:fldCharType="separate"/>
      </w:r>
      <w:r w:rsidRPr="003B5A7F">
        <w:t>Carrasco, p. 18.</w:t>
      </w:r>
      <w:r>
        <w:fldChar w:fldCharType="end"/>
      </w:r>
    </w:p>
  </w:footnote>
  <w:footnote w:id="18">
    <w:p w14:paraId="662F32C2" w14:textId="515034E6"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{"citationID":"gGmu7NwD","properties":{"formattedCitation":"Carrasco, p. 212.","plainCitation":"Carrasco, p. 212.","noteIndex":18},"citationItems":[{"id":193,"uris":["http://zotero.org/users/9107787/items/PSN9WALL"],"itemData":{"id":193,"type":"article-journal","container-title":"History of Religions","DOI":"10.1086/462868","ISSN":"0018-2710, 1545-6935","issue":"3","journalAbbreviation":"History of Religions","language":"en","page":"199-223","source":"DOI.org (Crossref)","title":"City as Symbol in Aztec Thought: The Clues from the Codex Mendoza","title-short":"City as Symbol in Aztec Thought","volume":"20","author":[{"family":"Carrasco","given":"David"}],"issued":{"date-parts":[["1981",2]]}},"locator":"212","label":"page"}],"schema":"https://github.com/citation-style-language/schema/raw/master/csl-citation.json"} </w:instrText>
      </w:r>
      <w:r>
        <w:fldChar w:fldCharType="separate"/>
      </w:r>
      <w:r w:rsidRPr="003B5A7F">
        <w:t>Carrasco, p. 212.</w:t>
      </w:r>
      <w:r>
        <w:fldChar w:fldCharType="end"/>
      </w:r>
    </w:p>
  </w:footnote>
  <w:footnote w:id="19">
    <w:p w14:paraId="0BA2D32F" w14:textId="252FA050"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{"citationID":"DR2jnaea","properties":{"formattedCitation":"Carrasco, p. 213.","plainCitation":"Carrasco, p. 213.","noteIndex":19},"citationItems":[{"id":193,"uris":["http://zotero.org/users/9107787/items/PSN9WALL"],"itemData":{"id":193,"type":"article-journal","container-title":"History of Religions","DOI":"10.1086/462868","ISSN":"0018-2710, 1545-6935","issue":"3","journalAbbreviation":"History of Religions","language":"en","page":"199-223","source":"DOI.org (Crossref)","title":"City as Symbol in Aztec Thought: The Clues from the Codex Mendoza","title-short":"City as Symbol in Aztec Thought","volume":"20","author":[{"family":"Carrasco","given":"David"}],"issued":{"date-parts":[["1981",2]]}},"locator":"213","label":"page"}],"schema":"https://github.com/citation-style-language/schema/raw/master/csl-citation.json"} </w:instrText>
      </w:r>
      <w:r>
        <w:fldChar w:fldCharType="separate"/>
      </w:r>
      <w:r w:rsidRPr="003B5A7F">
        <w:t>Carrasco, p. 213.</w:t>
      </w:r>
      <w:r>
        <w:fldChar w:fldCharType="end"/>
      </w:r>
    </w:p>
  </w:footnote>
  <w:footnote w:id="20">
    <w:p w14:paraId="678793C7" w14:textId="79BCE1FD"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{"citationID":"gHT4o8G8","properties":{"formattedCitation":"Pankenier, p. 300.","plainCitation":"Pankenier, p. 300.","noteIndex":20},"citationItems":[{"id":195,"uris":["http://zotero.org/users/9107787/items/YF4446HQ"],"itemData":{"id":195,"type":"article-journal","abstract":"Study of the role of astronomical alignments in shaping the built environment suggests that centuries before establishment of the Empire in 221 BCE, the Chinese had already developed practical, geometrical applications of astronomical knowledge useful in orienting high-value structures. The archaeological record clearly shows this fundamental disposition was already ﬁrmly established by the formative period of Chinese civilization in the early 2nd millennium BCE. The cosmological identiﬁcation of the imperial center with the celestial Pole and an intense focus on the circumpolar ‘skyscape’ are manifested in the highly symbolic orientation of early imperial capitals. Certain features of this cosmological world-view may have emerged as early as the Neolithic.","container-title":"Proceedings of the International Astronomical Union","DOI":"10.1017/S1743921311012737","ISSN":"1743-9213, 1743-9221","issue":"S278","journalAbbreviation":"Proc. IAU","language":"en","page":"298-307","source":"DOI.org (Crossref)","title":"The cosmic center in Early China and its archaic resonances","volume":"7","author":[{"family":"Pankenier","given":"David W."}],"issued":{"date-parts":[["2011",1]]}},"locator":"300","label":"page"}],"schema":"https://github.com/citation-style-language/schema/raw/master/csl-citation.json"} </w:instrText>
      </w:r>
      <w:r>
        <w:fldChar w:fldCharType="separate"/>
      </w:r>
      <w:proofErr w:type="spellStart"/>
      <w:r w:rsidRPr="003B5A7F">
        <w:t>Pankenier</w:t>
      </w:r>
      <w:proofErr w:type="spellEnd"/>
      <w:r w:rsidRPr="003B5A7F">
        <w:t>, p. 300.</w:t>
      </w:r>
      <w:r>
        <w:fldChar w:fldCharType="end"/>
      </w:r>
    </w:p>
  </w:footnote>
  <w:footnote w:id="21">
    <w:p w14:paraId="2E2FE33A" w14:textId="7A986010"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{"citationID":"RvHowYZf","properties":{"formattedCitation":"Pankenier, pp. 298\\uc0\\u8211{}300.","plainCitation":"Pankenier, pp. 298–300.","noteIndex":21},"citationItems":[{"id":195,"uris":["http://zotero.org/users/9107787/items/YF4446HQ"],"itemData":{"id":195,"type":"article-journal","abstract":"Study of the role of astronomical alignments in shaping the built environment suggests that centuries before establishment of the Empire in 221 BCE, the Chinese had already developed practical, geometrical applications of astronomical knowledge useful in orienting high-value structures. The archaeological record clearly shows this fundamental disposition was already ﬁrmly established by the formative period of Chinese civilization in the early 2nd millennium BCE. The cosmological identiﬁcation of the imperial center with the celestial Pole and an intense focus on the circumpolar ‘skyscape’ are manifested in the highly symbolic orientation of early imperial capitals. Certain features of this cosmological world-view may have emerged as early as the Neolithic.","container-title":"Proceedings of the International Astronomical Union","DOI":"10.1017/S1743921311012737","ISSN":"1743-9213, 1743-9221","issue":"S278","journalAbbreviation":"Proc. IAU","language":"en","page":"298-307","source":"DOI.org (Crossref)","title":"The cosmic center in Early China and its archaic resonances","volume":"7","author":[{"family":"Pankenier","given":"David W."}],"issued":{"date-parts":[["2011",1]]}},"locator":"298-300","label":"page"}],"schema":"https://github.com/citation-style-language/schema/raw/master/csl-citation.json"} </w:instrText>
      </w:r>
      <w:r>
        <w:fldChar w:fldCharType="separate"/>
      </w:r>
      <w:proofErr w:type="spellStart"/>
      <w:r w:rsidRPr="003B5A7F">
        <w:rPr>
          <w:szCs w:val="24"/>
        </w:rPr>
        <w:t>Pankenier</w:t>
      </w:r>
      <w:proofErr w:type="spellEnd"/>
      <w:r w:rsidRPr="003B5A7F">
        <w:rPr>
          <w:szCs w:val="24"/>
        </w:rPr>
        <w:t>, pp. 298–300.</w:t>
      </w:r>
      <w:r>
        <w:fldChar w:fldCharType="end"/>
      </w:r>
    </w:p>
  </w:footnote>
  <w:footnote w:id="22">
    <w:p w14:paraId="094F0916" w14:textId="65BC403B"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{"citationID":"MXiJ2Mo2","properties":{"formattedCitation":"Clifford Geertz, {\\i{}The Interpretation of Cultures} (New York: Basic Books Inc., 1973), p. 90.","plainCitation":"Clifford Geertz, The Interpretation of Cultures (New York: Basic Books Inc., 1973), p. 90.","noteIndex":22},"citationItems":[{"id":221,"uris":["http://zotero.org/users/9107787/items/TQBX5FVF"],"itemData":{"id":221,"type":"book","publisher":"New York: Basic Books Inc.","title":"The Interpretation of Cultures","author":[{"family":"Geertz","given":"Clifford"}],"issued":{"date-parts":[["1973"]]}},"locator":"90","label":"page"}],"schema":"https://github.com/citation-style-language/schema/raw/master/csl-citation.json"} </w:instrText>
      </w:r>
      <w:r>
        <w:fldChar w:fldCharType="separate"/>
      </w:r>
      <w:r w:rsidRPr="003B5A7F">
        <w:rPr>
          <w:szCs w:val="24"/>
        </w:rPr>
        <w:t xml:space="preserve">Clifford Geertz, </w:t>
      </w:r>
      <w:r w:rsidRPr="003B5A7F">
        <w:rPr>
          <w:i/>
          <w:iCs/>
          <w:szCs w:val="24"/>
        </w:rPr>
        <w:t>The Interpretation of Cultures</w:t>
      </w:r>
      <w:r w:rsidRPr="003B5A7F">
        <w:rPr>
          <w:szCs w:val="24"/>
        </w:rPr>
        <w:t xml:space="preserve"> (New York: Basic Books Inc., 1973), p. 90.</w:t>
      </w:r>
      <w:r>
        <w:fldChar w:fldCharType="end"/>
      </w:r>
    </w:p>
  </w:footnote>
  <w:footnote w:id="23">
    <w:p w14:paraId="3538621C" w14:textId="3AFB6B3E"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{"citationID":"LIwt3ytE","properties":{"formattedCitation":"\\uc0\\u8216{}Eliade, Mircea_Ch from Myth and Reality 21-65.Pdf\\uc0\\u8217{}, pp. 37\\uc0\\u8211{}38.","plainCitation":"‘Eliade, Mircea_Ch from Myth and Reality 21-65.Pdf’, pp. 37–38.","dontUpdate":true,"noteIndex":23},"citationItems":[{"id":226,"uris":["http://zotero.org/users/9107787/items/8VX83YVV"],"itemData":{"id":226,"type":"document","title":"Eliade, Mircea_Ch from Myth and Reality 21-65.pdf"},"locator":"37-38","label":"page"}],"schema":"https://github.com/citation-style-language/schema/raw/master/csl-citation.json"} </w:instrText>
      </w:r>
      <w:r>
        <w:fldChar w:fldCharType="separate"/>
      </w:r>
      <w:r w:rsidRPr="003B5A7F">
        <w:rPr>
          <w:szCs w:val="24"/>
        </w:rPr>
        <w:t>Eliade, Mircea,</w:t>
      </w:r>
      <w:r>
        <w:rPr>
          <w:szCs w:val="24"/>
        </w:rPr>
        <w:t xml:space="preserve"> </w:t>
      </w:r>
      <w:r w:rsidRPr="003B5A7F">
        <w:rPr>
          <w:i/>
          <w:iCs/>
          <w:szCs w:val="24"/>
        </w:rPr>
        <w:t>Myth and Reality</w:t>
      </w:r>
      <w:r>
        <w:rPr>
          <w:szCs w:val="24"/>
        </w:rPr>
        <w:t xml:space="preserve"> (Harper &amp; Row, 1963),</w:t>
      </w:r>
      <w:r w:rsidRPr="003B5A7F">
        <w:rPr>
          <w:szCs w:val="24"/>
        </w:rPr>
        <w:t xml:space="preserve"> pp. 37–38.</w:t>
      </w:r>
      <w:r>
        <w:fldChar w:fldCharType="end"/>
      </w:r>
    </w:p>
  </w:footnote>
  <w:footnote w:id="24">
    <w:p w14:paraId="1D86D3CE" w14:textId="1DF9C750"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{"citationID":"2YFHU3Cw","properties":{"formattedCitation":"Eagleton, p. 13.","plainCitation":"Eagleton, p. 13.","noteIndex":24},"citationItems":[{"id":197,"uris":["http://zotero.org/users/9107787/items/RNIZ74KQ"],"itemData":{"id":197,"type":"book","publisher":"Oxford, Blackwell","title":"The Idea of Culture","author":[{"family":"Eagleton","given":"Terry"}],"issued":{"date-parts":[["2000"]]}},"locator":"13","label":"page"}],"schema":"https://github.com/citation-style-language/schema/raw/master/csl-citation.json"} </w:instrText>
      </w:r>
      <w:r>
        <w:fldChar w:fldCharType="separate"/>
      </w:r>
      <w:r w:rsidRPr="003B5A7F">
        <w:t>Eagleton, p. 13.</w:t>
      </w:r>
      <w:r>
        <w:fldChar w:fldCharType="end"/>
      </w:r>
    </w:p>
  </w:footnote>
  <w:footnote w:id="25">
    <w:p w14:paraId="55D82AE5" w14:textId="49348F68"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{"citationID":"NGLX8LmG","properties":{"formattedCitation":"\\uc0\\u8216{}Eliade, Mircea_Ch from Myth and Reality 21-65.Pdf\\uc0\\u8217{}, p. 32.","plainCitation":"‘Eliade, Mircea_Ch from Myth and Reality 21-65.Pdf’, p. 32.","noteIndex":25},"citationItems":[{"id":226,"uris":["http://zotero.org/users/9107787/items/8VX83YVV"],"itemData":{"id":226,"type":"document","title":"Eliade, Mircea_Ch from Myth and Reality 21-65.pdf"},"locator":"32","label":"page"}],"schema":"https://github.com/citation-style-language/schema/raw/master/csl-citation.json"} </w:instrText>
      </w:r>
      <w:r>
        <w:fldChar w:fldCharType="separate"/>
      </w:r>
      <w:r w:rsidRPr="003B5A7F">
        <w:rPr>
          <w:szCs w:val="24"/>
        </w:rPr>
        <w:t>Eliade, p. 32.</w:t>
      </w:r>
      <w:r>
        <w:fldChar w:fldCharType="end"/>
      </w:r>
    </w:p>
  </w:footnote>
  <w:footnote w:id="26">
    <w:p w14:paraId="52D85A08" w14:textId="75DB3DF3" w:rsidR="003B5A7F" w:rsidRPr="003B5A7F" w:rsidRDefault="003B5A7F">
      <w:pPr>
        <w:pStyle w:val="FootnoteText"/>
        <w:rPr>
          <w:lang w:val="en-US"/>
        </w:rPr>
      </w:pPr>
      <w:r w:rsidRPr="00A43416">
        <w:rPr>
          <w:rStyle w:val="FootnoteReference"/>
        </w:rPr>
        <w:footnoteRef/>
      </w:r>
      <w:r>
        <w:t xml:space="preserve"> </w:t>
      </w:r>
      <w:r>
        <w:fldChar w:fldCharType="begin"/>
      </w:r>
      <w:r>
        <w:instrText xml:space="preserve"> ADDIN ZOTERO_ITEM CSL_CITATION {"citationID":"hlqIuyec","properties":{"formattedCitation":"Eagleton, p. 31.","plainCitation":"Eagleton, p. 31.","noteIndex":26},"citationItems":[{"id":197,"uris":["http://zotero.org/users/9107787/items/RNIZ74KQ"],"itemData":{"id":197,"type":"book","publisher":"Oxford, Blackwell","title":"The Idea of Culture","author":[{"family":"Eagleton","given":"Terry"}],"issued":{"date-parts":[["2000"]]}},"locator":"31","label":"page"}],"schema":"https://github.com/citation-style-language/schema/raw/master/csl-citation.json"} </w:instrText>
      </w:r>
      <w:r>
        <w:fldChar w:fldCharType="separate"/>
      </w:r>
      <w:r w:rsidRPr="003B5A7F">
        <w:t>Eagleton, p. 31.</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40A"/>
    <w:rsid w:val="002F0F29"/>
    <w:rsid w:val="003B5A7F"/>
    <w:rsid w:val="00434482"/>
    <w:rsid w:val="005F5D50"/>
    <w:rsid w:val="006461E6"/>
    <w:rsid w:val="008765D9"/>
    <w:rsid w:val="00A43416"/>
    <w:rsid w:val="00B55FF7"/>
    <w:rsid w:val="00DE04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D43CF"/>
  <w15:docId w15:val="{0AAB1C19-E79E-43A7-AF47-FAEFD6D67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8765D9"/>
    <w:pPr>
      <w:spacing w:line="240" w:lineRule="auto"/>
    </w:pPr>
    <w:rPr>
      <w:sz w:val="20"/>
      <w:szCs w:val="20"/>
    </w:rPr>
  </w:style>
  <w:style w:type="character" w:customStyle="1" w:styleId="FootnoteTextChar">
    <w:name w:val="Footnote Text Char"/>
    <w:basedOn w:val="DefaultParagraphFont"/>
    <w:link w:val="FootnoteText"/>
    <w:uiPriority w:val="99"/>
    <w:semiHidden/>
    <w:rsid w:val="008765D9"/>
    <w:rPr>
      <w:sz w:val="20"/>
      <w:szCs w:val="20"/>
    </w:rPr>
  </w:style>
  <w:style w:type="character" w:styleId="FootnoteReference">
    <w:name w:val="footnote reference"/>
    <w:basedOn w:val="DefaultParagraphFont"/>
    <w:uiPriority w:val="99"/>
    <w:semiHidden/>
    <w:unhideWhenUsed/>
    <w:rsid w:val="008765D9"/>
    <w:rPr>
      <w:vertAlign w:val="superscript"/>
    </w:rPr>
  </w:style>
  <w:style w:type="paragraph" w:styleId="NormalWeb">
    <w:name w:val="Normal (Web)"/>
    <w:basedOn w:val="Normal"/>
    <w:semiHidden/>
    <w:unhideWhenUsed/>
    <w:rsid w:val="006461E6"/>
    <w:pPr>
      <w:spacing w:before="100" w:beforeAutospacing="1" w:after="100" w:afterAutospacing="1" w:line="240" w:lineRule="auto"/>
    </w:pPr>
    <w:rPr>
      <w:rFonts w:ascii="Georgia" w:eastAsia="SimSun" w:hAnsi="Georgia" w:cs="Times New Roman"/>
      <w:color w:val="000000"/>
      <w:sz w:val="21"/>
      <w:szCs w:val="21"/>
      <w:lang w:val="en-GB"/>
    </w:rPr>
  </w:style>
  <w:style w:type="character" w:styleId="EndnoteReference">
    <w:name w:val="endnote reference"/>
    <w:basedOn w:val="DefaultParagraphFont"/>
    <w:uiPriority w:val="99"/>
    <w:semiHidden/>
    <w:unhideWhenUsed/>
    <w:rsid w:val="00A434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2408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docs.live.net/713d3bb725f10f69/Documents/CAA%20Essay%201%20Draft%201.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8</Pages>
  <Words>2725</Words>
  <Characters>14936</Characters>
  <Application>Microsoft Office Word</Application>
  <DocSecurity>0</DocSecurity>
  <Lines>355</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Ying Ching Lee</cp:lastModifiedBy>
  <cp:revision>3</cp:revision>
  <dcterms:created xsi:type="dcterms:W3CDTF">2022-11-03T02:17:00Z</dcterms:created>
  <dcterms:modified xsi:type="dcterms:W3CDTF">2022-11-07T06:08:00Z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zotero-version="6.0.16"&gt;&lt;session id="zu3L2a3U"/&gt;&lt;style id="http://www.zotero.org/styles/modern-humanities-research-association" hasBibliography="1" bibliographyStyleHasBeenSet="0"/&gt;&lt;prefs&gt;&lt;pref name="fieldType" value="Field"/&gt;&lt;pref </vt:lpwstr>
  </property>
  <property fmtid="{D5CDD505-2E9C-101B-9397-08002B2CF9AE}" pid="3" name="ZOTERO_PREF_2">
    <vt:lpwstr>name="automaticJournalAbbreviations" value="true"/&gt;&lt;pref name="noteType" value="1"/&gt;&lt;/prefs&gt;&lt;/data&gt;</vt:lpwstr>
  </property>
</Properties>
</file>