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2A46B1" w14:textId="0BD0CF74" w:rsidR="00B673A9" w:rsidRDefault="00B673A9" w:rsidP="00B673A9">
      <w:pPr>
        <w:rPr>
          <w:rFonts w:asciiTheme="majorHAnsi" w:hAnsiTheme="majorHAnsi" w:cs="Segoe UI"/>
          <w:b/>
          <w:color w:val="373A3C"/>
          <w:sz w:val="24"/>
          <w:szCs w:val="23"/>
          <w:u w:val="single"/>
          <w:shd w:val="clear" w:color="auto" w:fill="FFFFFF"/>
        </w:rPr>
      </w:pPr>
      <w:r>
        <w:rPr>
          <w:rFonts w:asciiTheme="majorHAnsi" w:hAnsiTheme="majorHAnsi" w:cs="Segoe UI"/>
          <w:b/>
          <w:color w:val="373A3C"/>
          <w:sz w:val="24"/>
          <w:szCs w:val="23"/>
          <w:u w:val="single"/>
          <w:shd w:val="clear" w:color="auto" w:fill="FFFFFF"/>
        </w:rPr>
        <w:t>Name:</w:t>
      </w:r>
      <w:r w:rsidRPr="00AA56D4">
        <w:rPr>
          <w:rFonts w:asciiTheme="majorHAnsi" w:hAnsiTheme="majorHAnsi" w:cs="Segoe UI"/>
          <w:color w:val="373A3C"/>
          <w:sz w:val="24"/>
          <w:szCs w:val="23"/>
          <w:shd w:val="clear" w:color="auto" w:fill="FFFFFF"/>
        </w:rPr>
        <w:t xml:space="preserve"> </w:t>
      </w:r>
      <w:r w:rsidRPr="00B673A9">
        <w:rPr>
          <w:rFonts w:asciiTheme="majorHAnsi" w:hAnsiTheme="majorHAnsi" w:cs="Segoe UI"/>
          <w:color w:val="373A3C"/>
          <w:sz w:val="24"/>
          <w:szCs w:val="23"/>
          <w:shd w:val="clear" w:color="auto" w:fill="FFFFFF"/>
        </w:rPr>
        <w:t>Aaron Jack Barry</w:t>
      </w:r>
    </w:p>
    <w:p w14:paraId="28DD0360" w14:textId="47A4BEAD" w:rsidR="00B673A9" w:rsidRDefault="00B673A9" w:rsidP="00B673A9">
      <w:pPr>
        <w:rPr>
          <w:rFonts w:asciiTheme="majorHAnsi" w:hAnsiTheme="majorHAnsi" w:cs="Segoe UI"/>
          <w:b/>
          <w:color w:val="373A3C"/>
          <w:sz w:val="24"/>
          <w:szCs w:val="23"/>
          <w:u w:val="single"/>
          <w:shd w:val="clear" w:color="auto" w:fill="FFFFFF"/>
        </w:rPr>
      </w:pPr>
      <w:r>
        <w:rPr>
          <w:rFonts w:asciiTheme="majorHAnsi" w:hAnsiTheme="majorHAnsi" w:cs="Segoe UI"/>
          <w:b/>
          <w:color w:val="373A3C"/>
          <w:sz w:val="24"/>
          <w:szCs w:val="23"/>
          <w:u w:val="single"/>
          <w:shd w:val="clear" w:color="auto" w:fill="FFFFFF"/>
        </w:rPr>
        <w:t>Student Number:</w:t>
      </w:r>
      <w:r w:rsidRPr="00AA56D4">
        <w:rPr>
          <w:rFonts w:asciiTheme="majorHAnsi" w:hAnsiTheme="majorHAnsi" w:cs="Segoe UI"/>
          <w:color w:val="373A3C"/>
          <w:sz w:val="24"/>
          <w:szCs w:val="23"/>
          <w:shd w:val="clear" w:color="auto" w:fill="FFFFFF"/>
        </w:rPr>
        <w:t xml:space="preserve"> </w:t>
      </w:r>
      <w:r w:rsidRPr="00B673A9">
        <w:rPr>
          <w:rFonts w:asciiTheme="majorHAnsi" w:hAnsiTheme="majorHAnsi" w:cs="Segoe UI"/>
          <w:color w:val="373A3C"/>
          <w:sz w:val="24"/>
          <w:szCs w:val="23"/>
          <w:shd w:val="clear" w:color="auto" w:fill="FFFFFF"/>
        </w:rPr>
        <w:t>1500670</w:t>
      </w:r>
      <w:bookmarkStart w:id="0" w:name="_GoBack"/>
      <w:bookmarkEnd w:id="0"/>
    </w:p>
    <w:p w14:paraId="34963421" w14:textId="77777777" w:rsidR="00B673A9" w:rsidRPr="00B673A9" w:rsidRDefault="00B673A9" w:rsidP="00B673A9">
      <w:pPr>
        <w:rPr>
          <w:rFonts w:asciiTheme="majorHAnsi" w:hAnsiTheme="majorHAnsi" w:cs="Segoe UI"/>
          <w:color w:val="373A3C"/>
          <w:sz w:val="24"/>
          <w:szCs w:val="23"/>
          <w:shd w:val="clear" w:color="auto" w:fill="FFFFFF"/>
        </w:rPr>
      </w:pPr>
      <w:r>
        <w:rPr>
          <w:rFonts w:asciiTheme="majorHAnsi" w:hAnsiTheme="majorHAnsi" w:cs="Segoe UI"/>
          <w:b/>
          <w:color w:val="373A3C"/>
          <w:sz w:val="24"/>
          <w:szCs w:val="23"/>
          <w:u w:val="single"/>
          <w:shd w:val="clear" w:color="auto" w:fill="FFFFFF"/>
        </w:rPr>
        <w:t>Question:</w:t>
      </w:r>
      <w:r w:rsidRPr="00AA56D4">
        <w:rPr>
          <w:rFonts w:asciiTheme="majorHAnsi" w:hAnsiTheme="majorHAnsi" w:cs="Segoe UI"/>
          <w:color w:val="373A3C"/>
          <w:sz w:val="24"/>
          <w:szCs w:val="23"/>
          <w:shd w:val="clear" w:color="auto" w:fill="FFFFFF"/>
        </w:rPr>
        <w:t xml:space="preserve"> </w:t>
      </w:r>
      <w:r w:rsidRPr="00B673A9">
        <w:rPr>
          <w:rFonts w:asciiTheme="majorHAnsi" w:hAnsiTheme="majorHAnsi" w:cs="Segoe UI"/>
          <w:color w:val="373A3C"/>
          <w:sz w:val="24"/>
          <w:szCs w:val="23"/>
          <w:shd w:val="clear" w:color="auto" w:fill="FFFFFF"/>
        </w:rPr>
        <w:t>Outline the critical debate which has surrounded the historicity of Arthur. Do you agree that it is the lack of key biographical details relating to Arthur that has made him so amenable to a wide variety of literary contexts?</w:t>
      </w:r>
    </w:p>
    <w:p w14:paraId="1633C499" w14:textId="7203C25C" w:rsidR="00B673A9" w:rsidRPr="00B673A9" w:rsidRDefault="00B673A9" w:rsidP="00B673A9">
      <w:pPr>
        <w:rPr>
          <w:rFonts w:asciiTheme="majorHAnsi" w:hAnsiTheme="majorHAnsi" w:cs="Segoe UI"/>
          <w:color w:val="373A3C"/>
          <w:sz w:val="24"/>
          <w:szCs w:val="23"/>
          <w:shd w:val="clear" w:color="auto" w:fill="FFFFFF"/>
        </w:rPr>
      </w:pPr>
    </w:p>
    <w:p w14:paraId="5A2A0133"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0BE994F1"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7293098F"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4A988C97"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613191DC"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60735D80"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014C1B38"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6DBBEEC7"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4C29D863"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68BAC4B0"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27C4941A"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2DA2D890"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471450AC"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2FAB0B6F"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3A577D13"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6C29665E"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0D3B8285"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1D87F8F7"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7980BAE5"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340D2A2A"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33C4284D"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5CE1434A"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3B47B96E"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51A216D2" w14:textId="77777777" w:rsidR="00B673A9" w:rsidRDefault="00B673A9" w:rsidP="001657FB">
      <w:pPr>
        <w:jc w:val="center"/>
        <w:rPr>
          <w:rFonts w:asciiTheme="majorHAnsi" w:hAnsiTheme="majorHAnsi" w:cs="Segoe UI"/>
          <w:b/>
          <w:color w:val="373A3C"/>
          <w:sz w:val="24"/>
          <w:szCs w:val="23"/>
          <w:u w:val="single"/>
          <w:shd w:val="clear" w:color="auto" w:fill="FFFFFF"/>
        </w:rPr>
      </w:pPr>
    </w:p>
    <w:p w14:paraId="4DE068BD" w14:textId="6D21734B" w:rsidR="00AC775A" w:rsidRDefault="001657FB" w:rsidP="005B5F6C">
      <w:pPr>
        <w:jc w:val="center"/>
        <w:rPr>
          <w:rFonts w:asciiTheme="majorHAnsi" w:hAnsiTheme="majorHAnsi" w:cs="Segoe UI"/>
          <w:b/>
          <w:color w:val="373A3C"/>
          <w:sz w:val="24"/>
          <w:szCs w:val="23"/>
          <w:u w:val="single"/>
          <w:shd w:val="clear" w:color="auto" w:fill="FFFFFF"/>
        </w:rPr>
      </w:pPr>
      <w:r w:rsidRPr="001657FB">
        <w:rPr>
          <w:rFonts w:asciiTheme="majorHAnsi" w:hAnsiTheme="majorHAnsi" w:cs="Segoe UI"/>
          <w:b/>
          <w:color w:val="373A3C"/>
          <w:sz w:val="24"/>
          <w:szCs w:val="23"/>
          <w:u w:val="single"/>
          <w:shd w:val="clear" w:color="auto" w:fill="FFFFFF"/>
        </w:rPr>
        <w:lastRenderedPageBreak/>
        <w:t xml:space="preserve">Outline the critical debate which has surrounded the historicity of Arthur. Do you agree that it is the lack of key biographical details relating to Arthur that has made him so </w:t>
      </w:r>
      <w:bookmarkStart w:id="1" w:name="_Hlk534288584"/>
      <w:r w:rsidRPr="001657FB">
        <w:rPr>
          <w:rFonts w:asciiTheme="majorHAnsi" w:hAnsiTheme="majorHAnsi" w:cs="Segoe UI"/>
          <w:b/>
          <w:color w:val="373A3C"/>
          <w:sz w:val="24"/>
          <w:szCs w:val="23"/>
          <w:u w:val="single"/>
          <w:shd w:val="clear" w:color="auto" w:fill="FFFFFF"/>
        </w:rPr>
        <w:t>amenable to a wide variety of literary contexts?</w:t>
      </w:r>
      <w:bookmarkEnd w:id="1"/>
    </w:p>
    <w:p w14:paraId="4743C4E9" w14:textId="0DE60440" w:rsidR="001657FB" w:rsidRPr="00167919" w:rsidRDefault="001657FB" w:rsidP="001657FB">
      <w:pPr>
        <w:jc w:val="center"/>
        <w:rPr>
          <w:rFonts w:asciiTheme="majorHAnsi" w:hAnsiTheme="majorHAnsi"/>
          <w:b/>
          <w:u w:val="single"/>
        </w:rPr>
      </w:pPr>
    </w:p>
    <w:p w14:paraId="08DE3EFF" w14:textId="7FFA2EA6" w:rsidR="00DE6B82" w:rsidRDefault="00AF7E00" w:rsidP="00E00D2E">
      <w:pPr>
        <w:spacing w:line="480" w:lineRule="auto"/>
        <w:jc w:val="both"/>
      </w:pPr>
      <w:r>
        <w:t xml:space="preserve">  King Arthur and the Arthurian myth are two of the most important and widely debated subjects for academics who study history and the period in which King Arthur supposedly lived. For many academics, it is a chance to contribute their research and opinion on who King Arthur was, his myth, and the factual evidence that may or may not contribute to the question of his existence. It cannot be understated how important the Arthurian legend is to some academics who seek recognition for their work by attempting to navigate the complex web of factual and non-factual evidence for the existence of a man by the name of Arthur, who </w:t>
      </w:r>
      <w:r w:rsidR="00DE6B82">
        <w:t>was cast as the King of the Britons, wielder of the sword ‘Excalibur’, and the man who united</w:t>
      </w:r>
      <w:r w:rsidR="00170E19">
        <w:t xml:space="preserve"> a turbulent Medieval</w:t>
      </w:r>
      <w:r w:rsidR="00DE6B82">
        <w:t xml:space="preserve"> Britain against an invading foe. </w:t>
      </w:r>
    </w:p>
    <w:p w14:paraId="3523DBBF" w14:textId="552001F7" w:rsidR="00AF7E00" w:rsidRDefault="00DE6B82" w:rsidP="00E00D2E">
      <w:pPr>
        <w:spacing w:line="480" w:lineRule="auto"/>
        <w:jc w:val="both"/>
      </w:pPr>
      <w:r>
        <w:t xml:space="preserve">  For many academics, this area of research has the potential to make or break a career, however, it is not only academics who take an interest in King Arthur and the Arthurian myth. Fictional writers, film studios, artists, and even politicians have delved into the murky depths of the Arthurian myth to use the characters and manipulate the various stories to create and craft their own version of King Arthur and the</w:t>
      </w:r>
      <w:r w:rsidR="00824415">
        <w:t xml:space="preserve"> accompanying</w:t>
      </w:r>
      <w:r>
        <w:t xml:space="preserve"> myth for their own purposes.</w:t>
      </w:r>
      <w:r w:rsidR="00824415">
        <w:t xml:space="preserve"> Th</w:t>
      </w:r>
      <w:r w:rsidR="00F974E5">
        <w:t>is</w:t>
      </w:r>
      <w:r w:rsidR="00824415">
        <w:t xml:space="preserve"> appropriation of history by non-academics would be considered a nightmarish scenario by many academics who may have dedicated their careers to studying the history that is sometimes so callously abused and twisted away from factual evidence, however, this does not seem to be the case for King Arthur and the Arthurian myth. </w:t>
      </w:r>
      <w:r w:rsidR="00170E19">
        <w:t>Academics cannot be certain whether King Arthur existed</w:t>
      </w:r>
      <w:r w:rsidR="007D6B52">
        <w:t xml:space="preserve">, therefore, does that make King Arthur and the Arthurian myth in its current state of proverbial historical limbo more </w:t>
      </w:r>
      <w:r w:rsidR="005E4340" w:rsidRPr="005E4340">
        <w:t>amenable to a wide variety of literary contexts?</w:t>
      </w:r>
    </w:p>
    <w:p w14:paraId="250A6743" w14:textId="77777777" w:rsidR="00E00D2E" w:rsidRDefault="00E00D2E" w:rsidP="00E00D2E">
      <w:pPr>
        <w:spacing w:line="480" w:lineRule="auto"/>
        <w:jc w:val="both"/>
      </w:pPr>
    </w:p>
    <w:p w14:paraId="70FD1136" w14:textId="77777777" w:rsidR="00E00D2E" w:rsidRDefault="00E00D2E" w:rsidP="00E00D2E">
      <w:pPr>
        <w:spacing w:line="480" w:lineRule="auto"/>
        <w:jc w:val="both"/>
      </w:pPr>
    </w:p>
    <w:p w14:paraId="78E1F1BA" w14:textId="378A47AB" w:rsidR="005E4340" w:rsidRDefault="005E4340" w:rsidP="00E00D2E">
      <w:pPr>
        <w:spacing w:line="480" w:lineRule="auto"/>
        <w:jc w:val="both"/>
      </w:pPr>
      <w:r>
        <w:lastRenderedPageBreak/>
        <w:t xml:space="preserve">  This essay will aim to analyse King Arthur and the Arthurian myth and the various works that have been created about him to answer the question as to whether due to the lack of key biographical details relating to Arthur, this makes him more appealing to write about in a variety of literary contexts, or whether it is due to something else in the Arthurian myth, and not just the character o</w:t>
      </w:r>
      <w:r w:rsidR="002E06A1">
        <w:t>f</w:t>
      </w:r>
      <w:r>
        <w:t xml:space="preserve"> Arthur. To do this, factual evidence of Arthur and the character of Arthur will be analysed alongside fictional descriptions of Arthur</w:t>
      </w:r>
      <w:r w:rsidR="00B72DBD">
        <w:t xml:space="preserve">. These will include the </w:t>
      </w:r>
      <w:r w:rsidR="001A5EA7">
        <w:t>‘</w:t>
      </w:r>
      <w:r w:rsidR="00B72DBD" w:rsidRPr="00B72DBD">
        <w:t>Historia regum Britanniae</w:t>
      </w:r>
      <w:r w:rsidR="001A5EA7">
        <w:t>’</w:t>
      </w:r>
      <w:r w:rsidR="00B72DBD">
        <w:t xml:space="preserve"> or </w:t>
      </w:r>
      <w:r w:rsidR="001A5EA7">
        <w:t>‘</w:t>
      </w:r>
      <w:r w:rsidR="00B72DBD">
        <w:t>History of the Kings of Britain</w:t>
      </w:r>
      <w:r w:rsidR="001A5EA7">
        <w:t>’</w:t>
      </w:r>
      <w:r w:rsidR="00B72DBD">
        <w:t xml:space="preserve"> by Geoffrey of Monmouth, the </w:t>
      </w:r>
      <w:r w:rsidR="001A5EA7">
        <w:t>‘</w:t>
      </w:r>
      <w:r w:rsidR="00B72DBD" w:rsidRPr="00B72DBD">
        <w:t>Historia Brittonum</w:t>
      </w:r>
      <w:r w:rsidR="001A5EA7">
        <w:t>’</w:t>
      </w:r>
      <w:r w:rsidR="00B72DBD">
        <w:t xml:space="preserve"> by Nennius, </w:t>
      </w:r>
      <w:r w:rsidR="009F7266">
        <w:t xml:space="preserve">and </w:t>
      </w:r>
      <w:r w:rsidR="001A5EA7">
        <w:t>the character of Arthur in ‘The Mabinogion’. To analyse a wide variety of literary contexts, it is also prudent to utilise more recent publications such as ‘</w:t>
      </w:r>
      <w:r w:rsidR="00A43B6F">
        <w:t>The Idylls of the King</w:t>
      </w:r>
      <w:r w:rsidR="001A5EA7">
        <w:t>’ by Alfred, Lord Tennyson, and twentieth century publications by Bernard Cornwell, a writer of historical fiction, whose books concerning Arthur are called the ‘Winter King’ trilogy</w:t>
      </w:r>
      <w:r w:rsidR="00FB4C7B">
        <w:t xml:space="preserve"> or the ‘Warlord Chronicles’</w:t>
      </w:r>
      <w:r w:rsidR="001A5EA7">
        <w:t>, following a bleak version of the Arthurian myth rather than the typical Medieval and Victorian romances.</w:t>
      </w:r>
    </w:p>
    <w:p w14:paraId="242D4CB5" w14:textId="77777777" w:rsidR="00B72DBD" w:rsidRDefault="00B72DBD" w:rsidP="00E00D2E">
      <w:pPr>
        <w:spacing w:line="480" w:lineRule="auto"/>
        <w:jc w:val="both"/>
      </w:pPr>
      <w:r>
        <w:t xml:space="preserve">  Firstly, to fully understand the question of ‘</w:t>
      </w:r>
      <w:r w:rsidRPr="009204B2">
        <w:t>Do you agree that it is the lack of key biographical details relating to Arthur that has made him so amenable to a wide variety of literary contexts?</w:t>
      </w:r>
      <w:r>
        <w:t>’, one must attempt to fully understand the meaning of the key parts of the question. To the author of this piece, the key parts of the question would constitute the words ‘key biographical details’ and ‘amenable’ as they are what the question and subsequent answer will revolve around.</w:t>
      </w:r>
    </w:p>
    <w:p w14:paraId="78E4816F" w14:textId="230341B5" w:rsidR="00B72DBD" w:rsidRDefault="00B72DBD" w:rsidP="00E00D2E">
      <w:pPr>
        <w:spacing w:line="480" w:lineRule="auto"/>
        <w:jc w:val="both"/>
      </w:pPr>
      <w:r>
        <w:t xml:space="preserve">  What does ‘key biographical details’ mean? The word ‘biographical’ according to the Collins English Dictionary has two meanings, both of which can be incorporated with the Arthurian myth. The first meaning is ‘</w:t>
      </w:r>
      <w:r w:rsidRPr="003F1612">
        <w:t>of, having to do with, or characteristic of biography or biographies</w:t>
      </w:r>
      <w:r>
        <w:t>’.</w:t>
      </w:r>
      <w:r>
        <w:rPr>
          <w:rStyle w:val="FootnoteReference"/>
        </w:rPr>
        <w:footnoteReference w:id="1"/>
      </w:r>
      <w:r>
        <w:t xml:space="preserve"> As it is still widely debated amongst the academic community as to whether or not Arthur was king, or indeed a real historical figure, the first meaning of ‘biographical’ is all the more important to answering the question, however, it is the second meaning that is the more poignant. </w:t>
      </w:r>
    </w:p>
    <w:p w14:paraId="71467CAD" w14:textId="77777777" w:rsidR="00B72DBD" w:rsidRDefault="00B72DBD" w:rsidP="00E00D2E">
      <w:pPr>
        <w:spacing w:line="480" w:lineRule="auto"/>
        <w:jc w:val="both"/>
      </w:pPr>
      <w:r>
        <w:lastRenderedPageBreak/>
        <w:t xml:space="preserve">  The second meaning of biographical according to the Collins English Dictionary is ‘</w:t>
      </w:r>
      <w:r w:rsidRPr="00D57EED">
        <w:t>giving the story of, or based on, a person's life</w:t>
      </w:r>
      <w:r>
        <w:t>’.</w:t>
      </w:r>
      <w:r>
        <w:rPr>
          <w:rStyle w:val="FootnoteReference"/>
        </w:rPr>
        <w:footnoteReference w:id="2"/>
      </w:r>
      <w:r>
        <w:t xml:space="preserve"> The key words in that meaning are ‘based on’, as the story of King Arthur and the Arthurian myth could, in fact, be based on a real historical figure who did not go by the name of Arthur, but the name could have been changed to make the story more amenable to a wider audience, which links nicely with the question of whether a lack of key biographical details made Arthur and the Arthurian myth more amenable to a wide variety of literary contexts. Of course, there is no factual evidence to support this point of view, but it is an excellent example of how a lack of biographical details has made Arthur a more amenable character to write about, even in an academic piece.</w:t>
      </w:r>
    </w:p>
    <w:p w14:paraId="3829F4B4" w14:textId="1381F7E3" w:rsidR="00B72DBD" w:rsidRDefault="00B72DBD" w:rsidP="00E00D2E">
      <w:pPr>
        <w:spacing w:line="480" w:lineRule="auto"/>
        <w:jc w:val="both"/>
      </w:pPr>
      <w:r>
        <w:t xml:space="preserve">  The word ‘amenable’ also needs to be analysed in order to fully understand the question. The Collins English Dictionary meaning for ‘amenable’ is ‘</w:t>
      </w:r>
      <w:r w:rsidRPr="00E72F3E">
        <w:t>open or susceptible to suggestion; likely to listen, cooperate, etc</w:t>
      </w:r>
      <w:r>
        <w:t>’.</w:t>
      </w:r>
      <w:r>
        <w:rPr>
          <w:rStyle w:val="FootnoteReference"/>
        </w:rPr>
        <w:footnoteReference w:id="3"/>
      </w:r>
      <w:r>
        <w:t xml:space="preserve"> This definition of the word ‘amenable’ can initially be seen as carrying negative connotations, as one is more likely to be susceptible to suggestion, leading to the possibility of inaccuracies and the proliferation of false history, however, concerning the Arthurian myth and the lack of factual evidence, the possibility of spreading inaccuracies and false history is almost negligible. Therefore, the word ‘amenable’ in the context of academics and non-academics writing about Arthur and the Arthurian myth could carry more positive connotation</w:t>
      </w:r>
      <w:r w:rsidR="00A7672A">
        <w:t>s</w:t>
      </w:r>
      <w:r>
        <w:t xml:space="preserve"> rather than the negativity discussed previously due to the simple fact that the Arthurian myth contains very little factual evidence.</w:t>
      </w:r>
    </w:p>
    <w:p w14:paraId="5EEF95F5" w14:textId="77777777" w:rsidR="00E3215B" w:rsidRDefault="00E3215B" w:rsidP="00E00D2E">
      <w:pPr>
        <w:spacing w:line="480" w:lineRule="auto"/>
        <w:jc w:val="both"/>
      </w:pPr>
      <w:r>
        <w:t xml:space="preserve">  As the question has now been analysed, it would be prudent to answer the question of ‘</w:t>
      </w:r>
      <w:r w:rsidRPr="009204B2">
        <w:t>Do you agree that it is the lack of key biographical details relating to Arthur that has made him so amenable to a wide variety of literary contexts?</w:t>
      </w:r>
      <w:r>
        <w:t>’</w:t>
      </w:r>
    </w:p>
    <w:p w14:paraId="6E54F54C" w14:textId="77777777" w:rsidR="00E00D2E" w:rsidRDefault="00E00D2E" w:rsidP="00E00D2E">
      <w:pPr>
        <w:spacing w:line="480" w:lineRule="auto"/>
        <w:jc w:val="both"/>
      </w:pPr>
    </w:p>
    <w:p w14:paraId="264E87B8" w14:textId="4C53445E" w:rsidR="005B5F6C" w:rsidRDefault="00E3215B" w:rsidP="00E00D2E">
      <w:pPr>
        <w:spacing w:line="480" w:lineRule="auto"/>
        <w:jc w:val="both"/>
      </w:pPr>
      <w:r>
        <w:lastRenderedPageBreak/>
        <w:t xml:space="preserve">  Firstly, one must look at the wide variety of literary sources that concern King Arthur and the Arthurian myth. As stated earlier, for the purposes of this piece of work, the author has decided to focus their studies on the Medieval, Post-Roman, literary sources describing Arthur; from Nennius, the Mabinogion, and Geoffrey of Monmouth. After these sources have been sufficiently analysed, more modern works from Alfred, Lord Tennyson and fictional writer Bernard Cornwell will also be evaluated to provide a comparison between </w:t>
      </w:r>
      <w:r w:rsidR="00A7672A">
        <w:t>m</w:t>
      </w:r>
      <w:r>
        <w:t>edieval literary sources and modern literary sources.</w:t>
      </w:r>
    </w:p>
    <w:p w14:paraId="7EA33988" w14:textId="0F61B286" w:rsidR="001F3184" w:rsidRDefault="00187387" w:rsidP="00E00D2E">
      <w:pPr>
        <w:spacing w:line="480" w:lineRule="auto"/>
        <w:jc w:val="both"/>
      </w:pPr>
      <w:r>
        <w:t xml:space="preserve">  Nennius, the </w:t>
      </w:r>
      <w:r w:rsidR="002A5621">
        <w:t xml:space="preserve">proposed </w:t>
      </w:r>
      <w:r>
        <w:t xml:space="preserve">author of the ‘Historia Brittonum’ or ‘History of the Britons’, was a Ninth Century Welsh monk, and probably wrote one of the closest literary sources, in terms of time, to that of when most academics believe a ‘King Arthur’ existed. </w:t>
      </w:r>
      <w:r w:rsidR="00040424">
        <w:t>In the ‘Historia Brittonum’, Nennius writes precious little about Arthur</w:t>
      </w:r>
      <w:r w:rsidR="001F3184">
        <w:t>, about three pages of over forty,</w:t>
      </w:r>
      <w:r w:rsidR="001F3184">
        <w:rPr>
          <w:rStyle w:val="FootnoteReference"/>
        </w:rPr>
        <w:footnoteReference w:id="4"/>
      </w:r>
      <w:r w:rsidR="001F3184">
        <w:t xml:space="preserve"> and never refers to him as ‘King’, only ‘magnanimous’.</w:t>
      </w:r>
      <w:r w:rsidR="001F3184">
        <w:rPr>
          <w:rStyle w:val="FootnoteReference"/>
        </w:rPr>
        <w:footnoteReference w:id="5"/>
      </w:r>
      <w:r w:rsidR="001F3184">
        <w:t xml:space="preserve"> There does, however, seem to be an air of authority to the Arthur described by Nennius, as he was chosen to be the ‘commander of all the kings and military force of Britain’, not something nobles and people with authority would give away lightly.</w:t>
      </w:r>
      <w:r w:rsidR="001F3184">
        <w:rPr>
          <w:rStyle w:val="FootnoteReference"/>
        </w:rPr>
        <w:footnoteReference w:id="6"/>
      </w:r>
      <w:r w:rsidR="001F3184">
        <w:t xml:space="preserve"> This is a good example of what the question of ‘Do you agree that it is the lack of key biographical details relating to Arthur that has made him so amenable to a wide variety of literary contexts?’ is asking. Nennius was able to create a character who would embody the values that local Brythonic peoples would have held. This is no mistake, as Nennius was a Welsh monk who lived in Eighth and Ninth century Britain, a turbulent period in British history, as tensions between the Anglo-Saxon kingdoms and the kingdoms of Brythonic Wales were high. Nennius may have felt that the Britons needed a hero to look up to, as the Saxons had many of their own from heroic literature, and thus created Arthur, who rose above all B</w:t>
      </w:r>
      <w:r w:rsidR="00BD0779">
        <w:t>rythonic</w:t>
      </w:r>
      <w:r w:rsidR="001F3184">
        <w:t xml:space="preserve"> kings to lead them against invading Saxons. </w:t>
      </w:r>
    </w:p>
    <w:p w14:paraId="16D8E946" w14:textId="77777777" w:rsidR="00E00D2E" w:rsidRDefault="00E00D2E" w:rsidP="00E00D2E">
      <w:pPr>
        <w:spacing w:line="480" w:lineRule="auto"/>
        <w:jc w:val="both"/>
      </w:pPr>
    </w:p>
    <w:p w14:paraId="3F358BDA" w14:textId="3172A962" w:rsidR="001F3184" w:rsidRDefault="001F3184" w:rsidP="00E00D2E">
      <w:pPr>
        <w:spacing w:line="480" w:lineRule="auto"/>
        <w:jc w:val="both"/>
      </w:pPr>
      <w:r>
        <w:lastRenderedPageBreak/>
        <w:t xml:space="preserve">  As a monk, Nennius also creates a Christian Arthur, claiming that ‘Arthur bore the image of the Holy Virgin, mother of God, upon his shoulders’ and that Arthur went on a pilgrimage to Jerusalem to pray for victory against the Saxons.</w:t>
      </w:r>
      <w:r>
        <w:rPr>
          <w:rStyle w:val="FootnoteReference"/>
        </w:rPr>
        <w:footnoteReference w:id="7"/>
      </w:r>
      <w:r>
        <w:t xml:space="preserve"> This is another good example of how Nennius utilised the lack of literary sources to create his ideal hero as, by the time Nennius wrote the Historia Brittonum, the Anglo-Saxons had converted to Christianity, and creating a Br</w:t>
      </w:r>
      <w:r w:rsidR="00104359">
        <w:t>ythonic</w:t>
      </w:r>
      <w:r>
        <w:t xml:space="preserve"> Christian hero who defeated invading</w:t>
      </w:r>
      <w:r w:rsidR="00104359">
        <w:t xml:space="preserve"> Pagan</w:t>
      </w:r>
      <w:r>
        <w:t xml:space="preserve"> Germanic Saxons with the aid of God would have been seen as more devoted to God than the</w:t>
      </w:r>
      <w:r w:rsidR="00104359">
        <w:t xml:space="preserve"> later</w:t>
      </w:r>
      <w:r>
        <w:t xml:space="preserve"> Anglo-Saxons.</w:t>
      </w:r>
    </w:p>
    <w:p w14:paraId="4D4FA57F" w14:textId="1A79DFA6" w:rsidR="005B5F6C" w:rsidRDefault="00907FA0" w:rsidP="00E00D2E">
      <w:pPr>
        <w:spacing w:line="480" w:lineRule="auto"/>
        <w:jc w:val="both"/>
      </w:pPr>
      <w:r>
        <w:t xml:space="preserve">  Character</w:t>
      </w:r>
      <w:r w:rsidR="00D31A6C">
        <w:t>s</w:t>
      </w:r>
      <w:r>
        <w:t xml:space="preserve"> ass</w:t>
      </w:r>
      <w:r w:rsidR="0061169D">
        <w:t>ociated with the Arthurian myth, such as Uther Pendragon, and Vortigern, are included in Nennius’ work, albeit Uther plays a very small part in the history.</w:t>
      </w:r>
      <w:r w:rsidR="00D31A6C">
        <w:rPr>
          <w:rStyle w:val="FootnoteReference"/>
        </w:rPr>
        <w:footnoteReference w:id="8"/>
      </w:r>
      <w:r w:rsidR="0061169D">
        <w:t xml:space="preserve"> Nennius gives his focus to Vortigern, </w:t>
      </w:r>
      <w:r w:rsidR="00D31A6C">
        <w:t>creating</w:t>
      </w:r>
      <w:r w:rsidR="0061169D">
        <w:t xml:space="preserve"> a tyrannical and wicked character</w:t>
      </w:r>
      <w:r w:rsidR="00D31A6C">
        <w:t xml:space="preserve"> to compare his evil Saxon invaders with.</w:t>
      </w:r>
      <w:r w:rsidR="00D31A6C">
        <w:rPr>
          <w:rStyle w:val="FootnoteReference"/>
        </w:rPr>
        <w:footnoteReference w:id="9"/>
      </w:r>
      <w:r w:rsidR="00C01D40">
        <w:t xml:space="preserve"> This is not relevant to Nennius writing about Arthur due to a lack of biographical details, but it is relevant when one analyses what modern authors and film writers have taken from the Arthurian myth to put into their creations </w:t>
      </w:r>
      <w:r w:rsidR="00FC02C3">
        <w:t>to tell the ‘true’ and ‘untold’ story of King Arthur, as flaunted on the box art of ‘King Arthur’, a 2004 film starring Clive Owen as a Roman Arthur.</w:t>
      </w:r>
      <w:r w:rsidR="00FC02C3">
        <w:rPr>
          <w:rStyle w:val="FootnoteReference"/>
        </w:rPr>
        <w:footnoteReference w:id="10"/>
      </w:r>
    </w:p>
    <w:p w14:paraId="3C5F5DAB" w14:textId="060D750A" w:rsidR="00120924" w:rsidRDefault="00120924" w:rsidP="00E00D2E">
      <w:pPr>
        <w:spacing w:line="480" w:lineRule="auto"/>
        <w:jc w:val="both"/>
      </w:pPr>
      <w:r>
        <w:t xml:space="preserve">  It is obvious from reading Nennius’ work that much of what was being written is highly exaggerated and, much like many historical writers and even present writers, had a political agenda to pursue. The figure of Arthur could have been created to mirror and even oppose heroic Anglo-Saxon warriors and kings, which would make sense when one investigates the events of the Eighth and Ninth centuries in Britain. Therefore, concerning the ‘Historia Brittonum’, the lack of key biographical details about Arthur did make writing about him more amenable. This small conclusion is backed up by what N. J. Higham writes in his book ‘King Arthur: Myth-Making and History’. Higham states that:</w:t>
      </w:r>
    </w:p>
    <w:p w14:paraId="31995060" w14:textId="0FA25C48" w:rsidR="00120924" w:rsidRDefault="00467EBC" w:rsidP="00E00D2E">
      <w:pPr>
        <w:spacing w:line="480" w:lineRule="auto"/>
        <w:ind w:left="850" w:right="850"/>
        <w:jc w:val="both"/>
      </w:pPr>
      <w:r>
        <w:lastRenderedPageBreak/>
        <w:t>“</w:t>
      </w:r>
      <w:r w:rsidR="00120924">
        <w:t>This was, therefore, a history written in pursuit of present, political and ideological concerns … The fact is nowhere more evident than in the single, extended passage dealing with Arthur and it must be stressed that this narrative provides no insights capable of reconstructing a ‘real’ contribution to early British history. This author’s Arthur was first and foremost a Biblical construct … The idea for the name almost certainly came from the folkloric and legendary figure already known to the author before he began this composition.</w:t>
      </w:r>
      <w:r>
        <w:t>”</w:t>
      </w:r>
      <w:r w:rsidR="00120924">
        <w:rPr>
          <w:rStyle w:val="FootnoteReference"/>
        </w:rPr>
        <w:footnoteReference w:id="11"/>
      </w:r>
    </w:p>
    <w:p w14:paraId="61AD31E3" w14:textId="77FC5CAD" w:rsidR="00120924" w:rsidRDefault="00120924" w:rsidP="00E00D2E">
      <w:pPr>
        <w:spacing w:line="480" w:lineRule="auto"/>
        <w:jc w:val="both"/>
      </w:pPr>
      <w:r>
        <w:t xml:space="preserve">  Higham understands that the author of the ‘Historia Brittonum’ created and moulded the character of Arthur to suit his political and ideological views, but that through doing so, the author turned Arthur from a real, living and breathing person, into a myth that sadly cannot be believed. This in turn provides no real history and no answers as</w:t>
      </w:r>
      <w:r w:rsidR="004E7C6B">
        <w:t xml:space="preserve"> to</w:t>
      </w:r>
      <w:r>
        <w:t xml:space="preserve"> whether a real ‘King Arthur’ </w:t>
      </w:r>
      <w:r w:rsidR="00454454">
        <w:t>existed but</w:t>
      </w:r>
      <w:r>
        <w:t xml:space="preserve"> is does provide solid proof that because of a lack of biographical details, the author found the character of Arthur more amenable to write about. </w:t>
      </w:r>
    </w:p>
    <w:p w14:paraId="277C52C2" w14:textId="418B61C0" w:rsidR="006B50ED" w:rsidRDefault="006B50ED" w:rsidP="00E00D2E">
      <w:pPr>
        <w:spacing w:line="480" w:lineRule="auto"/>
        <w:jc w:val="both"/>
      </w:pPr>
      <w:r>
        <w:t xml:space="preserve">  On the other hand, just because a lack of biographical details spurred the author of the ‘Historia Brittonum’ to create a character called Arthur, this does not mean that every author created their own Arthur. For instance, the ‘Annales Cambriae’ </w:t>
      </w:r>
      <w:r w:rsidR="00D87D27">
        <w:t>is another text that features Arthur, although not as heavily as the ‘Historia Brittonum’, nor does it give any descriptions of Arthur, as it is more of a timeline of events rather than a history.</w:t>
      </w:r>
      <w:r w:rsidR="00D87D27">
        <w:rPr>
          <w:rStyle w:val="FootnoteReference"/>
        </w:rPr>
        <w:footnoteReference w:id="12"/>
      </w:r>
      <w:r>
        <w:t xml:space="preserve"> </w:t>
      </w:r>
      <w:r w:rsidR="00D87D27">
        <w:t>This lack of detail provides a counter argument to the question of whether a lack of key biographical details made Arthur more amenable to write about</w:t>
      </w:r>
      <w:r w:rsidR="00A71E41">
        <w:t>, and that the ‘Annales Cambriae’ merely plagiarised from the ‘Historia Brittonum’ as Thomas Green states in his book; ‘Concepts of Arthur’:</w:t>
      </w:r>
    </w:p>
    <w:p w14:paraId="32438DD1" w14:textId="77777777" w:rsidR="00E00D2E" w:rsidRDefault="00E00D2E" w:rsidP="00E00D2E">
      <w:pPr>
        <w:spacing w:line="480" w:lineRule="auto"/>
        <w:ind w:left="850" w:right="850"/>
        <w:jc w:val="both"/>
      </w:pPr>
    </w:p>
    <w:p w14:paraId="1B31E270" w14:textId="5085A624" w:rsidR="00A71E41" w:rsidRDefault="00467EBC" w:rsidP="00E00D2E">
      <w:pPr>
        <w:spacing w:line="480" w:lineRule="auto"/>
        <w:ind w:left="850" w:right="850"/>
        <w:jc w:val="both"/>
      </w:pPr>
      <w:r>
        <w:lastRenderedPageBreak/>
        <w:t>“</w:t>
      </w:r>
      <w:r w:rsidR="00A71E41">
        <w:t xml:space="preserve">Whether the author of the </w:t>
      </w:r>
      <w:r w:rsidR="00A71E41">
        <w:rPr>
          <w:i/>
        </w:rPr>
        <w:t>Historia</w:t>
      </w:r>
      <w:r w:rsidR="00A71E41">
        <w:t xml:space="preserve"> invented the tale or if he had a source, it seems clear that the </w:t>
      </w:r>
      <w:r w:rsidR="00A71E41">
        <w:rPr>
          <w:i/>
        </w:rPr>
        <w:t>Annales</w:t>
      </w:r>
      <w:r w:rsidR="00A71E41">
        <w:t xml:space="preserve"> reference is closely related to that found in the </w:t>
      </w:r>
      <w:r w:rsidR="00A71E41">
        <w:rPr>
          <w:i/>
        </w:rPr>
        <w:t>Historia</w:t>
      </w:r>
      <w:r w:rsidR="00A71E41">
        <w:t xml:space="preserve"> and as such can be of no additional value or weight in making the case for a genuinely historical Arthur.</w:t>
      </w:r>
      <w:r>
        <w:t>”</w:t>
      </w:r>
      <w:r w:rsidR="00A71E41">
        <w:rPr>
          <w:rStyle w:val="FootnoteReference"/>
        </w:rPr>
        <w:footnoteReference w:id="13"/>
      </w:r>
    </w:p>
    <w:p w14:paraId="74D9909A" w14:textId="64A4637D" w:rsidR="005B5F6C" w:rsidRDefault="00E31BE9" w:rsidP="00E00D2E">
      <w:pPr>
        <w:spacing w:line="480" w:lineRule="auto"/>
        <w:jc w:val="both"/>
      </w:pPr>
      <w:r>
        <w:t xml:space="preserve">  Therefore, this directly shows that a lack of key biographical detail did not make Arthur or the Arthurian myth more amenable to write about, </w:t>
      </w:r>
      <w:r w:rsidR="005C34CF">
        <w:t>but rather easier to plagiarise from an earlier text, although the ‘Annales Cambriae’ may be forgiven as it is a timeline of events, not a full narrative history.</w:t>
      </w:r>
    </w:p>
    <w:p w14:paraId="5F34114B" w14:textId="5D64889B" w:rsidR="006B50ED" w:rsidRDefault="00D26D51" w:rsidP="00E00D2E">
      <w:pPr>
        <w:spacing w:line="480" w:lineRule="auto"/>
        <w:jc w:val="both"/>
      </w:pPr>
      <w:r>
        <w:t xml:space="preserve">  Another medieval author that would be neglectful to not analyse would be Geoffrey of Monmouth and his work; the </w:t>
      </w:r>
      <w:bookmarkStart w:id="2" w:name="_Hlk535232281"/>
      <w:r>
        <w:t>‘</w:t>
      </w:r>
      <w:r w:rsidRPr="00B72DBD">
        <w:t>Historia regum Britanniae</w:t>
      </w:r>
      <w:r>
        <w:t xml:space="preserve">’ </w:t>
      </w:r>
      <w:bookmarkEnd w:id="2"/>
      <w:r>
        <w:t>or ‘History of the Kings of Britain’, another crucial piece of the Arthurian myth but, similarly to Nennius’ ‘Historia Brittonum’, is convoluted and fraught with historical inaccuracies. This, once again, can be seen as an author writing about a character simply due to a lack of biographical details.</w:t>
      </w:r>
    </w:p>
    <w:p w14:paraId="06D1AD8D" w14:textId="77777777" w:rsidR="00D26D51" w:rsidRDefault="00D26D51" w:rsidP="00E00D2E">
      <w:pPr>
        <w:spacing w:line="480" w:lineRule="auto"/>
        <w:jc w:val="both"/>
      </w:pPr>
      <w:r>
        <w:t xml:space="preserve">  Geoffrey of Monmouth was a Twelfth century Cleric and wrote far more about the character of Arthur in the ‘</w:t>
      </w:r>
      <w:r w:rsidRPr="00B72DBD">
        <w:t>Historia regum Britanniae</w:t>
      </w:r>
      <w:r>
        <w:t>’ than Nennius in the ‘Historia Brittonum’. For example, Monmouth tells:</w:t>
      </w:r>
    </w:p>
    <w:p w14:paraId="34FBBA83" w14:textId="0D19CB9D" w:rsidR="00D26D51" w:rsidRDefault="008A504E" w:rsidP="00E00D2E">
      <w:pPr>
        <w:spacing w:line="480" w:lineRule="auto"/>
        <w:ind w:left="850" w:right="850"/>
        <w:jc w:val="both"/>
      </w:pPr>
      <w:r>
        <w:t>“</w:t>
      </w:r>
      <w:r w:rsidR="00D26D51">
        <w:t>And upon that same night was the most renowned Arthur conceived, that was not only famous in after years, but was well worthy of all the fame he did achieve by his surpassing prowess.</w:t>
      </w:r>
      <w:r>
        <w:t>”</w:t>
      </w:r>
      <w:r w:rsidR="00D26D51">
        <w:rPr>
          <w:rStyle w:val="FootnoteReference"/>
        </w:rPr>
        <w:footnoteReference w:id="14"/>
      </w:r>
    </w:p>
    <w:p w14:paraId="68DB569F" w14:textId="77777777" w:rsidR="00E00D2E" w:rsidRDefault="00E00D2E" w:rsidP="00E00D2E">
      <w:pPr>
        <w:spacing w:line="480" w:lineRule="auto"/>
        <w:jc w:val="both"/>
      </w:pPr>
    </w:p>
    <w:p w14:paraId="382F0796" w14:textId="1189A714" w:rsidR="00D26D51" w:rsidRDefault="00D26D51" w:rsidP="00E00D2E">
      <w:pPr>
        <w:spacing w:line="480" w:lineRule="auto"/>
        <w:jc w:val="both"/>
      </w:pPr>
      <w:r>
        <w:lastRenderedPageBreak/>
        <w:t xml:space="preserve">  This simple passage easily gives the character of Arthur far more ‘backstory’ than Monmouth’s predecessor, Nennius, thus creating a biographical account of Arthur and turning him from a mythical Brythonic hero into a real person who gained fame and became a legend. </w:t>
      </w:r>
    </w:p>
    <w:p w14:paraId="7F42D0B7" w14:textId="6D9D4F00" w:rsidR="00D26D51" w:rsidRDefault="00D26D51" w:rsidP="00E00D2E">
      <w:pPr>
        <w:spacing w:line="480" w:lineRule="auto"/>
        <w:jc w:val="both"/>
      </w:pPr>
      <w:r>
        <w:t xml:space="preserve">  Monmouth creating a ‘backstory’ for Arthur can be seen throughout the ‘</w:t>
      </w:r>
      <w:r w:rsidRPr="00B72DBD">
        <w:t>Historia regum Britanniae</w:t>
      </w:r>
      <w:r>
        <w:t xml:space="preserve">’. Monmouth takes the character of Arthur, similarly to Nennius, and gives him depth and personality, but does not copy the concept of the Brythonic warlord, instead preferring to adopt a </w:t>
      </w:r>
      <w:r w:rsidR="0055356C">
        <w:t>h</w:t>
      </w:r>
      <w:r>
        <w:t>igh Medieval story of chivalry and knighthood, as seen in the following quote:</w:t>
      </w:r>
    </w:p>
    <w:p w14:paraId="414E0AC5" w14:textId="037092C6" w:rsidR="00D26D51" w:rsidRDefault="006D24F5" w:rsidP="00E00D2E">
      <w:pPr>
        <w:spacing w:line="480" w:lineRule="auto"/>
        <w:ind w:left="850" w:right="850"/>
        <w:jc w:val="both"/>
      </w:pPr>
      <w:r>
        <w:t>“</w:t>
      </w:r>
      <w:r w:rsidR="00D26D51">
        <w:t>After he had been invested with the ensigns of royalty, he abided by his ancient wont, and was so prodigal of his bounties as that he began to run short of wherewithal to distribute amongst the huge multitude of knights that made repair unto him. But he that hath within him a bountiful nature along with prowess, albeit that he be lacking for a time, natheless in no wise shall poverty be his bane for ever.</w:t>
      </w:r>
      <w:r>
        <w:t>”</w:t>
      </w:r>
      <w:r w:rsidR="00D26D51">
        <w:rPr>
          <w:rStyle w:val="FootnoteReference"/>
        </w:rPr>
        <w:footnoteReference w:id="15"/>
      </w:r>
    </w:p>
    <w:p w14:paraId="5EFBF42E" w14:textId="2D56B6EA" w:rsidR="000148C7" w:rsidRDefault="00D26D51" w:rsidP="00E00D2E">
      <w:pPr>
        <w:spacing w:line="480" w:lineRule="auto"/>
        <w:jc w:val="both"/>
      </w:pPr>
      <w:r>
        <w:t xml:space="preserve">  This very passage is a clear indicator as to why many academics might believe that due to a lack of key biographical details, authors find Arthur and the Arthurian myth so amenable to write about. Monmouth was able to adapt the story of Arthur, possibly from the ‘Historia Brittonum’, and make him relevant to the times he was living in. The Normans invaded the British Isles in 1066 AD, bringing with them the Frankish concepts of ‘knighthood’ and ‘chivalry’, two concepts which, as can be seen in Monmouth’s work, change the character of Arthur from a </w:t>
      </w:r>
      <w:r w:rsidR="003500E1">
        <w:t>‘</w:t>
      </w:r>
      <w:r>
        <w:t>magnanimous</w:t>
      </w:r>
      <w:r w:rsidR="003500E1">
        <w:t>’</w:t>
      </w:r>
      <w:r>
        <w:t xml:space="preserve"> Brythonic warlord into a chivalrous, knightly, and just king, as demanded by Monmouth’s Norman audience.</w:t>
      </w:r>
      <w:r>
        <w:rPr>
          <w:rStyle w:val="FootnoteReference"/>
        </w:rPr>
        <w:footnoteReference w:id="16"/>
      </w:r>
      <w:r w:rsidR="000148C7" w:rsidRPr="000148C7">
        <w:t xml:space="preserve"> </w:t>
      </w:r>
      <w:r w:rsidR="000148C7">
        <w:t>Higham recognises this point and writes in his book that:</w:t>
      </w:r>
    </w:p>
    <w:p w14:paraId="58E72170" w14:textId="77777777" w:rsidR="00E00D2E" w:rsidRDefault="00E00D2E" w:rsidP="00E00D2E">
      <w:pPr>
        <w:spacing w:line="480" w:lineRule="auto"/>
        <w:ind w:left="850" w:right="850"/>
        <w:jc w:val="both"/>
      </w:pPr>
    </w:p>
    <w:p w14:paraId="2E620959" w14:textId="35FABD0D" w:rsidR="005B5F6C" w:rsidRDefault="006D24F5" w:rsidP="00E00D2E">
      <w:pPr>
        <w:spacing w:line="480" w:lineRule="auto"/>
        <w:ind w:left="850" w:right="850"/>
        <w:jc w:val="both"/>
      </w:pPr>
      <w:r>
        <w:lastRenderedPageBreak/>
        <w:t>“</w:t>
      </w:r>
      <w:r w:rsidR="000148C7">
        <w:t xml:space="preserve">However, Geoffrey’s </w:t>
      </w:r>
      <w:r w:rsidR="000148C7">
        <w:rPr>
          <w:i/>
        </w:rPr>
        <w:t>Historia</w:t>
      </w:r>
      <w:r w:rsidR="000148C7">
        <w:t xml:space="preserve"> offered the twelfth-century monarchy in England both a foreshortened Anglo-Saxon domination in Britain, which barely begins therein before Æthelstan’s reign in the tenth century, and powerful precedents for a British </w:t>
      </w:r>
      <w:r w:rsidR="000148C7">
        <w:rPr>
          <w:i/>
        </w:rPr>
        <w:t>imperium</w:t>
      </w:r>
      <w:r w:rsidR="000148C7">
        <w:t xml:space="preserve"> capable of exploitation in both an insular or a continental context. Geoffrey clearly intended his narrative for elite, court consumption…</w:t>
      </w:r>
      <w:r>
        <w:t>”</w:t>
      </w:r>
      <w:r w:rsidR="000148C7">
        <w:rPr>
          <w:rStyle w:val="FootnoteReference"/>
        </w:rPr>
        <w:footnoteReference w:id="17"/>
      </w:r>
    </w:p>
    <w:p w14:paraId="69FFFF01" w14:textId="2720BF92" w:rsidR="00D26D51" w:rsidRDefault="00AC340C" w:rsidP="00E00D2E">
      <w:pPr>
        <w:spacing w:line="480" w:lineRule="auto"/>
        <w:jc w:val="both"/>
      </w:pPr>
      <w:r>
        <w:t xml:space="preserve">  From this, it seems clear that Monmouth did indeed utilise the lack of biographical details about Arthur to create what he would have perceived to be a knightly king worthy of ruling Britain, as the Normans would have undoubtedly wanted to </w:t>
      </w:r>
      <w:r w:rsidR="004C5B60">
        <w:t>be identified</w:t>
      </w:r>
      <w:r>
        <w:t xml:space="preserve"> as by those they ruled over.</w:t>
      </w:r>
    </w:p>
    <w:p w14:paraId="1CE6C898" w14:textId="34D42953" w:rsidR="00D26D51" w:rsidRDefault="00D26D51" w:rsidP="00E00D2E">
      <w:pPr>
        <w:spacing w:line="480" w:lineRule="auto"/>
        <w:jc w:val="both"/>
      </w:pPr>
      <w:r>
        <w:t xml:space="preserve">  Unlike the ‘Historia Brittonum’, Monmouth’s ‘</w:t>
      </w:r>
      <w:r w:rsidRPr="00B72DBD">
        <w:t>Historia regum Britanniae</w:t>
      </w:r>
      <w:r>
        <w:t>’ not only explores Arthur, but also creates a family for Arthur in Uther Pendragon. Indeed, it seems to be one of the first instances where Arthur is referred to as being a candidate for kingship rather than just a military leader.</w:t>
      </w:r>
      <w:r>
        <w:rPr>
          <w:rStyle w:val="FootnoteReference"/>
        </w:rPr>
        <w:footnoteReference w:id="18"/>
      </w:r>
      <w:r w:rsidR="00A965C4" w:rsidRPr="00A965C4">
        <w:t xml:space="preserve"> </w:t>
      </w:r>
      <w:r w:rsidR="00A965C4">
        <w:t>This could be, again, due to the fact that Monmouth was writing for a Norman audience and making Arthur a king would carry far more weight than making him a military leader, no matter how many battles he won and how much glory he attained.</w:t>
      </w:r>
    </w:p>
    <w:p w14:paraId="68DDAEC3" w14:textId="77777777" w:rsidR="006351B6" w:rsidRDefault="006351B6" w:rsidP="00E00D2E">
      <w:pPr>
        <w:spacing w:line="480" w:lineRule="auto"/>
        <w:jc w:val="both"/>
      </w:pPr>
      <w:r>
        <w:t xml:space="preserve">  Monmouth’s writings had a significant impact on Arthur and the Arthurian myth, expanding the story and giving the character of Arthur depth and personality, as demanded by his Norman lords. Higham perceives this point and writes that:</w:t>
      </w:r>
    </w:p>
    <w:p w14:paraId="1B86568B" w14:textId="0D315267" w:rsidR="006351B6" w:rsidRPr="006047A7" w:rsidRDefault="00894A81" w:rsidP="00E00D2E">
      <w:pPr>
        <w:spacing w:line="480" w:lineRule="auto"/>
        <w:ind w:left="850" w:right="850"/>
        <w:jc w:val="both"/>
      </w:pPr>
      <w:r>
        <w:t>“</w:t>
      </w:r>
      <w:r w:rsidR="006351B6">
        <w:t xml:space="preserve">It is Geoffrey’s Arthur – or the Arthur of the </w:t>
      </w:r>
      <w:r w:rsidR="006351B6">
        <w:rPr>
          <w:i/>
        </w:rPr>
        <w:t>Brut</w:t>
      </w:r>
      <w:r w:rsidR="006351B6">
        <w:t xml:space="preserve"> tradition of history which emerged from his work – that then dominates English visions of the British past throughout the Middle Ages, and led to the inauguration of a royal and national cult of Arthur at Glastonbury, initially in the late twelfth century.</w:t>
      </w:r>
      <w:r>
        <w:t>”</w:t>
      </w:r>
      <w:r w:rsidR="006351B6">
        <w:rPr>
          <w:rStyle w:val="FootnoteReference"/>
        </w:rPr>
        <w:footnoteReference w:id="19"/>
      </w:r>
    </w:p>
    <w:p w14:paraId="4A423450" w14:textId="5CD44C22" w:rsidR="006351B6" w:rsidRDefault="00D52F2A" w:rsidP="00E00D2E">
      <w:pPr>
        <w:spacing w:line="480" w:lineRule="auto"/>
        <w:jc w:val="both"/>
      </w:pPr>
      <w:r>
        <w:lastRenderedPageBreak/>
        <w:t xml:space="preserve">  As Higham states, it is a widely recognised view that Monmouth’s version of Arthur became the Arthur many later authors based their heroic figure on, leading to many chivalrous, knightly, and just characters. Monmouth’s creation is quite obviously a character developed through a lack of biographical and factual details, thus making him an easy character to expand and write about, as seen in the works of many other later authors.</w:t>
      </w:r>
    </w:p>
    <w:p w14:paraId="70AF18AC" w14:textId="2EEDDBA8" w:rsidR="00B01587" w:rsidRDefault="00B01587" w:rsidP="00E00D2E">
      <w:pPr>
        <w:spacing w:line="480" w:lineRule="auto"/>
        <w:jc w:val="both"/>
      </w:pPr>
      <w:r>
        <w:t xml:space="preserve">  In order to properly analyse a wide variety of literary contexts and to fully appreciate the question of whether a lack of key biographical details relating to Arthur made him so amenable to write about, it would be prudent to not only include early Medieval, </w:t>
      </w:r>
      <w:r w:rsidR="000F5810">
        <w:t>P</w:t>
      </w:r>
      <w:r>
        <w:t>ost-Roman sources, but also more modern sources from a variety of writers. These modern sources originate in the late Middle Ages from Sir Thomas Malory, who created one of the most prominent and widely read tales of King Arthur, Alfred, Lord Tennyson, who wrote ‘The Idylls of the King’, and Bernard Cornwell, a modern historical fiction writer who published the ‘Winter King’ trilogy.</w:t>
      </w:r>
    </w:p>
    <w:p w14:paraId="0852758D" w14:textId="77777777" w:rsidR="00B01587" w:rsidRDefault="00B01587" w:rsidP="00E00D2E">
      <w:pPr>
        <w:spacing w:line="480" w:lineRule="auto"/>
        <w:jc w:val="both"/>
      </w:pPr>
      <w:r>
        <w:t xml:space="preserve">  ‘The Tales of the King’, or ‘Le Morte d’Arthur’ as it later became known, by Sir Thomas Malory are a series of Medieval tales following the life of King Arthur and the rise and fall of the Kingdom of Camelot. These tales are heavily based off Geoffrey of Monmouth’s ‘</w:t>
      </w:r>
      <w:r w:rsidRPr="00B72DBD">
        <w:t>Historia regum Britanniae</w:t>
      </w:r>
      <w:r>
        <w:t xml:space="preserve">’, but unlike the ‘Annales Cambriae’, expand on the story of Arthur rather than directly plagiarise, although that may not be the case when comparing Malory’s work to the work </w:t>
      </w:r>
      <w:r w:rsidRPr="008E1678">
        <w:t>Chrétien de Troyes</w:t>
      </w:r>
      <w:r>
        <w:t>.</w:t>
      </w:r>
      <w:r>
        <w:rPr>
          <w:rStyle w:val="FootnoteReference"/>
        </w:rPr>
        <w:footnoteReference w:id="20"/>
      </w:r>
      <w:r>
        <w:t xml:space="preserve"> </w:t>
      </w:r>
    </w:p>
    <w:p w14:paraId="5E744776" w14:textId="77777777" w:rsidR="00B01587" w:rsidRDefault="00B01587" w:rsidP="00E00D2E">
      <w:pPr>
        <w:spacing w:line="480" w:lineRule="auto"/>
        <w:jc w:val="both"/>
      </w:pPr>
      <w:r>
        <w:t xml:space="preserve">  An introduction to a modern print of ‘The Tales of the King’ written by Michael Senior directly references the question of whether a lack of biographical detail of Arthur made him more amenable to write about:</w:t>
      </w:r>
    </w:p>
    <w:p w14:paraId="3FCF1555" w14:textId="6F335CC2" w:rsidR="005B5F6C" w:rsidRDefault="005B5F6C" w:rsidP="00E00D2E">
      <w:pPr>
        <w:spacing w:line="480" w:lineRule="auto"/>
        <w:jc w:val="both"/>
      </w:pPr>
    </w:p>
    <w:p w14:paraId="207A71CB" w14:textId="77777777" w:rsidR="00E00D2E" w:rsidRDefault="00E00D2E" w:rsidP="00E00D2E">
      <w:pPr>
        <w:spacing w:line="480" w:lineRule="auto"/>
        <w:jc w:val="both"/>
      </w:pPr>
    </w:p>
    <w:p w14:paraId="2DE65E46" w14:textId="0A97F58F" w:rsidR="00B01587" w:rsidRDefault="00894A81" w:rsidP="00E00D2E">
      <w:pPr>
        <w:spacing w:line="480" w:lineRule="auto"/>
        <w:ind w:left="850" w:right="850"/>
        <w:jc w:val="both"/>
      </w:pPr>
      <w:r>
        <w:lastRenderedPageBreak/>
        <w:t>“</w:t>
      </w:r>
      <w:r w:rsidR="00B01587">
        <w:t>King Arthur himself, the prophet Merlin, Lancelot, Tristam, Guenever, Morgan le Fay, the themes of the Round Table and the court at Camelot, the search for the Holy Grail, the treachery of Mordred, the fatal last battle and Arthur’s disappearance to Avalon, along with the implied possibility of return: none of this was fictional literary material, none of it invented either by Malory or his sources or theirs, but rather it was part of the traditional lore of Britain.</w:t>
      </w:r>
      <w:r>
        <w:t>”</w:t>
      </w:r>
      <w:r w:rsidR="00B01587">
        <w:rPr>
          <w:rStyle w:val="FootnoteReference"/>
        </w:rPr>
        <w:footnoteReference w:id="21"/>
      </w:r>
    </w:p>
    <w:p w14:paraId="79BB6630" w14:textId="77777777" w:rsidR="00B01587" w:rsidRDefault="00B01587" w:rsidP="00E00D2E">
      <w:pPr>
        <w:spacing w:line="480" w:lineRule="auto"/>
        <w:jc w:val="both"/>
      </w:pPr>
      <w:r>
        <w:t xml:space="preserve">  Senior appears to be stating that everything written about Arthur all stems from British tradition and that none of it was invented by the various authors that wrote about Arthur. If that is the case, then why, if one may ask, is the ‘Historia Brittonum’ lacking so much of the information written by Malory, or indeed Geoffrey of Monmouth? If it was all traditional British lore, then surely the author of the ‘Historia Brittonum’ would have endeavoured to commit all his knowledge of Arthur to parchment? Senior is taking the line of no, the lack of key biographical details about Arthur did not make him more amenable to write about as none of it was invented, rather copied from folklore, which does not make sense when one considers the lack of early detail, especially in the ‘Historia Brittonum’, and the sudden and inexplicable mountain of information Geoffrey of Monmouth writes in the ‘</w:t>
      </w:r>
      <w:r w:rsidRPr="00B72DBD">
        <w:t>Historia regum Britanniae</w:t>
      </w:r>
      <w:r>
        <w:t>’. On the other hand, if all the information on Arthur was all part of traditional British lore, then the authors of the earlier texts would have had no need of expanding the story of Arthur as it would have been widely known by all British peoples. This thought, however, is highly unlikely, due to simple facts such as language barriers, and perhaps that the different peoples and cultures that inhabited Britain in the early Middle Ages may not have shared the same folklore.</w:t>
      </w:r>
    </w:p>
    <w:p w14:paraId="180E342C" w14:textId="77777777" w:rsidR="00E00D2E" w:rsidRDefault="00E00D2E" w:rsidP="00E00D2E">
      <w:pPr>
        <w:spacing w:line="480" w:lineRule="auto"/>
        <w:jc w:val="both"/>
      </w:pPr>
    </w:p>
    <w:p w14:paraId="7949597C" w14:textId="77777777" w:rsidR="00E00D2E" w:rsidRDefault="00E00D2E" w:rsidP="00E00D2E">
      <w:pPr>
        <w:spacing w:line="480" w:lineRule="auto"/>
        <w:jc w:val="both"/>
      </w:pPr>
    </w:p>
    <w:p w14:paraId="42BD2527" w14:textId="0DFAE78E" w:rsidR="00B337B8" w:rsidRDefault="00065058" w:rsidP="00E00D2E">
      <w:pPr>
        <w:spacing w:line="480" w:lineRule="auto"/>
        <w:jc w:val="both"/>
      </w:pPr>
      <w:r>
        <w:lastRenderedPageBreak/>
        <w:t xml:space="preserve">  Following from ‘The Tales of King Arthur’, Alfred, Lord Tennyson’s ‘The Idylls of the King’ are a series of poems based on Malory’s ‘The Tales of King Arthur’. ‘The Idylls of the King’ follow roughly the same story as that of Malory’s work, but change the story and consequences of some action to better reflect a Victorian mindset and thus appeal to Tennyson’s readers. For example, in ‘The Tales of King Arthur’ when Arthur discovers the adultery between Lancelot and Guinevere, Arthur sentences Guinevere to be executed but she is saved by Lancelot.</w:t>
      </w:r>
      <w:r>
        <w:rPr>
          <w:rStyle w:val="FootnoteReference"/>
        </w:rPr>
        <w:footnoteReference w:id="22"/>
      </w:r>
      <w:r>
        <w:t xml:space="preserve"> In Tennyson’s story, Guinevere is instead sent to a convent to repent for her sins and stays there alive.</w:t>
      </w:r>
      <w:r>
        <w:rPr>
          <w:rStyle w:val="FootnoteReference"/>
        </w:rPr>
        <w:footnoteReference w:id="23"/>
      </w:r>
      <w:r>
        <w:t xml:space="preserve"> These little details not only show that various authors have changed the character of Arthur to reflect the times they live in, but it also shows that a lack of biographical detail relating to Arthur has made him more amenable to write about.</w:t>
      </w:r>
    </w:p>
    <w:p w14:paraId="15F93D72" w14:textId="6B6CA9DB" w:rsidR="00E52858" w:rsidRDefault="00E52858" w:rsidP="00E00D2E">
      <w:pPr>
        <w:spacing w:line="480" w:lineRule="auto"/>
        <w:jc w:val="both"/>
      </w:pPr>
      <w:r>
        <w:t xml:space="preserve">  The view that the lack of biographical detail about Arthur makes him more amenable to write about can also be seen reflected in modern literature and film. For example, Bernard Cornwell’s ‘Winter King’ trilogy or the ‘Warlord Chronicles’ follows the story of King Arthur from the perspective of one of his retainers, a man named Derfel Cadarn.</w:t>
      </w:r>
      <w:r>
        <w:rPr>
          <w:rStyle w:val="FootnoteReference"/>
        </w:rPr>
        <w:footnoteReference w:id="24"/>
      </w:r>
      <w:r>
        <w:t xml:space="preserve"> The trilogy creates a dark and bleak story centred around Arthur’s rise to power, his ‘knights’ and the downfall of Camelot and Arthur at the hands of Mordred and Nimue.</w:t>
      </w:r>
      <w:r>
        <w:rPr>
          <w:rStyle w:val="FootnoteReference"/>
        </w:rPr>
        <w:footnoteReference w:id="25"/>
      </w:r>
      <w:r>
        <w:t xml:space="preserve"> Cornwell takes various parts of the Arthurian myth and uses them in his books, however, he sets the story in a bleak Dark Ages Britain instead of the glamour of the high and late Middle Ages. Cornwell’s portrayal of Arthur is realistic for the time he sets Arthur in; a Dark Ages warlord who has many stresses, not only from ruling but also from his retainers and religious differences within Britain, turning him from a good ruler to a weary and fatigued elderly man.</w:t>
      </w:r>
      <w:r>
        <w:rPr>
          <w:rStyle w:val="FootnoteReference"/>
        </w:rPr>
        <w:footnoteReference w:id="26"/>
      </w:r>
      <w:r>
        <w:t xml:space="preserve"> The path that Arthur travels in the books perfectly answers the question that a lack of biographical details did indeed make him more amenable to write about, as Cornwell was able to write what he wanted </w:t>
      </w:r>
      <w:r>
        <w:lastRenderedPageBreak/>
        <w:t>and create his ideal Arthur which would appeal to his audience, exactly like Nennius, Geoffrey of Monmouth, Sir Thomas Malory, and Alfred, Lord Tennyson.</w:t>
      </w:r>
    </w:p>
    <w:p w14:paraId="55692DA4" w14:textId="7B1FF4E8" w:rsidR="00D9167A" w:rsidRDefault="00D9167A" w:rsidP="00E00D2E">
      <w:pPr>
        <w:spacing w:line="480" w:lineRule="auto"/>
        <w:jc w:val="both"/>
      </w:pPr>
      <w:r>
        <w:t xml:space="preserve">  In conclusion, the answer to the question of ‘</w:t>
      </w:r>
      <w:r w:rsidRPr="000A3A1C">
        <w:t>Do you agree that it is the lack of key biographical details relating to Arthur that has made him so amenable to a wide variety of literary contexts?</w:t>
      </w:r>
      <w:r>
        <w:t>’ would be a yes. From the research conducted within this essay, the author believes that there is a wide variety of literary sources that support the idea that authors wrote about Arthur and the Arthurian myth due to the lack of biographical details. This is evidenced by most of the sources included, from Nennius’ ‘Historia Brittonum’ and Geoffrey of Monmouth’s ‘‘</w:t>
      </w:r>
      <w:r w:rsidRPr="00B72DBD">
        <w:t>Historia regum Britanniae</w:t>
      </w:r>
      <w:r>
        <w:t>’, to Sir Thomas Malory’s ‘The Tales of King Arthur’ and Alfred, Lord Tennyson’s ‘The Idylls of the King, up to modern twentieth century sources as Bernard Cornwell’s ‘Winter King’ trilogy or the ‘Warlord Chronicles’. King Arthur is a fascinating character and the Arthurian myth that developed around him has continued to surprise and awe all who hear about it. The idea that Arthur is written about due to a lack of biographical detail can be seen very recently in the film ‘King Arthur: Legend of the Sword’ in which many elements of the Arthurian myth, such as magic and superstition play a vital role in the story.</w:t>
      </w:r>
      <w:r>
        <w:rPr>
          <w:rStyle w:val="FootnoteReference"/>
        </w:rPr>
        <w:footnoteReference w:id="27"/>
      </w:r>
      <w:r>
        <w:t xml:space="preserve"> Characters from the Arthurian myth are introduced within the film, from Bedivere and Uther Pendragon to Vortigern, who is cast as Arthur’s wicked uncle.</w:t>
      </w:r>
      <w:r>
        <w:rPr>
          <w:rStyle w:val="FootnoteReference"/>
        </w:rPr>
        <w:footnoteReference w:id="28"/>
      </w:r>
      <w:r>
        <w:t xml:space="preserve"> The fact that authors and film writers are able to pick and choose elements of the Arthurian myth and Arthur and subsequently create their own versions is clear evidence that a lack of biographical details relating to Arthur has mad</w:t>
      </w:r>
      <w:r w:rsidR="00B673A9">
        <w:t>e</w:t>
      </w:r>
      <w:r>
        <w:t xml:space="preserve"> him amenable to a wide variety of literary contexts.</w:t>
      </w:r>
    </w:p>
    <w:p w14:paraId="5779A4AB" w14:textId="77777777" w:rsidR="00B01587" w:rsidRDefault="00B01587" w:rsidP="00D26D51"/>
    <w:p w14:paraId="64A2B89A" w14:textId="77777777" w:rsidR="005B5F6C" w:rsidRDefault="005B5F6C" w:rsidP="000D459F">
      <w:pPr>
        <w:rPr>
          <w:b/>
          <w:sz w:val="24"/>
          <w:u w:val="single"/>
        </w:rPr>
      </w:pPr>
    </w:p>
    <w:p w14:paraId="3EC34ADC" w14:textId="77777777" w:rsidR="005B5F6C" w:rsidRDefault="005B5F6C" w:rsidP="000D459F">
      <w:pPr>
        <w:rPr>
          <w:b/>
          <w:sz w:val="24"/>
          <w:u w:val="single"/>
        </w:rPr>
      </w:pPr>
    </w:p>
    <w:p w14:paraId="6F95F67F" w14:textId="77777777" w:rsidR="005B5F6C" w:rsidRDefault="005B5F6C" w:rsidP="000D459F">
      <w:pPr>
        <w:rPr>
          <w:b/>
          <w:sz w:val="24"/>
          <w:u w:val="single"/>
        </w:rPr>
      </w:pPr>
    </w:p>
    <w:p w14:paraId="129F7C7F" w14:textId="77777777" w:rsidR="005B5F6C" w:rsidRDefault="005B5F6C" w:rsidP="000D459F">
      <w:pPr>
        <w:rPr>
          <w:b/>
          <w:sz w:val="24"/>
          <w:u w:val="single"/>
        </w:rPr>
      </w:pPr>
    </w:p>
    <w:p w14:paraId="5DAC4EAC" w14:textId="77777777" w:rsidR="00B337B8" w:rsidRDefault="00B337B8" w:rsidP="000D459F">
      <w:pPr>
        <w:rPr>
          <w:b/>
          <w:sz w:val="24"/>
          <w:u w:val="single"/>
        </w:rPr>
      </w:pPr>
    </w:p>
    <w:p w14:paraId="23653106" w14:textId="6D4726E7" w:rsidR="000D459F" w:rsidRPr="00B673A9" w:rsidRDefault="000D459F" w:rsidP="000D459F">
      <w:pPr>
        <w:rPr>
          <w:b/>
          <w:sz w:val="24"/>
          <w:u w:val="single"/>
        </w:rPr>
      </w:pPr>
      <w:r w:rsidRPr="00B673A9">
        <w:rPr>
          <w:b/>
          <w:sz w:val="24"/>
          <w:u w:val="single"/>
        </w:rPr>
        <w:t>Bibliography</w:t>
      </w:r>
    </w:p>
    <w:p w14:paraId="30C02E8C" w14:textId="23B80CF0" w:rsidR="00B673A9" w:rsidRPr="00B673A9" w:rsidRDefault="00B673A9" w:rsidP="000D459F">
      <w:pPr>
        <w:rPr>
          <w:u w:val="single"/>
        </w:rPr>
      </w:pPr>
      <w:r w:rsidRPr="00B673A9">
        <w:rPr>
          <w:u w:val="single"/>
        </w:rPr>
        <w:t>Websites</w:t>
      </w:r>
    </w:p>
    <w:p w14:paraId="3983003C" w14:textId="77777777" w:rsidR="00B673A9" w:rsidRDefault="00B673A9" w:rsidP="000D459F">
      <w:r w:rsidRPr="00474D80">
        <w:t xml:space="preserve">"Amenable Definition And Meaning | Collins English Dictionary", </w:t>
      </w:r>
      <w:r w:rsidRPr="00474D80">
        <w:rPr>
          <w:i/>
        </w:rPr>
        <w:t>Collinsdictionary.Com</w:t>
      </w:r>
      <w:r w:rsidRPr="00474D80">
        <w:t>, 2019 &lt;https://www.collinsdictionary.com/dictionary/english/amenable&gt; [Accessed 2 January 2019]</w:t>
      </w:r>
    </w:p>
    <w:p w14:paraId="71ACE259" w14:textId="77777777" w:rsidR="00B673A9" w:rsidRDefault="00B673A9" w:rsidP="000D459F">
      <w:r w:rsidRPr="00474D80">
        <w:t xml:space="preserve">"Biographical Definition And Meaning | Collins English Dictionary", </w:t>
      </w:r>
      <w:r w:rsidRPr="00474D80">
        <w:rPr>
          <w:i/>
        </w:rPr>
        <w:t>Collinsdictionary.Com</w:t>
      </w:r>
      <w:r w:rsidRPr="00474D80">
        <w:t>, 2019 &lt;https://www.collinsdictionary.com/dictionary/english/biographical&gt; [Accessed 2 January 2019]</w:t>
      </w:r>
    </w:p>
    <w:p w14:paraId="10746765" w14:textId="77777777" w:rsidR="00B673A9" w:rsidRDefault="00B673A9" w:rsidP="000D459F">
      <w:r w:rsidRPr="004728E8">
        <w:rPr>
          <w:i/>
          <w:iCs/>
        </w:rPr>
        <w:t>Amazon.Co.Uk</w:t>
      </w:r>
      <w:r w:rsidRPr="004728E8">
        <w:t> &lt;https://www.amazon.co.uk/King-Arthur-Directors-Cut-DVD/dp/B00064MTYK&gt; [Accessed 3 January 2019]</w:t>
      </w:r>
    </w:p>
    <w:p w14:paraId="5CAF594B" w14:textId="77777777" w:rsidR="00B673A9" w:rsidRDefault="00B673A9" w:rsidP="000D459F">
      <w:r w:rsidRPr="00143FFB">
        <w:t>Ingram, James, "Medieval Sourcebook: The Annales Cambriae (Annals Of Wales)", </w:t>
      </w:r>
      <w:r w:rsidRPr="00143FFB">
        <w:rPr>
          <w:i/>
          <w:iCs/>
        </w:rPr>
        <w:t>Sourcebooks.Fordham.Edu</w:t>
      </w:r>
      <w:r w:rsidRPr="00143FFB">
        <w:t>, 1912 &lt;https://sourcebooks.fordham.edu/source/annalescambriae.asp&gt; [Accessed 4 January 2019]</w:t>
      </w:r>
    </w:p>
    <w:p w14:paraId="1DF6E988" w14:textId="0F77A8D7" w:rsidR="000D459F" w:rsidRPr="00B673A9" w:rsidRDefault="00B673A9" w:rsidP="000D459F">
      <w:pPr>
        <w:rPr>
          <w:u w:val="single"/>
        </w:rPr>
      </w:pPr>
      <w:r w:rsidRPr="00B673A9">
        <w:rPr>
          <w:u w:val="single"/>
        </w:rPr>
        <w:t>Books</w:t>
      </w:r>
    </w:p>
    <w:p w14:paraId="0507D581" w14:textId="77777777" w:rsidR="00B673A9" w:rsidRDefault="00B673A9" w:rsidP="001657FB">
      <w:r w:rsidRPr="00775153">
        <w:t>Cornwell, Bernard, </w:t>
      </w:r>
      <w:r>
        <w:rPr>
          <w:i/>
          <w:iCs/>
        </w:rPr>
        <w:t>The Winter King</w:t>
      </w:r>
      <w:r w:rsidRPr="00775153">
        <w:t> (New York: St. Martin's Press, 199</w:t>
      </w:r>
      <w:r>
        <w:t>5</w:t>
      </w:r>
      <w:r w:rsidRPr="00775153">
        <w:t>)</w:t>
      </w:r>
    </w:p>
    <w:p w14:paraId="18965BB4" w14:textId="77777777" w:rsidR="00B673A9" w:rsidRDefault="00B673A9" w:rsidP="000D459F">
      <w:r w:rsidRPr="00474D80">
        <w:t xml:space="preserve">Dumville, David N, </w:t>
      </w:r>
      <w:r w:rsidRPr="00474D80">
        <w:rPr>
          <w:i/>
        </w:rPr>
        <w:t>The Historia Brittonum</w:t>
      </w:r>
      <w:r w:rsidRPr="00474D80">
        <w:t xml:space="preserve"> (Cambridge: Brewer, 1985)</w:t>
      </w:r>
    </w:p>
    <w:p w14:paraId="5B48D7D0" w14:textId="77777777" w:rsidR="00B673A9" w:rsidRDefault="00B673A9" w:rsidP="00187387">
      <w:r w:rsidRPr="00CC1619">
        <w:t>Geoffrey</w:t>
      </w:r>
      <w:r>
        <w:t xml:space="preserve"> of Monmouth</w:t>
      </w:r>
      <w:r w:rsidRPr="00CC1619">
        <w:t>, </w:t>
      </w:r>
      <w:r w:rsidRPr="00CC1619">
        <w:rPr>
          <w:i/>
          <w:iCs/>
        </w:rPr>
        <w:t xml:space="preserve">The Historia Regum Britannie </w:t>
      </w:r>
      <w:r w:rsidRPr="00CC1619">
        <w:t>(Woodbridge: D.S. Brewer, 2001)</w:t>
      </w:r>
      <w:r>
        <w:rPr>
          <w:vanish/>
        </w:rPr>
        <w:t>istory of t</w:t>
      </w:r>
    </w:p>
    <w:p w14:paraId="148C3516" w14:textId="77777777" w:rsidR="00B673A9" w:rsidRPr="00D17B5B" w:rsidRDefault="00B673A9" w:rsidP="00E20488">
      <w:pPr>
        <w:jc w:val="both"/>
        <w:rPr>
          <w:szCs w:val="24"/>
        </w:rPr>
      </w:pPr>
      <w:r w:rsidRPr="007134B9">
        <w:rPr>
          <w:szCs w:val="24"/>
        </w:rPr>
        <w:t>Green, Thomas, </w:t>
      </w:r>
      <w:r w:rsidRPr="007134B9">
        <w:rPr>
          <w:i/>
          <w:iCs/>
          <w:szCs w:val="24"/>
        </w:rPr>
        <w:t>Concepts Of Arthur</w:t>
      </w:r>
      <w:r w:rsidRPr="007134B9">
        <w:rPr>
          <w:szCs w:val="24"/>
        </w:rPr>
        <w:t> (Stroud: Tempus, 2007)</w:t>
      </w:r>
    </w:p>
    <w:p w14:paraId="61DD3D65" w14:textId="77777777" w:rsidR="00B673A9" w:rsidRDefault="00B673A9" w:rsidP="000D459F">
      <w:r w:rsidRPr="00474D80">
        <w:t>Higham, N. J, </w:t>
      </w:r>
      <w:r w:rsidRPr="00474D80">
        <w:rPr>
          <w:i/>
          <w:iCs/>
        </w:rPr>
        <w:t>King Arthur</w:t>
      </w:r>
      <w:r w:rsidRPr="00474D80">
        <w:t> (Abingdon: Routledge, 2009)</w:t>
      </w:r>
    </w:p>
    <w:p w14:paraId="7F893290" w14:textId="77777777" w:rsidR="00B673A9" w:rsidRDefault="00B673A9" w:rsidP="00E20488">
      <w:pPr>
        <w:jc w:val="both"/>
        <w:rPr>
          <w:szCs w:val="24"/>
        </w:rPr>
      </w:pPr>
      <w:r w:rsidRPr="00D17B5B">
        <w:rPr>
          <w:szCs w:val="24"/>
        </w:rPr>
        <w:t>Jones, Robert W, </w:t>
      </w:r>
      <w:r w:rsidRPr="00D17B5B">
        <w:rPr>
          <w:i/>
          <w:iCs/>
          <w:szCs w:val="24"/>
        </w:rPr>
        <w:t>Bloodied Banners</w:t>
      </w:r>
      <w:r w:rsidRPr="00D17B5B">
        <w:rPr>
          <w:szCs w:val="24"/>
        </w:rPr>
        <w:t>, 1st edn (Woodbridge: The Boydell Press, 2010)</w:t>
      </w:r>
    </w:p>
    <w:p w14:paraId="4D65CD93" w14:textId="77777777" w:rsidR="00B673A9" w:rsidRDefault="00B673A9" w:rsidP="00B72DBD">
      <w:r w:rsidRPr="003E3427">
        <w:t>Malory, Thomas, and Michael Senior, </w:t>
      </w:r>
      <w:r w:rsidRPr="003E3427">
        <w:rPr>
          <w:i/>
          <w:iCs/>
        </w:rPr>
        <w:t>Tales Of King Arthur</w:t>
      </w:r>
      <w:r w:rsidRPr="003E3427">
        <w:t> (London: Collins, 1988)</w:t>
      </w:r>
    </w:p>
    <w:p w14:paraId="558C65A1" w14:textId="77777777" w:rsidR="00B673A9" w:rsidRDefault="00B673A9" w:rsidP="00B72DBD">
      <w:r w:rsidRPr="00065058">
        <w:t>Tennyson, Alfred Tennyson, </w:t>
      </w:r>
      <w:r w:rsidRPr="00065058">
        <w:rPr>
          <w:i/>
          <w:iCs/>
        </w:rPr>
        <w:t>Idylls Of The King, And Other Arthurian Poems</w:t>
      </w:r>
      <w:r w:rsidRPr="00065058">
        <w:t>(Champaign, Ill.: Project Gutenberg)</w:t>
      </w:r>
    </w:p>
    <w:p w14:paraId="5C62941A" w14:textId="0E94BCE9" w:rsidR="00D9167A" w:rsidRPr="00B673A9" w:rsidRDefault="00B673A9" w:rsidP="001657FB">
      <w:pPr>
        <w:rPr>
          <w:u w:val="single"/>
        </w:rPr>
      </w:pPr>
      <w:r w:rsidRPr="00B673A9">
        <w:rPr>
          <w:u w:val="single"/>
        </w:rPr>
        <w:t>Films</w:t>
      </w:r>
    </w:p>
    <w:p w14:paraId="2D366AE5" w14:textId="0001FBBB" w:rsidR="00D9167A" w:rsidRPr="00167919" w:rsidRDefault="00D9167A" w:rsidP="001657FB">
      <w:r w:rsidRPr="00D9167A">
        <w:t>Ritchie, Guy, </w:t>
      </w:r>
      <w:r w:rsidRPr="00D9167A">
        <w:rPr>
          <w:i/>
          <w:iCs/>
        </w:rPr>
        <w:t>King Arthur: Legend Of The Sword</w:t>
      </w:r>
      <w:r w:rsidRPr="00D9167A">
        <w:t> (United Kingdom: Warner Bros, 2017)</w:t>
      </w:r>
    </w:p>
    <w:sectPr w:rsidR="00D9167A" w:rsidRPr="001679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25D8C5" w14:textId="77777777" w:rsidR="00BC6F21" w:rsidRDefault="00BC6F21" w:rsidP="00B72DBD">
      <w:pPr>
        <w:spacing w:after="0" w:line="240" w:lineRule="auto"/>
      </w:pPr>
      <w:r>
        <w:separator/>
      </w:r>
    </w:p>
  </w:endnote>
  <w:endnote w:type="continuationSeparator" w:id="0">
    <w:p w14:paraId="1478DA91" w14:textId="77777777" w:rsidR="00BC6F21" w:rsidRDefault="00BC6F21" w:rsidP="00B72D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1B12AB" w14:textId="77777777" w:rsidR="00BC6F21" w:rsidRDefault="00BC6F21" w:rsidP="00B72DBD">
      <w:pPr>
        <w:spacing w:after="0" w:line="240" w:lineRule="auto"/>
      </w:pPr>
      <w:r>
        <w:separator/>
      </w:r>
    </w:p>
  </w:footnote>
  <w:footnote w:type="continuationSeparator" w:id="0">
    <w:p w14:paraId="38A55700" w14:textId="77777777" w:rsidR="00BC6F21" w:rsidRDefault="00BC6F21" w:rsidP="00B72DBD">
      <w:pPr>
        <w:spacing w:after="0" w:line="240" w:lineRule="auto"/>
      </w:pPr>
      <w:r>
        <w:continuationSeparator/>
      </w:r>
    </w:p>
  </w:footnote>
  <w:footnote w:id="1">
    <w:p w14:paraId="3C9D80F9" w14:textId="3DA09306" w:rsidR="00B72DBD" w:rsidRDefault="00B72DBD" w:rsidP="00B72DBD">
      <w:pPr>
        <w:pStyle w:val="FootnoteText"/>
      </w:pPr>
      <w:r>
        <w:rPr>
          <w:rStyle w:val="FootnoteReference"/>
        </w:rPr>
        <w:footnoteRef/>
      </w:r>
      <w:r>
        <w:t xml:space="preserve"> </w:t>
      </w:r>
      <w:r w:rsidR="00120924" w:rsidRPr="00120924">
        <w:t xml:space="preserve">"Biographical Definition And Meaning | Collins English Dictionary", </w:t>
      </w:r>
      <w:r w:rsidR="00120924" w:rsidRPr="00120924">
        <w:rPr>
          <w:i/>
        </w:rPr>
        <w:t>Collinsdictionary.Com</w:t>
      </w:r>
      <w:r w:rsidR="00120924" w:rsidRPr="00120924">
        <w:t>, 2019 &lt;https://www.collinsdictionary.com/dictionary/english/biographical&gt; [Accessed 2 January 2019].</w:t>
      </w:r>
    </w:p>
  </w:footnote>
  <w:footnote w:id="2">
    <w:p w14:paraId="0169934C" w14:textId="77777777" w:rsidR="00B72DBD" w:rsidRPr="00D57EED" w:rsidRDefault="00B72DBD" w:rsidP="00B72DBD">
      <w:pPr>
        <w:pStyle w:val="FootnoteText"/>
      </w:pPr>
      <w:r>
        <w:rPr>
          <w:rStyle w:val="FootnoteReference"/>
        </w:rPr>
        <w:footnoteRef/>
      </w:r>
      <w:r>
        <w:t xml:space="preserve"> </w:t>
      </w:r>
      <w:r>
        <w:rPr>
          <w:i/>
        </w:rPr>
        <w:t>Ibid</w:t>
      </w:r>
    </w:p>
  </w:footnote>
  <w:footnote w:id="3">
    <w:p w14:paraId="4A447EFC" w14:textId="7F913266" w:rsidR="00B72DBD" w:rsidRDefault="00B72DBD" w:rsidP="00B72DBD">
      <w:pPr>
        <w:pStyle w:val="FootnoteText"/>
      </w:pPr>
      <w:r>
        <w:rPr>
          <w:rStyle w:val="FootnoteReference"/>
        </w:rPr>
        <w:footnoteRef/>
      </w:r>
      <w:r>
        <w:t xml:space="preserve"> </w:t>
      </w:r>
      <w:r w:rsidR="00120924" w:rsidRPr="00120924">
        <w:t xml:space="preserve">"Amenable Definition And Meaning | Collins English Dictionary", </w:t>
      </w:r>
      <w:r w:rsidR="00120924" w:rsidRPr="00120924">
        <w:rPr>
          <w:i/>
        </w:rPr>
        <w:t>Collinsdictionary.Com</w:t>
      </w:r>
      <w:r w:rsidR="00120924" w:rsidRPr="00120924">
        <w:t>, 2019 &lt;https://www.collinsdictionary.com/dictionary/english/amenable&gt; [Accessed 2 January 2019].</w:t>
      </w:r>
    </w:p>
  </w:footnote>
  <w:footnote w:id="4">
    <w:p w14:paraId="40EAA0AE" w14:textId="733D2825" w:rsidR="001F3184" w:rsidRDefault="001F3184">
      <w:pPr>
        <w:pStyle w:val="FootnoteText"/>
      </w:pPr>
      <w:r>
        <w:rPr>
          <w:rStyle w:val="FootnoteReference"/>
        </w:rPr>
        <w:footnoteRef/>
      </w:r>
      <w:r>
        <w:t xml:space="preserve"> </w:t>
      </w:r>
      <w:r w:rsidR="00120924" w:rsidRPr="00120924">
        <w:t xml:space="preserve">David N Dumville, </w:t>
      </w:r>
      <w:r w:rsidR="00120924" w:rsidRPr="00120924">
        <w:rPr>
          <w:i/>
        </w:rPr>
        <w:t>The Historia Brittonum</w:t>
      </w:r>
      <w:r w:rsidR="00120924" w:rsidRPr="00120924">
        <w:t xml:space="preserve"> (Cambridge: Brewer, 1985), pp. 45-51.</w:t>
      </w:r>
    </w:p>
  </w:footnote>
  <w:footnote w:id="5">
    <w:p w14:paraId="631FE284" w14:textId="7013BC78" w:rsidR="001F3184" w:rsidRPr="001F3184" w:rsidRDefault="001F3184">
      <w:pPr>
        <w:pStyle w:val="FootnoteText"/>
      </w:pPr>
      <w:r>
        <w:rPr>
          <w:rStyle w:val="FootnoteReference"/>
        </w:rPr>
        <w:footnoteRef/>
      </w:r>
      <w:r>
        <w:t xml:space="preserve"> </w:t>
      </w:r>
      <w:r>
        <w:rPr>
          <w:i/>
        </w:rPr>
        <w:t>Ibid</w:t>
      </w:r>
    </w:p>
  </w:footnote>
  <w:footnote w:id="6">
    <w:p w14:paraId="646669F1" w14:textId="53A0705F" w:rsidR="001F3184" w:rsidRPr="001F3184" w:rsidRDefault="001F3184">
      <w:pPr>
        <w:pStyle w:val="FootnoteText"/>
        <w:rPr>
          <w:i/>
        </w:rPr>
      </w:pPr>
      <w:r>
        <w:rPr>
          <w:rStyle w:val="FootnoteReference"/>
        </w:rPr>
        <w:footnoteRef/>
      </w:r>
      <w:r>
        <w:t xml:space="preserve"> </w:t>
      </w:r>
      <w:r>
        <w:rPr>
          <w:i/>
        </w:rPr>
        <w:t>Ibid</w:t>
      </w:r>
    </w:p>
  </w:footnote>
  <w:footnote w:id="7">
    <w:p w14:paraId="270DC327" w14:textId="4134312C" w:rsidR="001F3184" w:rsidRPr="001F3184" w:rsidRDefault="001F3184">
      <w:pPr>
        <w:pStyle w:val="FootnoteText"/>
      </w:pPr>
      <w:r>
        <w:rPr>
          <w:rStyle w:val="FootnoteReference"/>
        </w:rPr>
        <w:footnoteRef/>
      </w:r>
      <w:r>
        <w:t xml:space="preserve"> </w:t>
      </w:r>
      <w:r>
        <w:rPr>
          <w:i/>
        </w:rPr>
        <w:t>Ibid</w:t>
      </w:r>
    </w:p>
  </w:footnote>
  <w:footnote w:id="8">
    <w:p w14:paraId="5C194194" w14:textId="0465039C" w:rsidR="00D31A6C" w:rsidRPr="00D31A6C" w:rsidRDefault="00D31A6C">
      <w:pPr>
        <w:pStyle w:val="FootnoteText"/>
      </w:pPr>
      <w:r>
        <w:rPr>
          <w:rStyle w:val="FootnoteReference"/>
        </w:rPr>
        <w:footnoteRef/>
      </w:r>
      <w:r>
        <w:t xml:space="preserve"> </w:t>
      </w:r>
      <w:r>
        <w:rPr>
          <w:i/>
        </w:rPr>
        <w:t>Ibid</w:t>
      </w:r>
    </w:p>
  </w:footnote>
  <w:footnote w:id="9">
    <w:p w14:paraId="6CFB2C15" w14:textId="3480C316" w:rsidR="00D31A6C" w:rsidRDefault="00D31A6C">
      <w:pPr>
        <w:pStyle w:val="FootnoteText"/>
      </w:pPr>
      <w:r>
        <w:rPr>
          <w:rStyle w:val="FootnoteReference"/>
        </w:rPr>
        <w:footnoteRef/>
      </w:r>
      <w:r>
        <w:t xml:space="preserve"> </w:t>
      </w:r>
      <w:r w:rsidRPr="00454454">
        <w:t>N. J Higham, </w:t>
      </w:r>
      <w:r w:rsidRPr="00454454">
        <w:rPr>
          <w:i/>
          <w:iCs/>
        </w:rPr>
        <w:t>King Arthur</w:t>
      </w:r>
      <w:r w:rsidRPr="00454454">
        <w:t> (Abingdon: Routledge, 2009), p. 16</w:t>
      </w:r>
      <w:r>
        <w:t>4.</w:t>
      </w:r>
    </w:p>
  </w:footnote>
  <w:footnote w:id="10">
    <w:p w14:paraId="2E2133FB" w14:textId="2450D8DE" w:rsidR="00FC02C3" w:rsidRDefault="00FC02C3">
      <w:pPr>
        <w:pStyle w:val="FootnoteText"/>
      </w:pPr>
      <w:r>
        <w:rPr>
          <w:rStyle w:val="FootnoteReference"/>
        </w:rPr>
        <w:footnoteRef/>
      </w:r>
      <w:r>
        <w:t xml:space="preserve"> </w:t>
      </w:r>
      <w:r w:rsidRPr="00FC02C3">
        <w:rPr>
          <w:i/>
          <w:iCs/>
        </w:rPr>
        <w:t>Amazon.Co.Uk</w:t>
      </w:r>
      <w:r w:rsidRPr="00FC02C3">
        <w:t> &lt;https://www.amazon.co.uk/King-Arthur-Directors-Cut-DVD/dp/B00064MTYK&gt; [Accessed 3 January 2019].</w:t>
      </w:r>
    </w:p>
  </w:footnote>
  <w:footnote w:id="11">
    <w:p w14:paraId="4C5FC873" w14:textId="757BA5E7" w:rsidR="00120924" w:rsidRDefault="00120924" w:rsidP="00120924">
      <w:pPr>
        <w:pStyle w:val="FootnoteText"/>
      </w:pPr>
      <w:r>
        <w:rPr>
          <w:rStyle w:val="FootnoteReference"/>
        </w:rPr>
        <w:footnoteRef/>
      </w:r>
      <w:r>
        <w:t xml:space="preserve"> </w:t>
      </w:r>
      <w:r w:rsidR="00454454" w:rsidRPr="00454454">
        <w:t>N. J Higham, </w:t>
      </w:r>
      <w:r w:rsidR="00454454" w:rsidRPr="00454454">
        <w:rPr>
          <w:i/>
          <w:iCs/>
        </w:rPr>
        <w:t>King Arthur</w:t>
      </w:r>
      <w:r w:rsidR="00454454" w:rsidRPr="00454454">
        <w:t> (Abingdon: Routledge, 2009), p. 165.</w:t>
      </w:r>
    </w:p>
  </w:footnote>
  <w:footnote w:id="12">
    <w:p w14:paraId="12B62716" w14:textId="258C4D84" w:rsidR="00D87D27" w:rsidRDefault="00D87D27">
      <w:pPr>
        <w:pStyle w:val="FootnoteText"/>
      </w:pPr>
      <w:r>
        <w:rPr>
          <w:rStyle w:val="FootnoteReference"/>
        </w:rPr>
        <w:footnoteRef/>
      </w:r>
      <w:r>
        <w:t xml:space="preserve"> </w:t>
      </w:r>
      <w:r w:rsidR="00143FFB" w:rsidRPr="00143FFB">
        <w:t>James Ingram, "Medieval Sourcebook: The Annales Cambriae (Annals Of Wales)", </w:t>
      </w:r>
      <w:r w:rsidR="00143FFB" w:rsidRPr="00143FFB">
        <w:rPr>
          <w:i/>
          <w:iCs/>
        </w:rPr>
        <w:t>Sourcebooks.Fordham.Edu</w:t>
      </w:r>
      <w:r w:rsidR="00143FFB" w:rsidRPr="00143FFB">
        <w:t>, 1912 &lt;https://sourcebooks.fordham.edu/source/annalescambriae.asp&gt; [Accessed 4 January 2019].</w:t>
      </w:r>
    </w:p>
  </w:footnote>
  <w:footnote w:id="13">
    <w:p w14:paraId="623A38CB" w14:textId="72C2E463" w:rsidR="00A71E41" w:rsidRDefault="00A71E41">
      <w:pPr>
        <w:pStyle w:val="FootnoteText"/>
      </w:pPr>
      <w:r>
        <w:rPr>
          <w:rStyle w:val="FootnoteReference"/>
        </w:rPr>
        <w:footnoteRef/>
      </w:r>
      <w:r>
        <w:t xml:space="preserve"> </w:t>
      </w:r>
      <w:r w:rsidR="007134B9" w:rsidRPr="007134B9">
        <w:t>Thomas Green, </w:t>
      </w:r>
      <w:r w:rsidR="007134B9" w:rsidRPr="007134B9">
        <w:rPr>
          <w:i/>
          <w:iCs/>
        </w:rPr>
        <w:t>Concepts Of Arthur</w:t>
      </w:r>
      <w:r w:rsidR="007134B9" w:rsidRPr="007134B9">
        <w:t> (Stroud: Tempus, 2007), p. 29.</w:t>
      </w:r>
    </w:p>
  </w:footnote>
  <w:footnote w:id="14">
    <w:p w14:paraId="5CAA3307" w14:textId="63519F37" w:rsidR="00D26D51" w:rsidRDefault="00D26D51" w:rsidP="00D26D51">
      <w:pPr>
        <w:pStyle w:val="FootnoteText"/>
      </w:pPr>
      <w:r>
        <w:rPr>
          <w:rStyle w:val="FootnoteReference"/>
        </w:rPr>
        <w:footnoteRef/>
      </w:r>
      <w:r>
        <w:t xml:space="preserve"> </w:t>
      </w:r>
      <w:r w:rsidR="00F61176" w:rsidRPr="00F61176">
        <w:t>Geoffrey</w:t>
      </w:r>
      <w:r w:rsidR="00F61176">
        <w:t xml:space="preserve"> of Monmouth</w:t>
      </w:r>
      <w:r w:rsidR="00F61176" w:rsidRPr="00F61176">
        <w:t>, </w:t>
      </w:r>
      <w:r w:rsidR="00F61176" w:rsidRPr="00F61176">
        <w:rPr>
          <w:i/>
          <w:iCs/>
        </w:rPr>
        <w:t xml:space="preserve">The Historia Regum Britannie </w:t>
      </w:r>
      <w:r w:rsidR="00F61176" w:rsidRPr="00F61176">
        <w:t>(Woodbridge: D.S. Brewer, 2001).</w:t>
      </w:r>
    </w:p>
  </w:footnote>
  <w:footnote w:id="15">
    <w:p w14:paraId="08747C26" w14:textId="77777777" w:rsidR="00D26D51" w:rsidRPr="00BF065B" w:rsidRDefault="00D26D51" w:rsidP="00D26D51">
      <w:pPr>
        <w:pStyle w:val="FootnoteText"/>
      </w:pPr>
      <w:r>
        <w:rPr>
          <w:rStyle w:val="FootnoteReference"/>
        </w:rPr>
        <w:footnoteRef/>
      </w:r>
      <w:r>
        <w:t xml:space="preserve"> </w:t>
      </w:r>
      <w:r>
        <w:rPr>
          <w:i/>
        </w:rPr>
        <w:t>Ibid</w:t>
      </w:r>
    </w:p>
  </w:footnote>
  <w:footnote w:id="16">
    <w:p w14:paraId="77CB60CB" w14:textId="29BA499F" w:rsidR="00D26D51" w:rsidRDefault="00D26D51" w:rsidP="00D26D51">
      <w:pPr>
        <w:pStyle w:val="FootnoteText"/>
      </w:pPr>
      <w:r>
        <w:rPr>
          <w:rStyle w:val="FootnoteReference"/>
        </w:rPr>
        <w:footnoteRef/>
      </w:r>
      <w:r>
        <w:t xml:space="preserve"> </w:t>
      </w:r>
      <w:r w:rsidR="00412D95" w:rsidRPr="00454454">
        <w:t>N. J Higham, </w:t>
      </w:r>
      <w:r w:rsidR="00412D95" w:rsidRPr="00454454">
        <w:rPr>
          <w:i/>
          <w:iCs/>
        </w:rPr>
        <w:t>King Arthur</w:t>
      </w:r>
      <w:r w:rsidR="00412D95" w:rsidRPr="00454454">
        <w:t xml:space="preserve"> (Abingdon: Routledge, 2009), p. </w:t>
      </w:r>
      <w:r w:rsidR="00412D95">
        <w:t>226</w:t>
      </w:r>
      <w:r w:rsidR="00412D95" w:rsidRPr="00454454">
        <w:t>.</w:t>
      </w:r>
    </w:p>
  </w:footnote>
  <w:footnote w:id="17">
    <w:p w14:paraId="06D99A76" w14:textId="0026CA2C" w:rsidR="000148C7" w:rsidRPr="000148C7" w:rsidRDefault="000148C7" w:rsidP="000148C7">
      <w:pPr>
        <w:pStyle w:val="FootnoteText"/>
      </w:pPr>
      <w:r>
        <w:rPr>
          <w:rStyle w:val="FootnoteReference"/>
        </w:rPr>
        <w:footnoteRef/>
      </w:r>
      <w:r>
        <w:t xml:space="preserve"> </w:t>
      </w:r>
      <w:r>
        <w:rPr>
          <w:i/>
        </w:rPr>
        <w:t>Ibid</w:t>
      </w:r>
    </w:p>
  </w:footnote>
  <w:footnote w:id="18">
    <w:p w14:paraId="504D4547" w14:textId="73242C71" w:rsidR="00D26D51" w:rsidRPr="004F6037" w:rsidRDefault="00D26D51" w:rsidP="00D26D51">
      <w:pPr>
        <w:pStyle w:val="FootnoteText"/>
      </w:pPr>
      <w:r>
        <w:rPr>
          <w:rStyle w:val="FootnoteReference"/>
        </w:rPr>
        <w:footnoteRef/>
      </w:r>
      <w:r>
        <w:t xml:space="preserve"> </w:t>
      </w:r>
      <w:r w:rsidR="00BB2E72" w:rsidRPr="00F61176">
        <w:t>Geoffrey</w:t>
      </w:r>
      <w:r w:rsidR="00BB2E72">
        <w:t xml:space="preserve"> of Monmouth</w:t>
      </w:r>
      <w:r w:rsidR="00BB2E72" w:rsidRPr="00F61176">
        <w:t>, </w:t>
      </w:r>
      <w:r w:rsidR="00BB2E72" w:rsidRPr="00F61176">
        <w:rPr>
          <w:i/>
          <w:iCs/>
        </w:rPr>
        <w:t xml:space="preserve">The Historia Regum Britannie </w:t>
      </w:r>
      <w:r w:rsidR="00BB2E72" w:rsidRPr="00F61176">
        <w:t>(Woodbridge: D.S. Brewer, 2001).</w:t>
      </w:r>
    </w:p>
  </w:footnote>
  <w:footnote w:id="19">
    <w:p w14:paraId="0BB2D4F6" w14:textId="7B1F9669" w:rsidR="006351B6" w:rsidRDefault="006351B6" w:rsidP="006351B6">
      <w:pPr>
        <w:pStyle w:val="FootnoteText"/>
      </w:pPr>
      <w:r>
        <w:rPr>
          <w:rStyle w:val="FootnoteReference"/>
        </w:rPr>
        <w:footnoteRef/>
      </w:r>
      <w:r>
        <w:t xml:space="preserve"> </w:t>
      </w:r>
      <w:r w:rsidRPr="00454454">
        <w:t>N. J Higham, </w:t>
      </w:r>
      <w:r w:rsidRPr="00454454">
        <w:rPr>
          <w:i/>
          <w:iCs/>
        </w:rPr>
        <w:t>King Arthur</w:t>
      </w:r>
      <w:r w:rsidRPr="00454454">
        <w:t xml:space="preserve"> (Abingdon: Routledge, 2009), p. </w:t>
      </w:r>
      <w:r>
        <w:t>270</w:t>
      </w:r>
      <w:r w:rsidRPr="00454454">
        <w:t>.</w:t>
      </w:r>
    </w:p>
  </w:footnote>
  <w:footnote w:id="20">
    <w:p w14:paraId="254C3993" w14:textId="487C1D61" w:rsidR="00B01587" w:rsidRDefault="00B01587" w:rsidP="00B01587">
      <w:pPr>
        <w:pStyle w:val="FootnoteText"/>
      </w:pPr>
      <w:r>
        <w:rPr>
          <w:rStyle w:val="FootnoteReference"/>
        </w:rPr>
        <w:footnoteRef/>
      </w:r>
      <w:r>
        <w:t xml:space="preserve"> </w:t>
      </w:r>
      <w:r w:rsidRPr="00B01587">
        <w:t>Thomas Malory and Michael Senior, </w:t>
      </w:r>
      <w:r w:rsidRPr="00B01587">
        <w:rPr>
          <w:i/>
          <w:iCs/>
        </w:rPr>
        <w:t>Tales Of King Arthur</w:t>
      </w:r>
      <w:r w:rsidRPr="00B01587">
        <w:t> (London: Collins, 1988)</w:t>
      </w:r>
      <w:r w:rsidR="003E3427">
        <w:t>.</w:t>
      </w:r>
    </w:p>
  </w:footnote>
  <w:footnote w:id="21">
    <w:p w14:paraId="784972DF" w14:textId="4A029C6F" w:rsidR="00B01587" w:rsidRPr="003E3427" w:rsidRDefault="00B01587" w:rsidP="00B01587">
      <w:pPr>
        <w:pStyle w:val="FootnoteText"/>
      </w:pPr>
      <w:r>
        <w:rPr>
          <w:rStyle w:val="FootnoteReference"/>
        </w:rPr>
        <w:footnoteRef/>
      </w:r>
      <w:r>
        <w:t xml:space="preserve"> </w:t>
      </w:r>
      <w:r w:rsidR="003E3427">
        <w:rPr>
          <w:i/>
        </w:rPr>
        <w:t>Ibid</w:t>
      </w:r>
      <w:r w:rsidR="003E3427">
        <w:t>, p. 11.</w:t>
      </w:r>
    </w:p>
  </w:footnote>
  <w:footnote w:id="22">
    <w:p w14:paraId="6391295F" w14:textId="32BB376F" w:rsidR="00065058" w:rsidRDefault="00065058" w:rsidP="00065058">
      <w:pPr>
        <w:pStyle w:val="FootnoteText"/>
      </w:pPr>
      <w:r>
        <w:rPr>
          <w:rStyle w:val="FootnoteReference"/>
        </w:rPr>
        <w:footnoteRef/>
      </w:r>
      <w:r>
        <w:t xml:space="preserve"> </w:t>
      </w:r>
      <w:r w:rsidRPr="00B01587">
        <w:t>Thomas Malory and Michael Senior, </w:t>
      </w:r>
      <w:r w:rsidRPr="00B01587">
        <w:rPr>
          <w:i/>
          <w:iCs/>
        </w:rPr>
        <w:t>Tales Of King Arthur</w:t>
      </w:r>
      <w:r w:rsidRPr="00B01587">
        <w:t> (London: Collins, 1988)</w:t>
      </w:r>
      <w:r>
        <w:t>.</w:t>
      </w:r>
    </w:p>
  </w:footnote>
  <w:footnote w:id="23">
    <w:p w14:paraId="52ECFD00" w14:textId="108C4B32" w:rsidR="00065058" w:rsidRDefault="00065058" w:rsidP="00065058">
      <w:pPr>
        <w:pStyle w:val="FootnoteText"/>
      </w:pPr>
      <w:r>
        <w:rPr>
          <w:rStyle w:val="FootnoteReference"/>
        </w:rPr>
        <w:footnoteRef/>
      </w:r>
      <w:r>
        <w:t xml:space="preserve"> </w:t>
      </w:r>
      <w:r w:rsidRPr="00065058">
        <w:t>Alfred Tennyson Tennyson, </w:t>
      </w:r>
      <w:r w:rsidRPr="00065058">
        <w:rPr>
          <w:i/>
          <w:iCs/>
        </w:rPr>
        <w:t>Idylls Of The King, And Other Arthurian Poems</w:t>
      </w:r>
      <w:r w:rsidRPr="00065058">
        <w:t> (Champaign, Ill.: Project Gutenberg).</w:t>
      </w:r>
    </w:p>
  </w:footnote>
  <w:footnote w:id="24">
    <w:p w14:paraId="15B6EC7F" w14:textId="683EAA26" w:rsidR="00E52858" w:rsidRDefault="00E52858" w:rsidP="00E52858">
      <w:pPr>
        <w:pStyle w:val="FootnoteText"/>
      </w:pPr>
      <w:r>
        <w:rPr>
          <w:rStyle w:val="FootnoteReference"/>
        </w:rPr>
        <w:footnoteRef/>
      </w:r>
      <w:r>
        <w:t xml:space="preserve"> </w:t>
      </w:r>
      <w:r w:rsidRPr="00E52858">
        <w:t>Bernard Cornwell, </w:t>
      </w:r>
      <w:r>
        <w:rPr>
          <w:i/>
          <w:iCs/>
        </w:rPr>
        <w:t>The Winter King</w:t>
      </w:r>
      <w:r w:rsidRPr="00E52858">
        <w:t> (New York: St. Martin's Press, 199</w:t>
      </w:r>
      <w:r>
        <w:t>5</w:t>
      </w:r>
      <w:r w:rsidRPr="00E52858">
        <w:t>).</w:t>
      </w:r>
    </w:p>
  </w:footnote>
  <w:footnote w:id="25">
    <w:p w14:paraId="259B92D0" w14:textId="203F005A" w:rsidR="00E52858" w:rsidRDefault="00E52858" w:rsidP="00E52858">
      <w:pPr>
        <w:pStyle w:val="FootnoteText"/>
      </w:pPr>
      <w:r>
        <w:rPr>
          <w:rStyle w:val="FootnoteReference"/>
        </w:rPr>
        <w:footnoteRef/>
      </w:r>
      <w:r>
        <w:t xml:space="preserve"> </w:t>
      </w:r>
      <w:r w:rsidRPr="00E52858">
        <w:t>Bernard Cornwell, </w:t>
      </w:r>
      <w:r w:rsidRPr="00E52858">
        <w:rPr>
          <w:i/>
          <w:iCs/>
        </w:rPr>
        <w:t>Excalibur</w:t>
      </w:r>
      <w:r w:rsidRPr="00E52858">
        <w:t> (New York: St. Martin's Press, 1998).</w:t>
      </w:r>
    </w:p>
  </w:footnote>
  <w:footnote w:id="26">
    <w:p w14:paraId="5C5C04C3" w14:textId="52A51987" w:rsidR="00E52858" w:rsidRDefault="00E52858" w:rsidP="00E52858">
      <w:pPr>
        <w:pStyle w:val="FootnoteText"/>
      </w:pPr>
      <w:r>
        <w:rPr>
          <w:rStyle w:val="FootnoteReference"/>
        </w:rPr>
        <w:footnoteRef/>
      </w:r>
      <w:r>
        <w:t xml:space="preserve"> </w:t>
      </w:r>
      <w:r w:rsidRPr="00E52858">
        <w:t>Bernard Cornwell, </w:t>
      </w:r>
      <w:r w:rsidRPr="00E52858">
        <w:rPr>
          <w:i/>
          <w:iCs/>
        </w:rPr>
        <w:t>Excalibur</w:t>
      </w:r>
      <w:r w:rsidRPr="00E52858">
        <w:t> (New York: St. Martin's Press, 1998).</w:t>
      </w:r>
    </w:p>
  </w:footnote>
  <w:footnote w:id="27">
    <w:p w14:paraId="3F08E00B" w14:textId="36B525D3" w:rsidR="00D9167A" w:rsidRDefault="00D9167A" w:rsidP="00D9167A">
      <w:pPr>
        <w:pStyle w:val="FootnoteText"/>
      </w:pPr>
      <w:r>
        <w:rPr>
          <w:rStyle w:val="FootnoteReference"/>
        </w:rPr>
        <w:footnoteRef/>
      </w:r>
      <w:r>
        <w:t xml:space="preserve"> </w:t>
      </w:r>
      <w:r w:rsidRPr="00D9167A">
        <w:t>Guy Ritchie, </w:t>
      </w:r>
      <w:r w:rsidRPr="00D9167A">
        <w:rPr>
          <w:i/>
          <w:iCs/>
        </w:rPr>
        <w:t>King Arthur: Legend Of The Sword</w:t>
      </w:r>
      <w:r w:rsidRPr="00D9167A">
        <w:t> (United Kingdom: Warner Bros, 2017).</w:t>
      </w:r>
    </w:p>
  </w:footnote>
  <w:footnote w:id="28">
    <w:p w14:paraId="5287DC50" w14:textId="77777777" w:rsidR="00D9167A" w:rsidRPr="000A3A1C" w:rsidRDefault="00D9167A" w:rsidP="00D9167A">
      <w:pPr>
        <w:pStyle w:val="FootnoteText"/>
      </w:pPr>
      <w:r>
        <w:rPr>
          <w:rStyle w:val="FootnoteReference"/>
        </w:rPr>
        <w:footnoteRef/>
      </w:r>
      <w:r>
        <w:t xml:space="preserve"> </w:t>
      </w:r>
      <w:r>
        <w:rPr>
          <w:i/>
        </w:rPr>
        <w:t>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7FB"/>
    <w:rsid w:val="000148C7"/>
    <w:rsid w:val="000306E7"/>
    <w:rsid w:val="00040424"/>
    <w:rsid w:val="00065058"/>
    <w:rsid w:val="00072658"/>
    <w:rsid w:val="000C19BF"/>
    <w:rsid w:val="000D459F"/>
    <w:rsid w:val="000F5810"/>
    <w:rsid w:val="00104359"/>
    <w:rsid w:val="00120924"/>
    <w:rsid w:val="00143FFB"/>
    <w:rsid w:val="001657FB"/>
    <w:rsid w:val="00167919"/>
    <w:rsid w:val="00170E19"/>
    <w:rsid w:val="00187387"/>
    <w:rsid w:val="001A5EA7"/>
    <w:rsid w:val="001F3184"/>
    <w:rsid w:val="0023062A"/>
    <w:rsid w:val="002A5621"/>
    <w:rsid w:val="002E06A1"/>
    <w:rsid w:val="003500E1"/>
    <w:rsid w:val="00393668"/>
    <w:rsid w:val="003E3427"/>
    <w:rsid w:val="00412D95"/>
    <w:rsid w:val="00454454"/>
    <w:rsid w:val="00467EBC"/>
    <w:rsid w:val="004B1788"/>
    <w:rsid w:val="004C5B60"/>
    <w:rsid w:val="004E7C6B"/>
    <w:rsid w:val="0055356C"/>
    <w:rsid w:val="005B51B1"/>
    <w:rsid w:val="005B5F6C"/>
    <w:rsid w:val="005C34CF"/>
    <w:rsid w:val="005E4340"/>
    <w:rsid w:val="0061169D"/>
    <w:rsid w:val="006351B6"/>
    <w:rsid w:val="006B50ED"/>
    <w:rsid w:val="006D24F5"/>
    <w:rsid w:val="007134B9"/>
    <w:rsid w:val="00775153"/>
    <w:rsid w:val="007D6385"/>
    <w:rsid w:val="007D6B52"/>
    <w:rsid w:val="00824415"/>
    <w:rsid w:val="008847AB"/>
    <w:rsid w:val="00894A81"/>
    <w:rsid w:val="008A504E"/>
    <w:rsid w:val="00907FA0"/>
    <w:rsid w:val="009661B4"/>
    <w:rsid w:val="00992FFE"/>
    <w:rsid w:val="009F7266"/>
    <w:rsid w:val="00A43B6F"/>
    <w:rsid w:val="00A71E41"/>
    <w:rsid w:val="00A7672A"/>
    <w:rsid w:val="00A965C4"/>
    <w:rsid w:val="00AA56D4"/>
    <w:rsid w:val="00AC340C"/>
    <w:rsid w:val="00AC775A"/>
    <w:rsid w:val="00AF7E00"/>
    <w:rsid w:val="00B01587"/>
    <w:rsid w:val="00B337B8"/>
    <w:rsid w:val="00B52519"/>
    <w:rsid w:val="00B673A9"/>
    <w:rsid w:val="00B72DBD"/>
    <w:rsid w:val="00B81CD3"/>
    <w:rsid w:val="00BB2E72"/>
    <w:rsid w:val="00BC6F21"/>
    <w:rsid w:val="00BD0779"/>
    <w:rsid w:val="00C01D40"/>
    <w:rsid w:val="00CC1619"/>
    <w:rsid w:val="00D17107"/>
    <w:rsid w:val="00D26D51"/>
    <w:rsid w:val="00D31A6C"/>
    <w:rsid w:val="00D52F2A"/>
    <w:rsid w:val="00D85B23"/>
    <w:rsid w:val="00D87D27"/>
    <w:rsid w:val="00D9167A"/>
    <w:rsid w:val="00DD042D"/>
    <w:rsid w:val="00DE6B82"/>
    <w:rsid w:val="00E00D2E"/>
    <w:rsid w:val="00E20488"/>
    <w:rsid w:val="00E31BE9"/>
    <w:rsid w:val="00E3215B"/>
    <w:rsid w:val="00E52858"/>
    <w:rsid w:val="00EC0F90"/>
    <w:rsid w:val="00F61176"/>
    <w:rsid w:val="00F91AFB"/>
    <w:rsid w:val="00F974E5"/>
    <w:rsid w:val="00FB4C7B"/>
    <w:rsid w:val="00FC02C3"/>
    <w:rsid w:val="00FE0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7208C"/>
  <w15:chartTrackingRefBased/>
  <w15:docId w15:val="{447978D0-D292-4D3E-9E37-8136C7A7E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72DB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2DBD"/>
    <w:rPr>
      <w:sz w:val="20"/>
      <w:szCs w:val="20"/>
    </w:rPr>
  </w:style>
  <w:style w:type="character" w:styleId="FootnoteReference">
    <w:name w:val="footnote reference"/>
    <w:basedOn w:val="DefaultParagraphFont"/>
    <w:uiPriority w:val="99"/>
    <w:semiHidden/>
    <w:unhideWhenUsed/>
    <w:rsid w:val="00B72DB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4093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E82E8A-43AA-470B-90BF-C3B0249CC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354</TotalTime>
  <Pages>15</Pages>
  <Words>3930</Words>
  <Characters>22406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c:creator>
  <cp:keywords/>
  <dc:description/>
  <cp:lastModifiedBy>AB</cp:lastModifiedBy>
  <cp:revision>63</cp:revision>
  <dcterms:created xsi:type="dcterms:W3CDTF">2019-01-03T12:45:00Z</dcterms:created>
  <dcterms:modified xsi:type="dcterms:W3CDTF">2019-01-14T15:09:00Z</dcterms:modified>
</cp:coreProperties>
</file>