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BE0D13" w14:textId="77777777" w:rsidR="00E07F04" w:rsidRPr="00E07F04" w:rsidRDefault="00E07F04" w:rsidP="00E07F04">
      <w:pPr>
        <w:ind w:left="360"/>
        <w:rPr>
          <w:rFonts w:ascii="Arial" w:hAnsi="Arial" w:cs="Arial"/>
          <w:b/>
          <w:bCs/>
          <w:sz w:val="36"/>
          <w:szCs w:val="36"/>
        </w:rPr>
      </w:pPr>
      <w:r w:rsidRPr="00E07F04">
        <w:rPr>
          <w:rFonts w:ascii="Arial" w:hAnsi="Arial" w:cs="Arial"/>
          <w:b/>
          <w:bCs/>
          <w:sz w:val="36"/>
          <w:szCs w:val="36"/>
        </w:rPr>
        <w:t xml:space="preserve">Discuss and critically analyse the risks and benefits of </w:t>
      </w:r>
      <w:r w:rsidRPr="00E07F04">
        <w:rPr>
          <w:rFonts w:ascii="Arial" w:hAnsi="Arial" w:cs="Arial"/>
          <w:b/>
          <w:bCs/>
          <w:sz w:val="36"/>
          <w:szCs w:val="36"/>
          <w:u w:val="single"/>
        </w:rPr>
        <w:t>non-electronic</w:t>
      </w:r>
      <w:r w:rsidRPr="00E07F04">
        <w:rPr>
          <w:rFonts w:ascii="Arial" w:hAnsi="Arial" w:cs="Arial"/>
          <w:b/>
          <w:bCs/>
          <w:sz w:val="36"/>
          <w:szCs w:val="36"/>
        </w:rPr>
        <w:t xml:space="preserve"> resources for conducting practical legal research. </w:t>
      </w:r>
    </w:p>
    <w:p w14:paraId="371D5973" w14:textId="396F0ACF" w:rsidR="00AB130A" w:rsidRDefault="00AB130A"/>
    <w:p w14:paraId="73FE75CC" w14:textId="03FA01B5" w:rsidR="00052BCB" w:rsidRDefault="00052BCB"/>
    <w:p w14:paraId="1BA0A367" w14:textId="743B9EE7" w:rsidR="009416D5" w:rsidRDefault="00052BCB">
      <w:pPr>
        <w:rPr>
          <w:sz w:val="28"/>
          <w:szCs w:val="28"/>
        </w:rPr>
      </w:pPr>
      <w:r w:rsidRPr="00052BCB">
        <w:rPr>
          <w:sz w:val="28"/>
          <w:szCs w:val="28"/>
        </w:rPr>
        <w:t xml:space="preserve">      To answer the question posed in this essay, I will critically examine the risks and benefits of conducting legal research using non-electronic sources.</w:t>
      </w:r>
      <w:r w:rsidR="000775BF" w:rsidRPr="000775BF">
        <w:t xml:space="preserve"> </w:t>
      </w:r>
      <w:r w:rsidR="000775BF" w:rsidRPr="000775BF">
        <w:rPr>
          <w:sz w:val="28"/>
          <w:szCs w:val="28"/>
        </w:rPr>
        <w:t xml:space="preserve">Even though more and more research </w:t>
      </w:r>
      <w:proofErr w:type="gramStart"/>
      <w:r w:rsidR="000775BF" w:rsidRPr="000775BF">
        <w:rPr>
          <w:sz w:val="28"/>
          <w:szCs w:val="28"/>
        </w:rPr>
        <w:t>is</w:t>
      </w:r>
      <w:proofErr w:type="gramEnd"/>
      <w:r w:rsidR="000775BF" w:rsidRPr="000775BF">
        <w:rPr>
          <w:sz w:val="28"/>
          <w:szCs w:val="28"/>
        </w:rPr>
        <w:t xml:space="preserve"> done digitally, non-electronic sources are still used in academic research. Books, journals, newspapers, and magazines are the most common non-electronic sources. Non-electronic sources are still used in academic research for a variety of reasons, including the fact that they sometimes contain more detailed information than online sources</w:t>
      </w:r>
      <w:r w:rsidR="000775BF">
        <w:rPr>
          <w:sz w:val="28"/>
          <w:szCs w:val="28"/>
        </w:rPr>
        <w:t xml:space="preserve"> furthermore</w:t>
      </w:r>
      <w:r w:rsidR="000775BF" w:rsidRPr="000775BF">
        <w:rPr>
          <w:sz w:val="28"/>
          <w:szCs w:val="28"/>
        </w:rPr>
        <w:t xml:space="preserve"> they are regarded as more trustworthy, authentic, and credible.</w:t>
      </w:r>
      <w:r w:rsidR="009416D5">
        <w:rPr>
          <w:sz w:val="28"/>
          <w:szCs w:val="28"/>
        </w:rPr>
        <w:t xml:space="preserve"> </w:t>
      </w:r>
      <w:r w:rsidR="009416D5" w:rsidRPr="009416D5">
        <w:rPr>
          <w:sz w:val="28"/>
          <w:szCs w:val="28"/>
        </w:rPr>
        <w:t>Although non-electronic sources of information are more credible and sufficient, the introduction of the web world has raised the question of whether paper sources are still used.</w:t>
      </w:r>
    </w:p>
    <w:p w14:paraId="470E628D" w14:textId="77777777" w:rsidR="00C41078" w:rsidRPr="00C41078" w:rsidRDefault="009416D5" w:rsidP="00C41078">
      <w:pPr>
        <w:rPr>
          <w:sz w:val="28"/>
          <w:szCs w:val="28"/>
        </w:rPr>
      </w:pPr>
      <w:r>
        <w:rPr>
          <w:sz w:val="28"/>
          <w:szCs w:val="28"/>
        </w:rPr>
        <w:t xml:space="preserve">     </w:t>
      </w:r>
      <w:r w:rsidR="000B60DB" w:rsidRPr="000B60DB">
        <w:rPr>
          <w:sz w:val="28"/>
          <w:szCs w:val="28"/>
        </w:rPr>
        <w:t>Paper sources of information remain one of the most effective methods of conducting legal research. Since law is based on facts and evidence, critics still advise using books and journals to support any thesis.</w:t>
      </w:r>
      <w:r w:rsidR="00DB4ED6">
        <w:rPr>
          <w:sz w:val="28"/>
          <w:szCs w:val="28"/>
        </w:rPr>
        <w:t xml:space="preserve"> As non-electronic resources are more credible.</w:t>
      </w:r>
      <w:r w:rsidR="007F4A2B" w:rsidRPr="007F4A2B">
        <w:t xml:space="preserve"> </w:t>
      </w:r>
      <w:r w:rsidR="00C41078" w:rsidRPr="00C41078">
        <w:rPr>
          <w:sz w:val="28"/>
          <w:szCs w:val="28"/>
        </w:rPr>
        <w:t>In contrast to books that include "official" copies of legislation or case reports, which are referred to as "flaw," the phrase "literary sources" is used to refer to publications that are about the legal system. Textbooks for students, books written for professionals, articles from academic and professional magazines, and articles from newspapers are all included in this collection. In this category, we might also include emerging forms of media, such as websites that feature commentary and blogs.</w:t>
      </w:r>
    </w:p>
    <w:p w14:paraId="64EFD683" w14:textId="28055B83" w:rsidR="000775BF" w:rsidRDefault="00C41078" w:rsidP="00C41078">
      <w:pPr>
        <w:rPr>
          <w:sz w:val="28"/>
          <w:szCs w:val="28"/>
        </w:rPr>
      </w:pPr>
      <w:r w:rsidRPr="00C41078">
        <w:rPr>
          <w:sz w:val="28"/>
          <w:szCs w:val="28"/>
        </w:rPr>
        <w:t>We start with literary sources since locating a book that covers a subject is frequently the quickest and easiest method to get started investigating a problem. This may also feel more familiar to you at the beginning of your legal career than going to the cases and legislation themselves (though going to those will be crucial, as we will see in the following section). When compared to books of law, which are considered primary sources, literary sources are sometimes also referred to as secondary sources. This is done to differentiate literary sources from primary sources. Be very careful not to confound the definition of the word "secondary," which refers to literary works, with other applications of the term, especially regarding secondary laws.</w:t>
      </w:r>
      <w:r>
        <w:rPr>
          <w:sz w:val="28"/>
          <w:szCs w:val="28"/>
        </w:rPr>
        <w:t xml:space="preserve"> </w:t>
      </w:r>
      <w:r w:rsidRPr="007F4A2B">
        <w:rPr>
          <w:sz w:val="28"/>
          <w:szCs w:val="28"/>
        </w:rPr>
        <w:t xml:space="preserve"> When</w:t>
      </w:r>
      <w:r w:rsidR="007F4A2B" w:rsidRPr="007F4A2B">
        <w:rPr>
          <w:sz w:val="28"/>
          <w:szCs w:val="28"/>
        </w:rPr>
        <w:t xml:space="preserve"> conducting legal research, using non-electronic sources of information has several benefits, some of the most important of which are that the information obtained from these sources is always credible, that you can find a book on almost any topic you require, and that books are easy to navigate. Reading more and expanding your vocabulary are both skills that can be improved by using paper sources of information. Textbooks give students with a physical method of learning and assist them in processing the material in a way that is easier for </w:t>
      </w:r>
      <w:r w:rsidR="007F4A2B" w:rsidRPr="007F4A2B">
        <w:rPr>
          <w:sz w:val="28"/>
          <w:szCs w:val="28"/>
        </w:rPr>
        <w:lastRenderedPageBreak/>
        <w:t>them to do than when it is displayed on a screen. It comes as a surprise that a significant number of people continue to favour studying through traditional means such as books and notes. It is less difficult to gain access to and perform tasks with. In addition, the books usually begin with a page that provides information on how to find precisely the subject that is of interest to the reader.</w:t>
      </w:r>
      <w:r w:rsidR="007635D9">
        <w:rPr>
          <w:sz w:val="28"/>
          <w:szCs w:val="28"/>
        </w:rPr>
        <w:t xml:space="preserve"> </w:t>
      </w:r>
      <w:r w:rsidR="007635D9" w:rsidRPr="007635D9">
        <w:rPr>
          <w:sz w:val="28"/>
          <w:szCs w:val="28"/>
        </w:rPr>
        <w:t>However, compared to electronic data sources, non-digital data sources have a substantial number of disadvantages. The internet not only simplifies our daily lives, but also enables us to obtain information and verify it with other sources. The introduction of computer-based legal research has made attorneys' and everyone else's lives easier. If you know exactly what you're looking for, you may now find a single legislation or act on the Internet in a matter of seconds, as opposed to spending hours searching through volumes. This is a substantial advance over the prior method, which included searching through books. On the other hand, you should approach the stuff you obtain on the internet with extreme caution due to the vast quantity of informational pages on the web. The process of performing legal research entails not only locating pertinent information, but also evaluating and analysing the client's problem, keeping records, drawing conclusions, and developing a strategy that we may then deliver to the client.</w:t>
      </w:r>
      <w:r w:rsidR="007635D9" w:rsidRPr="007635D9">
        <w:t xml:space="preserve"> </w:t>
      </w:r>
      <w:r w:rsidR="007635D9" w:rsidRPr="007635D9">
        <w:rPr>
          <w:sz w:val="28"/>
          <w:szCs w:val="28"/>
        </w:rPr>
        <w:t>(Webb et al., 2019)</w:t>
      </w:r>
      <w:r w:rsidR="0069595C">
        <w:rPr>
          <w:sz w:val="28"/>
          <w:szCs w:val="28"/>
        </w:rPr>
        <w:t xml:space="preserve"> </w:t>
      </w:r>
      <w:r w:rsidR="0069595C" w:rsidRPr="0069595C">
        <w:rPr>
          <w:sz w:val="28"/>
          <w:szCs w:val="28"/>
        </w:rPr>
        <w:t>When compared to the internet, one of the drawbacks of using non-electronic sources of information is that books do not contribute positively to the environment because they are composed of paper, which is derived from trees. The harvesting of a significant number of trees takes place on an annual basis to meet the demand for paper products. One more point is that books are typically cumbersome, and you will need to transport them. On the other hand, using the internet is much simpler, and you will be able to access the material from anywhere if you have a digital device and an internet connection. You do not require a location where you may save the information, which is the total reverse of the case with books. On the other hand, reading a book may make it simpler to concentrate, given that the internet is frequently a source of many distractions.</w:t>
      </w:r>
      <w:r w:rsidR="0069595C" w:rsidRPr="0069595C">
        <w:t xml:space="preserve"> </w:t>
      </w:r>
      <w:r w:rsidR="0069595C" w:rsidRPr="0069595C">
        <w:rPr>
          <w:sz w:val="28"/>
          <w:szCs w:val="28"/>
        </w:rPr>
        <w:t>(Holland and Webb, 2019)</w:t>
      </w:r>
      <w:r w:rsidR="00EE27A7" w:rsidRPr="00EE27A7">
        <w:t xml:space="preserve"> </w:t>
      </w:r>
      <w:r w:rsidR="00EE27A7" w:rsidRPr="00EE27A7">
        <w:rPr>
          <w:sz w:val="28"/>
          <w:szCs w:val="28"/>
        </w:rPr>
        <w:t>However, printed materials are still an important part of the research that is done in the process of legal practise.</w:t>
      </w:r>
      <w:r w:rsidR="00EE27A7">
        <w:rPr>
          <w:sz w:val="28"/>
          <w:szCs w:val="28"/>
        </w:rPr>
        <w:t xml:space="preserve"> Due to the </w:t>
      </w:r>
      <w:proofErr w:type="spellStart"/>
      <w:r w:rsidR="00EE27A7">
        <w:rPr>
          <w:sz w:val="28"/>
          <w:szCs w:val="28"/>
        </w:rPr>
        <w:t>facr</w:t>
      </w:r>
      <w:proofErr w:type="spellEnd"/>
      <w:r w:rsidR="00EE27A7" w:rsidRPr="00EE27A7">
        <w:rPr>
          <w:sz w:val="28"/>
          <w:szCs w:val="28"/>
        </w:rPr>
        <w:t xml:space="preserve"> of the high cost of database subscriptions, cost may be a barrier that prevents some businesses, particularly smaller ones, from expanding. Simple to get there in all respects (no need for passwords or training in search software). </w:t>
      </w:r>
      <w:r w:rsidR="005D2572">
        <w:rPr>
          <w:sz w:val="28"/>
          <w:szCs w:val="28"/>
        </w:rPr>
        <w:t>Additionally paper base research canno</w:t>
      </w:r>
      <w:r w:rsidR="005D2572" w:rsidRPr="00EE27A7">
        <w:rPr>
          <w:sz w:val="28"/>
          <w:szCs w:val="28"/>
        </w:rPr>
        <w:t>t</w:t>
      </w:r>
      <w:r w:rsidR="00EE27A7" w:rsidRPr="00EE27A7">
        <w:rPr>
          <w:sz w:val="28"/>
          <w:szCs w:val="28"/>
        </w:rPr>
        <w:t xml:space="preserve"> </w:t>
      </w:r>
      <w:r w:rsidR="005D2572">
        <w:rPr>
          <w:sz w:val="28"/>
          <w:szCs w:val="28"/>
        </w:rPr>
        <w:t xml:space="preserve">be </w:t>
      </w:r>
      <w:r w:rsidR="00EE27A7" w:rsidRPr="00EE27A7">
        <w:rPr>
          <w:sz w:val="28"/>
          <w:szCs w:val="28"/>
        </w:rPr>
        <w:t>impacted by a malfunction in the technical system. It is straightforward to compare two or more sources at the same time, and it is also much less difficult to reference.</w:t>
      </w:r>
      <w:r w:rsidR="00EE27A7" w:rsidRPr="00EE27A7">
        <w:t xml:space="preserve"> </w:t>
      </w:r>
      <w:r w:rsidR="00EE27A7" w:rsidRPr="00EE27A7">
        <w:rPr>
          <w:sz w:val="28"/>
          <w:szCs w:val="28"/>
        </w:rPr>
        <w:t>(Elkington et al., 2019)</w:t>
      </w:r>
    </w:p>
    <w:p w14:paraId="1C158F46" w14:textId="355865D3" w:rsidR="005D2572" w:rsidRDefault="005D2572" w:rsidP="005D2572">
      <w:pPr>
        <w:rPr>
          <w:b/>
          <w:bCs/>
          <w:sz w:val="36"/>
          <w:szCs w:val="36"/>
        </w:rPr>
      </w:pPr>
      <w:r w:rsidRPr="005D2572">
        <w:rPr>
          <w:b/>
          <w:bCs/>
          <w:sz w:val="36"/>
          <w:szCs w:val="36"/>
        </w:rPr>
        <w:t>Finding primary and secondary sources</w:t>
      </w:r>
    </w:p>
    <w:p w14:paraId="7AE1B7C4" w14:textId="77777777" w:rsidR="00C2526E" w:rsidRPr="00C2526E" w:rsidRDefault="009F043B" w:rsidP="00C2526E">
      <w:pPr>
        <w:rPr>
          <w:sz w:val="28"/>
          <w:szCs w:val="28"/>
        </w:rPr>
      </w:pPr>
      <w:r w:rsidRPr="009F043B">
        <w:rPr>
          <w:sz w:val="28"/>
          <w:szCs w:val="28"/>
        </w:rPr>
        <w:t xml:space="preserve">Acts of Parliament and other statutory instruments are the two primary components of legislation. Each demands a different set of searching strategies because they were buried in different places. Acts of Parliament can be found in </w:t>
      </w:r>
      <w:proofErr w:type="gramStart"/>
      <w:r w:rsidRPr="009F043B">
        <w:rPr>
          <w:sz w:val="28"/>
          <w:szCs w:val="28"/>
        </w:rPr>
        <w:t>a number of</w:t>
      </w:r>
      <w:proofErr w:type="gramEnd"/>
      <w:r w:rsidRPr="009F043B">
        <w:rPr>
          <w:sz w:val="28"/>
          <w:szCs w:val="28"/>
        </w:rPr>
        <w:t xml:space="preserve"> different series as well as online. The initial responsibility for </w:t>
      </w:r>
      <w:r w:rsidRPr="009F043B">
        <w:rPr>
          <w:sz w:val="28"/>
          <w:szCs w:val="28"/>
        </w:rPr>
        <w:lastRenderedPageBreak/>
        <w:t>publication falls on the Stationery Office, which, in its capacity as the government printer, is obligated to produce individual copies of every piece of legislation that is passed. These are eventually compiled into yearly bound volumes of the Public General Acts and Measures, which serve as the definitive version. In addition, every statute that has been passed since 1988 can be accessed through the National Archives</w:t>
      </w:r>
      <w:r>
        <w:rPr>
          <w:sz w:val="28"/>
          <w:szCs w:val="28"/>
        </w:rPr>
        <w:t xml:space="preserve"> (</w:t>
      </w:r>
      <w:hyperlink r:id="rId5" w:history="1">
        <w:r w:rsidRPr="0010106F">
          <w:rPr>
            <w:rStyle w:val="Hyperlink"/>
            <w:sz w:val="28"/>
            <w:szCs w:val="28"/>
          </w:rPr>
          <w:t>www.legislation.gov.uk</w:t>
        </w:r>
      </w:hyperlink>
      <w:r>
        <w:rPr>
          <w:sz w:val="28"/>
          <w:szCs w:val="28"/>
        </w:rPr>
        <w:t xml:space="preserve">) </w:t>
      </w:r>
      <w:r w:rsidRPr="009F043B">
        <w:rPr>
          <w:sz w:val="28"/>
          <w:szCs w:val="28"/>
        </w:rPr>
        <w:t>(Gov.UK, 2022)</w:t>
      </w:r>
      <w:r>
        <w:rPr>
          <w:sz w:val="28"/>
          <w:szCs w:val="28"/>
        </w:rPr>
        <w:t xml:space="preserve"> </w:t>
      </w:r>
      <w:r w:rsidRPr="009F043B">
        <w:rPr>
          <w:sz w:val="28"/>
          <w:szCs w:val="28"/>
        </w:rPr>
        <w:t>(Holland and Webb, 2019)</w:t>
      </w:r>
      <w:r w:rsidR="00C2526E">
        <w:rPr>
          <w:sz w:val="28"/>
          <w:szCs w:val="28"/>
        </w:rPr>
        <w:t xml:space="preserve"> </w:t>
      </w:r>
      <w:r w:rsidR="00C2526E" w:rsidRPr="00C2526E">
        <w:rPr>
          <w:sz w:val="28"/>
          <w:szCs w:val="28"/>
        </w:rPr>
        <w:t>Law Reports and statutes is a collection that is also produced by the Incorporated Council of Law Reporting, which is where the collection gets its somewhat incongruously called name from. There are no annotations or changes made to the contents</w:t>
      </w:r>
      <w:r w:rsidR="00C2526E">
        <w:rPr>
          <w:sz w:val="28"/>
          <w:szCs w:val="28"/>
        </w:rPr>
        <w:t xml:space="preserve"> </w:t>
      </w:r>
      <w:r w:rsidR="00C2526E" w:rsidRPr="00C2526E">
        <w:rPr>
          <w:sz w:val="28"/>
          <w:szCs w:val="28"/>
        </w:rPr>
        <w:t>as a result, they do not offer anything else from the copies that are provided by the Stationery Office.</w:t>
      </w:r>
      <w:r w:rsidR="00C2526E">
        <w:rPr>
          <w:sz w:val="28"/>
          <w:szCs w:val="28"/>
        </w:rPr>
        <w:t xml:space="preserve"> </w:t>
      </w:r>
      <w:r w:rsidR="00C2526E" w:rsidRPr="00C2526E">
        <w:rPr>
          <w:sz w:val="28"/>
          <w:szCs w:val="28"/>
        </w:rPr>
        <w:t xml:space="preserve">The Acts of Parliament of England </w:t>
      </w:r>
      <w:proofErr w:type="gramStart"/>
      <w:r w:rsidR="00C2526E" w:rsidRPr="00C2526E">
        <w:rPr>
          <w:sz w:val="28"/>
          <w:szCs w:val="28"/>
        </w:rPr>
        <w:t>In</w:t>
      </w:r>
      <w:proofErr w:type="gramEnd"/>
      <w:r w:rsidR="00C2526E" w:rsidRPr="00C2526E">
        <w:rPr>
          <w:sz w:val="28"/>
          <w:szCs w:val="28"/>
        </w:rPr>
        <w:t xml:space="preserve"> accordance with Halsbury</w:t>
      </w:r>
    </w:p>
    <w:p w14:paraId="6EEAFE4A" w14:textId="39CB78C5" w:rsidR="00800509" w:rsidRDefault="00C2526E" w:rsidP="00C2526E">
      <w:pPr>
        <w:rPr>
          <w:sz w:val="28"/>
          <w:szCs w:val="28"/>
        </w:rPr>
      </w:pPr>
      <w:r w:rsidRPr="00C2526E">
        <w:rPr>
          <w:sz w:val="28"/>
          <w:szCs w:val="28"/>
        </w:rPr>
        <w:t xml:space="preserve">This series acts as a companion to Halsbury's Laws and contains an annotated version of every piece of law currently in effect, organised by subject. As a result, it is the principal resource for assessing </w:t>
      </w:r>
      <w:proofErr w:type="gramStart"/>
      <w:r w:rsidRPr="00C2526E">
        <w:rPr>
          <w:sz w:val="28"/>
          <w:szCs w:val="28"/>
        </w:rPr>
        <w:t>whether or not</w:t>
      </w:r>
      <w:proofErr w:type="gramEnd"/>
      <w:r w:rsidRPr="00C2526E">
        <w:rPr>
          <w:sz w:val="28"/>
          <w:szCs w:val="28"/>
        </w:rPr>
        <w:t xml:space="preserve"> a subject is covered by legislation. As soon as a legislation is enacted, it is published in a format that permits the removal of individual pages. An expert in that field of law gives annotations for those that the editors judge to be of sufficient importance. Although the annotations are not part of the Act and so have no legal effect, they can be extremely helpful in illuminating the Act's background, scope, and intended application. The Current Law Statutes Annotated is published throughout each year in bound volumes. These volumes are printed sequentially, based on the chapter numbers of the Acts, and bound together. </w:t>
      </w:r>
      <w:r w:rsidRPr="009F043B">
        <w:rPr>
          <w:sz w:val="28"/>
          <w:szCs w:val="28"/>
        </w:rPr>
        <w:t>(Holland and Webb, 2019)</w:t>
      </w:r>
      <w:r w:rsidR="009E41C4">
        <w:rPr>
          <w:sz w:val="28"/>
          <w:szCs w:val="28"/>
        </w:rPr>
        <w:t xml:space="preserve"> </w:t>
      </w:r>
      <w:r w:rsidR="009E41C4" w:rsidRPr="009E41C4">
        <w:rPr>
          <w:sz w:val="28"/>
          <w:szCs w:val="28"/>
        </w:rPr>
        <w:t>The Stationery Office publishes statutory instruments (SIs) in a different format, which may be found in the yearly bound volumes of Statutory Instruments. SIs are also available in an electronic format on the website www.legislation.govuk (beginning in 1987), as well as on Lexis Library</w:t>
      </w:r>
      <w:r w:rsidR="009E41C4">
        <w:rPr>
          <w:sz w:val="28"/>
          <w:szCs w:val="28"/>
        </w:rPr>
        <w:t xml:space="preserve"> </w:t>
      </w:r>
      <w:r w:rsidR="009E41C4" w:rsidRPr="009E41C4">
        <w:rPr>
          <w:sz w:val="28"/>
          <w:szCs w:val="28"/>
        </w:rPr>
        <w:t>(Lexis, 2022) and Westlaw</w:t>
      </w:r>
      <w:r w:rsidR="009E41C4">
        <w:rPr>
          <w:sz w:val="28"/>
          <w:szCs w:val="28"/>
        </w:rPr>
        <w:t xml:space="preserve"> </w:t>
      </w:r>
      <w:r w:rsidR="009E41C4" w:rsidRPr="009E41C4">
        <w:rPr>
          <w:sz w:val="28"/>
          <w:szCs w:val="28"/>
        </w:rPr>
        <w:t xml:space="preserve">(Westlaw, n.d.). Halsbury's Statutory Instruments is the primary alternative paper source for statutory instruments (SIs). It is a set of numerous volumes that is organised by subject, and it includes a Current Service that contains instruments that have been passed since the release of the bound volumes. Although not always in the form of entire texts, Halsbury's offers information on </w:t>
      </w:r>
      <w:proofErr w:type="gramStart"/>
      <w:r w:rsidR="009E41C4" w:rsidRPr="009E41C4">
        <w:rPr>
          <w:sz w:val="28"/>
          <w:szCs w:val="28"/>
        </w:rPr>
        <w:t>all of</w:t>
      </w:r>
      <w:proofErr w:type="gramEnd"/>
      <w:r w:rsidR="009E41C4" w:rsidRPr="009E41C4">
        <w:rPr>
          <w:sz w:val="28"/>
          <w:szCs w:val="28"/>
        </w:rPr>
        <w:t xml:space="preserve"> the instruments that are currently in effect. It is important to keep in mind that statutory instruments also have their very own mode of reference, which consists of the title of the instrument, the year in which it was enacted, and the instrument number.</w:t>
      </w:r>
      <w:r w:rsidR="009E41C4">
        <w:rPr>
          <w:sz w:val="28"/>
          <w:szCs w:val="28"/>
        </w:rPr>
        <w:t xml:space="preserve"> </w:t>
      </w:r>
      <w:r w:rsidR="009E41C4" w:rsidRPr="009F043B">
        <w:rPr>
          <w:sz w:val="28"/>
          <w:szCs w:val="28"/>
        </w:rPr>
        <w:t>(Holland and Webb, 2019)</w:t>
      </w:r>
      <w:r w:rsidR="00A2544E">
        <w:rPr>
          <w:sz w:val="28"/>
          <w:szCs w:val="28"/>
        </w:rPr>
        <w:t xml:space="preserve"> </w:t>
      </w:r>
      <w:r w:rsidR="000E60DF" w:rsidRPr="000E60DF">
        <w:rPr>
          <w:sz w:val="28"/>
          <w:szCs w:val="28"/>
        </w:rPr>
        <w:t>Remembering that the English legal system is a common law system, in fact the mother of all common law systems, the significance of case law, also known as common law, in the process of creating and refining our laws cannot be underestimated. The mother of all common law systems is the English legal system. The rulings made by judges, which laid down legal principles, were developed from the specific circumstances of the conflicts that were brought before them.</w:t>
      </w:r>
      <w:r w:rsidR="000E60DF">
        <w:rPr>
          <w:sz w:val="28"/>
          <w:szCs w:val="28"/>
        </w:rPr>
        <w:t xml:space="preserve"> </w:t>
      </w:r>
      <w:r w:rsidR="008B53C0" w:rsidRPr="008B53C0">
        <w:rPr>
          <w:sz w:val="28"/>
          <w:szCs w:val="28"/>
        </w:rPr>
        <w:t>(</w:t>
      </w:r>
      <w:proofErr w:type="spellStart"/>
      <w:r w:rsidR="008B53C0" w:rsidRPr="008B53C0">
        <w:rPr>
          <w:sz w:val="28"/>
          <w:szCs w:val="28"/>
        </w:rPr>
        <w:t>Darbyshire</w:t>
      </w:r>
      <w:proofErr w:type="spellEnd"/>
      <w:r w:rsidR="008B53C0" w:rsidRPr="008B53C0">
        <w:rPr>
          <w:sz w:val="28"/>
          <w:szCs w:val="28"/>
        </w:rPr>
        <w:t>, 2014)</w:t>
      </w:r>
      <w:r w:rsidR="008B53C0">
        <w:rPr>
          <w:sz w:val="28"/>
          <w:szCs w:val="28"/>
        </w:rPr>
        <w:t xml:space="preserve"> </w:t>
      </w:r>
      <w:r w:rsidR="00A2544E" w:rsidRPr="00A2544E">
        <w:rPr>
          <w:sz w:val="28"/>
          <w:szCs w:val="28"/>
        </w:rPr>
        <w:t xml:space="preserve">When looking for case law in a </w:t>
      </w:r>
      <w:r w:rsidR="00A2544E" w:rsidRPr="00A2544E">
        <w:rPr>
          <w:sz w:val="28"/>
          <w:szCs w:val="28"/>
        </w:rPr>
        <w:lastRenderedPageBreak/>
        <w:t xml:space="preserve">library, you can of course make use of the wide variety of documents and resources that are available there. A table of cases is typically included in </w:t>
      </w:r>
      <w:proofErr w:type="gramStart"/>
      <w:r w:rsidR="00A2544E" w:rsidRPr="00A2544E">
        <w:rPr>
          <w:sz w:val="28"/>
          <w:szCs w:val="28"/>
        </w:rPr>
        <w:t>each and every</w:t>
      </w:r>
      <w:proofErr w:type="gramEnd"/>
      <w:r w:rsidR="00A2544E" w:rsidRPr="00A2544E">
        <w:rPr>
          <w:sz w:val="28"/>
          <w:szCs w:val="28"/>
        </w:rPr>
        <w:t xml:space="preserve"> legal text, and in order to better assist the reader and make the instances easier to locate, the cases are arranged in alphabetical order. Students today appear to make extensive use of various online resources, such as Lexis </w:t>
      </w:r>
      <w:proofErr w:type="gramStart"/>
      <w:r w:rsidR="00A2544E" w:rsidRPr="00A2544E">
        <w:rPr>
          <w:sz w:val="28"/>
          <w:szCs w:val="28"/>
        </w:rPr>
        <w:t xml:space="preserve">and </w:t>
      </w:r>
      <w:r w:rsidR="00A2544E">
        <w:rPr>
          <w:sz w:val="28"/>
          <w:szCs w:val="28"/>
        </w:rPr>
        <w:t xml:space="preserve"> </w:t>
      </w:r>
      <w:r w:rsidR="00A2544E" w:rsidRPr="00A2544E">
        <w:rPr>
          <w:sz w:val="28"/>
          <w:szCs w:val="28"/>
        </w:rPr>
        <w:t>British</w:t>
      </w:r>
      <w:proofErr w:type="gramEnd"/>
      <w:r w:rsidR="00A2544E" w:rsidRPr="00A2544E">
        <w:rPr>
          <w:sz w:val="28"/>
          <w:szCs w:val="28"/>
        </w:rPr>
        <w:t xml:space="preserve"> and Irish Legal Information Institute</w:t>
      </w:r>
      <w:r w:rsidR="00A2544E">
        <w:rPr>
          <w:sz w:val="28"/>
          <w:szCs w:val="28"/>
        </w:rPr>
        <w:t xml:space="preserve"> </w:t>
      </w:r>
      <w:r w:rsidR="00A2544E" w:rsidRPr="00A2544E">
        <w:rPr>
          <w:sz w:val="28"/>
          <w:szCs w:val="28"/>
        </w:rPr>
        <w:t>(Bailii.org</w:t>
      </w:r>
      <w:r w:rsidR="00A2544E">
        <w:rPr>
          <w:sz w:val="28"/>
          <w:szCs w:val="28"/>
        </w:rPr>
        <w:t>.</w:t>
      </w:r>
      <w:r w:rsidR="00A2544E" w:rsidRPr="00A2544E">
        <w:rPr>
          <w:sz w:val="28"/>
          <w:szCs w:val="28"/>
        </w:rPr>
        <w:t>)</w:t>
      </w:r>
      <w:r w:rsidR="00A2544E">
        <w:rPr>
          <w:sz w:val="28"/>
          <w:szCs w:val="28"/>
        </w:rPr>
        <w:t xml:space="preserve"> </w:t>
      </w:r>
      <w:r w:rsidR="00A2544E" w:rsidRPr="00A2544E">
        <w:rPr>
          <w:sz w:val="28"/>
          <w:szCs w:val="28"/>
        </w:rPr>
        <w:t>, in order to research legal cases on the internet (British and Irish Legal Information Institute)</w:t>
      </w:r>
      <w:r w:rsidR="008B53C0">
        <w:rPr>
          <w:sz w:val="28"/>
          <w:szCs w:val="28"/>
        </w:rPr>
        <w:t xml:space="preserve">. </w:t>
      </w:r>
      <w:r w:rsidR="008B53C0" w:rsidRPr="008B53C0">
        <w:rPr>
          <w:sz w:val="28"/>
          <w:szCs w:val="28"/>
        </w:rPr>
        <w:t xml:space="preserve">The Incorporated Council of Law Reporting was created the same year, in 1870. The Official Law Reports are produced by this organisation. They are published </w:t>
      </w:r>
      <w:proofErr w:type="spellStart"/>
      <w:r w:rsidR="008B53C0" w:rsidRPr="008B53C0">
        <w:rPr>
          <w:sz w:val="28"/>
          <w:szCs w:val="28"/>
        </w:rPr>
        <w:t>some time</w:t>
      </w:r>
      <w:proofErr w:type="spellEnd"/>
      <w:r w:rsidR="008B53C0" w:rsidRPr="008B53C0">
        <w:rPr>
          <w:sz w:val="28"/>
          <w:szCs w:val="28"/>
        </w:rPr>
        <w:t xml:space="preserve"> after the judgement has been issued, but they </w:t>
      </w:r>
      <w:proofErr w:type="gramStart"/>
      <w:r w:rsidR="008B53C0" w:rsidRPr="008B53C0">
        <w:rPr>
          <w:sz w:val="28"/>
          <w:szCs w:val="28"/>
        </w:rPr>
        <w:t>are considered to be</w:t>
      </w:r>
      <w:proofErr w:type="gramEnd"/>
      <w:r w:rsidR="008B53C0" w:rsidRPr="008B53C0">
        <w:rPr>
          <w:sz w:val="28"/>
          <w:szCs w:val="28"/>
        </w:rPr>
        <w:t xml:space="preserve"> valid because the judges have modified them before publication. Approved decisions that have been handed down in the H or CA can be copied immediately after they have been issued. Judgments that have not yet been approved are only provided to the parties involved. The decisions of the High Court and the Court of Appeal can be accessed online through the website of HM Courts and Tribunals Service, while the decisions of the United Kingdom Supreme Court can be accessed through the website of the United Kingdom Supreme Court. Both the Weekly Law Reports (W.I.R.) and the </w:t>
      </w:r>
      <w:proofErr w:type="gramStart"/>
      <w:r w:rsidR="008B53C0" w:rsidRPr="008B53C0">
        <w:rPr>
          <w:sz w:val="28"/>
          <w:szCs w:val="28"/>
        </w:rPr>
        <w:t>All England Law</w:t>
      </w:r>
      <w:proofErr w:type="gramEnd"/>
      <w:r w:rsidR="008B53C0" w:rsidRPr="008B53C0">
        <w:rPr>
          <w:sz w:val="28"/>
          <w:szCs w:val="28"/>
        </w:rPr>
        <w:t xml:space="preserve"> Reports (All E.R.) are published for profit by companies that specialise in the publishing of legal materials.</w:t>
      </w:r>
      <w:r w:rsidR="008B53C0">
        <w:rPr>
          <w:sz w:val="28"/>
          <w:szCs w:val="28"/>
        </w:rPr>
        <w:t xml:space="preserve"> </w:t>
      </w:r>
      <w:r w:rsidR="008B53C0" w:rsidRPr="008B53C0">
        <w:rPr>
          <w:sz w:val="28"/>
          <w:szCs w:val="28"/>
        </w:rPr>
        <w:t>(</w:t>
      </w:r>
      <w:proofErr w:type="spellStart"/>
      <w:r w:rsidR="008B53C0" w:rsidRPr="008B53C0">
        <w:rPr>
          <w:sz w:val="28"/>
          <w:szCs w:val="28"/>
        </w:rPr>
        <w:t>Darbyshire</w:t>
      </w:r>
      <w:proofErr w:type="spellEnd"/>
      <w:r w:rsidR="008B53C0" w:rsidRPr="008B53C0">
        <w:rPr>
          <w:sz w:val="28"/>
          <w:szCs w:val="28"/>
        </w:rPr>
        <w:t>, 2014)</w:t>
      </w:r>
      <w:r w:rsidR="00800509">
        <w:rPr>
          <w:sz w:val="28"/>
          <w:szCs w:val="28"/>
        </w:rPr>
        <w:t xml:space="preserve">. </w:t>
      </w:r>
      <w:r w:rsidR="00800509" w:rsidRPr="00800509">
        <w:rPr>
          <w:sz w:val="28"/>
          <w:szCs w:val="28"/>
        </w:rPr>
        <w:t xml:space="preserve">Certain ancient texts can be considered a source of law. The following works, authored primarily by judges, are recognised as </w:t>
      </w:r>
      <w:proofErr w:type="gramStart"/>
      <w:r w:rsidR="00800509" w:rsidRPr="00800509">
        <w:rPr>
          <w:sz w:val="28"/>
          <w:szCs w:val="28"/>
        </w:rPr>
        <w:t>authoritative</w:t>
      </w:r>
      <w:r w:rsidR="00800509">
        <w:rPr>
          <w:sz w:val="28"/>
          <w:szCs w:val="28"/>
        </w:rPr>
        <w:t xml:space="preserve"> :</w:t>
      </w:r>
      <w:proofErr w:type="gramEnd"/>
    </w:p>
    <w:p w14:paraId="573A6789" w14:textId="1D3BC322" w:rsidR="00800509" w:rsidRPr="00800509" w:rsidRDefault="00800509" w:rsidP="00800509">
      <w:pPr>
        <w:pStyle w:val="ListParagraph"/>
        <w:numPr>
          <w:ilvl w:val="0"/>
          <w:numId w:val="2"/>
        </w:numPr>
        <w:rPr>
          <w:sz w:val="28"/>
          <w:szCs w:val="28"/>
        </w:rPr>
      </w:pPr>
      <w:r w:rsidRPr="00800509">
        <w:rPr>
          <w:sz w:val="28"/>
          <w:szCs w:val="28"/>
        </w:rPr>
        <w:t>Blackstone, Commentaries on the Laws of England (1765): a survey of the</w:t>
      </w:r>
      <w:r>
        <w:rPr>
          <w:sz w:val="28"/>
          <w:szCs w:val="28"/>
        </w:rPr>
        <w:t xml:space="preserve"> </w:t>
      </w:r>
      <w:r w:rsidRPr="00800509">
        <w:rPr>
          <w:sz w:val="28"/>
          <w:szCs w:val="28"/>
        </w:rPr>
        <w:t>principles of English law in the mid-eighteenth century, intended for students. It</w:t>
      </w:r>
      <w:r>
        <w:rPr>
          <w:sz w:val="28"/>
          <w:szCs w:val="28"/>
        </w:rPr>
        <w:t xml:space="preserve"> </w:t>
      </w:r>
      <w:r w:rsidRPr="00800509">
        <w:rPr>
          <w:sz w:val="28"/>
          <w:szCs w:val="28"/>
        </w:rPr>
        <w:t xml:space="preserve">was meant as a commentary but was taken as a statement of the law by </w:t>
      </w:r>
      <w:proofErr w:type="gramStart"/>
      <w:r w:rsidRPr="00800509">
        <w:rPr>
          <w:sz w:val="28"/>
          <w:szCs w:val="28"/>
        </w:rPr>
        <w:t>early</w:t>
      </w:r>
      <w:r>
        <w:rPr>
          <w:sz w:val="28"/>
          <w:szCs w:val="28"/>
        </w:rPr>
        <w:t xml:space="preserve">  </w:t>
      </w:r>
      <w:r w:rsidRPr="00800509">
        <w:rPr>
          <w:sz w:val="28"/>
          <w:szCs w:val="28"/>
        </w:rPr>
        <w:t>American</w:t>
      </w:r>
      <w:proofErr w:type="gramEnd"/>
      <w:r w:rsidRPr="00800509">
        <w:rPr>
          <w:sz w:val="28"/>
          <w:szCs w:val="28"/>
        </w:rPr>
        <w:t xml:space="preserve"> lawyers.</w:t>
      </w:r>
    </w:p>
    <w:p w14:paraId="61A6CAC7" w14:textId="41D2CBB9" w:rsidR="00800509" w:rsidRPr="00800509" w:rsidRDefault="00800509" w:rsidP="00800509">
      <w:pPr>
        <w:pStyle w:val="ListParagraph"/>
        <w:numPr>
          <w:ilvl w:val="0"/>
          <w:numId w:val="2"/>
        </w:numPr>
        <w:rPr>
          <w:sz w:val="28"/>
          <w:szCs w:val="28"/>
        </w:rPr>
      </w:pPr>
      <w:proofErr w:type="spellStart"/>
      <w:r w:rsidRPr="00800509">
        <w:rPr>
          <w:sz w:val="28"/>
          <w:szCs w:val="28"/>
        </w:rPr>
        <w:t>Bracton</w:t>
      </w:r>
      <w:proofErr w:type="spellEnd"/>
      <w:r w:rsidRPr="00800509">
        <w:rPr>
          <w:sz w:val="28"/>
          <w:szCs w:val="28"/>
        </w:rPr>
        <w:t xml:space="preserve">, De </w:t>
      </w:r>
      <w:proofErr w:type="spellStart"/>
      <w:r w:rsidRPr="00800509">
        <w:rPr>
          <w:sz w:val="28"/>
          <w:szCs w:val="28"/>
        </w:rPr>
        <w:t>Legibus</w:t>
      </w:r>
      <w:proofErr w:type="spellEnd"/>
      <w:r w:rsidRPr="00800509">
        <w:rPr>
          <w:sz w:val="28"/>
          <w:szCs w:val="28"/>
        </w:rPr>
        <w:t xml:space="preserve"> et </w:t>
      </w:r>
      <w:proofErr w:type="spellStart"/>
      <w:r w:rsidRPr="00800509">
        <w:rPr>
          <w:sz w:val="28"/>
          <w:szCs w:val="28"/>
        </w:rPr>
        <w:t>Consuetudinibus</w:t>
      </w:r>
      <w:proofErr w:type="spellEnd"/>
      <w:r w:rsidRPr="00800509">
        <w:rPr>
          <w:sz w:val="28"/>
          <w:szCs w:val="28"/>
        </w:rPr>
        <w:t xml:space="preserve"> </w:t>
      </w:r>
      <w:proofErr w:type="spellStart"/>
      <w:r w:rsidRPr="00800509">
        <w:rPr>
          <w:sz w:val="28"/>
          <w:szCs w:val="28"/>
        </w:rPr>
        <w:t>Angliae</w:t>
      </w:r>
      <w:proofErr w:type="spellEnd"/>
      <w:r w:rsidRPr="00800509">
        <w:rPr>
          <w:sz w:val="28"/>
          <w:szCs w:val="28"/>
        </w:rPr>
        <w:t xml:space="preserve"> (c.1250): mainly commentaries</w:t>
      </w:r>
      <w:r>
        <w:rPr>
          <w:sz w:val="28"/>
          <w:szCs w:val="28"/>
        </w:rPr>
        <w:t xml:space="preserve"> </w:t>
      </w:r>
      <w:r w:rsidRPr="00800509">
        <w:rPr>
          <w:sz w:val="28"/>
          <w:szCs w:val="28"/>
        </w:rPr>
        <w:t>on the forms of action with case illustrations; a major study of the common law.</w:t>
      </w:r>
    </w:p>
    <w:p w14:paraId="56C62247" w14:textId="33FEC272" w:rsidR="00800509" w:rsidRPr="00800509" w:rsidRDefault="00800509" w:rsidP="00800509">
      <w:pPr>
        <w:pStyle w:val="ListParagraph"/>
        <w:numPr>
          <w:ilvl w:val="0"/>
          <w:numId w:val="2"/>
        </w:numPr>
        <w:rPr>
          <w:sz w:val="28"/>
          <w:szCs w:val="28"/>
        </w:rPr>
      </w:pPr>
      <w:r w:rsidRPr="00800509">
        <w:rPr>
          <w:sz w:val="28"/>
          <w:szCs w:val="28"/>
        </w:rPr>
        <w:t>Coke, Institutes of the Laws of England (1628): an attempted exposition of the</w:t>
      </w:r>
      <w:r>
        <w:rPr>
          <w:sz w:val="28"/>
          <w:szCs w:val="28"/>
        </w:rPr>
        <w:t xml:space="preserve"> </w:t>
      </w:r>
      <w:r w:rsidRPr="00800509">
        <w:rPr>
          <w:sz w:val="28"/>
          <w:szCs w:val="28"/>
        </w:rPr>
        <w:t>whole of English law.</w:t>
      </w:r>
    </w:p>
    <w:p w14:paraId="0A1DE26D" w14:textId="77777777" w:rsidR="00800509" w:rsidRPr="00800509" w:rsidRDefault="00800509" w:rsidP="00800509">
      <w:pPr>
        <w:pStyle w:val="ListParagraph"/>
        <w:numPr>
          <w:ilvl w:val="0"/>
          <w:numId w:val="2"/>
        </w:numPr>
        <w:rPr>
          <w:sz w:val="28"/>
          <w:szCs w:val="28"/>
        </w:rPr>
      </w:pPr>
      <w:r w:rsidRPr="00800509">
        <w:rPr>
          <w:sz w:val="28"/>
          <w:szCs w:val="28"/>
        </w:rPr>
        <w:t xml:space="preserve">Fitzherbert, Nature </w:t>
      </w:r>
      <w:proofErr w:type="spellStart"/>
      <w:r w:rsidRPr="00800509">
        <w:rPr>
          <w:sz w:val="28"/>
          <w:szCs w:val="28"/>
        </w:rPr>
        <w:t>Brevium</w:t>
      </w:r>
      <w:proofErr w:type="spellEnd"/>
      <w:r w:rsidRPr="00800509">
        <w:rPr>
          <w:sz w:val="28"/>
          <w:szCs w:val="28"/>
        </w:rPr>
        <w:t xml:space="preserve"> (c.1534): a commentary on the register of writs.</w:t>
      </w:r>
    </w:p>
    <w:p w14:paraId="378420E7" w14:textId="77777777" w:rsidR="00800509" w:rsidRPr="00800509" w:rsidRDefault="00800509" w:rsidP="00800509">
      <w:pPr>
        <w:pStyle w:val="ListParagraph"/>
        <w:numPr>
          <w:ilvl w:val="0"/>
          <w:numId w:val="2"/>
        </w:numPr>
        <w:rPr>
          <w:sz w:val="28"/>
          <w:szCs w:val="28"/>
        </w:rPr>
      </w:pPr>
      <w:r w:rsidRPr="00800509">
        <w:rPr>
          <w:sz w:val="28"/>
          <w:szCs w:val="28"/>
        </w:rPr>
        <w:t>Foster, Crown Cases (1762): criminal law.</w:t>
      </w:r>
    </w:p>
    <w:p w14:paraId="06AC1EF7" w14:textId="10CD7C7A" w:rsidR="00800509" w:rsidRPr="00800509" w:rsidRDefault="00800509" w:rsidP="00800509">
      <w:pPr>
        <w:pStyle w:val="ListParagraph"/>
        <w:numPr>
          <w:ilvl w:val="0"/>
          <w:numId w:val="2"/>
        </w:numPr>
        <w:rPr>
          <w:sz w:val="28"/>
          <w:szCs w:val="28"/>
        </w:rPr>
      </w:pPr>
      <w:proofErr w:type="spellStart"/>
      <w:r w:rsidRPr="00800509">
        <w:rPr>
          <w:sz w:val="28"/>
          <w:szCs w:val="28"/>
        </w:rPr>
        <w:t>Glanvil</w:t>
      </w:r>
      <w:proofErr w:type="spellEnd"/>
      <w:r w:rsidRPr="00800509">
        <w:rPr>
          <w:sz w:val="28"/>
          <w:szCs w:val="28"/>
        </w:rPr>
        <w:t xml:space="preserve">, De </w:t>
      </w:r>
      <w:proofErr w:type="spellStart"/>
      <w:r w:rsidRPr="00800509">
        <w:rPr>
          <w:sz w:val="28"/>
          <w:szCs w:val="28"/>
        </w:rPr>
        <w:t>Legibus</w:t>
      </w:r>
      <w:proofErr w:type="spellEnd"/>
      <w:r w:rsidRPr="00800509">
        <w:rPr>
          <w:sz w:val="28"/>
          <w:szCs w:val="28"/>
        </w:rPr>
        <w:t xml:space="preserve"> et </w:t>
      </w:r>
      <w:proofErr w:type="spellStart"/>
      <w:r w:rsidRPr="00800509">
        <w:rPr>
          <w:sz w:val="28"/>
          <w:szCs w:val="28"/>
        </w:rPr>
        <w:t>Consuetudinibus</w:t>
      </w:r>
      <w:proofErr w:type="spellEnd"/>
      <w:r w:rsidRPr="00800509">
        <w:rPr>
          <w:sz w:val="28"/>
          <w:szCs w:val="28"/>
        </w:rPr>
        <w:t xml:space="preserve"> </w:t>
      </w:r>
      <w:proofErr w:type="spellStart"/>
      <w:r w:rsidRPr="00800509">
        <w:rPr>
          <w:sz w:val="28"/>
          <w:szCs w:val="28"/>
        </w:rPr>
        <w:t>Angliae</w:t>
      </w:r>
      <w:proofErr w:type="spellEnd"/>
      <w:r w:rsidRPr="00800509">
        <w:rPr>
          <w:sz w:val="28"/>
          <w:szCs w:val="28"/>
        </w:rPr>
        <w:t xml:space="preserve"> (c.1189): authoritative on the</w:t>
      </w:r>
      <w:r>
        <w:rPr>
          <w:sz w:val="28"/>
          <w:szCs w:val="28"/>
        </w:rPr>
        <w:t xml:space="preserve"> </w:t>
      </w:r>
      <w:r w:rsidRPr="00800509">
        <w:rPr>
          <w:sz w:val="28"/>
          <w:szCs w:val="28"/>
        </w:rPr>
        <w:t>land law and the criminal law of the twelfth century.</w:t>
      </w:r>
    </w:p>
    <w:p w14:paraId="4DE501BF" w14:textId="38F9D15E" w:rsidR="00800509" w:rsidRDefault="00800509" w:rsidP="00800509">
      <w:pPr>
        <w:pStyle w:val="ListParagraph"/>
        <w:numPr>
          <w:ilvl w:val="0"/>
          <w:numId w:val="2"/>
        </w:numPr>
        <w:rPr>
          <w:sz w:val="28"/>
          <w:szCs w:val="28"/>
        </w:rPr>
      </w:pPr>
      <w:r w:rsidRPr="00800509">
        <w:rPr>
          <w:sz w:val="28"/>
          <w:szCs w:val="28"/>
        </w:rPr>
        <w:t>Hale, History of the Pleas of the Crown (1736) (60 years after Hale's death): the</w:t>
      </w:r>
      <w:r>
        <w:rPr>
          <w:sz w:val="28"/>
          <w:szCs w:val="28"/>
        </w:rPr>
        <w:t xml:space="preserve"> </w:t>
      </w:r>
      <w:r w:rsidRPr="00800509">
        <w:rPr>
          <w:sz w:val="28"/>
          <w:szCs w:val="28"/>
        </w:rPr>
        <w:t>first history of the criminal law.</w:t>
      </w:r>
    </w:p>
    <w:p w14:paraId="62E1D93D" w14:textId="331315C5" w:rsidR="00800509" w:rsidRDefault="00800509" w:rsidP="00800509">
      <w:pPr>
        <w:rPr>
          <w:sz w:val="28"/>
          <w:szCs w:val="28"/>
        </w:rPr>
      </w:pPr>
      <w:r w:rsidRPr="00800509">
        <w:rPr>
          <w:sz w:val="28"/>
          <w:szCs w:val="28"/>
        </w:rPr>
        <w:t xml:space="preserve">Modern textbooks are not considered authoritative, </w:t>
      </w:r>
      <w:proofErr w:type="gramStart"/>
      <w:r w:rsidRPr="00800509">
        <w:rPr>
          <w:sz w:val="28"/>
          <w:szCs w:val="28"/>
        </w:rPr>
        <w:t>despite the fact that</w:t>
      </w:r>
      <w:proofErr w:type="gramEnd"/>
      <w:r w:rsidRPr="00800509">
        <w:rPr>
          <w:sz w:val="28"/>
          <w:szCs w:val="28"/>
        </w:rPr>
        <w:t xml:space="preserve"> they are routinely cited in court. Advocates may adopt the viewpoint of a textbook author as part of their case. </w:t>
      </w:r>
      <w:proofErr w:type="gramStart"/>
      <w:r w:rsidRPr="00800509">
        <w:rPr>
          <w:sz w:val="28"/>
          <w:szCs w:val="28"/>
        </w:rPr>
        <w:t>In the course of</w:t>
      </w:r>
      <w:proofErr w:type="gramEnd"/>
      <w:r w:rsidRPr="00800509">
        <w:rPr>
          <w:sz w:val="28"/>
          <w:szCs w:val="28"/>
        </w:rPr>
        <w:t xml:space="preserve"> delivering a verdict, judges frequently cite a textbook.</w:t>
      </w:r>
    </w:p>
    <w:p w14:paraId="7E36EDD2" w14:textId="249590DF" w:rsidR="00800509" w:rsidRDefault="00800509" w:rsidP="00800509">
      <w:pPr>
        <w:rPr>
          <w:sz w:val="28"/>
          <w:szCs w:val="28"/>
        </w:rPr>
      </w:pPr>
      <w:r w:rsidRPr="00800509">
        <w:rPr>
          <w:sz w:val="28"/>
          <w:szCs w:val="28"/>
        </w:rPr>
        <w:lastRenderedPageBreak/>
        <w:t xml:space="preserve">To summarise, books are the primary starting point for conducting research; however, some people believe that the research should also include online research. This is </w:t>
      </w:r>
      <w:proofErr w:type="gramStart"/>
      <w:r w:rsidRPr="00800509">
        <w:rPr>
          <w:sz w:val="28"/>
          <w:szCs w:val="28"/>
        </w:rPr>
        <w:t>due to the fact that</w:t>
      </w:r>
      <w:proofErr w:type="gramEnd"/>
      <w:r w:rsidRPr="00800509">
        <w:rPr>
          <w:sz w:val="28"/>
          <w:szCs w:val="28"/>
        </w:rPr>
        <w:t xml:space="preserve"> many of these books are quite outdated, and the field of law is one that is constantly evolving; for instance, when reforms are done on existing legislation, there is also new legislation involved. Observers claim that the research should include both offline and online research. For an adequate amount of research, it is necessary to make use of both electronic and non-electronic sources of information.</w:t>
      </w:r>
    </w:p>
    <w:p w14:paraId="18E384BE" w14:textId="6B683CAB" w:rsidR="004E4162" w:rsidRDefault="004E4162" w:rsidP="00800509">
      <w:pPr>
        <w:rPr>
          <w:sz w:val="28"/>
          <w:szCs w:val="28"/>
        </w:rPr>
      </w:pPr>
    </w:p>
    <w:p w14:paraId="18EC6F8C" w14:textId="4180186A" w:rsidR="004E4162" w:rsidRDefault="004E4162" w:rsidP="00800509">
      <w:pPr>
        <w:rPr>
          <w:sz w:val="28"/>
          <w:szCs w:val="28"/>
        </w:rPr>
      </w:pPr>
    </w:p>
    <w:p w14:paraId="26BD3ADD" w14:textId="77777777" w:rsidR="004E4162" w:rsidRDefault="004E4162" w:rsidP="004E4162">
      <w:pPr>
        <w:pStyle w:val="NormalWeb"/>
        <w:spacing w:before="0" w:beforeAutospacing="0" w:after="240" w:afterAutospacing="0" w:line="360" w:lineRule="auto"/>
        <w:rPr>
          <w:sz w:val="36"/>
          <w:szCs w:val="36"/>
        </w:rPr>
      </w:pPr>
      <w:r>
        <w:rPr>
          <w:sz w:val="36"/>
          <w:szCs w:val="36"/>
        </w:rPr>
        <w:t>Reference list</w:t>
      </w:r>
    </w:p>
    <w:p w14:paraId="44880926" w14:textId="77777777" w:rsidR="004E4162" w:rsidRDefault="004E4162" w:rsidP="004E4162">
      <w:pPr>
        <w:pStyle w:val="NormalWeb"/>
        <w:numPr>
          <w:ilvl w:val="0"/>
          <w:numId w:val="3"/>
        </w:numPr>
        <w:spacing w:before="0" w:beforeAutospacing="0" w:after="240" w:afterAutospacing="0" w:line="360" w:lineRule="auto"/>
      </w:pPr>
      <w:r>
        <w:t xml:space="preserve">Bailii.org. (2018). </w:t>
      </w:r>
      <w:r>
        <w:rPr>
          <w:i/>
          <w:iCs/>
        </w:rPr>
        <w:t>British and Irish Legal Information Institute</w:t>
      </w:r>
      <w:r>
        <w:t>. [online] Available at: https://www.bailii.org/.</w:t>
      </w:r>
    </w:p>
    <w:p w14:paraId="31D3E0FB" w14:textId="77777777" w:rsidR="004E4162" w:rsidRDefault="004E4162" w:rsidP="004E4162">
      <w:pPr>
        <w:pStyle w:val="NormalWeb"/>
        <w:numPr>
          <w:ilvl w:val="0"/>
          <w:numId w:val="3"/>
        </w:numPr>
        <w:spacing w:before="0" w:beforeAutospacing="0" w:after="240" w:afterAutospacing="0" w:line="360" w:lineRule="auto"/>
      </w:pPr>
      <w:proofErr w:type="spellStart"/>
      <w:r>
        <w:t>Darbyshire</w:t>
      </w:r>
      <w:proofErr w:type="spellEnd"/>
      <w:r>
        <w:t xml:space="preserve">, P. (2014). </w:t>
      </w:r>
      <w:r>
        <w:rPr>
          <w:i/>
          <w:iCs/>
        </w:rPr>
        <w:t>Derbyshire on the English legal system</w:t>
      </w:r>
      <w:r>
        <w:t xml:space="preserve">. eleventh ed. </w:t>
      </w:r>
      <w:proofErr w:type="spellStart"/>
      <w:r>
        <w:t>Sweet&amp;Maxwell</w:t>
      </w:r>
      <w:proofErr w:type="spellEnd"/>
      <w:r>
        <w:t>.</w:t>
      </w:r>
    </w:p>
    <w:p w14:paraId="286ABF6C" w14:textId="77777777" w:rsidR="004E4162" w:rsidRDefault="004E4162" w:rsidP="004E4162">
      <w:pPr>
        <w:pStyle w:val="NormalWeb"/>
        <w:numPr>
          <w:ilvl w:val="0"/>
          <w:numId w:val="3"/>
        </w:numPr>
        <w:spacing w:before="0" w:beforeAutospacing="0" w:after="240" w:afterAutospacing="0" w:line="360" w:lineRule="auto"/>
      </w:pPr>
      <w:r>
        <w:t xml:space="preserve">Elkington, A., </w:t>
      </w:r>
      <w:proofErr w:type="spellStart"/>
      <w:r>
        <w:t>Holtam</w:t>
      </w:r>
      <w:proofErr w:type="spellEnd"/>
      <w:r>
        <w:t xml:space="preserve">, J., Shield, G.M. and Verlander, S. (2019). </w:t>
      </w:r>
      <w:r>
        <w:rPr>
          <w:i/>
          <w:iCs/>
        </w:rPr>
        <w:t>Skills for lawyers</w:t>
      </w:r>
      <w:r>
        <w:t xml:space="preserve">. Guildford: </w:t>
      </w:r>
      <w:proofErr w:type="spellStart"/>
      <w:r>
        <w:t>Clp</w:t>
      </w:r>
      <w:proofErr w:type="spellEnd"/>
      <w:r>
        <w:t>.</w:t>
      </w:r>
    </w:p>
    <w:p w14:paraId="223E5B97" w14:textId="77777777" w:rsidR="004E4162" w:rsidRDefault="004E4162" w:rsidP="004E4162">
      <w:pPr>
        <w:pStyle w:val="NormalWeb"/>
        <w:numPr>
          <w:ilvl w:val="0"/>
          <w:numId w:val="3"/>
        </w:numPr>
        <w:spacing w:before="0" w:beforeAutospacing="0" w:after="240" w:afterAutospacing="0" w:line="360" w:lineRule="auto"/>
      </w:pPr>
      <w:r>
        <w:t xml:space="preserve">Finch, E. and </w:t>
      </w:r>
      <w:proofErr w:type="spellStart"/>
      <w:r>
        <w:t>Fafinski</w:t>
      </w:r>
      <w:proofErr w:type="spellEnd"/>
      <w:r>
        <w:t xml:space="preserve">, S. (2019). </w:t>
      </w:r>
      <w:r>
        <w:rPr>
          <w:i/>
          <w:iCs/>
        </w:rPr>
        <w:t>Legal Skills.</w:t>
      </w:r>
      <w:r>
        <w:t xml:space="preserve"> S.L.: Oxford </w:t>
      </w:r>
      <w:proofErr w:type="spellStart"/>
      <w:r>
        <w:t>Univ</w:t>
      </w:r>
      <w:proofErr w:type="spellEnd"/>
      <w:r>
        <w:t xml:space="preserve"> Press.</w:t>
      </w:r>
    </w:p>
    <w:p w14:paraId="4D4C8306" w14:textId="77777777" w:rsidR="004E4162" w:rsidRDefault="004E4162" w:rsidP="004E4162">
      <w:pPr>
        <w:pStyle w:val="NormalWeb"/>
        <w:numPr>
          <w:ilvl w:val="0"/>
          <w:numId w:val="3"/>
        </w:numPr>
        <w:spacing w:before="0" w:beforeAutospacing="0" w:after="240" w:afterAutospacing="0" w:line="360" w:lineRule="auto"/>
      </w:pPr>
      <w:r>
        <w:t xml:space="preserve">Gov.UK (2022). </w:t>
      </w:r>
      <w:r>
        <w:rPr>
          <w:i/>
          <w:iCs/>
        </w:rPr>
        <w:t>Legislation.gov.uk</w:t>
      </w:r>
      <w:r>
        <w:t>. [online] Legislation.gov.uk. Available at: https://www.legislation.gov.uk/.</w:t>
      </w:r>
    </w:p>
    <w:p w14:paraId="0B4B6ED9" w14:textId="77777777" w:rsidR="004E4162" w:rsidRDefault="004E4162" w:rsidP="004E4162">
      <w:pPr>
        <w:pStyle w:val="NormalWeb"/>
        <w:numPr>
          <w:ilvl w:val="0"/>
          <w:numId w:val="3"/>
        </w:numPr>
        <w:spacing w:before="0" w:beforeAutospacing="0" w:after="240" w:afterAutospacing="0" w:line="360" w:lineRule="auto"/>
      </w:pPr>
      <w:r>
        <w:t xml:space="preserve">Holland, J.A. and Webb, J. (2019). </w:t>
      </w:r>
      <w:r>
        <w:rPr>
          <w:i/>
          <w:iCs/>
        </w:rPr>
        <w:t xml:space="preserve">Learning legal </w:t>
      </w:r>
      <w:proofErr w:type="gramStart"/>
      <w:r>
        <w:rPr>
          <w:i/>
          <w:iCs/>
        </w:rPr>
        <w:t>rules :</w:t>
      </w:r>
      <w:proofErr w:type="gramEnd"/>
      <w:r>
        <w:rPr>
          <w:i/>
          <w:iCs/>
        </w:rPr>
        <w:t xml:space="preserve"> a students’ guide to legal method and reasoning</w:t>
      </w:r>
      <w:r>
        <w:t>. Oxford: Oxford University Press. Copyright.</w:t>
      </w:r>
    </w:p>
    <w:p w14:paraId="67E8435C" w14:textId="77777777" w:rsidR="004E4162" w:rsidRDefault="004E4162" w:rsidP="004E4162">
      <w:pPr>
        <w:pStyle w:val="NormalWeb"/>
        <w:numPr>
          <w:ilvl w:val="0"/>
          <w:numId w:val="3"/>
        </w:numPr>
        <w:spacing w:before="0" w:beforeAutospacing="0" w:after="240" w:afterAutospacing="0" w:line="360" w:lineRule="auto"/>
      </w:pPr>
      <w:r>
        <w:t>Lexis. (2022). [online] Available at: https://plus-lexis-com.ezproxy.uwtsd.ac.uk/uk/legalresearch?crid=ce19fb7e-4a57-4deb-bd5a-b7d11eb5198d [Accessed 11 Nov. 2022].</w:t>
      </w:r>
    </w:p>
    <w:p w14:paraId="546D1A08" w14:textId="77777777" w:rsidR="004E4162" w:rsidRDefault="004E4162" w:rsidP="004E4162">
      <w:pPr>
        <w:pStyle w:val="NormalWeb"/>
        <w:numPr>
          <w:ilvl w:val="0"/>
          <w:numId w:val="3"/>
        </w:numPr>
        <w:spacing w:before="0" w:beforeAutospacing="0" w:after="240" w:afterAutospacing="0" w:line="360" w:lineRule="auto"/>
      </w:pPr>
      <w:r>
        <w:t xml:space="preserve">Webb, J.S., Boon, A., Keppel-Palmer, M., Maughan, C. and Maughan, M. (2019). </w:t>
      </w:r>
      <w:r>
        <w:rPr>
          <w:i/>
          <w:iCs/>
        </w:rPr>
        <w:t>Lawyers’ skills.</w:t>
      </w:r>
      <w:r>
        <w:t xml:space="preserve"> Oxford: Oxford University Press.</w:t>
      </w:r>
    </w:p>
    <w:p w14:paraId="788C772D" w14:textId="77777777" w:rsidR="004E4162" w:rsidRDefault="004E4162" w:rsidP="004E4162">
      <w:pPr>
        <w:pStyle w:val="NormalWeb"/>
        <w:numPr>
          <w:ilvl w:val="0"/>
          <w:numId w:val="3"/>
        </w:numPr>
        <w:spacing w:before="0" w:beforeAutospacing="0" w:after="240" w:afterAutospacing="0" w:line="360" w:lineRule="auto"/>
      </w:pPr>
      <w:r>
        <w:t xml:space="preserve">Westlaw. (n.d.). </w:t>
      </w:r>
      <w:r>
        <w:rPr>
          <w:i/>
          <w:iCs/>
        </w:rPr>
        <w:t xml:space="preserve">Westlaw UK (New Platform) </w:t>
      </w:r>
      <w:proofErr w:type="spellStart"/>
      <w:r>
        <w:rPr>
          <w:i/>
          <w:iCs/>
        </w:rPr>
        <w:t>Signon</w:t>
      </w:r>
      <w:proofErr w:type="spellEnd"/>
      <w:r>
        <w:t>. [online] Available at: https://uk.westlaw.com/Browse/Home/WestlawUK?skipAnonymous=true&amp;comp=wl</w:t>
      </w:r>
      <w:r>
        <w:lastRenderedPageBreak/>
        <w:t>uk&amp;__lrTS=20221111220106693&amp;transitionType=Default&amp;contextData=(sc.Default) [Accessed 11 Nov. 2022].</w:t>
      </w:r>
    </w:p>
    <w:p w14:paraId="6A356A14" w14:textId="77777777" w:rsidR="004E4162" w:rsidRPr="00800509" w:rsidRDefault="004E4162" w:rsidP="00800509">
      <w:pPr>
        <w:rPr>
          <w:sz w:val="28"/>
          <w:szCs w:val="28"/>
        </w:rPr>
      </w:pPr>
    </w:p>
    <w:sectPr w:rsidR="004E4162" w:rsidRPr="008005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70219"/>
    <w:multiLevelType w:val="hybridMultilevel"/>
    <w:tmpl w:val="46A0D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7D44CA"/>
    <w:multiLevelType w:val="hybridMultilevel"/>
    <w:tmpl w:val="7E8AD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CE3F9D"/>
    <w:multiLevelType w:val="hybridMultilevel"/>
    <w:tmpl w:val="469E75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09417287">
    <w:abstractNumId w:val="1"/>
  </w:num>
  <w:num w:numId="2" w16cid:durableId="298924449">
    <w:abstractNumId w:val="0"/>
  </w:num>
  <w:num w:numId="3" w16cid:durableId="12090255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4063"/>
    <w:rsid w:val="00052BCB"/>
    <w:rsid w:val="000775BF"/>
    <w:rsid w:val="000B60DB"/>
    <w:rsid w:val="000E60DF"/>
    <w:rsid w:val="004E4162"/>
    <w:rsid w:val="005D2572"/>
    <w:rsid w:val="0069595C"/>
    <w:rsid w:val="007635D9"/>
    <w:rsid w:val="007F4A2B"/>
    <w:rsid w:val="00800509"/>
    <w:rsid w:val="008B53C0"/>
    <w:rsid w:val="009416D5"/>
    <w:rsid w:val="009E41C4"/>
    <w:rsid w:val="009F043B"/>
    <w:rsid w:val="00A2544E"/>
    <w:rsid w:val="00A56FC3"/>
    <w:rsid w:val="00AB130A"/>
    <w:rsid w:val="00C2526E"/>
    <w:rsid w:val="00C41078"/>
    <w:rsid w:val="00DB4ED6"/>
    <w:rsid w:val="00E07F04"/>
    <w:rsid w:val="00EE27A7"/>
    <w:rsid w:val="00FC40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5630C"/>
  <w15:chartTrackingRefBased/>
  <w15:docId w15:val="{C8B50F49-DA15-4D6A-AC9D-B692EE9E6A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7F04"/>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2572"/>
    <w:pPr>
      <w:ind w:left="720"/>
      <w:contextualSpacing/>
    </w:pPr>
  </w:style>
  <w:style w:type="character" w:styleId="Hyperlink">
    <w:name w:val="Hyperlink"/>
    <w:basedOn w:val="DefaultParagraphFont"/>
    <w:uiPriority w:val="99"/>
    <w:unhideWhenUsed/>
    <w:rsid w:val="009F043B"/>
    <w:rPr>
      <w:color w:val="0563C1" w:themeColor="hyperlink"/>
      <w:u w:val="single"/>
    </w:rPr>
  </w:style>
  <w:style w:type="character" w:styleId="UnresolvedMention">
    <w:name w:val="Unresolved Mention"/>
    <w:basedOn w:val="DefaultParagraphFont"/>
    <w:uiPriority w:val="99"/>
    <w:semiHidden/>
    <w:unhideWhenUsed/>
    <w:rsid w:val="009F043B"/>
    <w:rPr>
      <w:color w:val="605E5C"/>
      <w:shd w:val="clear" w:color="auto" w:fill="E1DFDD"/>
    </w:rPr>
  </w:style>
  <w:style w:type="paragraph" w:styleId="NormalWeb">
    <w:name w:val="Normal (Web)"/>
    <w:basedOn w:val="Normal"/>
    <w:uiPriority w:val="99"/>
    <w:semiHidden/>
    <w:unhideWhenUsed/>
    <w:rsid w:val="004E4162"/>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9854119">
      <w:bodyDiv w:val="1"/>
      <w:marLeft w:val="0"/>
      <w:marRight w:val="0"/>
      <w:marTop w:val="0"/>
      <w:marBottom w:val="0"/>
      <w:divBdr>
        <w:top w:val="none" w:sz="0" w:space="0" w:color="auto"/>
        <w:left w:val="none" w:sz="0" w:space="0" w:color="auto"/>
        <w:bottom w:val="none" w:sz="0" w:space="0" w:color="auto"/>
        <w:right w:val="none" w:sz="0" w:space="0" w:color="auto"/>
      </w:divBdr>
      <w:divsChild>
        <w:div w:id="1628273083">
          <w:marLeft w:val="0"/>
          <w:marRight w:val="0"/>
          <w:marTop w:val="0"/>
          <w:marBottom w:val="0"/>
          <w:divBdr>
            <w:top w:val="none" w:sz="0" w:space="0" w:color="auto"/>
            <w:left w:val="none" w:sz="0" w:space="0" w:color="auto"/>
            <w:bottom w:val="none" w:sz="0" w:space="0" w:color="auto"/>
            <w:right w:val="none" w:sz="0" w:space="0" w:color="auto"/>
          </w:divBdr>
        </w:div>
      </w:divsChild>
    </w:div>
    <w:div w:id="1272973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legislation.gov.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264</TotalTime>
  <Pages>1</Pages>
  <Words>2120</Words>
  <Characters>12084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Yordanka</dc:creator>
  <cp:keywords/>
  <dc:description/>
  <cp:lastModifiedBy>Yordanka</cp:lastModifiedBy>
  <cp:revision>8</cp:revision>
  <dcterms:created xsi:type="dcterms:W3CDTF">2022-11-02T22:36:00Z</dcterms:created>
  <dcterms:modified xsi:type="dcterms:W3CDTF">2022-11-11T23:05:00Z</dcterms:modified>
</cp:coreProperties>
</file>