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1A8" w:rsidRDefault="00634B1F">
      <w:pPr>
        <w:rPr>
          <w:b/>
          <w:sz w:val="32"/>
          <w:szCs w:val="32"/>
          <w:u w:val="single"/>
        </w:rPr>
      </w:pPr>
      <w:r>
        <w:rPr>
          <w:b/>
          <w:sz w:val="32"/>
          <w:szCs w:val="32"/>
          <w:u w:val="single"/>
        </w:rPr>
        <w:t>Identity and Myth, The Normans, and their world. Portfolio Commentaries: Instructions for the Collection of Domesday Returns</w:t>
      </w:r>
    </w:p>
    <w:p w:rsidR="004171A8" w:rsidRDefault="004171A8">
      <w:pPr>
        <w:rPr>
          <w:sz w:val="32"/>
          <w:szCs w:val="32"/>
        </w:rPr>
      </w:pPr>
    </w:p>
    <w:p w:rsidR="004171A8" w:rsidRDefault="00634B1F">
      <w:r>
        <w:rPr>
          <w:sz w:val="24"/>
          <w:szCs w:val="24"/>
        </w:rPr>
        <w:t>This Document is an extract from the Domesday Book, which was a written survey and record commissioned by William the Conqueror. The intended purpose of the Domesday book was to keep a record of what Edward the Confessor’s subjects owned and held claims to. The Domesday Book additionally contained records of what people owned in William the Conqueror’s reign. The Book purposefully skips Harold Godwinson because William the Conqueror did not recognise him as having a legitimate claim to the throne of England because Harold Godwinson had sworn an oath on holy relics to give the crown to William the Conqueror</w:t>
      </w:r>
      <w:r w:rsidR="00F9320C">
        <w:rPr>
          <w:sz w:val="24"/>
          <w:szCs w:val="24"/>
        </w:rPr>
        <w:t>.</w:t>
      </w:r>
      <w:r>
        <w:rPr>
          <w:rStyle w:val="FootnoteReference"/>
          <w:sz w:val="24"/>
          <w:szCs w:val="24"/>
        </w:rPr>
        <w:footnoteReference w:id="1"/>
      </w:r>
      <w:r>
        <w:rPr>
          <w:sz w:val="24"/>
          <w:szCs w:val="24"/>
        </w:rPr>
        <w:t xml:space="preserve"> </w:t>
      </w:r>
      <w:r w:rsidR="00847F1D">
        <w:rPr>
          <w:sz w:val="24"/>
          <w:szCs w:val="24"/>
        </w:rPr>
        <w:t xml:space="preserve">Displayed symbolically in the </w:t>
      </w:r>
      <w:r w:rsidR="00847F1D" w:rsidRPr="00847F1D">
        <w:rPr>
          <w:sz w:val="24"/>
          <w:szCs w:val="24"/>
        </w:rPr>
        <w:t>Bayeux Tapestry swearing public allegiance to William the Conqueror</w:t>
      </w:r>
      <w:r w:rsidR="00847F1D">
        <w:rPr>
          <w:sz w:val="24"/>
          <w:szCs w:val="24"/>
        </w:rPr>
        <w:t>.</w:t>
      </w:r>
      <w:r w:rsidR="00847F1D">
        <w:rPr>
          <w:rStyle w:val="FootnoteReference"/>
          <w:sz w:val="24"/>
          <w:szCs w:val="24"/>
        </w:rPr>
        <w:footnoteReference w:id="2"/>
      </w:r>
      <w:r w:rsidR="00847F1D">
        <w:rPr>
          <w:sz w:val="24"/>
          <w:szCs w:val="24"/>
        </w:rPr>
        <w:t xml:space="preserve"> The</w:t>
      </w:r>
      <w:r>
        <w:rPr>
          <w:sz w:val="24"/>
          <w:szCs w:val="24"/>
        </w:rPr>
        <w:t xml:space="preserve"> Domesday Book also let William know how much the newly conquered Saxons had to pay in tax as well as his French Subjects that arrived with the invasion of Duke William in 1066. The Domesday Book was finally finished in 1086, having been written by surveyors employed by William who compiled the accounts by hand. Additionally, William the Conqueror would have had to record the amount of taxes he could raise due to the number of rebellious insurrections led by supporters of Harold Godwinson in England, which led to extensive castle construction across England and Wales</w:t>
      </w:r>
      <w:r w:rsidR="00F9320C">
        <w:rPr>
          <w:sz w:val="24"/>
          <w:szCs w:val="24"/>
        </w:rPr>
        <w:t>.</w:t>
      </w:r>
      <w:r>
        <w:rPr>
          <w:rStyle w:val="FootnoteReference"/>
          <w:sz w:val="24"/>
          <w:szCs w:val="24"/>
        </w:rPr>
        <w:footnoteReference w:id="3"/>
      </w:r>
      <w:r>
        <w:rPr>
          <w:sz w:val="24"/>
          <w:szCs w:val="24"/>
        </w:rPr>
        <w:t xml:space="preserve"> </w:t>
      </w:r>
    </w:p>
    <w:p w:rsidR="004171A8" w:rsidRDefault="00634B1F">
      <w:pPr>
        <w:rPr>
          <w:rFonts w:asciiTheme="minorHAnsi" w:hAnsiTheme="minorHAnsi" w:cstheme="minorHAnsi"/>
          <w:sz w:val="24"/>
          <w:szCs w:val="24"/>
        </w:rPr>
      </w:pPr>
      <w:r>
        <w:rPr>
          <w:sz w:val="24"/>
          <w:szCs w:val="24"/>
        </w:rPr>
        <w:t>The extract displays that this survey in the Domesday Book recorded the land that a freeman called Godwin held in the time of Edward the Confessor. The record reveals that Godwin had claim to a large estate which was 30 acres with numerous laymen and livestock which indicat</w:t>
      </w:r>
      <w:r w:rsidR="002314FD">
        <w:rPr>
          <w:sz w:val="24"/>
          <w:szCs w:val="24"/>
        </w:rPr>
        <w:t>ing</w:t>
      </w:r>
      <w:r>
        <w:rPr>
          <w:sz w:val="24"/>
          <w:szCs w:val="24"/>
        </w:rPr>
        <w:t xml:space="preserve"> the freeman was relatively wealthy and held a substantial amount of land. However, when surveying his holding in William</w:t>
      </w:r>
      <w:r w:rsidR="00B67379">
        <w:rPr>
          <w:sz w:val="24"/>
          <w:szCs w:val="24"/>
        </w:rPr>
        <w:t xml:space="preserve">’s </w:t>
      </w:r>
      <w:r>
        <w:rPr>
          <w:sz w:val="24"/>
          <w:szCs w:val="24"/>
        </w:rPr>
        <w:t>reign,</w:t>
      </w:r>
      <w:r w:rsidR="002314FD">
        <w:rPr>
          <w:sz w:val="24"/>
          <w:szCs w:val="24"/>
        </w:rPr>
        <w:t xml:space="preserve"> </w:t>
      </w:r>
      <w:r>
        <w:rPr>
          <w:sz w:val="24"/>
          <w:szCs w:val="24"/>
        </w:rPr>
        <w:t>Godwin ha</w:t>
      </w:r>
      <w:r w:rsidR="00B67379">
        <w:rPr>
          <w:sz w:val="24"/>
          <w:szCs w:val="24"/>
        </w:rPr>
        <w:t>d</w:t>
      </w:r>
      <w:r>
        <w:rPr>
          <w:sz w:val="24"/>
          <w:szCs w:val="24"/>
        </w:rPr>
        <w:t xml:space="preserve"> gained </w:t>
      </w:r>
      <w:r w:rsidR="002314FD">
        <w:rPr>
          <w:sz w:val="24"/>
          <w:szCs w:val="24"/>
        </w:rPr>
        <w:t xml:space="preserve">40 </w:t>
      </w:r>
      <w:r>
        <w:rPr>
          <w:sz w:val="24"/>
          <w:szCs w:val="24"/>
        </w:rPr>
        <w:t>acres of land. This potentially shows that Godwin benefited from William’s reign. On the other hand, Godwin has lost livestock including the amount of horses he previously owned under Edward the Confessor. This could suggest that his livestock and horses were used in the ongoing campaigns of William, because horses were an essential component for William’s armies as he introduced the horse mounted knights to English warfare compared to the battles fought on foot in Edward the Confessor and Harold Godwinson’s reigns. This is evident as William faced constant challenges to his leadership in 1067, frequent rebellions and raids by Harold Godwinson's brothers who saw him as an illegitimate invader</w:t>
      </w:r>
      <w:r w:rsidR="00F9320C">
        <w:rPr>
          <w:sz w:val="24"/>
          <w:szCs w:val="24"/>
        </w:rPr>
        <w:t>.</w:t>
      </w:r>
      <w:r>
        <w:rPr>
          <w:rStyle w:val="FootnoteReference"/>
          <w:sz w:val="24"/>
          <w:szCs w:val="24"/>
        </w:rPr>
        <w:footnoteReference w:id="4"/>
      </w:r>
      <w:r>
        <w:rPr>
          <w:sz w:val="24"/>
          <w:szCs w:val="24"/>
        </w:rPr>
        <w:t xml:space="preserve"> Another critical analysis from the beginning of the extract revealed the extent of the records William wished to record for taxation purposes, as well as</w:t>
      </w:r>
      <w:r w:rsidR="002314FD">
        <w:rPr>
          <w:sz w:val="24"/>
          <w:szCs w:val="24"/>
        </w:rPr>
        <w:t xml:space="preserve"> the</w:t>
      </w:r>
      <w:r>
        <w:rPr>
          <w:sz w:val="24"/>
          <w:szCs w:val="24"/>
        </w:rPr>
        <w:t xml:space="preserve"> amount of land </w:t>
      </w:r>
      <w:r w:rsidR="00535CF7">
        <w:rPr>
          <w:sz w:val="24"/>
          <w:szCs w:val="24"/>
        </w:rPr>
        <w:t xml:space="preserve">he was </w:t>
      </w:r>
      <w:r>
        <w:rPr>
          <w:sz w:val="24"/>
          <w:szCs w:val="24"/>
        </w:rPr>
        <w:t>aware of.  From an archaeological perspective</w:t>
      </w:r>
      <w:r w:rsidR="00535CF7">
        <w:rPr>
          <w:sz w:val="24"/>
          <w:szCs w:val="24"/>
        </w:rPr>
        <w:t>;</w:t>
      </w:r>
      <w:r>
        <w:rPr>
          <w:sz w:val="24"/>
          <w:szCs w:val="24"/>
        </w:rPr>
        <w:t xml:space="preserve"> this highlight</w:t>
      </w:r>
      <w:r w:rsidR="00535CF7">
        <w:rPr>
          <w:sz w:val="24"/>
          <w:szCs w:val="24"/>
        </w:rPr>
        <w:t>s</w:t>
      </w:r>
      <w:r>
        <w:rPr>
          <w:sz w:val="24"/>
          <w:szCs w:val="24"/>
        </w:rPr>
        <w:t xml:space="preserve"> William needed to assess how much land </w:t>
      </w:r>
      <w:r>
        <w:rPr>
          <w:sz w:val="24"/>
          <w:szCs w:val="24"/>
        </w:rPr>
        <w:lastRenderedPageBreak/>
        <w:t>he could use in England for castle and town building,</w:t>
      </w:r>
      <w:r w:rsidR="002827A4">
        <w:rPr>
          <w:rStyle w:val="FootnoteReference"/>
          <w:sz w:val="24"/>
          <w:szCs w:val="24"/>
        </w:rPr>
        <w:footnoteReference w:id="5"/>
      </w:r>
      <w:r>
        <w:rPr>
          <w:sz w:val="24"/>
          <w:szCs w:val="24"/>
        </w:rPr>
        <w:t xml:space="preserve"> because the Norman rule in England saw multitudes of towns and castles built as a way of centralising their governmental instruments. In total, the Normans constructed over 500 new towns that were propped up by the castles the Normans had built</w:t>
      </w:r>
      <w:r>
        <w:rPr>
          <w:rStyle w:val="FootnoteReference"/>
          <w:sz w:val="24"/>
          <w:szCs w:val="24"/>
        </w:rPr>
        <w:footnoteReference w:id="6"/>
      </w:r>
      <w:r>
        <w:rPr>
          <w:sz w:val="24"/>
          <w:szCs w:val="24"/>
        </w:rPr>
        <w:t xml:space="preserve">. Therefore, </w:t>
      </w:r>
      <w:r w:rsidR="00B67379">
        <w:rPr>
          <w:sz w:val="24"/>
          <w:szCs w:val="24"/>
        </w:rPr>
        <w:t xml:space="preserve">it was plausible </w:t>
      </w:r>
      <w:r>
        <w:rPr>
          <w:sz w:val="24"/>
          <w:szCs w:val="24"/>
        </w:rPr>
        <w:t>that William wished to survey the amount of land for extensive castle and town building purposes. However, the survey does appear to represent what Godwin had before William, thus indicating that the Domesday Book was not just a land grab from the Saxons, because there is a noticeable decrease in the number of cattle, workmen, and Socmen under Duke William’s reign; the harshest decline being Godwin had 13 Socmen which was reduced to 3. The statement at the top of the Domesday extract “whether more can be had than is had” indicates that William could directly be extorting more taxation out of the people in England. The Italian Humanist Polydore Virgil perceived William the Conqueror, in his book The Historia Anglicana, as an "arbitrary Tyrant “who had imposed his curfew upon the English and subjected them to cruelty</w:t>
      </w:r>
      <w:r w:rsidR="00F9320C">
        <w:rPr>
          <w:sz w:val="24"/>
          <w:szCs w:val="24"/>
        </w:rPr>
        <w:t>.</w:t>
      </w:r>
      <w:r>
        <w:rPr>
          <w:rStyle w:val="FootnoteReference"/>
          <w:sz w:val="24"/>
          <w:szCs w:val="24"/>
        </w:rPr>
        <w:footnoteReference w:id="7"/>
      </w:r>
      <w:r>
        <w:rPr>
          <w:sz w:val="24"/>
          <w:szCs w:val="24"/>
        </w:rPr>
        <w:t xml:space="preserve"> Similarly, O</w:t>
      </w:r>
      <w:r w:rsidR="00EF15D8">
        <w:rPr>
          <w:sz w:val="24"/>
          <w:szCs w:val="24"/>
        </w:rPr>
        <w:t>r</w:t>
      </w:r>
      <w:r>
        <w:rPr>
          <w:sz w:val="24"/>
          <w:szCs w:val="24"/>
        </w:rPr>
        <w:t>deric Vitalis supports the view that William was acting out of his own personal whim rather than for the good of England. Oderic stated that “Had a lifelong sympathy for the losses that his people the English had suffered through the hands of the Normans</w:t>
      </w:r>
      <w:r w:rsidR="00F9320C">
        <w:rPr>
          <w:sz w:val="24"/>
          <w:szCs w:val="24"/>
        </w:rPr>
        <w:t>”.</w:t>
      </w:r>
      <w:r>
        <w:rPr>
          <w:rStyle w:val="FootnoteReference"/>
          <w:sz w:val="24"/>
          <w:szCs w:val="24"/>
        </w:rPr>
        <w:footnoteReference w:id="8"/>
      </w:r>
      <w:r w:rsidR="00F9320C">
        <w:rPr>
          <w:sz w:val="24"/>
          <w:szCs w:val="24"/>
        </w:rPr>
        <w:t xml:space="preserve"> </w:t>
      </w:r>
      <w:r>
        <w:rPr>
          <w:sz w:val="24"/>
          <w:szCs w:val="24"/>
        </w:rPr>
        <w:t>O</w:t>
      </w:r>
      <w:r w:rsidR="00EF15D8">
        <w:rPr>
          <w:sz w:val="24"/>
          <w:szCs w:val="24"/>
        </w:rPr>
        <w:t>r</w:t>
      </w:r>
      <w:r>
        <w:rPr>
          <w:sz w:val="24"/>
          <w:szCs w:val="24"/>
        </w:rPr>
        <w:t xml:space="preserve">deric Vitalis was a contemporary to William the Conqueror’s reign as well as being an Anglo-Norman Ecclesiastical Chronicler and therefore Oderic provides valuable added context to extracts such as Godwin’s land survey in the Domesday Book. He was Anglo-Norman, he had insight into how </w:t>
      </w:r>
      <w:r w:rsidR="00CE06C3">
        <w:rPr>
          <w:sz w:val="24"/>
          <w:szCs w:val="24"/>
        </w:rPr>
        <w:t>William the Conqueror treated Normans and Saxons</w:t>
      </w:r>
      <w:r>
        <w:rPr>
          <w:sz w:val="24"/>
          <w:szCs w:val="24"/>
        </w:rPr>
        <w:t xml:space="preserve">. </w:t>
      </w:r>
      <w:r w:rsidR="00845F6E">
        <w:rPr>
          <w:sz w:val="24"/>
          <w:szCs w:val="24"/>
        </w:rPr>
        <w:t xml:space="preserve">What is also apparent is the value of the land in Edward the Confessor’s reign as Godwin’s </w:t>
      </w:r>
      <w:r w:rsidR="000D7591">
        <w:rPr>
          <w:sz w:val="24"/>
          <w:szCs w:val="24"/>
        </w:rPr>
        <w:t xml:space="preserve">entire estate </w:t>
      </w:r>
      <w:r w:rsidR="00845F6E">
        <w:rPr>
          <w:sz w:val="24"/>
          <w:szCs w:val="24"/>
        </w:rPr>
        <w:t xml:space="preserve">is worth 60 shillings, </w:t>
      </w:r>
      <w:r w:rsidR="000D7591">
        <w:rPr>
          <w:sz w:val="24"/>
          <w:szCs w:val="24"/>
        </w:rPr>
        <w:t>whereas William’s reign shows that the land value has decreased to 30 shillings, and the tenants of the manor must return 12 pence of the 20 shillings Godwin holds to the tax census.</w:t>
      </w:r>
      <w:r>
        <w:rPr>
          <w:sz w:val="24"/>
          <w:szCs w:val="24"/>
        </w:rPr>
        <w:t xml:space="preserve"> Indicating that the conquests must have had a severe monetary impact.</w:t>
      </w:r>
      <w:r w:rsidR="000D7591">
        <w:rPr>
          <w:sz w:val="24"/>
          <w:szCs w:val="24"/>
        </w:rPr>
        <w:t xml:space="preserve"> </w:t>
      </w:r>
      <w:r w:rsidR="00B96DEF">
        <w:rPr>
          <w:sz w:val="24"/>
          <w:szCs w:val="24"/>
        </w:rPr>
        <w:t xml:space="preserve">Fredrick Pollock asserts that </w:t>
      </w:r>
      <w:r w:rsidR="00B96DEF" w:rsidRPr="00B67379">
        <w:rPr>
          <w:rFonts w:asciiTheme="minorHAnsi" w:hAnsiTheme="minorHAnsi" w:cstheme="minorHAnsi"/>
          <w:sz w:val="24"/>
          <w:szCs w:val="24"/>
        </w:rPr>
        <w:t>“</w:t>
      </w:r>
      <w:r w:rsidR="00A8760E" w:rsidRPr="00B67379">
        <w:rPr>
          <w:rFonts w:asciiTheme="minorHAnsi" w:hAnsiTheme="minorHAnsi" w:cstheme="minorHAnsi"/>
          <w:sz w:val="24"/>
          <w:szCs w:val="24"/>
        </w:rPr>
        <w:t>King William levied a Danegeld at the novel and oppressive rate of 6s. a hide, the normal rate having been 2s</w:t>
      </w:r>
      <w:r w:rsidR="00B96DEF" w:rsidRPr="00B67379">
        <w:rPr>
          <w:rFonts w:asciiTheme="minorHAnsi" w:hAnsiTheme="minorHAnsi" w:cstheme="minorHAnsi"/>
          <w:sz w:val="24"/>
          <w:szCs w:val="24"/>
        </w:rPr>
        <w:t xml:space="preserve">”. </w:t>
      </w:r>
      <w:r w:rsidR="00B96DEF" w:rsidRPr="00B67379">
        <w:rPr>
          <w:rStyle w:val="FootnoteReference"/>
          <w:rFonts w:asciiTheme="minorHAnsi" w:hAnsiTheme="minorHAnsi" w:cstheme="minorHAnsi"/>
          <w:sz w:val="24"/>
          <w:szCs w:val="24"/>
        </w:rPr>
        <w:footnoteReference w:id="9"/>
      </w:r>
      <w:r w:rsidRPr="00B67379">
        <w:rPr>
          <w:rFonts w:asciiTheme="minorHAnsi" w:hAnsiTheme="minorHAnsi" w:cstheme="minorHAnsi"/>
          <w:sz w:val="24"/>
          <w:szCs w:val="24"/>
        </w:rPr>
        <w:t xml:space="preserve"> Supporting the notion that there is an indication of a financial recession as Godwin’s land value has decreased, </w:t>
      </w:r>
      <w:r w:rsidR="00B67379" w:rsidRPr="00B67379">
        <w:rPr>
          <w:rFonts w:asciiTheme="minorHAnsi" w:hAnsiTheme="minorHAnsi" w:cstheme="minorHAnsi"/>
          <w:sz w:val="24"/>
          <w:szCs w:val="24"/>
        </w:rPr>
        <w:t xml:space="preserve">additionally </w:t>
      </w:r>
      <w:r w:rsidRPr="00B67379">
        <w:rPr>
          <w:rFonts w:asciiTheme="minorHAnsi" w:hAnsiTheme="minorHAnsi" w:cstheme="minorHAnsi"/>
          <w:sz w:val="24"/>
          <w:szCs w:val="24"/>
        </w:rPr>
        <w:t>paying more of his rent inco</w:t>
      </w:r>
      <w:r w:rsidR="00B67379" w:rsidRPr="00B67379">
        <w:rPr>
          <w:rFonts w:asciiTheme="minorHAnsi" w:hAnsiTheme="minorHAnsi" w:cstheme="minorHAnsi"/>
          <w:sz w:val="24"/>
          <w:szCs w:val="24"/>
        </w:rPr>
        <w:t>me</w:t>
      </w:r>
      <w:r w:rsidRPr="00B67379">
        <w:rPr>
          <w:rFonts w:asciiTheme="minorHAnsi" w:hAnsiTheme="minorHAnsi" w:cstheme="minorHAnsi"/>
          <w:sz w:val="24"/>
          <w:szCs w:val="24"/>
        </w:rPr>
        <w:t xml:space="preserve"> to Norman taxation, Pollock’s assertion indicates that values for common commodities such as hides have also increased. </w:t>
      </w:r>
      <w:r w:rsidR="00EF52EE" w:rsidRPr="00B67379">
        <w:rPr>
          <w:rFonts w:asciiTheme="minorHAnsi" w:hAnsiTheme="minorHAnsi" w:cstheme="minorHAnsi"/>
          <w:sz w:val="24"/>
          <w:szCs w:val="24"/>
        </w:rPr>
        <w:t xml:space="preserve">The Economic survey did </w:t>
      </w:r>
      <w:r w:rsidRPr="00B67379">
        <w:rPr>
          <w:rFonts w:asciiTheme="minorHAnsi" w:hAnsiTheme="minorHAnsi" w:cstheme="minorHAnsi"/>
          <w:sz w:val="24"/>
          <w:szCs w:val="24"/>
        </w:rPr>
        <w:t xml:space="preserve">benefit </w:t>
      </w:r>
      <w:r w:rsidR="00C12D9D" w:rsidRPr="00B67379">
        <w:rPr>
          <w:rFonts w:asciiTheme="minorHAnsi" w:hAnsiTheme="minorHAnsi" w:cstheme="minorHAnsi"/>
          <w:sz w:val="24"/>
          <w:szCs w:val="24"/>
        </w:rPr>
        <w:t xml:space="preserve">some aspects of ownership for </w:t>
      </w:r>
      <w:r w:rsidRPr="00B67379">
        <w:rPr>
          <w:rFonts w:asciiTheme="minorHAnsi" w:hAnsiTheme="minorHAnsi" w:cstheme="minorHAnsi"/>
          <w:sz w:val="24"/>
          <w:szCs w:val="24"/>
        </w:rPr>
        <w:t xml:space="preserve">people </w:t>
      </w:r>
      <w:r w:rsidR="00C12D9D" w:rsidRPr="00B67379">
        <w:rPr>
          <w:rFonts w:asciiTheme="minorHAnsi" w:hAnsiTheme="minorHAnsi" w:cstheme="minorHAnsi"/>
          <w:sz w:val="24"/>
          <w:szCs w:val="24"/>
        </w:rPr>
        <w:t>living in his reign however what is clear in this extract</w:t>
      </w:r>
      <w:r w:rsidR="00EF52EE" w:rsidRPr="00B67379">
        <w:rPr>
          <w:rFonts w:asciiTheme="minorHAnsi" w:hAnsiTheme="minorHAnsi" w:cstheme="minorHAnsi"/>
          <w:sz w:val="24"/>
          <w:szCs w:val="24"/>
        </w:rPr>
        <w:t xml:space="preserve"> of the Domesday Book,</w:t>
      </w:r>
      <w:r w:rsidR="00C12D9D" w:rsidRPr="00B67379">
        <w:rPr>
          <w:rFonts w:asciiTheme="minorHAnsi" w:hAnsiTheme="minorHAnsi" w:cstheme="minorHAnsi"/>
          <w:sz w:val="24"/>
          <w:szCs w:val="24"/>
        </w:rPr>
        <w:t xml:space="preserve"> </w:t>
      </w:r>
      <w:r w:rsidR="00DC47EB" w:rsidRPr="00B67379">
        <w:rPr>
          <w:rFonts w:asciiTheme="minorHAnsi" w:hAnsiTheme="minorHAnsi" w:cstheme="minorHAnsi"/>
          <w:sz w:val="24"/>
          <w:szCs w:val="24"/>
        </w:rPr>
        <w:t xml:space="preserve">was </w:t>
      </w:r>
      <w:r w:rsidR="00C12D9D" w:rsidRPr="00B67379">
        <w:rPr>
          <w:rFonts w:asciiTheme="minorHAnsi" w:hAnsiTheme="minorHAnsi" w:cstheme="minorHAnsi"/>
          <w:sz w:val="24"/>
          <w:szCs w:val="24"/>
        </w:rPr>
        <w:t xml:space="preserve">that there </w:t>
      </w:r>
      <w:r w:rsidR="00B67379" w:rsidRPr="00B67379">
        <w:rPr>
          <w:rFonts w:asciiTheme="minorHAnsi" w:hAnsiTheme="minorHAnsi" w:cstheme="minorHAnsi"/>
          <w:sz w:val="24"/>
          <w:szCs w:val="24"/>
        </w:rPr>
        <w:t>were</w:t>
      </w:r>
      <w:r w:rsidR="00C12D9D" w:rsidRPr="00B67379">
        <w:rPr>
          <w:rFonts w:asciiTheme="minorHAnsi" w:hAnsiTheme="minorHAnsi" w:cstheme="minorHAnsi"/>
          <w:sz w:val="24"/>
          <w:szCs w:val="24"/>
        </w:rPr>
        <w:t xml:space="preserve"> ulterior motives, those being</w:t>
      </w:r>
      <w:r w:rsidR="00EF52EE" w:rsidRPr="00B67379">
        <w:rPr>
          <w:rFonts w:asciiTheme="minorHAnsi" w:hAnsiTheme="minorHAnsi" w:cstheme="minorHAnsi"/>
          <w:sz w:val="24"/>
          <w:szCs w:val="24"/>
        </w:rPr>
        <w:t xml:space="preserve">; </w:t>
      </w:r>
      <w:r w:rsidR="00C12D9D" w:rsidRPr="00B67379">
        <w:rPr>
          <w:rFonts w:asciiTheme="minorHAnsi" w:hAnsiTheme="minorHAnsi" w:cstheme="minorHAnsi"/>
          <w:sz w:val="24"/>
          <w:szCs w:val="24"/>
        </w:rPr>
        <w:t>funding</w:t>
      </w:r>
      <w:r w:rsidR="00EF52EE" w:rsidRPr="00B67379">
        <w:rPr>
          <w:rFonts w:asciiTheme="minorHAnsi" w:hAnsiTheme="minorHAnsi" w:cstheme="minorHAnsi"/>
          <w:sz w:val="24"/>
          <w:szCs w:val="24"/>
        </w:rPr>
        <w:t xml:space="preserve"> </w:t>
      </w:r>
      <w:r w:rsidR="00C12D9D" w:rsidRPr="00B67379">
        <w:rPr>
          <w:rFonts w:asciiTheme="minorHAnsi" w:hAnsiTheme="minorHAnsi" w:cstheme="minorHAnsi"/>
          <w:sz w:val="24"/>
          <w:szCs w:val="24"/>
        </w:rPr>
        <w:t xml:space="preserve">further campaigns, castle building to defend fiefs owned by William and severe economic issues for landowners such as Godwin, who benefited from Edward the </w:t>
      </w:r>
      <w:r w:rsidR="00FC3AE4" w:rsidRPr="00B67379">
        <w:rPr>
          <w:rFonts w:asciiTheme="minorHAnsi" w:hAnsiTheme="minorHAnsi" w:cstheme="minorHAnsi"/>
          <w:sz w:val="24"/>
          <w:szCs w:val="24"/>
        </w:rPr>
        <w:t>Confessor’s</w:t>
      </w:r>
      <w:r w:rsidR="00C12D9D" w:rsidRPr="00B67379">
        <w:rPr>
          <w:rFonts w:asciiTheme="minorHAnsi" w:hAnsiTheme="minorHAnsi" w:cstheme="minorHAnsi"/>
          <w:sz w:val="24"/>
          <w:szCs w:val="24"/>
        </w:rPr>
        <w:t xml:space="preserve"> reign</w:t>
      </w:r>
      <w:r w:rsidR="00FC3AE4" w:rsidRPr="00B67379">
        <w:rPr>
          <w:rFonts w:asciiTheme="minorHAnsi" w:hAnsiTheme="minorHAnsi" w:cstheme="minorHAnsi"/>
          <w:sz w:val="24"/>
          <w:szCs w:val="24"/>
        </w:rPr>
        <w:t xml:space="preserve">. </w:t>
      </w:r>
      <w:r w:rsidR="00EF52EE" w:rsidRPr="00B67379">
        <w:rPr>
          <w:rFonts w:asciiTheme="minorHAnsi" w:hAnsiTheme="minorHAnsi" w:cstheme="minorHAnsi"/>
          <w:sz w:val="24"/>
          <w:szCs w:val="24"/>
        </w:rPr>
        <w:t xml:space="preserve">Highlighting that </w:t>
      </w:r>
      <w:r w:rsidR="00893743" w:rsidRPr="00B67379">
        <w:rPr>
          <w:rFonts w:asciiTheme="minorHAnsi" w:hAnsiTheme="minorHAnsi" w:cstheme="minorHAnsi"/>
          <w:sz w:val="24"/>
          <w:szCs w:val="24"/>
        </w:rPr>
        <w:t>William</w:t>
      </w:r>
      <w:r w:rsidR="00EF52EE" w:rsidRPr="00B67379">
        <w:rPr>
          <w:rFonts w:asciiTheme="minorHAnsi" w:hAnsiTheme="minorHAnsi" w:cstheme="minorHAnsi"/>
          <w:sz w:val="24"/>
          <w:szCs w:val="24"/>
        </w:rPr>
        <w:t xml:space="preserve"> </w:t>
      </w:r>
      <w:r w:rsidR="00893743" w:rsidRPr="00B67379">
        <w:rPr>
          <w:rFonts w:asciiTheme="minorHAnsi" w:hAnsiTheme="minorHAnsi" w:cstheme="minorHAnsi"/>
          <w:sz w:val="24"/>
          <w:szCs w:val="24"/>
        </w:rPr>
        <w:t xml:space="preserve">benefited </w:t>
      </w:r>
      <w:r w:rsidR="00EF52EE" w:rsidRPr="00B67379">
        <w:rPr>
          <w:rFonts w:asciiTheme="minorHAnsi" w:hAnsiTheme="minorHAnsi" w:cstheme="minorHAnsi"/>
          <w:sz w:val="24"/>
          <w:szCs w:val="24"/>
        </w:rPr>
        <w:t xml:space="preserve">from Edward’s old tax system and </w:t>
      </w:r>
      <w:r w:rsidR="009426C5" w:rsidRPr="00B67379">
        <w:rPr>
          <w:rFonts w:asciiTheme="minorHAnsi" w:hAnsiTheme="minorHAnsi" w:cstheme="minorHAnsi"/>
          <w:sz w:val="24"/>
          <w:szCs w:val="24"/>
        </w:rPr>
        <w:t xml:space="preserve">this extract </w:t>
      </w:r>
      <w:r w:rsidR="00846352" w:rsidRPr="00B67379">
        <w:rPr>
          <w:rFonts w:asciiTheme="minorHAnsi" w:hAnsiTheme="minorHAnsi" w:cstheme="minorHAnsi"/>
          <w:sz w:val="24"/>
          <w:szCs w:val="24"/>
        </w:rPr>
        <w:t>supports analysis from other sources</w:t>
      </w:r>
      <w:r w:rsidR="00B67379" w:rsidRPr="00B67379">
        <w:rPr>
          <w:rFonts w:asciiTheme="minorHAnsi" w:hAnsiTheme="minorHAnsi" w:cstheme="minorHAnsi"/>
          <w:sz w:val="24"/>
          <w:szCs w:val="24"/>
        </w:rPr>
        <w:t xml:space="preserve">, </w:t>
      </w:r>
      <w:r w:rsidR="009426C5" w:rsidRPr="00B67379">
        <w:rPr>
          <w:rFonts w:asciiTheme="minorHAnsi" w:hAnsiTheme="minorHAnsi" w:cstheme="minorHAnsi"/>
          <w:sz w:val="24"/>
          <w:szCs w:val="24"/>
        </w:rPr>
        <w:t xml:space="preserve">that William </w:t>
      </w:r>
      <w:r w:rsidR="009426C5" w:rsidRPr="00B67379">
        <w:rPr>
          <w:rFonts w:asciiTheme="minorHAnsi" w:hAnsiTheme="minorHAnsi" w:cstheme="minorHAnsi"/>
          <w:sz w:val="24"/>
          <w:szCs w:val="24"/>
        </w:rPr>
        <w:lastRenderedPageBreak/>
        <w:t>used the Domesday Book to evaluate the land he had available for castle</w:t>
      </w:r>
      <w:r w:rsidR="00B67379" w:rsidRPr="00B67379">
        <w:rPr>
          <w:rFonts w:asciiTheme="minorHAnsi" w:hAnsiTheme="minorHAnsi" w:cstheme="minorHAnsi"/>
          <w:sz w:val="24"/>
          <w:szCs w:val="24"/>
        </w:rPr>
        <w:t>s</w:t>
      </w:r>
      <w:r w:rsidR="009426C5" w:rsidRPr="00B67379">
        <w:rPr>
          <w:rFonts w:asciiTheme="minorHAnsi" w:hAnsiTheme="minorHAnsi" w:cstheme="minorHAnsi"/>
          <w:sz w:val="24"/>
          <w:szCs w:val="24"/>
        </w:rPr>
        <w:t xml:space="preserve"> and for higher taxation.</w:t>
      </w:r>
    </w:p>
    <w:p w:rsidR="00B67379" w:rsidRPr="00B67379" w:rsidRDefault="00B67379">
      <w:pPr>
        <w:rPr>
          <w:rFonts w:asciiTheme="minorHAnsi" w:hAnsiTheme="minorHAnsi" w:cstheme="minorHAnsi"/>
          <w:sz w:val="24"/>
          <w:szCs w:val="24"/>
        </w:rPr>
      </w:pPr>
      <w:r>
        <w:rPr>
          <w:rFonts w:asciiTheme="minorHAnsi" w:hAnsiTheme="minorHAnsi" w:cstheme="minorHAnsi"/>
          <w:sz w:val="24"/>
          <w:szCs w:val="24"/>
        </w:rPr>
        <w:t>Word Count without Bibliography: 1</w:t>
      </w:r>
      <w:r w:rsidR="00535CF7">
        <w:rPr>
          <w:rFonts w:asciiTheme="minorHAnsi" w:hAnsiTheme="minorHAnsi" w:cstheme="minorHAnsi"/>
          <w:sz w:val="24"/>
          <w:szCs w:val="24"/>
        </w:rPr>
        <w:t>,096</w:t>
      </w:r>
      <w:r>
        <w:rPr>
          <w:rFonts w:asciiTheme="minorHAnsi" w:hAnsiTheme="minorHAnsi" w:cstheme="minorHAnsi"/>
          <w:sz w:val="24"/>
          <w:szCs w:val="24"/>
        </w:rPr>
        <w:t xml:space="preserve"> Words</w:t>
      </w:r>
      <w:r w:rsidR="002314FD">
        <w:rPr>
          <w:rFonts w:asciiTheme="minorHAnsi" w:hAnsiTheme="minorHAnsi" w:cstheme="minorHAnsi"/>
          <w:sz w:val="24"/>
          <w:szCs w:val="24"/>
        </w:rPr>
        <w:t>.</w:t>
      </w:r>
      <w:bookmarkStart w:id="0" w:name="_GoBack"/>
      <w:bookmarkEnd w:id="0"/>
    </w:p>
    <w:p w:rsidR="00893743" w:rsidRDefault="00893743">
      <w:pPr>
        <w:rPr>
          <w:rFonts w:cs="Calibri"/>
          <w:sz w:val="24"/>
          <w:szCs w:val="24"/>
        </w:rPr>
      </w:pPr>
    </w:p>
    <w:p w:rsidR="004171A8" w:rsidRDefault="00634B1F">
      <w:pPr>
        <w:rPr>
          <w:rFonts w:cs="Calibri"/>
          <w:sz w:val="24"/>
          <w:szCs w:val="24"/>
        </w:rPr>
      </w:pPr>
      <w:r>
        <w:rPr>
          <w:rFonts w:cs="Calibri"/>
          <w:sz w:val="24"/>
          <w:szCs w:val="24"/>
        </w:rPr>
        <w:t>Bibliography: -</w:t>
      </w:r>
    </w:p>
    <w:p w:rsidR="004171A8" w:rsidRDefault="00634B1F">
      <w:pPr>
        <w:rPr>
          <w:rFonts w:cs="Calibri"/>
          <w:sz w:val="24"/>
          <w:szCs w:val="24"/>
        </w:rPr>
      </w:pPr>
      <w:r>
        <w:rPr>
          <w:rFonts w:cs="Calibri"/>
          <w:sz w:val="24"/>
          <w:szCs w:val="24"/>
        </w:rPr>
        <w:t>Primary Works</w:t>
      </w:r>
    </w:p>
    <w:p w:rsidR="00F9320C" w:rsidRPr="00CE06C3" w:rsidRDefault="00F9320C">
      <w:pPr>
        <w:rPr>
          <w:rFonts w:asciiTheme="minorHAnsi" w:hAnsiTheme="minorHAnsi" w:cstheme="minorHAnsi"/>
          <w:b/>
        </w:rPr>
      </w:pPr>
      <w:r w:rsidRPr="00CE06C3">
        <w:rPr>
          <w:rFonts w:asciiTheme="minorHAnsi" w:hAnsiTheme="minorHAnsi" w:cstheme="minorHAnsi"/>
          <w:b/>
        </w:rPr>
        <w:t>Books</w:t>
      </w:r>
    </w:p>
    <w:p w:rsidR="004171A8" w:rsidRDefault="00634B1F">
      <w:pPr>
        <w:rPr>
          <w:rFonts w:asciiTheme="minorHAnsi" w:hAnsiTheme="minorHAnsi" w:cstheme="minorHAnsi"/>
        </w:rPr>
      </w:pPr>
      <w:r w:rsidRPr="00CE06C3">
        <w:rPr>
          <w:rFonts w:asciiTheme="minorHAnsi" w:hAnsiTheme="minorHAnsi" w:cstheme="minorHAnsi"/>
        </w:rPr>
        <w:t>Chibnall, M.,</w:t>
      </w:r>
      <w:r w:rsidRPr="00CE06C3">
        <w:rPr>
          <w:rFonts w:asciiTheme="minorHAnsi" w:hAnsiTheme="minorHAnsi" w:cstheme="minorHAnsi"/>
          <w:i/>
        </w:rPr>
        <w:t xml:space="preserve"> The World of O</w:t>
      </w:r>
      <w:r w:rsidR="00EF15D8">
        <w:rPr>
          <w:rFonts w:asciiTheme="minorHAnsi" w:hAnsiTheme="minorHAnsi" w:cstheme="minorHAnsi"/>
          <w:i/>
        </w:rPr>
        <w:t>r</w:t>
      </w:r>
      <w:r w:rsidRPr="00CE06C3">
        <w:rPr>
          <w:rFonts w:asciiTheme="minorHAnsi" w:hAnsiTheme="minorHAnsi" w:cstheme="minorHAnsi"/>
          <w:i/>
        </w:rPr>
        <w:t xml:space="preserve">deric Vitalis: Normans, monks, and Norman Knights </w:t>
      </w:r>
      <w:r w:rsidRPr="00CE06C3">
        <w:rPr>
          <w:rFonts w:asciiTheme="minorHAnsi" w:hAnsiTheme="minorHAnsi" w:cstheme="minorHAnsi"/>
        </w:rPr>
        <w:t>(Oxford: Oxford University Press, 1996).</w:t>
      </w:r>
    </w:p>
    <w:p w:rsidR="00F90AD1" w:rsidRPr="00F90AD1" w:rsidRDefault="00F90AD1" w:rsidP="00F90AD1">
      <w:pPr>
        <w:spacing w:before="240"/>
        <w:rPr>
          <w:rFonts w:asciiTheme="minorHAnsi" w:hAnsiTheme="minorHAnsi" w:cstheme="minorHAnsi"/>
        </w:rPr>
      </w:pPr>
      <w:r>
        <w:rPr>
          <w:rFonts w:asciiTheme="minorHAnsi" w:hAnsiTheme="minorHAnsi" w:cstheme="minorHAnsi"/>
        </w:rPr>
        <w:t xml:space="preserve">Savage, A., </w:t>
      </w:r>
      <w:r w:rsidRPr="00F90AD1">
        <w:rPr>
          <w:rFonts w:asciiTheme="minorHAnsi" w:hAnsiTheme="minorHAnsi" w:cstheme="minorHAnsi"/>
          <w:i/>
        </w:rPr>
        <w:t>The Anglo-Saxon Chronicles</w:t>
      </w:r>
      <w:r>
        <w:rPr>
          <w:rFonts w:asciiTheme="minorHAnsi" w:hAnsiTheme="minorHAnsi" w:cstheme="minorHAnsi"/>
          <w:i/>
        </w:rPr>
        <w:t xml:space="preserve"> </w:t>
      </w:r>
      <w:r>
        <w:rPr>
          <w:rFonts w:asciiTheme="minorHAnsi" w:hAnsiTheme="minorHAnsi" w:cstheme="minorHAnsi"/>
        </w:rPr>
        <w:t xml:space="preserve">(Twickenham: Tiger Books international PLC, 1995). </w:t>
      </w:r>
    </w:p>
    <w:p w:rsidR="00195401" w:rsidRPr="00CE06C3" w:rsidRDefault="00195401">
      <w:pPr>
        <w:rPr>
          <w:rFonts w:asciiTheme="minorHAnsi" w:hAnsiTheme="minorHAnsi" w:cstheme="minorHAnsi"/>
          <w:b/>
        </w:rPr>
      </w:pPr>
      <w:r w:rsidRPr="00CE06C3">
        <w:rPr>
          <w:rFonts w:asciiTheme="minorHAnsi" w:hAnsiTheme="minorHAnsi" w:cstheme="minorHAnsi"/>
          <w:b/>
        </w:rPr>
        <w:t xml:space="preserve">Journal Articles </w:t>
      </w:r>
    </w:p>
    <w:p w:rsidR="00557B6D" w:rsidRPr="00CE06C3" w:rsidRDefault="00557B6D">
      <w:pPr>
        <w:rPr>
          <w:rFonts w:asciiTheme="minorHAnsi" w:hAnsiTheme="minorHAnsi" w:cstheme="minorHAnsi"/>
        </w:rPr>
      </w:pPr>
      <w:r w:rsidRPr="00CE06C3">
        <w:rPr>
          <w:rFonts w:asciiTheme="minorHAnsi" w:hAnsiTheme="minorHAnsi" w:cstheme="minorHAnsi"/>
        </w:rPr>
        <w:t>E.B Demarest ‘</w:t>
      </w:r>
      <w:r w:rsidRPr="00CE06C3">
        <w:rPr>
          <w:rFonts w:asciiTheme="minorHAnsi" w:hAnsiTheme="minorHAnsi" w:cstheme="minorHAnsi"/>
          <w:i/>
        </w:rPr>
        <w:t>The Firma Unius Noctis</w:t>
      </w:r>
      <w:r w:rsidRPr="00CE06C3">
        <w:rPr>
          <w:rFonts w:asciiTheme="minorHAnsi" w:hAnsiTheme="minorHAnsi" w:cstheme="minorHAnsi"/>
        </w:rPr>
        <w:t>’, The English Historical Review, 35, 137 (1920), 78-89. pp78-86.</w:t>
      </w:r>
    </w:p>
    <w:p w:rsidR="004171A8" w:rsidRPr="00CE06C3" w:rsidRDefault="00634B1F">
      <w:pPr>
        <w:rPr>
          <w:rFonts w:asciiTheme="minorHAnsi" w:hAnsiTheme="minorHAnsi" w:cstheme="minorHAnsi"/>
        </w:rPr>
      </w:pPr>
      <w:r w:rsidRPr="00CE06C3">
        <w:rPr>
          <w:rFonts w:asciiTheme="minorHAnsi" w:hAnsiTheme="minorHAnsi" w:cstheme="minorHAnsi"/>
        </w:rPr>
        <w:t>Secondary Works</w:t>
      </w:r>
    </w:p>
    <w:p w:rsidR="00F9320C" w:rsidRPr="00CE06C3" w:rsidRDefault="00F9320C">
      <w:pPr>
        <w:rPr>
          <w:rFonts w:asciiTheme="minorHAnsi" w:hAnsiTheme="minorHAnsi" w:cstheme="minorHAnsi"/>
          <w:b/>
        </w:rPr>
      </w:pPr>
      <w:r w:rsidRPr="00CE06C3">
        <w:rPr>
          <w:rFonts w:asciiTheme="minorHAnsi" w:hAnsiTheme="minorHAnsi" w:cstheme="minorHAnsi"/>
          <w:b/>
        </w:rPr>
        <w:t>Books</w:t>
      </w:r>
    </w:p>
    <w:p w:rsidR="00CE06C3" w:rsidRPr="00CE06C3" w:rsidRDefault="00CE06C3">
      <w:pPr>
        <w:rPr>
          <w:rFonts w:asciiTheme="minorHAnsi" w:hAnsiTheme="minorHAnsi" w:cstheme="minorHAnsi"/>
        </w:rPr>
      </w:pPr>
      <w:r w:rsidRPr="00CE06C3">
        <w:rPr>
          <w:rFonts w:asciiTheme="minorHAnsi" w:hAnsiTheme="minorHAnsi" w:cstheme="minorHAnsi"/>
        </w:rPr>
        <w:t xml:space="preserve">Bates, D., and Curry, T., </w:t>
      </w:r>
      <w:r w:rsidRPr="00CE06C3">
        <w:rPr>
          <w:rFonts w:asciiTheme="minorHAnsi" w:hAnsiTheme="minorHAnsi" w:cstheme="minorHAnsi"/>
          <w:i/>
        </w:rPr>
        <w:t>England and Normandy in the Middle Ages</w:t>
      </w:r>
      <w:r w:rsidRPr="00CE06C3">
        <w:rPr>
          <w:rFonts w:asciiTheme="minorHAnsi" w:hAnsiTheme="minorHAnsi" w:cstheme="minorHAnsi"/>
        </w:rPr>
        <w:t xml:space="preserve"> (London: The Hambleton Press, 1994).</w:t>
      </w:r>
    </w:p>
    <w:p w:rsidR="00CE06C3" w:rsidRPr="00CE06C3" w:rsidRDefault="00CE06C3">
      <w:pPr>
        <w:rPr>
          <w:rFonts w:asciiTheme="minorHAnsi" w:hAnsiTheme="minorHAnsi" w:cstheme="minorHAnsi"/>
        </w:rPr>
      </w:pPr>
      <w:r w:rsidRPr="00CE06C3">
        <w:rPr>
          <w:rFonts w:asciiTheme="minorHAnsi" w:hAnsiTheme="minorHAnsi" w:cstheme="minorHAnsi"/>
        </w:rPr>
        <w:t xml:space="preserve">Huscroft, R., </w:t>
      </w:r>
      <w:r w:rsidRPr="00CE06C3">
        <w:rPr>
          <w:rFonts w:asciiTheme="minorHAnsi" w:hAnsiTheme="minorHAnsi" w:cstheme="minorHAnsi"/>
          <w:i/>
        </w:rPr>
        <w:t xml:space="preserve">Ruling England 1042-1217 </w:t>
      </w:r>
      <w:r w:rsidRPr="00CE06C3">
        <w:rPr>
          <w:rFonts w:asciiTheme="minorHAnsi" w:hAnsiTheme="minorHAnsi" w:cstheme="minorHAnsi"/>
        </w:rPr>
        <w:t xml:space="preserve">(London: Pearson Education Limited, 2000). </w:t>
      </w:r>
    </w:p>
    <w:p w:rsidR="00CE06C3" w:rsidRPr="00CE06C3" w:rsidRDefault="00CE06C3">
      <w:pPr>
        <w:rPr>
          <w:rFonts w:asciiTheme="minorHAnsi" w:hAnsiTheme="minorHAnsi" w:cstheme="minorHAnsi"/>
        </w:rPr>
      </w:pPr>
      <w:r w:rsidRPr="00CE06C3">
        <w:rPr>
          <w:rFonts w:asciiTheme="minorHAnsi" w:hAnsiTheme="minorHAnsi" w:cstheme="minorHAnsi"/>
        </w:rPr>
        <w:t xml:space="preserve">Rowley, T., </w:t>
      </w:r>
      <w:r w:rsidRPr="00CE06C3">
        <w:rPr>
          <w:rFonts w:asciiTheme="minorHAnsi" w:hAnsiTheme="minorHAnsi" w:cstheme="minorHAnsi"/>
          <w:i/>
        </w:rPr>
        <w:t xml:space="preserve">Norman England: An archaeological perspective </w:t>
      </w:r>
      <w:r w:rsidRPr="00CE06C3">
        <w:rPr>
          <w:rFonts w:asciiTheme="minorHAnsi" w:hAnsiTheme="minorHAnsi" w:cstheme="minorHAnsi"/>
        </w:rPr>
        <w:t>(</w:t>
      </w:r>
      <w:r w:rsidRPr="00CE06C3">
        <w:rPr>
          <w:rFonts w:asciiTheme="minorHAnsi" w:hAnsiTheme="minorHAnsi" w:cstheme="minorHAnsi"/>
          <w:color w:val="000000"/>
          <w:shd w:val="clear" w:color="auto" w:fill="FFFFFF"/>
        </w:rPr>
        <w:t xml:space="preserve">Gloucestershire: </w:t>
      </w:r>
      <w:r w:rsidRPr="00CE06C3">
        <w:rPr>
          <w:rFonts w:asciiTheme="minorHAnsi" w:hAnsiTheme="minorHAnsi" w:cstheme="minorHAnsi"/>
        </w:rPr>
        <w:t>B.T Batsford Ltd, 1997).</w:t>
      </w:r>
    </w:p>
    <w:p w:rsidR="00CE06C3" w:rsidRDefault="00CE06C3">
      <w:pPr>
        <w:rPr>
          <w:rFonts w:asciiTheme="minorHAnsi" w:hAnsiTheme="minorHAnsi" w:cstheme="minorHAnsi"/>
        </w:rPr>
      </w:pPr>
      <w:r w:rsidRPr="00CE06C3">
        <w:rPr>
          <w:rFonts w:asciiTheme="minorHAnsi" w:hAnsiTheme="minorHAnsi" w:cstheme="minorHAnsi"/>
        </w:rPr>
        <w:t xml:space="preserve">Van Houts, E., </w:t>
      </w:r>
      <w:r w:rsidRPr="00CE06C3">
        <w:rPr>
          <w:rFonts w:asciiTheme="minorHAnsi" w:hAnsiTheme="minorHAnsi" w:cstheme="minorHAnsi"/>
          <w:i/>
        </w:rPr>
        <w:t>The Normans in Europe</w:t>
      </w:r>
      <w:r w:rsidRPr="00CE06C3">
        <w:rPr>
          <w:rFonts w:asciiTheme="minorHAnsi" w:hAnsiTheme="minorHAnsi" w:cstheme="minorHAnsi"/>
        </w:rPr>
        <w:t xml:space="preserve"> (Manchester: Manchester University Press, 2000).</w:t>
      </w:r>
    </w:p>
    <w:p w:rsidR="00630ED9" w:rsidRPr="00630ED9" w:rsidRDefault="00630ED9">
      <w:pPr>
        <w:rPr>
          <w:rFonts w:asciiTheme="minorHAnsi" w:hAnsiTheme="minorHAnsi" w:cstheme="minorHAnsi"/>
        </w:rPr>
      </w:pPr>
      <w:r>
        <w:rPr>
          <w:rFonts w:asciiTheme="minorHAnsi" w:hAnsiTheme="minorHAnsi" w:cstheme="minorHAnsi"/>
        </w:rPr>
        <w:t xml:space="preserve">Matthew, D., </w:t>
      </w:r>
      <w:r w:rsidRPr="00630ED9">
        <w:rPr>
          <w:rFonts w:asciiTheme="minorHAnsi" w:hAnsiTheme="minorHAnsi" w:cstheme="minorHAnsi"/>
          <w:i/>
        </w:rPr>
        <w:t>The Chronicles of the Middle Ages</w:t>
      </w:r>
      <w:r>
        <w:rPr>
          <w:rFonts w:asciiTheme="minorHAnsi" w:hAnsiTheme="minorHAnsi" w:cstheme="minorHAnsi"/>
          <w:i/>
        </w:rPr>
        <w:t>: A survey of European History and Culture</w:t>
      </w:r>
      <w:r w:rsidRPr="00630ED9">
        <w:rPr>
          <w:rFonts w:asciiTheme="minorHAnsi" w:hAnsiTheme="minorHAnsi" w:cstheme="minorHAnsi"/>
          <w:i/>
        </w:rPr>
        <w:t xml:space="preserve"> </w:t>
      </w:r>
      <w:r>
        <w:rPr>
          <w:rFonts w:asciiTheme="minorHAnsi" w:hAnsiTheme="minorHAnsi" w:cstheme="minorHAnsi"/>
        </w:rPr>
        <w:t>(Oxford: Angus Books Ltd, 2003).</w:t>
      </w:r>
    </w:p>
    <w:p w:rsidR="00195401" w:rsidRPr="00CE06C3" w:rsidRDefault="00CE06C3">
      <w:pPr>
        <w:rPr>
          <w:rFonts w:asciiTheme="minorHAnsi" w:hAnsiTheme="minorHAnsi" w:cstheme="minorHAnsi"/>
          <w:b/>
        </w:rPr>
      </w:pPr>
      <w:r w:rsidRPr="00CE06C3">
        <w:rPr>
          <w:rFonts w:asciiTheme="minorHAnsi" w:hAnsiTheme="minorHAnsi" w:cstheme="minorHAnsi"/>
          <w:b/>
        </w:rPr>
        <w:t>Journal articles</w:t>
      </w:r>
    </w:p>
    <w:p w:rsidR="00CE06C3" w:rsidRPr="00CE06C3" w:rsidRDefault="00CE06C3" w:rsidP="00CE06C3">
      <w:pPr>
        <w:rPr>
          <w:rFonts w:asciiTheme="minorHAnsi" w:hAnsiTheme="minorHAnsi" w:cstheme="minorHAnsi"/>
        </w:rPr>
      </w:pPr>
      <w:r w:rsidRPr="00CE06C3">
        <w:rPr>
          <w:rFonts w:asciiTheme="minorHAnsi" w:hAnsiTheme="minorHAnsi" w:cstheme="minorHAnsi"/>
        </w:rPr>
        <w:t>F. Pollock ‘</w:t>
      </w:r>
      <w:r w:rsidRPr="00CE06C3">
        <w:rPr>
          <w:rFonts w:asciiTheme="minorHAnsi" w:hAnsiTheme="minorHAnsi" w:cstheme="minorHAnsi"/>
          <w:i/>
        </w:rPr>
        <w:t>A Brief Survey of Domesday</w:t>
      </w:r>
      <w:r w:rsidRPr="00CE06C3">
        <w:rPr>
          <w:rFonts w:asciiTheme="minorHAnsi" w:hAnsiTheme="minorHAnsi" w:cstheme="minorHAnsi"/>
        </w:rPr>
        <w:t xml:space="preserve">’, The English Historical Review, 11, 42, (1896), 209-230, pp.209-222. </w:t>
      </w:r>
    </w:p>
    <w:p w:rsidR="00CE06C3" w:rsidRPr="00CE06C3" w:rsidRDefault="00CE06C3">
      <w:pPr>
        <w:rPr>
          <w:rFonts w:asciiTheme="minorHAnsi" w:hAnsiTheme="minorHAnsi" w:cstheme="minorHAnsi"/>
        </w:rPr>
      </w:pPr>
      <w:r w:rsidRPr="00CE06C3">
        <w:rPr>
          <w:rFonts w:asciiTheme="minorHAnsi" w:hAnsiTheme="minorHAnsi" w:cstheme="minorHAnsi"/>
        </w:rPr>
        <w:t>J. J. N Palmer</w:t>
      </w:r>
      <w:r w:rsidRPr="00CE06C3">
        <w:rPr>
          <w:rFonts w:asciiTheme="minorHAnsi" w:hAnsiTheme="minorHAnsi" w:cstheme="minorHAnsi"/>
          <w:i/>
        </w:rPr>
        <w:t xml:space="preserve"> ‘Computerizing Domesday Book’, </w:t>
      </w:r>
      <w:r w:rsidRPr="00CE06C3">
        <w:rPr>
          <w:rFonts w:asciiTheme="minorHAnsi" w:hAnsiTheme="minorHAnsi" w:cstheme="minorHAnsi"/>
        </w:rPr>
        <w:t xml:space="preserve">The Royal Geographical Society, 11, 3, (1986), 279- 289, pp.279-285. </w:t>
      </w:r>
    </w:p>
    <w:p w:rsidR="004171A8" w:rsidRPr="00CE06C3" w:rsidRDefault="004171A8">
      <w:pPr>
        <w:rPr>
          <w:rFonts w:asciiTheme="minorHAnsi" w:hAnsiTheme="minorHAnsi" w:cstheme="minorHAnsi"/>
        </w:rPr>
      </w:pPr>
    </w:p>
    <w:p w:rsidR="004171A8" w:rsidRPr="00CE06C3" w:rsidRDefault="004171A8">
      <w:pPr>
        <w:rPr>
          <w:rFonts w:asciiTheme="minorHAnsi" w:hAnsiTheme="minorHAnsi" w:cstheme="minorHAnsi"/>
        </w:rPr>
      </w:pPr>
    </w:p>
    <w:p w:rsidR="004171A8" w:rsidRPr="00CE06C3" w:rsidRDefault="004171A8">
      <w:pPr>
        <w:rPr>
          <w:rFonts w:asciiTheme="minorHAnsi" w:hAnsiTheme="minorHAnsi" w:cstheme="minorHAnsi"/>
        </w:rPr>
      </w:pPr>
    </w:p>
    <w:sectPr w:rsidR="004171A8" w:rsidRPr="00CE06C3">
      <w:headerReference w:type="default" r:id="rId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D96" w:rsidRDefault="00A93D96">
      <w:pPr>
        <w:spacing w:after="0" w:line="240" w:lineRule="auto"/>
      </w:pPr>
      <w:r>
        <w:separator/>
      </w:r>
    </w:p>
  </w:endnote>
  <w:endnote w:type="continuationSeparator" w:id="0">
    <w:p w:rsidR="00A93D96" w:rsidRDefault="00A9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D96" w:rsidRDefault="00A93D96">
      <w:pPr>
        <w:spacing w:after="0" w:line="240" w:lineRule="auto"/>
      </w:pPr>
      <w:r>
        <w:rPr>
          <w:color w:val="000000"/>
        </w:rPr>
        <w:separator/>
      </w:r>
    </w:p>
  </w:footnote>
  <w:footnote w:type="continuationSeparator" w:id="0">
    <w:p w:rsidR="00A93D96" w:rsidRDefault="00A93D96">
      <w:pPr>
        <w:spacing w:after="0" w:line="240" w:lineRule="auto"/>
      </w:pPr>
      <w:r>
        <w:continuationSeparator/>
      </w:r>
    </w:p>
  </w:footnote>
  <w:footnote w:id="1">
    <w:p w:rsidR="00634B1F" w:rsidRDefault="00634B1F">
      <w:pPr>
        <w:pStyle w:val="FootnoteText"/>
      </w:pPr>
      <w:r>
        <w:rPr>
          <w:rStyle w:val="FootnoteReference"/>
        </w:rPr>
        <w:footnoteRef/>
      </w:r>
      <w:r>
        <w:t xml:space="preserve"> D. Bates &amp; A. Curry, </w:t>
      </w:r>
      <w:r>
        <w:rPr>
          <w:i/>
        </w:rPr>
        <w:t xml:space="preserve">England, and Normandy in the Middle Ages </w:t>
      </w:r>
      <w:r>
        <w:t>(London: The Hambleton Press, 1994). Pg31. Chap.2.</w:t>
      </w:r>
    </w:p>
  </w:footnote>
  <w:footnote w:id="2">
    <w:p w:rsidR="00634B1F" w:rsidRDefault="00634B1F">
      <w:pPr>
        <w:pStyle w:val="FootnoteText"/>
      </w:pPr>
      <w:r>
        <w:rPr>
          <w:rStyle w:val="FootnoteReference"/>
        </w:rPr>
        <w:footnoteRef/>
      </w:r>
      <w:r>
        <w:t xml:space="preserve"> T. Rowley, Norman England and Archaeological Perspective (London: The Hambleton Press, 1994). Pg41. Chap.2</w:t>
      </w:r>
    </w:p>
  </w:footnote>
  <w:footnote w:id="3">
    <w:p w:rsidR="00634B1F" w:rsidRDefault="00634B1F">
      <w:pPr>
        <w:pStyle w:val="FootnoteText"/>
      </w:pPr>
      <w:r>
        <w:rPr>
          <w:rStyle w:val="FootnoteReference"/>
        </w:rPr>
        <w:footnoteRef/>
      </w:r>
      <w:r>
        <w:t xml:space="preserve"> T. Rowley, Norman England an Archaeological Perspective (Gloucestershire: B.T Batsford Ltd, 1997). Pg87Chap.5.</w:t>
      </w:r>
    </w:p>
  </w:footnote>
  <w:footnote w:id="4">
    <w:p w:rsidR="00634B1F" w:rsidRDefault="00634B1F">
      <w:pPr>
        <w:pStyle w:val="FootnoteText"/>
      </w:pPr>
      <w:r>
        <w:rPr>
          <w:rStyle w:val="FootnoteReference"/>
        </w:rPr>
        <w:footnoteRef/>
      </w:r>
      <w:r>
        <w:t xml:space="preserve"> R. Huscroft, Ruling England 1042-1217 (London: Pearson Education Limited, 2000) pg.58. Chap.5.</w:t>
      </w:r>
    </w:p>
  </w:footnote>
  <w:footnote w:id="5">
    <w:p w:rsidR="00634B1F" w:rsidRDefault="00634B1F">
      <w:pPr>
        <w:pStyle w:val="FootnoteText"/>
      </w:pPr>
      <w:r>
        <w:rPr>
          <w:rStyle w:val="FootnoteReference"/>
        </w:rPr>
        <w:footnoteRef/>
      </w:r>
      <w:r>
        <w:t xml:space="preserve"> T. Rowley, Norman England an Archaeological Perspective (Gloucestershire: B.T Batsford Ltd, 1997). Pg87Chap.5. </w:t>
      </w:r>
    </w:p>
  </w:footnote>
  <w:footnote w:id="6">
    <w:p w:rsidR="00634B1F" w:rsidRDefault="00634B1F">
      <w:pPr>
        <w:pStyle w:val="FootnoteText"/>
      </w:pPr>
      <w:r>
        <w:rPr>
          <w:rStyle w:val="FootnoteReference"/>
        </w:rPr>
        <w:footnoteRef/>
      </w:r>
      <w:r>
        <w:t xml:space="preserve"> T</w:t>
      </w:r>
      <w:r>
        <w:rPr>
          <w:rFonts w:cs="Calibri"/>
        </w:rPr>
        <w:t>. Rowley, Norman England: An archaeological Perspective (Gloucestershire: B.T Batsford Limited, 1997). Pg83Chap.5</w:t>
      </w:r>
    </w:p>
  </w:footnote>
  <w:footnote w:id="7">
    <w:p w:rsidR="00634B1F" w:rsidRDefault="00634B1F">
      <w:r>
        <w:rPr>
          <w:rStyle w:val="FootnoteReference"/>
        </w:rPr>
        <w:footnoteRef/>
      </w:r>
      <w:r>
        <w:t xml:space="preserve"> </w:t>
      </w:r>
      <w:r>
        <w:rPr>
          <w:rFonts w:cs="Calibri"/>
          <w:sz w:val="20"/>
          <w:szCs w:val="20"/>
        </w:rPr>
        <w:t>D.Bates &amp; A. Curry, England, and Normandy in the Middle Ages (London: The Hambledon Press, 1994). Pg.5. Chap.1.</w:t>
      </w:r>
    </w:p>
  </w:footnote>
  <w:footnote w:id="8">
    <w:p w:rsidR="00634B1F" w:rsidRDefault="00634B1F">
      <w:pPr>
        <w:pStyle w:val="FootnoteText"/>
      </w:pPr>
      <w:r>
        <w:rPr>
          <w:rStyle w:val="FootnoteReference"/>
        </w:rPr>
        <w:footnoteRef/>
      </w:r>
      <w:r>
        <w:t xml:space="preserve"> M.Chibnall, The World of Oderic Vitalis: Normans, monks, and Norman Knights (Oxford: Oxford University Press, 1996). Pg11. Chap.1.</w:t>
      </w:r>
    </w:p>
  </w:footnote>
  <w:footnote w:id="9">
    <w:p w:rsidR="00634B1F" w:rsidRDefault="00634B1F">
      <w:pPr>
        <w:pStyle w:val="FootnoteText"/>
      </w:pPr>
      <w:r>
        <w:rPr>
          <w:rStyle w:val="FootnoteReference"/>
        </w:rPr>
        <w:footnoteRef/>
      </w:r>
      <w:r>
        <w:t xml:space="preserve"> </w:t>
      </w:r>
      <w:r w:rsidR="00F11288">
        <w:t>F. Pollock, ‘</w:t>
      </w:r>
      <w:r w:rsidR="00F11288" w:rsidRPr="00F11288">
        <w:rPr>
          <w:i/>
        </w:rPr>
        <w:t>Brief survey of Domesday</w:t>
      </w:r>
      <w:r w:rsidR="00F11288">
        <w:t xml:space="preserve">’ The English Historical Review 11. 42. (1896), 209-230, pp210-212.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4B1F" w:rsidRDefault="00634B1F">
    <w:pPr>
      <w:pStyle w:val="Header"/>
    </w:pPr>
    <w:r>
      <w:rPr>
        <w:noProof/>
        <w:lang w:eastAsia="en-GB"/>
      </w:rP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509906" cy="603247"/>
              <wp:effectExtent l="0" t="0" r="0" b="6353"/>
              <wp:wrapNone/>
              <wp:docPr id="1" name="Rectangle 1"/>
              <wp:cNvGraphicFramePr/>
              <a:graphic xmlns:a="http://schemas.openxmlformats.org/drawingml/2006/main">
                <a:graphicData uri="http://schemas.microsoft.com/office/word/2010/wordprocessingShape">
                  <wps:wsp>
                    <wps:cNvSpPr/>
                    <wps:spPr>
                      <a:xfrm>
                        <a:off x="0" y="0"/>
                        <a:ext cx="509906" cy="603247"/>
                      </a:xfrm>
                      <a:prstGeom prst="rect">
                        <a:avLst/>
                      </a:prstGeom>
                      <a:noFill/>
                      <a:ln>
                        <a:noFill/>
                        <a:prstDash val="solid"/>
                      </a:ln>
                    </wps:spPr>
                    <wps:txbx>
                      <w:txbxContent>
                        <w:p w:rsidR="00634B1F" w:rsidRDefault="00634B1F">
                          <w:pPr>
                            <w:pStyle w:val="Footer"/>
                          </w:pPr>
                          <w:r>
                            <w:rPr>
                              <w:rFonts w:ascii="Calibri Light" w:eastAsia="Times New Roman" w:hAnsi="Calibri Light"/>
                            </w:rPr>
                            <w:t>Page</w:t>
                          </w:r>
                          <w:r>
                            <w:rPr>
                              <w:rFonts w:ascii="Calibri Light" w:eastAsia="Times New Roman" w:hAnsi="Calibri Light"/>
                              <w:sz w:val="44"/>
                              <w:szCs w:val="44"/>
                            </w:rPr>
                            <w:fldChar w:fldCharType="begin"/>
                          </w:r>
                          <w:r>
                            <w:rPr>
                              <w:rFonts w:ascii="Calibri Light" w:eastAsia="Times New Roman" w:hAnsi="Calibri Light"/>
                              <w:sz w:val="44"/>
                              <w:szCs w:val="44"/>
                            </w:rPr>
                            <w:instrText xml:space="preserve"> PAGE </w:instrText>
                          </w:r>
                          <w:r>
                            <w:rPr>
                              <w:rFonts w:ascii="Calibri Light" w:eastAsia="Times New Roman" w:hAnsi="Calibri Light"/>
                              <w:sz w:val="44"/>
                              <w:szCs w:val="44"/>
                            </w:rPr>
                            <w:fldChar w:fldCharType="separate"/>
                          </w:r>
                          <w:r w:rsidR="00E45FFC">
                            <w:rPr>
                              <w:rFonts w:ascii="Calibri Light" w:eastAsia="Times New Roman" w:hAnsi="Calibri Light"/>
                              <w:noProof/>
                              <w:sz w:val="44"/>
                              <w:szCs w:val="44"/>
                            </w:rPr>
                            <w:t>3</w:t>
                          </w:r>
                          <w:r>
                            <w:rPr>
                              <w:rFonts w:ascii="Calibri Light" w:eastAsia="Times New Roman" w:hAnsi="Calibri Light"/>
                              <w:sz w:val="44"/>
                              <w:szCs w:val="44"/>
                            </w:rPr>
                            <w:fldChar w:fldCharType="end"/>
                          </w:r>
                        </w:p>
                      </w:txbxContent>
                    </wps:txbx>
                    <wps:bodyPr vert="horz" wrap="square" lIns="91440" tIns="45720" rIns="91440" bIns="45720" anchor="ctr" anchorCtr="0" compatLnSpc="0">
                      <a:spAutoFit/>
                    </wps:bodyPr>
                  </wps:wsp>
                </a:graphicData>
              </a:graphic>
            </wp:anchor>
          </w:drawing>
        </mc:Choice>
        <mc:Fallback>
          <w:pict>
            <v:rect id="Rectangle 1" o:spid="_x0000_s1026" style="position:absolute;margin-left:0;margin-top:0;width:40.15pt;height:47.5pt;z-index:2516592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" filled="f" stroked="f">
              <v:textbox style="mso-fit-shape-to-text:t">
                <w:txbxContent>
                  <w:p w:rsidR="00634B1F" w:rsidRDefault="00634B1F">
                    <w:pPr>
                      <w:pStyle w:val="Footer"/>
                    </w:pPr>
                    <w:r>
                      <w:rPr>
                        <w:rFonts w:ascii="Calibri Light" w:eastAsia="Times New Roman" w:hAnsi="Calibri Light"/>
                      </w:rPr>
                      <w:t>Page</w:t>
                    </w:r>
                    <w:r>
                      <w:rPr>
                        <w:rFonts w:ascii="Calibri Light" w:eastAsia="Times New Roman" w:hAnsi="Calibri Light"/>
                        <w:sz w:val="44"/>
                        <w:szCs w:val="44"/>
                      </w:rPr>
                      <w:fldChar w:fldCharType="begin"/>
                    </w:r>
                    <w:r>
                      <w:rPr>
                        <w:rFonts w:ascii="Calibri Light" w:eastAsia="Times New Roman" w:hAnsi="Calibri Light"/>
                        <w:sz w:val="44"/>
                        <w:szCs w:val="44"/>
                      </w:rPr>
                      <w:instrText xml:space="preserve"> PAGE </w:instrText>
                    </w:r>
                    <w:r>
                      <w:rPr>
                        <w:rFonts w:ascii="Calibri Light" w:eastAsia="Times New Roman" w:hAnsi="Calibri Light"/>
                        <w:sz w:val="44"/>
                        <w:szCs w:val="44"/>
                      </w:rPr>
                      <w:fldChar w:fldCharType="separate"/>
                    </w:r>
                    <w:r w:rsidR="00E45FFC">
                      <w:rPr>
                        <w:rFonts w:ascii="Calibri Light" w:eastAsia="Times New Roman" w:hAnsi="Calibri Light"/>
                        <w:noProof/>
                        <w:sz w:val="44"/>
                        <w:szCs w:val="44"/>
                      </w:rPr>
                      <w:t>3</w:t>
                    </w:r>
                    <w:r>
                      <w:rPr>
                        <w:rFonts w:ascii="Calibri Light" w:eastAsia="Times New Roman" w:hAnsi="Calibri Light"/>
                        <w:sz w:val="44"/>
                        <w:szCs w:val="44"/>
                      </w:rPr>
                      <w:fldChar w:fldCharType="end"/>
                    </w:r>
                  </w:p>
                </w:txbxContent>
              </v:textbox>
              <w10:wrap anchorx="page" anchory="page"/>
            </v:rect>
          </w:pict>
        </mc:Fallback>
      </mc:AlternateContent>
    </w:r>
    <w:r>
      <w:t>Thomas Hills</w:t>
    </w:r>
  </w:p>
  <w:p w:rsidR="00634B1F" w:rsidRDefault="00634B1F">
    <w:pPr>
      <w:pStyle w:val="Header"/>
    </w:pPr>
    <w:r>
      <w:t>Candidate Number: 1500845</w:t>
    </w:r>
  </w:p>
  <w:p w:rsidR="00634B1F" w:rsidRDefault="00634B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1A8"/>
    <w:rsid w:val="000D7591"/>
    <w:rsid w:val="00106A3F"/>
    <w:rsid w:val="00195401"/>
    <w:rsid w:val="002314FD"/>
    <w:rsid w:val="002827A4"/>
    <w:rsid w:val="00302B0D"/>
    <w:rsid w:val="003A2195"/>
    <w:rsid w:val="00415297"/>
    <w:rsid w:val="004171A8"/>
    <w:rsid w:val="004430DC"/>
    <w:rsid w:val="00535CF7"/>
    <w:rsid w:val="00557B6D"/>
    <w:rsid w:val="00572CF2"/>
    <w:rsid w:val="00630ED9"/>
    <w:rsid w:val="00634B1F"/>
    <w:rsid w:val="00724EC7"/>
    <w:rsid w:val="007E56D8"/>
    <w:rsid w:val="00845F6E"/>
    <w:rsid w:val="00846352"/>
    <w:rsid w:val="00847F1D"/>
    <w:rsid w:val="00893743"/>
    <w:rsid w:val="00894C74"/>
    <w:rsid w:val="009426C5"/>
    <w:rsid w:val="009A70B8"/>
    <w:rsid w:val="00A8760E"/>
    <w:rsid w:val="00A93D96"/>
    <w:rsid w:val="00B2511B"/>
    <w:rsid w:val="00B67379"/>
    <w:rsid w:val="00B87EF6"/>
    <w:rsid w:val="00B96DEF"/>
    <w:rsid w:val="00C12D9D"/>
    <w:rsid w:val="00C625A1"/>
    <w:rsid w:val="00CE06C3"/>
    <w:rsid w:val="00DC31A2"/>
    <w:rsid w:val="00DC47EB"/>
    <w:rsid w:val="00DC508E"/>
    <w:rsid w:val="00E3700D"/>
    <w:rsid w:val="00E45FFC"/>
    <w:rsid w:val="00EB0BB0"/>
    <w:rsid w:val="00EF15D8"/>
    <w:rsid w:val="00EF52EE"/>
    <w:rsid w:val="00F11288"/>
    <w:rsid w:val="00F4733F"/>
    <w:rsid w:val="00F90AD1"/>
    <w:rsid w:val="00F9320C"/>
    <w:rsid w:val="00FB7DDE"/>
    <w:rsid w:val="00FC3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B193"/>
  <w15:docId w15:val="{5A197C90-79FC-4E3C-82F0-BDA5C8D85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56591-B312-4B35-9453-8D7DBF46D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1074</Words>
  <Characters>6125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Hills (1500845)</dc:creator>
  <cp:lastModifiedBy>Thomas Hills (1500845)</cp:lastModifiedBy>
  <cp:revision>2</cp:revision>
  <dcterms:created xsi:type="dcterms:W3CDTF">2017-11-23T17:27:00Z</dcterms:created>
  <dcterms:modified xsi:type="dcterms:W3CDTF">2017-11-23T17:27:00Z</dcterms:modified>
</cp:coreProperties>
</file>