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738DD694" w:rsidR="00E067A8" w:rsidRDefault="00E067A8" w:rsidP="00B43FAC">
      <w:pPr>
        <w:spacing w:line="360" w:lineRule="auto"/>
      </w:pPr>
    </w:p>
    <w:p w14:paraId="24AA416E" w14:textId="77777777" w:rsidR="00ED5964" w:rsidRDefault="00ED5964" w:rsidP="00B43FAC">
      <w:pPr>
        <w:spacing w:line="360" w:lineRule="auto"/>
      </w:pPr>
    </w:p>
    <w:p w14:paraId="478C11A1" w14:textId="77777777" w:rsidR="00ED5964" w:rsidRDefault="00ED5964" w:rsidP="00B43FAC">
      <w:pPr>
        <w:spacing w:line="360" w:lineRule="auto"/>
      </w:pPr>
    </w:p>
    <w:p w14:paraId="6B8ADB81" w14:textId="77777777" w:rsidR="006A5CFC" w:rsidRDefault="006A5CFC" w:rsidP="00B43FAC">
      <w:pPr>
        <w:spacing w:line="360" w:lineRule="auto"/>
      </w:pPr>
    </w:p>
    <w:p w14:paraId="168F467C" w14:textId="77777777" w:rsidR="006A5CFC" w:rsidRDefault="006A5CFC" w:rsidP="00B43FAC">
      <w:pPr>
        <w:spacing w:line="360" w:lineRule="auto"/>
      </w:pPr>
    </w:p>
    <w:p w14:paraId="3BEDB360" w14:textId="6FC568DE" w:rsidR="00ED5964" w:rsidRPr="008332FE" w:rsidRDefault="008332FE" w:rsidP="008332FE">
      <w:pPr>
        <w:spacing w:line="360" w:lineRule="auto"/>
        <w:jc w:val="center"/>
        <w:rPr>
          <w:rFonts w:ascii="Arial" w:hAnsi="Arial" w:cs="Arial"/>
          <w:b/>
          <w:sz w:val="32"/>
        </w:rPr>
      </w:pPr>
      <w:r w:rsidRPr="008332FE">
        <w:rPr>
          <w:rFonts w:ascii="Arial" w:hAnsi="Arial" w:cs="Arial"/>
          <w:b/>
          <w:sz w:val="32"/>
        </w:rPr>
        <w:t>Task 3: Report</w:t>
      </w:r>
    </w:p>
    <w:p w14:paraId="2EF804A0" w14:textId="0BF3244F" w:rsidR="00ED5964" w:rsidRDefault="00ED5964" w:rsidP="00B43FAC">
      <w:pPr>
        <w:spacing w:line="360" w:lineRule="auto"/>
        <w:jc w:val="both"/>
        <w:rPr>
          <w:rFonts w:asciiTheme="minorBidi" w:hAnsiTheme="minorBidi"/>
          <w:sz w:val="28"/>
          <w:szCs w:val="28"/>
        </w:rPr>
      </w:pPr>
      <w:r>
        <w:rPr>
          <w:rFonts w:asciiTheme="minorBidi" w:hAnsiTheme="minorBidi"/>
          <w:sz w:val="28"/>
          <w:szCs w:val="28"/>
        </w:rPr>
        <w:t xml:space="preserve">Name: </w:t>
      </w:r>
      <w:r w:rsidR="00954C4F">
        <w:rPr>
          <w:rFonts w:asciiTheme="minorBidi" w:hAnsiTheme="minorBidi"/>
          <w:sz w:val="28"/>
          <w:szCs w:val="28"/>
        </w:rPr>
        <w:t>Shazia Akhtar</w:t>
      </w:r>
    </w:p>
    <w:p w14:paraId="3C1E7A20" w14:textId="77C103EE" w:rsidR="00ED5964" w:rsidRDefault="00ED5964" w:rsidP="00B43FAC">
      <w:pPr>
        <w:spacing w:line="360" w:lineRule="auto"/>
        <w:jc w:val="both"/>
        <w:rPr>
          <w:rFonts w:asciiTheme="minorBidi" w:hAnsiTheme="minorBidi"/>
          <w:sz w:val="28"/>
          <w:szCs w:val="28"/>
        </w:rPr>
      </w:pPr>
      <w:r>
        <w:rPr>
          <w:rFonts w:asciiTheme="minorBidi" w:hAnsiTheme="minorBidi"/>
          <w:sz w:val="28"/>
          <w:szCs w:val="28"/>
        </w:rPr>
        <w:t xml:space="preserve">Student ID: </w:t>
      </w:r>
      <w:r w:rsidR="00954C4F">
        <w:rPr>
          <w:rFonts w:asciiTheme="minorBidi" w:hAnsiTheme="minorBidi"/>
          <w:sz w:val="28"/>
          <w:szCs w:val="28"/>
        </w:rPr>
        <w:t>2015538</w:t>
      </w:r>
    </w:p>
    <w:p w14:paraId="4EEB2DA3" w14:textId="13D051A0" w:rsidR="00ED5964" w:rsidRDefault="00ED5964" w:rsidP="00B43FAC">
      <w:pPr>
        <w:spacing w:line="360" w:lineRule="auto"/>
        <w:jc w:val="both"/>
        <w:rPr>
          <w:rFonts w:asciiTheme="minorBidi" w:hAnsiTheme="minorBidi"/>
          <w:sz w:val="28"/>
          <w:szCs w:val="28"/>
        </w:rPr>
      </w:pPr>
      <w:r>
        <w:rPr>
          <w:rFonts w:asciiTheme="minorBidi" w:hAnsiTheme="minorBidi"/>
          <w:sz w:val="28"/>
          <w:szCs w:val="28"/>
        </w:rPr>
        <w:t xml:space="preserve">Module: </w:t>
      </w:r>
      <w:r w:rsidR="00B43FAC" w:rsidRPr="00B43FAC">
        <w:rPr>
          <w:rFonts w:asciiTheme="minorBidi" w:hAnsiTheme="minorBidi"/>
          <w:sz w:val="28"/>
          <w:szCs w:val="28"/>
        </w:rPr>
        <w:t>Academic and Employability skills</w:t>
      </w:r>
    </w:p>
    <w:p w14:paraId="112342CB" w14:textId="002045A5" w:rsidR="00ED5964" w:rsidRDefault="00ED5964" w:rsidP="00B43FAC">
      <w:pPr>
        <w:spacing w:line="360" w:lineRule="auto"/>
        <w:jc w:val="both"/>
        <w:rPr>
          <w:rFonts w:asciiTheme="minorBidi" w:hAnsiTheme="minorBidi"/>
          <w:sz w:val="28"/>
          <w:szCs w:val="28"/>
        </w:rPr>
      </w:pPr>
      <w:r>
        <w:rPr>
          <w:rFonts w:asciiTheme="minorBidi" w:hAnsiTheme="minorBidi"/>
          <w:sz w:val="28"/>
          <w:szCs w:val="28"/>
        </w:rPr>
        <w:t xml:space="preserve">Lecturer: </w:t>
      </w:r>
      <w:r w:rsidR="00B43FAC" w:rsidRPr="00B43FAC">
        <w:rPr>
          <w:rFonts w:asciiTheme="minorBidi" w:hAnsiTheme="minorBidi"/>
          <w:sz w:val="28"/>
          <w:szCs w:val="28"/>
        </w:rPr>
        <w:t xml:space="preserve">Markus Klingelfuss </w:t>
      </w:r>
    </w:p>
    <w:p w14:paraId="78C0B80E" w14:textId="77777777" w:rsidR="00ED5964" w:rsidRDefault="00ED5964" w:rsidP="00B43FAC">
      <w:pPr>
        <w:spacing w:line="360" w:lineRule="auto"/>
        <w:jc w:val="both"/>
        <w:rPr>
          <w:rFonts w:asciiTheme="minorBidi" w:hAnsiTheme="minorBidi"/>
          <w:sz w:val="28"/>
          <w:szCs w:val="28"/>
        </w:rPr>
      </w:pPr>
    </w:p>
    <w:p w14:paraId="560109BC" w14:textId="77777777" w:rsidR="00954C4F" w:rsidRDefault="00954C4F" w:rsidP="00B43FAC">
      <w:pPr>
        <w:spacing w:line="360" w:lineRule="auto"/>
        <w:jc w:val="both"/>
        <w:rPr>
          <w:rFonts w:asciiTheme="minorBidi" w:hAnsiTheme="minorBidi"/>
          <w:sz w:val="28"/>
          <w:szCs w:val="28"/>
        </w:rPr>
      </w:pPr>
    </w:p>
    <w:p w14:paraId="13381989" w14:textId="77777777" w:rsidR="00954C4F" w:rsidRDefault="00954C4F" w:rsidP="00B43FAC">
      <w:pPr>
        <w:spacing w:line="360" w:lineRule="auto"/>
        <w:jc w:val="both"/>
        <w:rPr>
          <w:rFonts w:asciiTheme="minorBidi" w:hAnsiTheme="minorBidi"/>
          <w:sz w:val="28"/>
          <w:szCs w:val="28"/>
        </w:rPr>
      </w:pPr>
    </w:p>
    <w:p w14:paraId="0C77090E" w14:textId="77777777" w:rsidR="00954C4F" w:rsidRDefault="00954C4F" w:rsidP="00B43FAC">
      <w:pPr>
        <w:spacing w:line="360" w:lineRule="auto"/>
        <w:jc w:val="both"/>
        <w:rPr>
          <w:rFonts w:asciiTheme="minorBidi" w:hAnsiTheme="minorBidi"/>
          <w:sz w:val="28"/>
          <w:szCs w:val="28"/>
        </w:rPr>
      </w:pPr>
    </w:p>
    <w:p w14:paraId="06C851C0" w14:textId="77777777" w:rsidR="00954C4F" w:rsidRDefault="00954C4F" w:rsidP="00B43FAC">
      <w:pPr>
        <w:spacing w:line="360" w:lineRule="auto"/>
        <w:jc w:val="both"/>
        <w:rPr>
          <w:rFonts w:asciiTheme="minorBidi" w:hAnsiTheme="minorBidi"/>
          <w:sz w:val="28"/>
          <w:szCs w:val="28"/>
        </w:rPr>
      </w:pPr>
    </w:p>
    <w:p w14:paraId="49619786" w14:textId="77777777" w:rsidR="00954C4F" w:rsidRDefault="00954C4F" w:rsidP="00B43FAC">
      <w:pPr>
        <w:spacing w:line="360" w:lineRule="auto"/>
        <w:jc w:val="both"/>
        <w:rPr>
          <w:rFonts w:asciiTheme="minorBidi" w:hAnsiTheme="minorBidi"/>
          <w:sz w:val="28"/>
          <w:szCs w:val="28"/>
        </w:rPr>
      </w:pPr>
    </w:p>
    <w:p w14:paraId="2CC22246" w14:textId="77777777" w:rsidR="00954C4F" w:rsidRDefault="00954C4F" w:rsidP="00B43FAC">
      <w:pPr>
        <w:spacing w:line="360" w:lineRule="auto"/>
        <w:jc w:val="both"/>
        <w:rPr>
          <w:rFonts w:asciiTheme="minorBidi" w:hAnsiTheme="minorBidi"/>
          <w:sz w:val="28"/>
          <w:szCs w:val="28"/>
        </w:rPr>
      </w:pPr>
    </w:p>
    <w:p w14:paraId="3D78A775" w14:textId="77777777" w:rsidR="00954C4F" w:rsidRDefault="00954C4F" w:rsidP="00B43FAC">
      <w:pPr>
        <w:spacing w:line="360" w:lineRule="auto"/>
        <w:jc w:val="both"/>
        <w:rPr>
          <w:rFonts w:asciiTheme="minorBidi" w:hAnsiTheme="minorBidi"/>
          <w:sz w:val="28"/>
          <w:szCs w:val="28"/>
        </w:rPr>
      </w:pPr>
    </w:p>
    <w:p w14:paraId="6603AE2B" w14:textId="77777777" w:rsidR="00954C4F" w:rsidRDefault="00954C4F" w:rsidP="00B43FAC">
      <w:pPr>
        <w:spacing w:line="360" w:lineRule="auto"/>
        <w:jc w:val="both"/>
        <w:rPr>
          <w:rFonts w:asciiTheme="minorBidi" w:hAnsiTheme="minorBidi"/>
          <w:sz w:val="28"/>
          <w:szCs w:val="28"/>
        </w:rPr>
      </w:pPr>
    </w:p>
    <w:p w14:paraId="072506E1" w14:textId="58BD0207" w:rsidR="00ED5964" w:rsidRDefault="00ED5964" w:rsidP="00B43FAC">
      <w:pPr>
        <w:spacing w:line="360" w:lineRule="auto"/>
        <w:jc w:val="both"/>
        <w:rPr>
          <w:rFonts w:asciiTheme="minorBidi" w:hAnsiTheme="minorBidi"/>
          <w:sz w:val="28"/>
          <w:szCs w:val="28"/>
        </w:rPr>
      </w:pPr>
      <w:r>
        <w:rPr>
          <w:rFonts w:asciiTheme="minorBidi" w:hAnsiTheme="minorBidi"/>
          <w:sz w:val="28"/>
          <w:szCs w:val="28"/>
        </w:rPr>
        <w:t xml:space="preserve">    </w:t>
      </w:r>
    </w:p>
    <w:p w14:paraId="4A159F97" w14:textId="77777777" w:rsidR="00ED5964" w:rsidRPr="00242974" w:rsidRDefault="00ED5964" w:rsidP="00B43FAC">
      <w:pPr>
        <w:spacing w:line="360" w:lineRule="auto"/>
        <w:jc w:val="both"/>
        <w:rPr>
          <w:rFonts w:asciiTheme="minorBidi" w:hAnsiTheme="minorBidi"/>
          <w:b/>
          <w:bCs/>
          <w:sz w:val="28"/>
          <w:szCs w:val="28"/>
        </w:rPr>
      </w:pPr>
    </w:p>
    <w:sdt>
      <w:sdtPr>
        <w:rPr>
          <w:rFonts w:ascii="Segoe UI" w:eastAsiaTheme="minorEastAsia" w:hAnsi="Segoe UI"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Pr="00B43FAC" w:rsidRDefault="007B2036" w:rsidP="00B43FAC">
          <w:pPr>
            <w:pStyle w:val="TOCHeading"/>
            <w:spacing w:line="360" w:lineRule="auto"/>
            <w:jc w:val="center"/>
            <w:rPr>
              <w:rFonts w:cs="Arial"/>
              <w:b/>
              <w:sz w:val="22"/>
              <w:szCs w:val="22"/>
            </w:rPr>
          </w:pPr>
          <w:r w:rsidRPr="00B43FAC">
            <w:rPr>
              <w:rFonts w:cs="Arial"/>
              <w:b/>
              <w:sz w:val="22"/>
              <w:szCs w:val="22"/>
            </w:rPr>
            <w:t>Contents</w:t>
          </w:r>
        </w:p>
        <w:p w14:paraId="212D23DA" w14:textId="1EC866CD" w:rsidR="00B43FAC" w:rsidRPr="00B43FAC" w:rsidRDefault="007B2036">
          <w:pPr>
            <w:pStyle w:val="TOC1"/>
            <w:tabs>
              <w:tab w:val="right" w:pos="9016"/>
            </w:tabs>
            <w:rPr>
              <w:rFonts w:ascii="Arial" w:hAnsi="Arial" w:cs="Arial"/>
              <w:b w:val="0"/>
              <w:bCs w:val="0"/>
              <w:caps w:val="0"/>
              <w:noProof/>
              <w:kern w:val="0"/>
              <w:sz w:val="22"/>
              <w:szCs w:val="22"/>
              <w:lang w:val="en-IN" w:eastAsia="en-IN"/>
              <w14:ligatures w14:val="none"/>
            </w:rPr>
          </w:pPr>
          <w:r w:rsidRPr="00B43FAC">
            <w:rPr>
              <w:rFonts w:ascii="Arial" w:hAnsi="Arial" w:cs="Arial"/>
              <w:sz w:val="22"/>
              <w:szCs w:val="22"/>
            </w:rPr>
            <w:fldChar w:fldCharType="begin"/>
          </w:r>
          <w:r w:rsidRPr="00B43FAC">
            <w:rPr>
              <w:rFonts w:ascii="Arial" w:hAnsi="Arial" w:cs="Arial"/>
              <w:sz w:val="22"/>
              <w:szCs w:val="22"/>
            </w:rPr>
            <w:instrText xml:space="preserve"> TOC \o "1-3" \h \z \u </w:instrText>
          </w:r>
          <w:r w:rsidRPr="00B43FAC">
            <w:rPr>
              <w:rFonts w:ascii="Arial" w:hAnsi="Arial" w:cs="Arial"/>
              <w:sz w:val="22"/>
              <w:szCs w:val="22"/>
            </w:rPr>
            <w:fldChar w:fldCharType="separate"/>
          </w:r>
          <w:hyperlink w:anchor="_Toc232025575" w:history="1">
            <w:r w:rsidR="00B43FAC" w:rsidRPr="00B43FAC">
              <w:rPr>
                <w:rStyle w:val="Hyperlink"/>
                <w:rFonts w:ascii="Arial" w:hAnsi="Arial" w:cs="Arial"/>
                <w:noProof/>
                <w:sz w:val="22"/>
                <w:szCs w:val="22"/>
              </w:rPr>
              <w:t>1: Written Report</w:t>
            </w:r>
            <w:r w:rsidR="00B43FAC" w:rsidRPr="00B43FAC">
              <w:rPr>
                <w:rFonts w:ascii="Arial" w:hAnsi="Arial" w:cs="Arial"/>
                <w:noProof/>
                <w:webHidden/>
                <w:sz w:val="22"/>
                <w:szCs w:val="22"/>
              </w:rPr>
              <w:tab/>
            </w:r>
            <w:r w:rsidR="00B43FAC" w:rsidRPr="00B43FAC">
              <w:rPr>
                <w:rFonts w:ascii="Arial" w:hAnsi="Arial" w:cs="Arial"/>
                <w:noProof/>
                <w:webHidden/>
                <w:sz w:val="22"/>
                <w:szCs w:val="22"/>
              </w:rPr>
              <w:fldChar w:fldCharType="begin"/>
            </w:r>
            <w:r w:rsidR="00B43FAC" w:rsidRPr="00B43FAC">
              <w:rPr>
                <w:rFonts w:ascii="Arial" w:hAnsi="Arial" w:cs="Arial"/>
                <w:noProof/>
                <w:webHidden/>
                <w:sz w:val="22"/>
                <w:szCs w:val="22"/>
              </w:rPr>
              <w:instrText xml:space="preserve"> PAGEREF _Toc232025575 \h </w:instrText>
            </w:r>
            <w:r w:rsidR="00B43FAC" w:rsidRPr="00B43FAC">
              <w:rPr>
                <w:rFonts w:ascii="Arial" w:hAnsi="Arial" w:cs="Arial"/>
                <w:noProof/>
                <w:webHidden/>
                <w:sz w:val="22"/>
                <w:szCs w:val="22"/>
              </w:rPr>
            </w:r>
            <w:r w:rsidR="00B43FAC" w:rsidRPr="00B43FAC">
              <w:rPr>
                <w:rFonts w:ascii="Arial" w:hAnsi="Arial" w:cs="Arial"/>
                <w:noProof/>
                <w:webHidden/>
                <w:sz w:val="22"/>
                <w:szCs w:val="22"/>
              </w:rPr>
              <w:fldChar w:fldCharType="separate"/>
            </w:r>
            <w:r w:rsidR="00793BDF">
              <w:rPr>
                <w:rFonts w:ascii="Arial" w:hAnsi="Arial" w:cs="Arial"/>
                <w:noProof/>
                <w:webHidden/>
                <w:sz w:val="22"/>
                <w:szCs w:val="22"/>
              </w:rPr>
              <w:t>3</w:t>
            </w:r>
            <w:r w:rsidR="00B43FAC" w:rsidRPr="00B43FAC">
              <w:rPr>
                <w:rFonts w:ascii="Arial" w:hAnsi="Arial" w:cs="Arial"/>
                <w:noProof/>
                <w:webHidden/>
                <w:sz w:val="22"/>
                <w:szCs w:val="22"/>
              </w:rPr>
              <w:fldChar w:fldCharType="end"/>
            </w:r>
          </w:hyperlink>
        </w:p>
        <w:p w14:paraId="5BC53883" w14:textId="282E0688" w:rsidR="00B43FAC" w:rsidRPr="00B43FAC" w:rsidRDefault="00B43FAC">
          <w:pPr>
            <w:pStyle w:val="TOC2"/>
            <w:tabs>
              <w:tab w:val="right" w:pos="9016"/>
            </w:tabs>
            <w:rPr>
              <w:rFonts w:ascii="Arial" w:hAnsi="Arial" w:cs="Arial"/>
              <w:b w:val="0"/>
              <w:bCs w:val="0"/>
              <w:noProof/>
              <w:kern w:val="0"/>
              <w:sz w:val="22"/>
              <w:szCs w:val="22"/>
              <w:lang w:val="en-IN" w:eastAsia="en-IN"/>
              <w14:ligatures w14:val="none"/>
            </w:rPr>
          </w:pPr>
          <w:hyperlink w:anchor="_Toc232025576" w:history="1">
            <w:r w:rsidRPr="00B43FAC">
              <w:rPr>
                <w:rStyle w:val="Hyperlink"/>
                <w:rFonts w:ascii="Arial" w:hAnsi="Arial" w:cs="Arial"/>
                <w:noProof/>
                <w:sz w:val="22"/>
                <w:szCs w:val="22"/>
              </w:rPr>
              <w:t>1.1 Introduction</w:t>
            </w:r>
            <w:r w:rsidRPr="00B43FAC">
              <w:rPr>
                <w:rFonts w:ascii="Arial" w:hAnsi="Arial" w:cs="Arial"/>
                <w:noProof/>
                <w:webHidden/>
                <w:sz w:val="22"/>
                <w:szCs w:val="22"/>
              </w:rPr>
              <w:tab/>
            </w:r>
            <w:r w:rsidRPr="00B43FAC">
              <w:rPr>
                <w:rFonts w:ascii="Arial" w:hAnsi="Arial" w:cs="Arial"/>
                <w:noProof/>
                <w:webHidden/>
                <w:sz w:val="22"/>
                <w:szCs w:val="22"/>
              </w:rPr>
              <w:fldChar w:fldCharType="begin"/>
            </w:r>
            <w:r w:rsidRPr="00B43FAC">
              <w:rPr>
                <w:rFonts w:ascii="Arial" w:hAnsi="Arial" w:cs="Arial"/>
                <w:noProof/>
                <w:webHidden/>
                <w:sz w:val="22"/>
                <w:szCs w:val="22"/>
              </w:rPr>
              <w:instrText xml:space="preserve"> PAGEREF _Toc232025576 \h </w:instrText>
            </w:r>
            <w:r w:rsidRPr="00B43FAC">
              <w:rPr>
                <w:rFonts w:ascii="Arial" w:hAnsi="Arial" w:cs="Arial"/>
                <w:noProof/>
                <w:webHidden/>
                <w:sz w:val="22"/>
                <w:szCs w:val="22"/>
              </w:rPr>
            </w:r>
            <w:r w:rsidRPr="00B43FAC">
              <w:rPr>
                <w:rFonts w:ascii="Arial" w:hAnsi="Arial" w:cs="Arial"/>
                <w:noProof/>
                <w:webHidden/>
                <w:sz w:val="22"/>
                <w:szCs w:val="22"/>
              </w:rPr>
              <w:fldChar w:fldCharType="separate"/>
            </w:r>
            <w:r w:rsidR="00793BDF">
              <w:rPr>
                <w:rFonts w:ascii="Arial" w:hAnsi="Arial" w:cs="Arial"/>
                <w:noProof/>
                <w:webHidden/>
                <w:sz w:val="22"/>
                <w:szCs w:val="22"/>
              </w:rPr>
              <w:t>3</w:t>
            </w:r>
            <w:r w:rsidRPr="00B43FAC">
              <w:rPr>
                <w:rFonts w:ascii="Arial" w:hAnsi="Arial" w:cs="Arial"/>
                <w:noProof/>
                <w:webHidden/>
                <w:sz w:val="22"/>
                <w:szCs w:val="22"/>
              </w:rPr>
              <w:fldChar w:fldCharType="end"/>
            </w:r>
          </w:hyperlink>
        </w:p>
        <w:p w14:paraId="3815DD05" w14:textId="641137DA" w:rsidR="00B43FAC" w:rsidRPr="00B43FAC" w:rsidRDefault="00B43FAC">
          <w:pPr>
            <w:pStyle w:val="TOC2"/>
            <w:tabs>
              <w:tab w:val="right" w:pos="9016"/>
            </w:tabs>
            <w:rPr>
              <w:rFonts w:ascii="Arial" w:hAnsi="Arial" w:cs="Arial"/>
              <w:b w:val="0"/>
              <w:bCs w:val="0"/>
              <w:noProof/>
              <w:kern w:val="0"/>
              <w:sz w:val="22"/>
              <w:szCs w:val="22"/>
              <w:lang w:val="en-IN" w:eastAsia="en-IN"/>
              <w14:ligatures w14:val="none"/>
            </w:rPr>
          </w:pPr>
          <w:hyperlink w:anchor="_Toc232025577" w:history="1">
            <w:r w:rsidRPr="00B43FAC">
              <w:rPr>
                <w:rStyle w:val="Hyperlink"/>
                <w:rFonts w:ascii="Arial" w:hAnsi="Arial" w:cs="Arial"/>
                <w:noProof/>
                <w:sz w:val="22"/>
                <w:szCs w:val="22"/>
              </w:rPr>
              <w:t>1.2 Description of, and background to, community care worker in healthcare</w:t>
            </w:r>
            <w:r w:rsidRPr="00B43FAC">
              <w:rPr>
                <w:rFonts w:ascii="Arial" w:hAnsi="Arial" w:cs="Arial"/>
                <w:noProof/>
                <w:webHidden/>
                <w:sz w:val="22"/>
                <w:szCs w:val="22"/>
              </w:rPr>
              <w:tab/>
            </w:r>
            <w:r w:rsidRPr="00B43FAC">
              <w:rPr>
                <w:rFonts w:ascii="Arial" w:hAnsi="Arial" w:cs="Arial"/>
                <w:noProof/>
                <w:webHidden/>
                <w:sz w:val="22"/>
                <w:szCs w:val="22"/>
              </w:rPr>
              <w:fldChar w:fldCharType="begin"/>
            </w:r>
            <w:r w:rsidRPr="00B43FAC">
              <w:rPr>
                <w:rFonts w:ascii="Arial" w:hAnsi="Arial" w:cs="Arial"/>
                <w:noProof/>
                <w:webHidden/>
                <w:sz w:val="22"/>
                <w:szCs w:val="22"/>
              </w:rPr>
              <w:instrText xml:space="preserve"> PAGEREF _Toc232025577 \h </w:instrText>
            </w:r>
            <w:r w:rsidRPr="00B43FAC">
              <w:rPr>
                <w:rFonts w:ascii="Arial" w:hAnsi="Arial" w:cs="Arial"/>
                <w:noProof/>
                <w:webHidden/>
                <w:sz w:val="22"/>
                <w:szCs w:val="22"/>
              </w:rPr>
            </w:r>
            <w:r w:rsidRPr="00B43FAC">
              <w:rPr>
                <w:rFonts w:ascii="Arial" w:hAnsi="Arial" w:cs="Arial"/>
                <w:noProof/>
                <w:webHidden/>
                <w:sz w:val="22"/>
                <w:szCs w:val="22"/>
              </w:rPr>
              <w:fldChar w:fldCharType="separate"/>
            </w:r>
            <w:r w:rsidR="00793BDF">
              <w:rPr>
                <w:rFonts w:ascii="Arial" w:hAnsi="Arial" w:cs="Arial"/>
                <w:noProof/>
                <w:webHidden/>
                <w:sz w:val="22"/>
                <w:szCs w:val="22"/>
              </w:rPr>
              <w:t>3</w:t>
            </w:r>
            <w:r w:rsidRPr="00B43FAC">
              <w:rPr>
                <w:rFonts w:ascii="Arial" w:hAnsi="Arial" w:cs="Arial"/>
                <w:noProof/>
                <w:webHidden/>
                <w:sz w:val="22"/>
                <w:szCs w:val="22"/>
              </w:rPr>
              <w:fldChar w:fldCharType="end"/>
            </w:r>
          </w:hyperlink>
        </w:p>
        <w:p w14:paraId="39CCE414" w14:textId="0F770849" w:rsidR="00B43FAC" w:rsidRPr="00B43FAC" w:rsidRDefault="00B43FAC">
          <w:pPr>
            <w:pStyle w:val="TOC2"/>
            <w:tabs>
              <w:tab w:val="right" w:pos="9016"/>
            </w:tabs>
            <w:rPr>
              <w:rFonts w:ascii="Arial" w:hAnsi="Arial" w:cs="Arial"/>
              <w:b w:val="0"/>
              <w:bCs w:val="0"/>
              <w:noProof/>
              <w:kern w:val="0"/>
              <w:sz w:val="22"/>
              <w:szCs w:val="22"/>
              <w:lang w:val="en-IN" w:eastAsia="en-IN"/>
              <w14:ligatures w14:val="none"/>
            </w:rPr>
          </w:pPr>
          <w:hyperlink w:anchor="_Toc232025578" w:history="1">
            <w:r w:rsidRPr="00B43FAC">
              <w:rPr>
                <w:rStyle w:val="Hyperlink"/>
                <w:rFonts w:ascii="Arial" w:hAnsi="Arial" w:cs="Arial"/>
                <w:noProof/>
                <w:sz w:val="22"/>
                <w:szCs w:val="22"/>
              </w:rPr>
              <w:t>1.3 Evaluation of the skills needed for community care worker in healthcare</w:t>
            </w:r>
            <w:r w:rsidRPr="00B43FAC">
              <w:rPr>
                <w:rFonts w:ascii="Arial" w:hAnsi="Arial" w:cs="Arial"/>
                <w:noProof/>
                <w:webHidden/>
                <w:sz w:val="22"/>
                <w:szCs w:val="22"/>
              </w:rPr>
              <w:tab/>
            </w:r>
            <w:r w:rsidRPr="00B43FAC">
              <w:rPr>
                <w:rFonts w:ascii="Arial" w:hAnsi="Arial" w:cs="Arial"/>
                <w:noProof/>
                <w:webHidden/>
                <w:sz w:val="22"/>
                <w:szCs w:val="22"/>
              </w:rPr>
              <w:fldChar w:fldCharType="begin"/>
            </w:r>
            <w:r w:rsidRPr="00B43FAC">
              <w:rPr>
                <w:rFonts w:ascii="Arial" w:hAnsi="Arial" w:cs="Arial"/>
                <w:noProof/>
                <w:webHidden/>
                <w:sz w:val="22"/>
                <w:szCs w:val="22"/>
              </w:rPr>
              <w:instrText xml:space="preserve"> PAGEREF _Toc232025578 \h </w:instrText>
            </w:r>
            <w:r w:rsidRPr="00B43FAC">
              <w:rPr>
                <w:rFonts w:ascii="Arial" w:hAnsi="Arial" w:cs="Arial"/>
                <w:noProof/>
                <w:webHidden/>
                <w:sz w:val="22"/>
                <w:szCs w:val="22"/>
              </w:rPr>
            </w:r>
            <w:r w:rsidRPr="00B43FAC">
              <w:rPr>
                <w:rFonts w:ascii="Arial" w:hAnsi="Arial" w:cs="Arial"/>
                <w:noProof/>
                <w:webHidden/>
                <w:sz w:val="22"/>
                <w:szCs w:val="22"/>
              </w:rPr>
              <w:fldChar w:fldCharType="separate"/>
            </w:r>
            <w:r w:rsidR="00793BDF">
              <w:rPr>
                <w:rFonts w:ascii="Arial" w:hAnsi="Arial" w:cs="Arial"/>
                <w:noProof/>
                <w:webHidden/>
                <w:sz w:val="22"/>
                <w:szCs w:val="22"/>
              </w:rPr>
              <w:t>3</w:t>
            </w:r>
            <w:r w:rsidRPr="00B43FAC">
              <w:rPr>
                <w:rFonts w:ascii="Arial" w:hAnsi="Arial" w:cs="Arial"/>
                <w:noProof/>
                <w:webHidden/>
                <w:sz w:val="22"/>
                <w:szCs w:val="22"/>
              </w:rPr>
              <w:fldChar w:fldCharType="end"/>
            </w:r>
          </w:hyperlink>
        </w:p>
        <w:p w14:paraId="0456B640" w14:textId="737DBA1D" w:rsidR="00B43FAC" w:rsidRPr="00B43FAC" w:rsidRDefault="00B43FAC">
          <w:pPr>
            <w:pStyle w:val="TOC2"/>
            <w:tabs>
              <w:tab w:val="right" w:pos="9016"/>
            </w:tabs>
            <w:rPr>
              <w:rFonts w:ascii="Arial" w:hAnsi="Arial" w:cs="Arial"/>
              <w:b w:val="0"/>
              <w:bCs w:val="0"/>
              <w:noProof/>
              <w:kern w:val="0"/>
              <w:sz w:val="22"/>
              <w:szCs w:val="22"/>
              <w:lang w:val="en-IN" w:eastAsia="en-IN"/>
              <w14:ligatures w14:val="none"/>
            </w:rPr>
          </w:pPr>
          <w:hyperlink w:anchor="_Toc232025579" w:history="1">
            <w:r w:rsidRPr="00B43FAC">
              <w:rPr>
                <w:rStyle w:val="Hyperlink"/>
                <w:rFonts w:ascii="Arial" w:hAnsi="Arial" w:cs="Arial"/>
                <w:noProof/>
                <w:sz w:val="22"/>
                <w:szCs w:val="22"/>
              </w:rPr>
              <w:t>1.4 Strategies to improve the skills for community care worker</w:t>
            </w:r>
            <w:r w:rsidRPr="00B43FAC">
              <w:rPr>
                <w:rFonts w:ascii="Arial" w:hAnsi="Arial" w:cs="Arial"/>
                <w:noProof/>
                <w:webHidden/>
                <w:sz w:val="22"/>
                <w:szCs w:val="22"/>
              </w:rPr>
              <w:tab/>
            </w:r>
            <w:r w:rsidRPr="00B43FAC">
              <w:rPr>
                <w:rFonts w:ascii="Arial" w:hAnsi="Arial" w:cs="Arial"/>
                <w:noProof/>
                <w:webHidden/>
                <w:sz w:val="22"/>
                <w:szCs w:val="22"/>
              </w:rPr>
              <w:fldChar w:fldCharType="begin"/>
            </w:r>
            <w:r w:rsidRPr="00B43FAC">
              <w:rPr>
                <w:rFonts w:ascii="Arial" w:hAnsi="Arial" w:cs="Arial"/>
                <w:noProof/>
                <w:webHidden/>
                <w:sz w:val="22"/>
                <w:szCs w:val="22"/>
              </w:rPr>
              <w:instrText xml:space="preserve"> PAGEREF _Toc232025579 \h </w:instrText>
            </w:r>
            <w:r w:rsidRPr="00B43FAC">
              <w:rPr>
                <w:rFonts w:ascii="Arial" w:hAnsi="Arial" w:cs="Arial"/>
                <w:noProof/>
                <w:webHidden/>
                <w:sz w:val="22"/>
                <w:szCs w:val="22"/>
              </w:rPr>
            </w:r>
            <w:r w:rsidRPr="00B43FAC">
              <w:rPr>
                <w:rFonts w:ascii="Arial" w:hAnsi="Arial" w:cs="Arial"/>
                <w:noProof/>
                <w:webHidden/>
                <w:sz w:val="22"/>
                <w:szCs w:val="22"/>
              </w:rPr>
              <w:fldChar w:fldCharType="separate"/>
            </w:r>
            <w:r w:rsidR="00793BDF">
              <w:rPr>
                <w:rFonts w:ascii="Arial" w:hAnsi="Arial" w:cs="Arial"/>
                <w:noProof/>
                <w:webHidden/>
                <w:sz w:val="22"/>
                <w:szCs w:val="22"/>
              </w:rPr>
              <w:t>4</w:t>
            </w:r>
            <w:r w:rsidRPr="00B43FAC">
              <w:rPr>
                <w:rFonts w:ascii="Arial" w:hAnsi="Arial" w:cs="Arial"/>
                <w:noProof/>
                <w:webHidden/>
                <w:sz w:val="22"/>
                <w:szCs w:val="22"/>
              </w:rPr>
              <w:fldChar w:fldCharType="end"/>
            </w:r>
          </w:hyperlink>
        </w:p>
        <w:p w14:paraId="0D9A66B5" w14:textId="49BD2456" w:rsidR="00B43FAC" w:rsidRPr="00B43FAC" w:rsidRDefault="00B43FAC">
          <w:pPr>
            <w:pStyle w:val="TOC2"/>
            <w:tabs>
              <w:tab w:val="right" w:pos="9016"/>
            </w:tabs>
            <w:rPr>
              <w:rFonts w:ascii="Arial" w:hAnsi="Arial" w:cs="Arial"/>
              <w:b w:val="0"/>
              <w:bCs w:val="0"/>
              <w:noProof/>
              <w:kern w:val="0"/>
              <w:sz w:val="22"/>
              <w:szCs w:val="22"/>
              <w:lang w:val="en-IN" w:eastAsia="en-IN"/>
              <w14:ligatures w14:val="none"/>
            </w:rPr>
          </w:pPr>
          <w:hyperlink w:anchor="_Toc232025580" w:history="1">
            <w:r w:rsidRPr="00B43FAC">
              <w:rPr>
                <w:rStyle w:val="Hyperlink"/>
                <w:rFonts w:ascii="Arial" w:hAnsi="Arial" w:cs="Arial"/>
                <w:noProof/>
                <w:sz w:val="22"/>
                <w:szCs w:val="22"/>
              </w:rPr>
              <w:t>1.4 Conclusion</w:t>
            </w:r>
            <w:r w:rsidRPr="00B43FAC">
              <w:rPr>
                <w:rFonts w:ascii="Arial" w:hAnsi="Arial" w:cs="Arial"/>
                <w:noProof/>
                <w:webHidden/>
                <w:sz w:val="22"/>
                <w:szCs w:val="22"/>
              </w:rPr>
              <w:tab/>
            </w:r>
            <w:r w:rsidRPr="00B43FAC">
              <w:rPr>
                <w:rFonts w:ascii="Arial" w:hAnsi="Arial" w:cs="Arial"/>
                <w:noProof/>
                <w:webHidden/>
                <w:sz w:val="22"/>
                <w:szCs w:val="22"/>
              </w:rPr>
              <w:fldChar w:fldCharType="begin"/>
            </w:r>
            <w:r w:rsidRPr="00B43FAC">
              <w:rPr>
                <w:rFonts w:ascii="Arial" w:hAnsi="Arial" w:cs="Arial"/>
                <w:noProof/>
                <w:webHidden/>
                <w:sz w:val="22"/>
                <w:szCs w:val="22"/>
              </w:rPr>
              <w:instrText xml:space="preserve"> PAGEREF _Toc232025580 \h </w:instrText>
            </w:r>
            <w:r w:rsidRPr="00B43FAC">
              <w:rPr>
                <w:rFonts w:ascii="Arial" w:hAnsi="Arial" w:cs="Arial"/>
                <w:noProof/>
                <w:webHidden/>
                <w:sz w:val="22"/>
                <w:szCs w:val="22"/>
              </w:rPr>
            </w:r>
            <w:r w:rsidRPr="00B43FAC">
              <w:rPr>
                <w:rFonts w:ascii="Arial" w:hAnsi="Arial" w:cs="Arial"/>
                <w:noProof/>
                <w:webHidden/>
                <w:sz w:val="22"/>
                <w:szCs w:val="22"/>
              </w:rPr>
              <w:fldChar w:fldCharType="separate"/>
            </w:r>
            <w:r w:rsidR="00793BDF">
              <w:rPr>
                <w:rFonts w:ascii="Arial" w:hAnsi="Arial" w:cs="Arial"/>
                <w:noProof/>
                <w:webHidden/>
                <w:sz w:val="22"/>
                <w:szCs w:val="22"/>
              </w:rPr>
              <w:t>5</w:t>
            </w:r>
            <w:r w:rsidRPr="00B43FAC">
              <w:rPr>
                <w:rFonts w:ascii="Arial" w:hAnsi="Arial" w:cs="Arial"/>
                <w:noProof/>
                <w:webHidden/>
                <w:sz w:val="22"/>
                <w:szCs w:val="22"/>
              </w:rPr>
              <w:fldChar w:fldCharType="end"/>
            </w:r>
          </w:hyperlink>
        </w:p>
        <w:p w14:paraId="7762DCBB" w14:textId="2D24E66E" w:rsidR="00B43FAC" w:rsidRPr="00B43FAC" w:rsidRDefault="00B43FAC">
          <w:pPr>
            <w:pStyle w:val="TOC2"/>
            <w:tabs>
              <w:tab w:val="right" w:pos="9016"/>
            </w:tabs>
            <w:rPr>
              <w:rFonts w:ascii="Arial" w:hAnsi="Arial" w:cs="Arial"/>
              <w:b w:val="0"/>
              <w:bCs w:val="0"/>
              <w:noProof/>
              <w:kern w:val="0"/>
              <w:sz w:val="22"/>
              <w:szCs w:val="22"/>
              <w:lang w:val="en-IN" w:eastAsia="en-IN"/>
              <w14:ligatures w14:val="none"/>
            </w:rPr>
          </w:pPr>
          <w:hyperlink w:anchor="_Toc232025581" w:history="1">
            <w:r w:rsidRPr="00B43FAC">
              <w:rPr>
                <w:rStyle w:val="Hyperlink"/>
                <w:rFonts w:ascii="Arial" w:hAnsi="Arial" w:cs="Arial"/>
                <w:noProof/>
                <w:sz w:val="22"/>
                <w:szCs w:val="22"/>
              </w:rPr>
              <w:t>1.5 Reference List</w:t>
            </w:r>
            <w:r w:rsidRPr="00B43FAC">
              <w:rPr>
                <w:rFonts w:ascii="Arial" w:hAnsi="Arial" w:cs="Arial"/>
                <w:noProof/>
                <w:webHidden/>
                <w:sz w:val="22"/>
                <w:szCs w:val="22"/>
              </w:rPr>
              <w:tab/>
            </w:r>
            <w:r w:rsidRPr="00B43FAC">
              <w:rPr>
                <w:rFonts w:ascii="Arial" w:hAnsi="Arial" w:cs="Arial"/>
                <w:noProof/>
                <w:webHidden/>
                <w:sz w:val="22"/>
                <w:szCs w:val="22"/>
              </w:rPr>
              <w:fldChar w:fldCharType="begin"/>
            </w:r>
            <w:r w:rsidRPr="00B43FAC">
              <w:rPr>
                <w:rFonts w:ascii="Arial" w:hAnsi="Arial" w:cs="Arial"/>
                <w:noProof/>
                <w:webHidden/>
                <w:sz w:val="22"/>
                <w:szCs w:val="22"/>
              </w:rPr>
              <w:instrText xml:space="preserve"> PAGEREF _Toc232025581 \h </w:instrText>
            </w:r>
            <w:r w:rsidRPr="00B43FAC">
              <w:rPr>
                <w:rFonts w:ascii="Arial" w:hAnsi="Arial" w:cs="Arial"/>
                <w:noProof/>
                <w:webHidden/>
                <w:sz w:val="22"/>
                <w:szCs w:val="22"/>
              </w:rPr>
            </w:r>
            <w:r w:rsidRPr="00B43FAC">
              <w:rPr>
                <w:rFonts w:ascii="Arial" w:hAnsi="Arial" w:cs="Arial"/>
                <w:noProof/>
                <w:webHidden/>
                <w:sz w:val="22"/>
                <w:szCs w:val="22"/>
              </w:rPr>
              <w:fldChar w:fldCharType="separate"/>
            </w:r>
            <w:r w:rsidR="00793BDF">
              <w:rPr>
                <w:rFonts w:ascii="Arial" w:hAnsi="Arial" w:cs="Arial"/>
                <w:noProof/>
                <w:webHidden/>
                <w:sz w:val="22"/>
                <w:szCs w:val="22"/>
              </w:rPr>
              <w:t>6</w:t>
            </w:r>
            <w:r w:rsidRPr="00B43FAC">
              <w:rPr>
                <w:rFonts w:ascii="Arial" w:hAnsi="Arial" w:cs="Arial"/>
                <w:noProof/>
                <w:webHidden/>
                <w:sz w:val="22"/>
                <w:szCs w:val="22"/>
              </w:rPr>
              <w:fldChar w:fldCharType="end"/>
            </w:r>
          </w:hyperlink>
        </w:p>
        <w:p w14:paraId="12DB58C2" w14:textId="2E5B4CD3" w:rsidR="007B2036" w:rsidRDefault="007B2036" w:rsidP="00B43FAC">
          <w:pPr>
            <w:spacing w:line="360" w:lineRule="auto"/>
          </w:pPr>
          <w:r w:rsidRPr="00B43FAC">
            <w:rPr>
              <w:rFonts w:ascii="Arial" w:hAnsi="Arial" w:cs="Arial"/>
              <w:b/>
              <w:bCs/>
              <w:noProof/>
              <w:sz w:val="22"/>
            </w:rPr>
            <w:fldChar w:fldCharType="end"/>
          </w:r>
        </w:p>
      </w:sdtContent>
    </w:sdt>
    <w:p w14:paraId="09E24E55" w14:textId="311199AB" w:rsidR="00ED5964" w:rsidRPr="00242974" w:rsidRDefault="00ED5964" w:rsidP="00B43FAC">
      <w:pPr>
        <w:spacing w:line="360" w:lineRule="auto"/>
        <w:jc w:val="both"/>
        <w:rPr>
          <w:rFonts w:asciiTheme="minorBidi" w:hAnsiTheme="minorBidi"/>
          <w:b/>
          <w:bCs/>
          <w:sz w:val="28"/>
          <w:szCs w:val="28"/>
        </w:rPr>
      </w:pPr>
    </w:p>
    <w:p w14:paraId="40BC340F" w14:textId="77777777" w:rsidR="00ED5964" w:rsidRPr="00242974" w:rsidRDefault="00ED5964" w:rsidP="00B43FAC">
      <w:pPr>
        <w:spacing w:line="360" w:lineRule="auto"/>
        <w:jc w:val="both"/>
        <w:rPr>
          <w:rFonts w:asciiTheme="minorBidi" w:hAnsiTheme="minorBidi"/>
          <w:b/>
          <w:bCs/>
          <w:sz w:val="28"/>
          <w:szCs w:val="28"/>
        </w:rPr>
      </w:pPr>
    </w:p>
    <w:p w14:paraId="41A63835" w14:textId="77777777" w:rsidR="00ED5964" w:rsidRPr="00242974" w:rsidRDefault="00ED5964" w:rsidP="00B43FAC">
      <w:pPr>
        <w:spacing w:line="360" w:lineRule="auto"/>
        <w:jc w:val="both"/>
        <w:rPr>
          <w:rFonts w:asciiTheme="minorBidi" w:hAnsiTheme="minorBidi"/>
          <w:b/>
          <w:bCs/>
          <w:sz w:val="28"/>
          <w:szCs w:val="28"/>
        </w:rPr>
      </w:pPr>
    </w:p>
    <w:p w14:paraId="123865CA" w14:textId="77777777" w:rsidR="00ED5964" w:rsidRPr="00242974" w:rsidRDefault="00ED5964" w:rsidP="00B43FAC">
      <w:pPr>
        <w:spacing w:line="360" w:lineRule="auto"/>
        <w:jc w:val="both"/>
        <w:rPr>
          <w:rFonts w:asciiTheme="minorBidi" w:hAnsiTheme="minorBidi"/>
          <w:b/>
          <w:bCs/>
          <w:sz w:val="28"/>
          <w:szCs w:val="28"/>
        </w:rPr>
      </w:pPr>
    </w:p>
    <w:p w14:paraId="2A21042D" w14:textId="77777777" w:rsidR="00ED5964" w:rsidRPr="00242974" w:rsidRDefault="00ED5964" w:rsidP="00B43FAC">
      <w:pPr>
        <w:spacing w:line="360" w:lineRule="auto"/>
        <w:jc w:val="both"/>
        <w:rPr>
          <w:rFonts w:asciiTheme="minorBidi" w:hAnsiTheme="minorBidi"/>
          <w:b/>
          <w:bCs/>
          <w:sz w:val="28"/>
          <w:szCs w:val="28"/>
        </w:rPr>
      </w:pPr>
    </w:p>
    <w:p w14:paraId="48382F67" w14:textId="77777777" w:rsidR="00ED5964" w:rsidRPr="00242974" w:rsidRDefault="00ED5964" w:rsidP="00B43FAC">
      <w:pPr>
        <w:spacing w:line="360" w:lineRule="auto"/>
        <w:jc w:val="both"/>
        <w:rPr>
          <w:rFonts w:asciiTheme="minorBidi" w:hAnsiTheme="minorBidi"/>
          <w:b/>
          <w:bCs/>
          <w:sz w:val="28"/>
          <w:szCs w:val="28"/>
        </w:rPr>
      </w:pPr>
    </w:p>
    <w:p w14:paraId="6A057EFD" w14:textId="77777777" w:rsidR="00ED5964" w:rsidRPr="00242974" w:rsidRDefault="00ED5964" w:rsidP="00B43FAC">
      <w:pPr>
        <w:spacing w:line="360" w:lineRule="auto"/>
        <w:jc w:val="both"/>
        <w:rPr>
          <w:rFonts w:asciiTheme="minorBidi" w:hAnsiTheme="minorBidi"/>
          <w:b/>
          <w:bCs/>
          <w:sz w:val="28"/>
          <w:szCs w:val="28"/>
        </w:rPr>
      </w:pPr>
    </w:p>
    <w:p w14:paraId="55078F3B" w14:textId="77777777" w:rsidR="00ED5964" w:rsidRPr="00242974" w:rsidRDefault="00ED5964" w:rsidP="00B43FAC">
      <w:pPr>
        <w:spacing w:line="360" w:lineRule="auto"/>
        <w:jc w:val="both"/>
        <w:rPr>
          <w:rFonts w:asciiTheme="minorBidi" w:hAnsiTheme="minorBidi"/>
          <w:b/>
          <w:bCs/>
          <w:sz w:val="28"/>
          <w:szCs w:val="28"/>
        </w:rPr>
      </w:pPr>
    </w:p>
    <w:p w14:paraId="4CEF6B46" w14:textId="77777777" w:rsidR="005709B1" w:rsidRPr="00242974" w:rsidRDefault="005709B1" w:rsidP="00B43FAC">
      <w:pPr>
        <w:spacing w:line="360" w:lineRule="auto"/>
      </w:pPr>
    </w:p>
    <w:p w14:paraId="4E157DB5" w14:textId="77777777" w:rsidR="00523D2D" w:rsidRDefault="00523D2D">
      <w:pPr>
        <w:rPr>
          <w:rFonts w:ascii="Arial" w:eastAsiaTheme="majorEastAsia" w:hAnsi="Arial" w:cs="Arial"/>
          <w:b/>
          <w:color w:val="000000" w:themeColor="text1"/>
          <w:sz w:val="22"/>
        </w:rPr>
      </w:pPr>
      <w:bookmarkStart w:id="0" w:name="_Toc228861924"/>
      <w:bookmarkStart w:id="1" w:name="_Toc228861967"/>
      <w:bookmarkStart w:id="2" w:name="_Toc228862230"/>
      <w:bookmarkStart w:id="3" w:name="_Toc232025575"/>
      <w:r>
        <w:rPr>
          <w:rFonts w:cs="Arial"/>
          <w:sz w:val="22"/>
        </w:rPr>
        <w:br w:type="page"/>
      </w:r>
    </w:p>
    <w:p w14:paraId="77C18CB4" w14:textId="18DF6AEB" w:rsidR="00933720" w:rsidRPr="0092002C" w:rsidRDefault="00AA77C8" w:rsidP="00B43FAC">
      <w:pPr>
        <w:pStyle w:val="Heading1"/>
        <w:rPr>
          <w:rFonts w:cs="Arial"/>
          <w:sz w:val="22"/>
          <w:szCs w:val="22"/>
        </w:rPr>
      </w:pPr>
      <w:r w:rsidRPr="0092002C">
        <w:rPr>
          <w:rFonts w:cs="Arial"/>
          <w:sz w:val="22"/>
          <w:szCs w:val="22"/>
        </w:rPr>
        <w:lastRenderedPageBreak/>
        <w:t>1</w:t>
      </w:r>
      <w:r w:rsidR="00A035CD" w:rsidRPr="0092002C">
        <w:rPr>
          <w:rFonts w:cs="Arial"/>
          <w:sz w:val="22"/>
          <w:szCs w:val="22"/>
        </w:rPr>
        <w:t xml:space="preserve">: </w:t>
      </w:r>
      <w:r w:rsidR="00A513B0" w:rsidRPr="0092002C">
        <w:rPr>
          <w:rFonts w:cs="Arial"/>
          <w:sz w:val="22"/>
          <w:szCs w:val="22"/>
        </w:rPr>
        <w:t>Written Report</w:t>
      </w:r>
      <w:bookmarkEnd w:id="0"/>
      <w:bookmarkEnd w:id="1"/>
      <w:bookmarkEnd w:id="2"/>
      <w:bookmarkEnd w:id="3"/>
    </w:p>
    <w:p w14:paraId="7E817B09" w14:textId="50F31860" w:rsidR="00A035CD" w:rsidRPr="0092002C" w:rsidRDefault="00AA77C8" w:rsidP="00B43FAC">
      <w:pPr>
        <w:pStyle w:val="Heading2"/>
      </w:pPr>
      <w:bookmarkStart w:id="4" w:name="_Toc228861925"/>
      <w:bookmarkStart w:id="5" w:name="_Toc228861968"/>
      <w:bookmarkStart w:id="6" w:name="_Toc228862231"/>
      <w:bookmarkStart w:id="7" w:name="_Toc232025576"/>
      <w:r w:rsidRPr="0092002C">
        <w:t>1</w:t>
      </w:r>
      <w:r w:rsidR="00500295" w:rsidRPr="0092002C">
        <w:t xml:space="preserve">.1 </w:t>
      </w:r>
      <w:r w:rsidR="00A035CD" w:rsidRPr="0092002C">
        <w:t>Introduction</w:t>
      </w:r>
      <w:bookmarkEnd w:id="4"/>
      <w:bookmarkEnd w:id="5"/>
      <w:bookmarkEnd w:id="6"/>
      <w:bookmarkEnd w:id="7"/>
    </w:p>
    <w:p w14:paraId="4CC61BC1" w14:textId="10841159" w:rsidR="00F36ADC" w:rsidRPr="0092002C" w:rsidRDefault="0076092B" w:rsidP="00B43FAC">
      <w:pPr>
        <w:spacing w:after="0" w:line="360" w:lineRule="auto"/>
        <w:jc w:val="both"/>
        <w:rPr>
          <w:rFonts w:ascii="Arial" w:hAnsi="Arial" w:cs="Arial"/>
          <w:color w:val="000000" w:themeColor="text1"/>
          <w:sz w:val="22"/>
        </w:rPr>
      </w:pPr>
      <w:r w:rsidRPr="0092002C">
        <w:rPr>
          <w:rFonts w:ascii="Arial" w:hAnsi="Arial" w:cs="Arial"/>
          <w:color w:val="000000" w:themeColor="text1"/>
          <w:sz w:val="22"/>
        </w:rPr>
        <w:t>This report has focussed on the Community Care Worker job role in the health and social care sector in England. The role has been chosen because it is widely held across the school, plays a substantial role in the school's day to day activities and requires the widest range of skills. Community Care Workers are one of the biggest groups of workers in adult social care in England; around 1.52 million workers (Skills for Care, 2023). This report will begin with a description of the Community Care Worker role and its importance; then it will evaluate the three most essential skills necessary to be effective at the job; and conclude with an analysis of three evidence-based practices for developing and strengthening the three skills.</w:t>
      </w:r>
    </w:p>
    <w:p w14:paraId="50A9FBC6" w14:textId="559AC125" w:rsidR="008B0B22" w:rsidRPr="0092002C" w:rsidRDefault="00AA77C8" w:rsidP="00B43FAC">
      <w:pPr>
        <w:pStyle w:val="Heading2"/>
      </w:pPr>
      <w:bookmarkStart w:id="8" w:name="_Toc228861926"/>
      <w:bookmarkStart w:id="9" w:name="_Toc228861969"/>
      <w:bookmarkStart w:id="10" w:name="_Toc228862232"/>
      <w:bookmarkStart w:id="11" w:name="_Toc232025577"/>
      <w:r w:rsidRPr="0092002C">
        <w:t>1</w:t>
      </w:r>
      <w:r w:rsidR="002370CE" w:rsidRPr="0092002C">
        <w:t xml:space="preserve">.2 </w:t>
      </w:r>
      <w:r w:rsidR="006912C4" w:rsidRPr="0092002C">
        <w:t>Description</w:t>
      </w:r>
      <w:r w:rsidR="00070818" w:rsidRPr="0092002C">
        <w:t xml:space="preserve"> of</w:t>
      </w:r>
      <w:r w:rsidR="006912C4" w:rsidRPr="0092002C">
        <w:t>, and background to</w:t>
      </w:r>
      <w:r w:rsidR="00CD4774" w:rsidRPr="0092002C">
        <w:t>,</w:t>
      </w:r>
      <w:r w:rsidR="00070818" w:rsidRPr="0092002C">
        <w:t xml:space="preserve"> </w:t>
      </w:r>
      <w:r w:rsidR="00343505">
        <w:t>community care worker</w:t>
      </w:r>
      <w:r w:rsidR="008B0B22" w:rsidRPr="0092002C">
        <w:t xml:space="preserve"> in </w:t>
      </w:r>
      <w:r w:rsidR="00634D18" w:rsidRPr="0092002C">
        <w:t>h</w:t>
      </w:r>
      <w:r w:rsidR="008B0B22" w:rsidRPr="0092002C">
        <w:t>ealthcare</w:t>
      </w:r>
      <w:bookmarkEnd w:id="8"/>
      <w:bookmarkEnd w:id="9"/>
      <w:bookmarkEnd w:id="10"/>
      <w:bookmarkEnd w:id="11"/>
      <w:r w:rsidR="008B0B22" w:rsidRPr="0092002C">
        <w:t xml:space="preserve"> </w:t>
      </w:r>
    </w:p>
    <w:p w14:paraId="52EEFD57" w14:textId="77777777" w:rsidR="00031641" w:rsidRDefault="0076092B" w:rsidP="00B43FAC">
      <w:pPr>
        <w:spacing w:after="0" w:line="360" w:lineRule="auto"/>
        <w:jc w:val="both"/>
        <w:rPr>
          <w:rFonts w:ascii="Arial" w:hAnsi="Arial" w:cs="Arial"/>
          <w:color w:val="000000" w:themeColor="text1"/>
          <w:sz w:val="22"/>
        </w:rPr>
      </w:pPr>
      <w:r w:rsidRPr="0092002C">
        <w:rPr>
          <w:rFonts w:ascii="Arial" w:hAnsi="Arial" w:cs="Arial"/>
          <w:color w:val="000000" w:themeColor="text1"/>
          <w:sz w:val="22"/>
        </w:rPr>
        <w:t xml:space="preserve">Community Care Workers offer care and assistance to adults who need help with activities of daily living, generally in the </w:t>
      </w:r>
      <w:r w:rsidR="00FA23FD" w:rsidRPr="0092002C">
        <w:rPr>
          <w:rFonts w:ascii="Arial" w:hAnsi="Arial" w:cs="Arial"/>
          <w:color w:val="000000" w:themeColor="text1"/>
          <w:sz w:val="22"/>
        </w:rPr>
        <w:t>person’s</w:t>
      </w:r>
      <w:r w:rsidRPr="0092002C">
        <w:rPr>
          <w:rFonts w:ascii="Arial" w:hAnsi="Arial" w:cs="Arial"/>
          <w:color w:val="000000" w:themeColor="text1"/>
          <w:sz w:val="22"/>
        </w:rPr>
        <w:t xml:space="preserve"> home instead of in institutions and residential care. Activities involve bathing, dressing and continence support, requesting medication, preparing meals, ambulation assistance and social interaction. They are also key in noticing changes in a service user’s condition and reporting problems to other services such a district nurse or social worker (Hasson et al., 2022). </w:t>
      </w:r>
    </w:p>
    <w:p w14:paraId="1FC41F23" w14:textId="77777777" w:rsidR="00031641" w:rsidRDefault="00031641" w:rsidP="00B43FAC">
      <w:pPr>
        <w:spacing w:after="0" w:line="360" w:lineRule="auto"/>
        <w:jc w:val="both"/>
        <w:rPr>
          <w:rFonts w:ascii="Arial" w:hAnsi="Arial" w:cs="Arial"/>
          <w:color w:val="000000" w:themeColor="text1"/>
          <w:sz w:val="22"/>
        </w:rPr>
      </w:pPr>
    </w:p>
    <w:p w14:paraId="35CEB088" w14:textId="3579E147" w:rsidR="008E1C20" w:rsidRPr="0092002C" w:rsidRDefault="0076092B" w:rsidP="00B43FAC">
      <w:pPr>
        <w:spacing w:after="0" w:line="360" w:lineRule="auto"/>
        <w:jc w:val="both"/>
        <w:rPr>
          <w:rFonts w:ascii="Arial" w:hAnsi="Arial" w:cs="Arial"/>
          <w:color w:val="000000" w:themeColor="text1"/>
          <w:sz w:val="22"/>
        </w:rPr>
      </w:pPr>
      <w:r w:rsidRPr="0092002C">
        <w:rPr>
          <w:rFonts w:ascii="Arial" w:hAnsi="Arial" w:cs="Arial"/>
          <w:color w:val="000000" w:themeColor="text1"/>
          <w:sz w:val="22"/>
        </w:rPr>
        <w:t>The key responsibility of the role will be to provide person centred care in which the care provided is tailor made to meet the preferences, needs and goals of the individual, rather than adhering to a fixed routine (SCIE, 2020).</w:t>
      </w:r>
      <w:r w:rsidR="00031641">
        <w:rPr>
          <w:rFonts w:ascii="Arial" w:hAnsi="Arial" w:cs="Arial"/>
          <w:color w:val="000000" w:themeColor="text1"/>
          <w:sz w:val="22"/>
        </w:rPr>
        <w:t xml:space="preserve"> </w:t>
      </w:r>
      <w:r w:rsidRPr="0092002C">
        <w:rPr>
          <w:rFonts w:ascii="Arial" w:hAnsi="Arial" w:cs="Arial"/>
          <w:color w:val="000000" w:themeColor="text1"/>
          <w:sz w:val="22"/>
        </w:rPr>
        <w:t xml:space="preserve">Community Care Workers must be good at doing the job as well as communicating with and relating to individuals. Students need to demonstrate a clear ability to communicate, be aware of the duty to keep children safe, show empathy for children and the knowledge of legal and ethical parameters which govern care practice in England, such as the Care Act 2014, and measures established by Care Quality Commission (CQC, 2022). </w:t>
      </w:r>
    </w:p>
    <w:p w14:paraId="4010C35E" w14:textId="5166FC80" w:rsidR="00EC7EBE" w:rsidRPr="0092002C" w:rsidRDefault="00676FEB" w:rsidP="00B43FAC">
      <w:pPr>
        <w:pStyle w:val="Heading2"/>
      </w:pPr>
      <w:bookmarkStart w:id="12" w:name="_Toc232025578"/>
      <w:r w:rsidRPr="0092002C">
        <w:t xml:space="preserve">1.3 </w:t>
      </w:r>
      <w:r w:rsidR="00805726" w:rsidRPr="0092002C">
        <w:t xml:space="preserve">Evaluation of the </w:t>
      </w:r>
      <w:r w:rsidR="00D4006B" w:rsidRPr="0092002C">
        <w:t xml:space="preserve">skills needed for </w:t>
      </w:r>
      <w:r w:rsidR="005B5E19">
        <w:t>community care worker</w:t>
      </w:r>
      <w:r w:rsidR="007138EF" w:rsidRPr="0092002C">
        <w:t xml:space="preserve"> in </w:t>
      </w:r>
      <w:r w:rsidR="00634D18" w:rsidRPr="0092002C">
        <w:t>h</w:t>
      </w:r>
      <w:r w:rsidR="007138EF" w:rsidRPr="0092002C">
        <w:t>ealthcare</w:t>
      </w:r>
      <w:bookmarkEnd w:id="12"/>
    </w:p>
    <w:p w14:paraId="542B8CCE" w14:textId="77777777" w:rsidR="0076092B" w:rsidRDefault="0076092B" w:rsidP="00B43FAC">
      <w:pPr>
        <w:spacing w:after="0" w:line="360" w:lineRule="auto"/>
        <w:jc w:val="both"/>
        <w:rPr>
          <w:rFonts w:ascii="Arial" w:hAnsi="Arial" w:cs="Arial"/>
          <w:color w:val="000000" w:themeColor="text1"/>
          <w:sz w:val="22"/>
        </w:rPr>
      </w:pPr>
      <w:r w:rsidRPr="0092002C">
        <w:rPr>
          <w:rFonts w:ascii="Arial" w:hAnsi="Arial" w:cs="Arial"/>
          <w:b/>
          <w:i/>
          <w:color w:val="000000" w:themeColor="text1"/>
          <w:sz w:val="22"/>
        </w:rPr>
        <w:t>Communication</w:t>
      </w:r>
      <w:r w:rsidRPr="0092002C">
        <w:rPr>
          <w:rFonts w:ascii="Arial" w:hAnsi="Arial" w:cs="Arial"/>
          <w:color w:val="000000" w:themeColor="text1"/>
          <w:sz w:val="22"/>
        </w:rPr>
        <w:t xml:space="preserve">: Probably the most basic attribute of this job is the ability to communicate. CCWs work with families, professionals in various disciplines and service users on a daily basis. Good communication skills, verbal and writing, help workers to establish the trust of service users and to correctly record care activities and report concerns when appropriate. In this case, a care worker who feels that a service user is confused or in pain should be able to leave no doubt about this in the mind of a nurse or care coordinator. The failure to communicate can result in failure to pick up on concerns for safeguarding, medication mix-ups and failure in the working relationship between the worker and service user (Maddock, 2024). Some of the </w:t>
      </w:r>
      <w:proofErr w:type="spellStart"/>
      <w:r w:rsidRPr="0092002C">
        <w:rPr>
          <w:rFonts w:ascii="Arial" w:hAnsi="Arial" w:cs="Arial"/>
          <w:color w:val="000000" w:themeColor="text1"/>
          <w:sz w:val="22"/>
        </w:rPr>
        <w:t>sharest</w:t>
      </w:r>
      <w:proofErr w:type="spellEnd"/>
      <w:r w:rsidRPr="0092002C">
        <w:rPr>
          <w:rFonts w:ascii="Arial" w:hAnsi="Arial" w:cs="Arial"/>
          <w:color w:val="000000" w:themeColor="text1"/>
          <w:sz w:val="22"/>
        </w:rPr>
        <w:t xml:space="preserve"> concerns cited by Nyashanu et al. (2022) are around </w:t>
      </w:r>
      <w:r w:rsidRPr="0092002C">
        <w:rPr>
          <w:rFonts w:ascii="Arial" w:hAnsi="Arial" w:cs="Arial"/>
          <w:color w:val="000000" w:themeColor="text1"/>
          <w:sz w:val="22"/>
        </w:rPr>
        <w:lastRenderedPageBreak/>
        <w:t>communication failures in Domiciliary Care settings, as they are major sources of poor outcomes with vulnerable adults.</w:t>
      </w:r>
    </w:p>
    <w:p w14:paraId="41EB39FC" w14:textId="77777777" w:rsidR="00031641" w:rsidRPr="0092002C" w:rsidRDefault="00031641" w:rsidP="00B43FAC">
      <w:pPr>
        <w:spacing w:after="0" w:line="360" w:lineRule="auto"/>
        <w:jc w:val="both"/>
        <w:rPr>
          <w:rFonts w:ascii="Arial" w:hAnsi="Arial" w:cs="Arial"/>
          <w:color w:val="000000" w:themeColor="text1"/>
          <w:sz w:val="22"/>
        </w:rPr>
      </w:pPr>
    </w:p>
    <w:p w14:paraId="1003BA4A" w14:textId="77777777" w:rsidR="0076092B" w:rsidRDefault="0076092B" w:rsidP="00B43FAC">
      <w:pPr>
        <w:spacing w:after="0" w:line="360" w:lineRule="auto"/>
        <w:jc w:val="both"/>
        <w:rPr>
          <w:rFonts w:ascii="Arial" w:hAnsi="Arial" w:cs="Arial"/>
          <w:color w:val="000000" w:themeColor="text1"/>
          <w:sz w:val="22"/>
        </w:rPr>
      </w:pPr>
      <w:r w:rsidRPr="0092002C">
        <w:rPr>
          <w:rFonts w:ascii="Arial" w:hAnsi="Arial" w:cs="Arial"/>
          <w:b/>
          <w:i/>
          <w:color w:val="000000" w:themeColor="text1"/>
          <w:sz w:val="22"/>
        </w:rPr>
        <w:t>Safeguarding knowledge</w:t>
      </w:r>
      <w:r w:rsidRPr="0092002C">
        <w:rPr>
          <w:rFonts w:ascii="Arial" w:hAnsi="Arial" w:cs="Arial"/>
          <w:color w:val="000000" w:themeColor="text1"/>
          <w:sz w:val="22"/>
        </w:rPr>
        <w:t>: As importantly, securing knowledge is crucial. CCWs are often the first and only professional to interact with isolated or vulnerable people. Workers will have a strong knowledge of the six safeguarding principles, set out in the Care Act 2014 (Empowerment, prevention, proportionality, protection, partnership and accountability), and will be able to recognise the indicators of abuse and neglect and respond accordingly. A worker's lack of such understanding puts a service user at significant risk of harm (CQC, 2022).</w:t>
      </w:r>
    </w:p>
    <w:p w14:paraId="781C6231" w14:textId="77777777" w:rsidR="00031641" w:rsidRPr="0092002C" w:rsidRDefault="00031641" w:rsidP="00B43FAC">
      <w:pPr>
        <w:spacing w:after="0" w:line="360" w:lineRule="auto"/>
        <w:jc w:val="both"/>
        <w:rPr>
          <w:rFonts w:ascii="Arial" w:hAnsi="Arial" w:cs="Arial"/>
          <w:color w:val="000000" w:themeColor="text1"/>
          <w:sz w:val="22"/>
        </w:rPr>
      </w:pPr>
    </w:p>
    <w:p w14:paraId="3619F070" w14:textId="430ADDA2" w:rsidR="00774092" w:rsidRPr="0092002C" w:rsidRDefault="0076092B" w:rsidP="00B43FAC">
      <w:pPr>
        <w:spacing w:after="0" w:line="360" w:lineRule="auto"/>
        <w:jc w:val="both"/>
        <w:rPr>
          <w:rFonts w:ascii="Arial" w:hAnsi="Arial" w:cs="Arial"/>
          <w:color w:val="000000" w:themeColor="text1"/>
          <w:sz w:val="22"/>
        </w:rPr>
      </w:pPr>
      <w:r w:rsidRPr="0092002C">
        <w:rPr>
          <w:rFonts w:ascii="Arial" w:hAnsi="Arial" w:cs="Arial"/>
          <w:b/>
          <w:i/>
          <w:color w:val="000000" w:themeColor="text1"/>
          <w:sz w:val="22"/>
        </w:rPr>
        <w:t>Person-centred care practice:</w:t>
      </w:r>
      <w:r w:rsidRPr="0092002C">
        <w:rPr>
          <w:rFonts w:ascii="Arial" w:hAnsi="Arial" w:cs="Arial"/>
          <w:color w:val="000000" w:themeColor="text1"/>
          <w:sz w:val="22"/>
        </w:rPr>
        <w:t xml:space="preserve"> Person-centred care practice is when services are provided based on the person's values, preferences and life history. This may mean helping a service user to select their clothing or meal times, rather than setting up times for a service user's convenience. Service users without this skill may lose dignity, be less likely to be engaged with care services and experience poor mental wellbeing (SCIE, 2020). Kiely et al (2022) found that there was a link between person-centred practice in the community and health outcomes and greater satisfaction with the services provided.</w:t>
      </w:r>
      <w:r w:rsidR="00222C3A" w:rsidRPr="0092002C">
        <w:rPr>
          <w:rFonts w:ascii="Arial" w:hAnsi="Arial" w:cs="Arial"/>
          <w:color w:val="000000" w:themeColor="text1"/>
          <w:sz w:val="22"/>
        </w:rPr>
        <w:t xml:space="preserve"> </w:t>
      </w:r>
    </w:p>
    <w:p w14:paraId="7338813D" w14:textId="77777777" w:rsidR="00C85A7C" w:rsidRPr="0092002C" w:rsidRDefault="00C85A7C" w:rsidP="00B43FAC">
      <w:pPr>
        <w:spacing w:after="0" w:line="360" w:lineRule="auto"/>
        <w:jc w:val="both"/>
        <w:rPr>
          <w:rFonts w:ascii="Arial" w:hAnsi="Arial" w:cs="Arial"/>
          <w:color w:val="000000" w:themeColor="text1"/>
          <w:sz w:val="22"/>
        </w:rPr>
      </w:pPr>
    </w:p>
    <w:p w14:paraId="01C49510" w14:textId="4ECF793B" w:rsidR="002370CE" w:rsidRPr="0092002C" w:rsidRDefault="00AA77C8" w:rsidP="00B43FAC">
      <w:pPr>
        <w:pStyle w:val="Heading2"/>
      </w:pPr>
      <w:bookmarkStart w:id="13" w:name="_Toc228861927"/>
      <w:bookmarkStart w:id="14" w:name="_Toc228861970"/>
      <w:bookmarkStart w:id="15" w:name="_Toc228862233"/>
      <w:bookmarkStart w:id="16" w:name="_Toc232025579"/>
      <w:r w:rsidRPr="0092002C">
        <w:t>1</w:t>
      </w:r>
      <w:r w:rsidR="00774092" w:rsidRPr="0092002C">
        <w:t>.</w:t>
      </w:r>
      <w:r w:rsidR="00E1725A" w:rsidRPr="0092002C">
        <w:t>4</w:t>
      </w:r>
      <w:r w:rsidR="005D5457" w:rsidRPr="0092002C">
        <w:t xml:space="preserve"> </w:t>
      </w:r>
      <w:r w:rsidR="003003FD" w:rsidRPr="0092002C">
        <w:t>Strategies</w:t>
      </w:r>
      <w:r w:rsidR="00183CB9" w:rsidRPr="0092002C">
        <w:t xml:space="preserve"> to improve the skills</w:t>
      </w:r>
      <w:r w:rsidR="005D5457" w:rsidRPr="0092002C">
        <w:t xml:space="preserve"> </w:t>
      </w:r>
      <w:r w:rsidR="00070818" w:rsidRPr="0092002C">
        <w:t xml:space="preserve">for </w:t>
      </w:r>
      <w:bookmarkEnd w:id="13"/>
      <w:bookmarkEnd w:id="14"/>
      <w:bookmarkEnd w:id="15"/>
      <w:r w:rsidR="005B5E19">
        <w:t>community care worker</w:t>
      </w:r>
      <w:bookmarkEnd w:id="16"/>
    </w:p>
    <w:p w14:paraId="686F2AA3" w14:textId="32741C07" w:rsidR="00FA23FD" w:rsidRDefault="00FA23FD" w:rsidP="00B43FAC">
      <w:pPr>
        <w:spacing w:after="0" w:line="360" w:lineRule="auto"/>
        <w:jc w:val="both"/>
        <w:rPr>
          <w:rFonts w:ascii="Arial" w:hAnsi="Arial" w:cs="Arial"/>
          <w:color w:val="000000" w:themeColor="text1"/>
          <w:sz w:val="22"/>
        </w:rPr>
      </w:pPr>
      <w:r w:rsidRPr="0092002C">
        <w:rPr>
          <w:rFonts w:ascii="Arial" w:hAnsi="Arial" w:cs="Arial"/>
          <w:b/>
          <w:i/>
          <w:color w:val="000000" w:themeColor="text1"/>
          <w:sz w:val="22"/>
        </w:rPr>
        <w:t>The Care Certificate and continued professional development (CPD):</w:t>
      </w:r>
      <w:r w:rsidRPr="0092002C">
        <w:rPr>
          <w:rFonts w:ascii="Arial" w:hAnsi="Arial" w:cs="Arial"/>
          <w:color w:val="000000" w:themeColor="text1"/>
          <w:sz w:val="22"/>
        </w:rPr>
        <w:t xml:space="preserve"> The only semi-structured way to get skills in this sector are through the Care Certificate or ongoing professional development (CPD). The Care Certificate was launched in 2015 to offer a uniformity across the standards of communication, safeguarding, person-centred care, duty of care and related standards (Skills for Care, 2023). The employers are responsible for helping to deliver a certificate, which is usually done through the Workbook Learning and Observation Day and/or by providing on-the-job assessment. CPD courses and webinars available online and sector conferences offer opportunities for employees to build on their training and acquire more knowledge in dementia care or mental health first aid. It was chosen because a clear measurable methodology that has a direct impact on all three identified skills is recognised and supported by education staff and recognised by national workforce organisations (Skills for Care, 2023).</w:t>
      </w:r>
    </w:p>
    <w:p w14:paraId="73EFF659" w14:textId="77777777" w:rsidR="00031641" w:rsidRPr="0092002C" w:rsidRDefault="00031641" w:rsidP="00B43FAC">
      <w:pPr>
        <w:spacing w:after="0" w:line="360" w:lineRule="auto"/>
        <w:jc w:val="both"/>
        <w:rPr>
          <w:rFonts w:ascii="Arial" w:hAnsi="Arial" w:cs="Arial"/>
          <w:color w:val="000000" w:themeColor="text1"/>
          <w:sz w:val="22"/>
        </w:rPr>
      </w:pPr>
    </w:p>
    <w:p w14:paraId="0BC39DAA" w14:textId="0DC94241" w:rsidR="00FA23FD" w:rsidRDefault="00FA23FD" w:rsidP="00B43FAC">
      <w:pPr>
        <w:spacing w:after="0" w:line="360" w:lineRule="auto"/>
        <w:jc w:val="both"/>
        <w:rPr>
          <w:rFonts w:ascii="Arial" w:hAnsi="Arial" w:cs="Arial"/>
          <w:color w:val="000000" w:themeColor="text1"/>
          <w:sz w:val="22"/>
        </w:rPr>
      </w:pPr>
      <w:r w:rsidRPr="0092002C">
        <w:rPr>
          <w:rFonts w:ascii="Arial" w:hAnsi="Arial" w:cs="Arial"/>
          <w:b/>
          <w:i/>
          <w:color w:val="000000" w:themeColor="text1"/>
          <w:sz w:val="22"/>
        </w:rPr>
        <w:t>Reflective practice and regular supervision</w:t>
      </w:r>
      <w:r w:rsidRPr="0092002C">
        <w:rPr>
          <w:rFonts w:ascii="Arial" w:hAnsi="Arial" w:cs="Arial"/>
          <w:color w:val="000000" w:themeColor="text1"/>
          <w:sz w:val="22"/>
        </w:rPr>
        <w:t xml:space="preserve">: Reflective practice and frequent supervision provide a formal structure for the staff to reflect on the work that has been carried out, to be able to see where they could improve and to receive positive input. Supervision sessions (usually monthly) between the worker and the worker's line manager provide an opportunity to share complex scenarios, discuss positive aspects of the interaction and ways that it could </w:t>
      </w:r>
      <w:r w:rsidRPr="0092002C">
        <w:rPr>
          <w:rFonts w:ascii="Arial" w:hAnsi="Arial" w:cs="Arial"/>
          <w:color w:val="000000" w:themeColor="text1"/>
          <w:sz w:val="22"/>
        </w:rPr>
        <w:lastRenderedPageBreak/>
        <w:t xml:space="preserve">be improved, as well as identify areas in which the worker believes he can add value. Supervision, for instance, could be used to help a worker understand alternative ways of handling an upset service user who would otherwise not have been able to communicate sensitively with them and to provide support. This can be done using reflective models like Gibbs' Reflective Cycle (1988). </w:t>
      </w:r>
    </w:p>
    <w:p w14:paraId="57CA9A9C" w14:textId="77777777" w:rsidR="00031641" w:rsidRPr="0092002C" w:rsidRDefault="00031641" w:rsidP="00B43FAC">
      <w:pPr>
        <w:spacing w:after="0" w:line="360" w:lineRule="auto"/>
        <w:jc w:val="both"/>
        <w:rPr>
          <w:rFonts w:ascii="Arial" w:hAnsi="Arial" w:cs="Arial"/>
          <w:color w:val="000000" w:themeColor="text1"/>
          <w:sz w:val="22"/>
        </w:rPr>
      </w:pPr>
    </w:p>
    <w:p w14:paraId="4CF2D851" w14:textId="3EC7EDBE" w:rsidR="00F1720B" w:rsidRPr="0092002C" w:rsidRDefault="00FA23FD" w:rsidP="00B43FAC">
      <w:pPr>
        <w:spacing w:after="0" w:line="360" w:lineRule="auto"/>
        <w:jc w:val="both"/>
        <w:rPr>
          <w:rFonts w:ascii="Arial" w:hAnsi="Arial" w:cs="Arial"/>
          <w:color w:val="000000" w:themeColor="text1"/>
          <w:sz w:val="22"/>
        </w:rPr>
      </w:pPr>
      <w:r w:rsidRPr="0092002C">
        <w:rPr>
          <w:rFonts w:ascii="Arial" w:hAnsi="Arial" w:cs="Arial"/>
          <w:b/>
          <w:i/>
          <w:color w:val="000000" w:themeColor="text1"/>
          <w:sz w:val="22"/>
        </w:rPr>
        <w:t>Mentoring and peer support</w:t>
      </w:r>
      <w:r w:rsidRPr="0092002C">
        <w:rPr>
          <w:rFonts w:ascii="Arial" w:hAnsi="Arial" w:cs="Arial"/>
          <w:color w:val="000000" w:themeColor="text1"/>
          <w:sz w:val="22"/>
        </w:rPr>
        <w:t xml:space="preserve">: Mentoring and peer support is regarded as two-way learning, where less experienced workers are encouraged to seek advice, knowledge and demonstrate appropriate practice from more experienced workers in the context of authentic care scenarios. Contrary to formal learning, mentoring happens in the real context of work related activities which means that learning is contextualised and put to immediate use. For example, an experienced Community Care Worker might shadow a new Worker to see how person-centred communication is used when visiting the person for personal care. Its effectiveness in assisting workers in the day-to-day aspects of caring for others in the community was also highlighted by </w:t>
      </w:r>
      <w:r w:rsidR="003407BC" w:rsidRPr="0092002C">
        <w:rPr>
          <w:rFonts w:ascii="Arial" w:hAnsi="Arial" w:cs="Arial"/>
          <w:color w:val="000000" w:themeColor="text1"/>
          <w:sz w:val="22"/>
        </w:rPr>
        <w:t>(Al-</w:t>
      </w:r>
      <w:proofErr w:type="spellStart"/>
      <w:r w:rsidR="003407BC" w:rsidRPr="0092002C">
        <w:rPr>
          <w:rFonts w:ascii="Arial" w:hAnsi="Arial" w:cs="Arial"/>
          <w:color w:val="000000" w:themeColor="text1"/>
          <w:sz w:val="22"/>
        </w:rPr>
        <w:t>Btoush</w:t>
      </w:r>
      <w:proofErr w:type="spellEnd"/>
      <w:r w:rsidR="003407BC" w:rsidRPr="0092002C">
        <w:rPr>
          <w:rFonts w:ascii="Arial" w:hAnsi="Arial" w:cs="Arial"/>
          <w:color w:val="000000" w:themeColor="text1"/>
          <w:sz w:val="22"/>
        </w:rPr>
        <w:t xml:space="preserve"> and El-</w:t>
      </w:r>
      <w:proofErr w:type="spellStart"/>
      <w:r w:rsidR="003407BC" w:rsidRPr="0092002C">
        <w:rPr>
          <w:rFonts w:ascii="Arial" w:hAnsi="Arial" w:cs="Arial"/>
          <w:color w:val="000000" w:themeColor="text1"/>
          <w:sz w:val="22"/>
        </w:rPr>
        <w:t>Bcheraoui</w:t>
      </w:r>
      <w:proofErr w:type="spellEnd"/>
      <w:r w:rsidR="003407BC" w:rsidRPr="0092002C">
        <w:rPr>
          <w:rFonts w:ascii="Arial" w:hAnsi="Arial" w:cs="Arial"/>
          <w:color w:val="000000" w:themeColor="text1"/>
          <w:sz w:val="22"/>
        </w:rPr>
        <w:t xml:space="preserve">, </w:t>
      </w:r>
      <w:r w:rsidRPr="0092002C">
        <w:rPr>
          <w:rFonts w:ascii="Arial" w:hAnsi="Arial" w:cs="Arial"/>
          <w:color w:val="000000" w:themeColor="text1"/>
          <w:sz w:val="22"/>
        </w:rPr>
        <w:t>2024). The focus on addressing between theory and practice was chosen to overcome this identified area of need as much of the learning content is delivered in the practical context.</w:t>
      </w:r>
      <w:r w:rsidR="00A946CB" w:rsidRPr="0092002C">
        <w:rPr>
          <w:rFonts w:ascii="Arial" w:hAnsi="Arial" w:cs="Arial"/>
          <w:color w:val="000000" w:themeColor="text1"/>
          <w:sz w:val="22"/>
        </w:rPr>
        <w:t xml:space="preserve"> </w:t>
      </w:r>
    </w:p>
    <w:p w14:paraId="2703A512" w14:textId="77777777" w:rsidR="00500295" w:rsidRPr="0092002C" w:rsidRDefault="00500295" w:rsidP="00B43FAC">
      <w:pPr>
        <w:spacing w:after="0" w:line="360" w:lineRule="auto"/>
        <w:jc w:val="both"/>
        <w:rPr>
          <w:rFonts w:ascii="Arial" w:hAnsi="Arial" w:cs="Arial"/>
          <w:color w:val="000000" w:themeColor="text1"/>
          <w:sz w:val="22"/>
        </w:rPr>
      </w:pPr>
    </w:p>
    <w:p w14:paraId="1497148C" w14:textId="6FE2C4CD" w:rsidR="00A946CB" w:rsidRPr="0092002C" w:rsidRDefault="00AA77C8" w:rsidP="00B43FAC">
      <w:pPr>
        <w:pStyle w:val="Heading2"/>
      </w:pPr>
      <w:bookmarkStart w:id="17" w:name="_Toc228861928"/>
      <w:bookmarkStart w:id="18" w:name="_Toc228861971"/>
      <w:bookmarkStart w:id="19" w:name="_Toc228862234"/>
      <w:bookmarkStart w:id="20" w:name="_Toc232025580"/>
      <w:r w:rsidRPr="0092002C">
        <w:t>1</w:t>
      </w:r>
      <w:r w:rsidR="00A946CB" w:rsidRPr="0092002C">
        <w:t>.4 Conclusion</w:t>
      </w:r>
      <w:bookmarkEnd w:id="17"/>
      <w:bookmarkEnd w:id="18"/>
      <w:bookmarkEnd w:id="19"/>
      <w:bookmarkEnd w:id="20"/>
    </w:p>
    <w:p w14:paraId="76565AE3" w14:textId="6B9F42E3" w:rsidR="003458DB" w:rsidRPr="0092002C" w:rsidRDefault="00FA23FD" w:rsidP="00B43FAC">
      <w:pPr>
        <w:spacing w:after="0" w:line="360" w:lineRule="auto"/>
        <w:jc w:val="both"/>
        <w:rPr>
          <w:rFonts w:ascii="Arial" w:hAnsi="Arial" w:cs="Arial"/>
          <w:color w:val="000000" w:themeColor="text1"/>
          <w:sz w:val="22"/>
        </w:rPr>
      </w:pPr>
      <w:r w:rsidRPr="0092002C">
        <w:rPr>
          <w:rFonts w:ascii="Arial" w:hAnsi="Arial" w:cs="Arial"/>
          <w:color w:val="000000" w:themeColor="text1"/>
          <w:sz w:val="22"/>
        </w:rPr>
        <w:t xml:space="preserve">Community care workers hold a key role in the health provision and care for the most vulnerable in society, in England. This report has highlighted three key skills in communication, safeguarding knowledge and </w:t>
      </w:r>
      <w:proofErr w:type="gramStart"/>
      <w:r w:rsidRPr="0092002C">
        <w:rPr>
          <w:rFonts w:ascii="Arial" w:hAnsi="Arial" w:cs="Arial"/>
          <w:color w:val="000000" w:themeColor="text1"/>
          <w:sz w:val="22"/>
        </w:rPr>
        <w:t>person centred</w:t>
      </w:r>
      <w:proofErr w:type="gramEnd"/>
      <w:r w:rsidRPr="0092002C">
        <w:rPr>
          <w:rFonts w:ascii="Arial" w:hAnsi="Arial" w:cs="Arial"/>
          <w:color w:val="000000" w:themeColor="text1"/>
          <w:sz w:val="22"/>
        </w:rPr>
        <w:t xml:space="preserve"> care practice </w:t>
      </w:r>
      <w:proofErr w:type="gramStart"/>
      <w:r w:rsidRPr="0092002C">
        <w:rPr>
          <w:rFonts w:ascii="Arial" w:hAnsi="Arial" w:cs="Arial"/>
          <w:color w:val="000000" w:themeColor="text1"/>
          <w:sz w:val="22"/>
        </w:rPr>
        <w:t>are</w:t>
      </w:r>
      <w:proofErr w:type="gramEnd"/>
      <w:r w:rsidRPr="0092002C">
        <w:rPr>
          <w:rFonts w:ascii="Arial" w:hAnsi="Arial" w:cs="Arial"/>
          <w:color w:val="000000" w:themeColor="text1"/>
          <w:sz w:val="22"/>
        </w:rPr>
        <w:t xml:space="preserve"> outlined which all have a direct impact on the services </w:t>
      </w:r>
      <w:proofErr w:type="gramStart"/>
      <w:r w:rsidRPr="0092002C">
        <w:rPr>
          <w:rFonts w:ascii="Arial" w:hAnsi="Arial" w:cs="Arial"/>
          <w:color w:val="000000" w:themeColor="text1"/>
          <w:sz w:val="22"/>
        </w:rPr>
        <w:t>users</w:t>
      </w:r>
      <w:proofErr w:type="gramEnd"/>
      <w:r w:rsidRPr="0092002C">
        <w:rPr>
          <w:rFonts w:ascii="Arial" w:hAnsi="Arial" w:cs="Arial"/>
          <w:color w:val="000000" w:themeColor="text1"/>
          <w:sz w:val="22"/>
        </w:rPr>
        <w:t xml:space="preserve"> safety, dignity and wellbeing. In addition, reflective practice and supervision, Care Certificate and CPD and mentoring and peer support are recognised and supported as positive and evidence-based practices to build such skills. Employing staff at this standard is essential to professionalism and underpins good quality provision, compassionate and safe working relationships throughout the sector.</w:t>
      </w:r>
      <w:r w:rsidR="00F1720B" w:rsidRPr="0092002C">
        <w:rPr>
          <w:rFonts w:ascii="Arial" w:hAnsi="Arial" w:cs="Arial"/>
          <w:color w:val="000000" w:themeColor="text1"/>
          <w:sz w:val="22"/>
        </w:rPr>
        <w:t xml:space="preserve"> </w:t>
      </w:r>
    </w:p>
    <w:p w14:paraId="42D4EEB4" w14:textId="77777777" w:rsidR="00FA23FD" w:rsidRDefault="00FA23FD" w:rsidP="00B43FAC">
      <w:pPr>
        <w:spacing w:line="360" w:lineRule="auto"/>
        <w:rPr>
          <w:rFonts w:eastAsiaTheme="majorEastAsia" w:cstheme="majorBidi"/>
          <w:color w:val="2F5496" w:themeColor="accent1" w:themeShade="BF"/>
          <w:sz w:val="28"/>
          <w:szCs w:val="26"/>
        </w:rPr>
      </w:pPr>
      <w:bookmarkStart w:id="21" w:name="_Toc228861929"/>
      <w:bookmarkStart w:id="22" w:name="_Toc228861972"/>
      <w:bookmarkStart w:id="23" w:name="_Toc228862235"/>
      <w:r>
        <w:br w:type="page"/>
      </w:r>
    </w:p>
    <w:p w14:paraId="6C4B494D" w14:textId="57D5DEE5" w:rsidR="00226D31" w:rsidRPr="004D1EE6" w:rsidRDefault="00AA77C8" w:rsidP="00B43FAC">
      <w:pPr>
        <w:pStyle w:val="Heading2"/>
      </w:pPr>
      <w:bookmarkStart w:id="24" w:name="_Toc232025581"/>
      <w:r w:rsidRPr="004D1EE6">
        <w:lastRenderedPageBreak/>
        <w:t>1</w:t>
      </w:r>
      <w:r w:rsidR="00226D31" w:rsidRPr="004D1EE6">
        <w:t xml:space="preserve">.5 </w:t>
      </w:r>
      <w:r w:rsidR="00226D31" w:rsidRPr="005B5E19">
        <w:t>Reference</w:t>
      </w:r>
      <w:r w:rsidR="00226D31" w:rsidRPr="004D1EE6">
        <w:t xml:space="preserve"> List</w:t>
      </w:r>
      <w:bookmarkEnd w:id="21"/>
      <w:bookmarkEnd w:id="22"/>
      <w:bookmarkEnd w:id="23"/>
      <w:bookmarkEnd w:id="24"/>
    </w:p>
    <w:p w14:paraId="5C4C45D7" w14:textId="77777777" w:rsidR="005B5E19" w:rsidRPr="00087981" w:rsidRDefault="005B5E19" w:rsidP="00B43FAC">
      <w:pPr>
        <w:pStyle w:val="font-claude-response-body"/>
        <w:spacing w:line="360" w:lineRule="auto"/>
        <w:jc w:val="both"/>
        <w:rPr>
          <w:rFonts w:ascii="Arial" w:hAnsi="Arial" w:cs="Arial"/>
          <w:color w:val="000000" w:themeColor="text1"/>
          <w:sz w:val="22"/>
        </w:rPr>
      </w:pPr>
      <w:r w:rsidRPr="00087981">
        <w:rPr>
          <w:rFonts w:ascii="Arial" w:hAnsi="Arial" w:cs="Arial"/>
          <w:color w:val="000000" w:themeColor="text1"/>
          <w:sz w:val="22"/>
        </w:rPr>
        <w:t>Al-</w:t>
      </w:r>
      <w:proofErr w:type="spellStart"/>
      <w:r w:rsidRPr="00087981">
        <w:rPr>
          <w:rFonts w:ascii="Arial" w:hAnsi="Arial" w:cs="Arial"/>
          <w:color w:val="000000" w:themeColor="text1"/>
          <w:sz w:val="22"/>
        </w:rPr>
        <w:t>Btoush</w:t>
      </w:r>
      <w:proofErr w:type="spellEnd"/>
      <w:r w:rsidRPr="00087981">
        <w:rPr>
          <w:rFonts w:ascii="Arial" w:hAnsi="Arial" w:cs="Arial"/>
          <w:color w:val="000000" w:themeColor="text1"/>
          <w:sz w:val="22"/>
        </w:rPr>
        <w:t>, A. and El-</w:t>
      </w:r>
      <w:proofErr w:type="spellStart"/>
      <w:r w:rsidRPr="00087981">
        <w:rPr>
          <w:rFonts w:ascii="Arial" w:hAnsi="Arial" w:cs="Arial"/>
          <w:color w:val="000000" w:themeColor="text1"/>
          <w:sz w:val="22"/>
        </w:rPr>
        <w:t>Bcheraoui</w:t>
      </w:r>
      <w:proofErr w:type="spellEnd"/>
      <w:r w:rsidRPr="00087981">
        <w:rPr>
          <w:rFonts w:ascii="Arial" w:hAnsi="Arial" w:cs="Arial"/>
          <w:color w:val="000000" w:themeColor="text1"/>
          <w:sz w:val="22"/>
        </w:rPr>
        <w:t xml:space="preserve">, C., 2024. Challenges affecting migrant healthcare workers while adjusting to new healthcare environments: a scoping review. </w:t>
      </w:r>
      <w:r w:rsidRPr="00087981">
        <w:rPr>
          <w:rStyle w:val="Emphasis"/>
          <w:rFonts w:ascii="Arial" w:eastAsiaTheme="majorEastAsia" w:hAnsi="Arial" w:cs="Arial"/>
          <w:color w:val="000000" w:themeColor="text1"/>
          <w:sz w:val="22"/>
        </w:rPr>
        <w:t>Human Resources for Health</w:t>
      </w:r>
      <w:r w:rsidRPr="00087981">
        <w:rPr>
          <w:rFonts w:ascii="Arial" w:hAnsi="Arial" w:cs="Arial"/>
          <w:color w:val="000000" w:themeColor="text1"/>
          <w:sz w:val="22"/>
        </w:rPr>
        <w:t>, 22(1), p.56.</w:t>
      </w:r>
    </w:p>
    <w:p w14:paraId="7520305B" w14:textId="77777777" w:rsidR="005B5E19" w:rsidRPr="00087981" w:rsidRDefault="005B5E19" w:rsidP="00B43FAC">
      <w:pPr>
        <w:pStyle w:val="font-claude-response-body"/>
        <w:spacing w:line="360" w:lineRule="auto"/>
        <w:jc w:val="both"/>
        <w:rPr>
          <w:rFonts w:ascii="Arial" w:hAnsi="Arial" w:cs="Arial"/>
          <w:color w:val="000000" w:themeColor="text1"/>
          <w:sz w:val="22"/>
        </w:rPr>
      </w:pPr>
      <w:r w:rsidRPr="00087981">
        <w:rPr>
          <w:rFonts w:ascii="Arial" w:hAnsi="Arial" w:cs="Arial"/>
          <w:color w:val="000000" w:themeColor="text1"/>
          <w:sz w:val="22"/>
        </w:rPr>
        <w:t xml:space="preserve">Care Quality Commission (CQC), 2022. </w:t>
      </w:r>
      <w:r w:rsidRPr="00087981">
        <w:rPr>
          <w:rStyle w:val="Emphasis"/>
          <w:rFonts w:ascii="Arial" w:eastAsiaTheme="majorEastAsia" w:hAnsi="Arial" w:cs="Arial"/>
          <w:color w:val="000000" w:themeColor="text1"/>
          <w:sz w:val="22"/>
        </w:rPr>
        <w:t>Regulation 13: Safeguarding service users from abuse and improper treatment</w:t>
      </w:r>
      <w:r w:rsidRPr="00087981">
        <w:rPr>
          <w:rFonts w:ascii="Arial" w:hAnsi="Arial" w:cs="Arial"/>
          <w:color w:val="000000" w:themeColor="text1"/>
          <w:sz w:val="22"/>
        </w:rPr>
        <w:t xml:space="preserve">. Available at: </w:t>
      </w:r>
      <w:hyperlink r:id="rId8" w:history="1">
        <w:r w:rsidRPr="00087981">
          <w:rPr>
            <w:rStyle w:val="Hyperlink"/>
            <w:rFonts w:ascii="Arial" w:hAnsi="Arial" w:cs="Arial"/>
            <w:color w:val="000000" w:themeColor="text1"/>
            <w:sz w:val="22"/>
          </w:rPr>
          <w:t>www.cqc.org.uk</w:t>
        </w:r>
      </w:hyperlink>
      <w:r>
        <w:rPr>
          <w:rFonts w:ascii="Arial" w:hAnsi="Arial" w:cs="Arial"/>
          <w:color w:val="000000" w:themeColor="text1"/>
          <w:sz w:val="22"/>
        </w:rPr>
        <w:t xml:space="preserve"> [Accessed on: 11 June</w:t>
      </w:r>
      <w:r w:rsidRPr="00087981">
        <w:rPr>
          <w:rFonts w:ascii="Arial" w:hAnsi="Arial" w:cs="Arial"/>
          <w:color w:val="000000" w:themeColor="text1"/>
          <w:sz w:val="22"/>
        </w:rPr>
        <w:t xml:space="preserve"> 2025].</w:t>
      </w:r>
    </w:p>
    <w:p w14:paraId="6EEBF86F" w14:textId="77777777" w:rsidR="005B5E19" w:rsidRPr="00087981" w:rsidRDefault="005B5E19" w:rsidP="00B43FAC">
      <w:pPr>
        <w:pStyle w:val="font-claude-response-body"/>
        <w:spacing w:line="360" w:lineRule="auto"/>
        <w:jc w:val="both"/>
        <w:rPr>
          <w:rFonts w:ascii="Arial" w:hAnsi="Arial" w:cs="Arial"/>
          <w:color w:val="000000" w:themeColor="text1"/>
          <w:sz w:val="22"/>
        </w:rPr>
      </w:pPr>
      <w:proofErr w:type="spellStart"/>
      <w:r w:rsidRPr="00087981">
        <w:rPr>
          <w:rFonts w:ascii="Arial" w:hAnsi="Arial" w:cs="Arial"/>
          <w:color w:val="000000" w:themeColor="text1"/>
          <w:sz w:val="22"/>
        </w:rPr>
        <w:t>Chemali</w:t>
      </w:r>
      <w:proofErr w:type="spellEnd"/>
      <w:r w:rsidRPr="00087981">
        <w:rPr>
          <w:rFonts w:ascii="Arial" w:hAnsi="Arial" w:cs="Arial"/>
          <w:color w:val="000000" w:themeColor="text1"/>
          <w:sz w:val="22"/>
        </w:rPr>
        <w:t xml:space="preserve">, S., Mari-Sáez, A., El </w:t>
      </w:r>
      <w:proofErr w:type="spellStart"/>
      <w:r w:rsidRPr="00087981">
        <w:rPr>
          <w:rFonts w:ascii="Arial" w:hAnsi="Arial" w:cs="Arial"/>
          <w:color w:val="000000" w:themeColor="text1"/>
          <w:sz w:val="22"/>
        </w:rPr>
        <w:t>Bcheraoui</w:t>
      </w:r>
      <w:proofErr w:type="spellEnd"/>
      <w:r w:rsidRPr="00087981">
        <w:rPr>
          <w:rFonts w:ascii="Arial" w:hAnsi="Arial" w:cs="Arial"/>
          <w:color w:val="000000" w:themeColor="text1"/>
          <w:sz w:val="22"/>
        </w:rPr>
        <w:t xml:space="preserve">, C. and Weishaar, H., 2022. Health care workers' experiences during the COVID-19 pandemic: a scoping review. </w:t>
      </w:r>
      <w:r w:rsidRPr="00087981">
        <w:rPr>
          <w:rStyle w:val="Emphasis"/>
          <w:rFonts w:ascii="Arial" w:eastAsiaTheme="majorEastAsia" w:hAnsi="Arial" w:cs="Arial"/>
          <w:color w:val="000000" w:themeColor="text1"/>
          <w:sz w:val="22"/>
        </w:rPr>
        <w:t>Human Resources for Health</w:t>
      </w:r>
      <w:r w:rsidRPr="00087981">
        <w:rPr>
          <w:rFonts w:ascii="Arial" w:hAnsi="Arial" w:cs="Arial"/>
          <w:color w:val="000000" w:themeColor="text1"/>
          <w:sz w:val="22"/>
        </w:rPr>
        <w:t>, 20(1), p.27.</w:t>
      </w:r>
    </w:p>
    <w:p w14:paraId="6DA6B162" w14:textId="77777777" w:rsidR="005B5E19" w:rsidRPr="00087981" w:rsidRDefault="005B5E19" w:rsidP="00B43FAC">
      <w:pPr>
        <w:pStyle w:val="font-claude-response-body"/>
        <w:spacing w:line="360" w:lineRule="auto"/>
        <w:jc w:val="both"/>
        <w:rPr>
          <w:rFonts w:ascii="Arial" w:hAnsi="Arial" w:cs="Arial"/>
          <w:color w:val="000000" w:themeColor="text1"/>
          <w:sz w:val="22"/>
        </w:rPr>
      </w:pPr>
      <w:r w:rsidRPr="00087981">
        <w:rPr>
          <w:rFonts w:ascii="Arial" w:hAnsi="Arial" w:cs="Arial"/>
          <w:color w:val="000000" w:themeColor="text1"/>
          <w:sz w:val="22"/>
        </w:rPr>
        <w:t xml:space="preserve">Gibbs, G., 1988. </w:t>
      </w:r>
      <w:r w:rsidRPr="00087981">
        <w:rPr>
          <w:rStyle w:val="Emphasis"/>
          <w:rFonts w:ascii="Arial" w:eastAsiaTheme="majorEastAsia" w:hAnsi="Arial" w:cs="Arial"/>
          <w:color w:val="000000" w:themeColor="text1"/>
          <w:sz w:val="22"/>
        </w:rPr>
        <w:t>Learning by Doing: A Guide to Teaching and Learning Methods</w:t>
      </w:r>
      <w:r w:rsidRPr="00087981">
        <w:rPr>
          <w:rFonts w:ascii="Arial" w:hAnsi="Arial" w:cs="Arial"/>
          <w:color w:val="000000" w:themeColor="text1"/>
          <w:sz w:val="22"/>
        </w:rPr>
        <w:t>. Oxford: Further Education Unit, Oxford Polytechnic.</w:t>
      </w:r>
    </w:p>
    <w:p w14:paraId="2EEFEE92" w14:textId="77777777" w:rsidR="005B5E19" w:rsidRPr="00087981" w:rsidRDefault="005B5E19" w:rsidP="00B43FAC">
      <w:pPr>
        <w:pStyle w:val="font-claude-response-body"/>
        <w:spacing w:line="360" w:lineRule="auto"/>
        <w:jc w:val="both"/>
        <w:rPr>
          <w:rFonts w:ascii="Arial" w:hAnsi="Arial" w:cs="Arial"/>
          <w:color w:val="000000" w:themeColor="text1"/>
          <w:sz w:val="22"/>
        </w:rPr>
      </w:pPr>
      <w:r w:rsidRPr="00087981">
        <w:rPr>
          <w:rFonts w:ascii="Arial" w:hAnsi="Arial" w:cs="Arial"/>
          <w:color w:val="000000" w:themeColor="text1"/>
          <w:sz w:val="22"/>
        </w:rPr>
        <w:t xml:space="preserve">Hasson, F., Betts, M., Shannon, C. and Fee, A., 2022. Roles and responsibilities of the community palliative care key worker: a scoping review. </w:t>
      </w:r>
      <w:r w:rsidRPr="00087981">
        <w:rPr>
          <w:rStyle w:val="Emphasis"/>
          <w:rFonts w:ascii="Arial" w:eastAsiaTheme="majorEastAsia" w:hAnsi="Arial" w:cs="Arial"/>
          <w:color w:val="000000" w:themeColor="text1"/>
          <w:sz w:val="22"/>
        </w:rPr>
        <w:t>British Journal of Community Nursing</w:t>
      </w:r>
      <w:r w:rsidRPr="00087981">
        <w:rPr>
          <w:rFonts w:ascii="Arial" w:hAnsi="Arial" w:cs="Arial"/>
          <w:color w:val="000000" w:themeColor="text1"/>
          <w:sz w:val="22"/>
        </w:rPr>
        <w:t>, 27(8), pp.384–391.</w:t>
      </w:r>
    </w:p>
    <w:p w14:paraId="45A01528" w14:textId="77777777" w:rsidR="005B5E19" w:rsidRPr="00087981" w:rsidRDefault="005B5E19" w:rsidP="00B43FAC">
      <w:pPr>
        <w:pStyle w:val="font-claude-response-body"/>
        <w:spacing w:line="360" w:lineRule="auto"/>
        <w:jc w:val="both"/>
        <w:rPr>
          <w:rFonts w:ascii="Arial" w:hAnsi="Arial" w:cs="Arial"/>
          <w:color w:val="000000" w:themeColor="text1"/>
          <w:sz w:val="22"/>
        </w:rPr>
      </w:pPr>
      <w:r w:rsidRPr="00087981">
        <w:rPr>
          <w:rFonts w:ascii="Arial" w:hAnsi="Arial" w:cs="Arial"/>
          <w:color w:val="000000" w:themeColor="text1"/>
          <w:sz w:val="22"/>
        </w:rPr>
        <w:t xml:space="preserve">Kiely, B., Croke, A., O'Shea, M., Boland, F., O'Shea, E., Connolly, D. and Smith, S.M., 2022. Effect of social prescribing link workers on health outcomes and costs for adults in primary care and community settings: a systematic review. </w:t>
      </w:r>
      <w:r w:rsidRPr="00087981">
        <w:rPr>
          <w:rStyle w:val="Emphasis"/>
          <w:rFonts w:ascii="Arial" w:eastAsiaTheme="majorEastAsia" w:hAnsi="Arial" w:cs="Arial"/>
          <w:color w:val="000000" w:themeColor="text1"/>
          <w:sz w:val="22"/>
        </w:rPr>
        <w:t>BMJ Open</w:t>
      </w:r>
      <w:r w:rsidRPr="00087981">
        <w:rPr>
          <w:rFonts w:ascii="Arial" w:hAnsi="Arial" w:cs="Arial"/>
          <w:color w:val="000000" w:themeColor="text1"/>
          <w:sz w:val="22"/>
        </w:rPr>
        <w:t>, 12(10), p.e062951.</w:t>
      </w:r>
    </w:p>
    <w:p w14:paraId="29586943" w14:textId="77777777" w:rsidR="005B5E19" w:rsidRPr="00087981" w:rsidRDefault="005B5E19" w:rsidP="00B43FAC">
      <w:pPr>
        <w:pStyle w:val="font-claude-response-body"/>
        <w:spacing w:line="360" w:lineRule="auto"/>
        <w:jc w:val="both"/>
        <w:rPr>
          <w:rFonts w:ascii="Arial" w:hAnsi="Arial" w:cs="Arial"/>
          <w:color w:val="000000" w:themeColor="text1"/>
          <w:sz w:val="22"/>
        </w:rPr>
      </w:pPr>
      <w:r w:rsidRPr="00087981">
        <w:rPr>
          <w:rFonts w:ascii="Arial" w:hAnsi="Arial" w:cs="Arial"/>
          <w:color w:val="000000" w:themeColor="text1"/>
          <w:sz w:val="22"/>
        </w:rPr>
        <w:t xml:space="preserve">Maddock, A., 2024. The relationships between stress, burnout, mental health and well-being in social workers. </w:t>
      </w:r>
      <w:r w:rsidRPr="00087981">
        <w:rPr>
          <w:rStyle w:val="Emphasis"/>
          <w:rFonts w:ascii="Arial" w:eastAsiaTheme="majorEastAsia" w:hAnsi="Arial" w:cs="Arial"/>
          <w:color w:val="000000" w:themeColor="text1"/>
          <w:sz w:val="22"/>
        </w:rPr>
        <w:t>The British Journal of Social Work</w:t>
      </w:r>
      <w:r w:rsidRPr="00087981">
        <w:rPr>
          <w:rFonts w:ascii="Arial" w:hAnsi="Arial" w:cs="Arial"/>
          <w:color w:val="000000" w:themeColor="text1"/>
          <w:sz w:val="22"/>
        </w:rPr>
        <w:t>, 54(2), pp.668–686.</w:t>
      </w:r>
    </w:p>
    <w:p w14:paraId="3FCAFEFD" w14:textId="77777777" w:rsidR="005B5E19" w:rsidRPr="00087981" w:rsidRDefault="005B5E19" w:rsidP="00B43FAC">
      <w:pPr>
        <w:pStyle w:val="font-claude-response-body"/>
        <w:spacing w:line="360" w:lineRule="auto"/>
        <w:jc w:val="both"/>
        <w:rPr>
          <w:rFonts w:ascii="Arial" w:hAnsi="Arial" w:cs="Arial"/>
          <w:color w:val="000000" w:themeColor="text1"/>
          <w:sz w:val="22"/>
        </w:rPr>
      </w:pPr>
      <w:r w:rsidRPr="00087981">
        <w:rPr>
          <w:rFonts w:ascii="Arial" w:hAnsi="Arial" w:cs="Arial"/>
          <w:color w:val="000000" w:themeColor="text1"/>
          <w:sz w:val="22"/>
        </w:rPr>
        <w:t xml:space="preserve">Nyashanu, M., </w:t>
      </w:r>
      <w:proofErr w:type="spellStart"/>
      <w:r w:rsidRPr="00087981">
        <w:rPr>
          <w:rFonts w:ascii="Arial" w:hAnsi="Arial" w:cs="Arial"/>
          <w:color w:val="000000" w:themeColor="text1"/>
          <w:sz w:val="22"/>
        </w:rPr>
        <w:t>Pfende</w:t>
      </w:r>
      <w:proofErr w:type="spellEnd"/>
      <w:r w:rsidRPr="00087981">
        <w:rPr>
          <w:rFonts w:ascii="Arial" w:hAnsi="Arial" w:cs="Arial"/>
          <w:color w:val="000000" w:themeColor="text1"/>
          <w:sz w:val="22"/>
        </w:rPr>
        <w:t xml:space="preserve">, F. and Ekpenyong, M.S., 2022. Triggers of mental health problems among frontline healthcare workers during the COVID-19 pandemic in private care homes and domiciliary care agencies. </w:t>
      </w:r>
      <w:r w:rsidRPr="00087981">
        <w:rPr>
          <w:rStyle w:val="Emphasis"/>
          <w:rFonts w:ascii="Arial" w:eastAsiaTheme="majorEastAsia" w:hAnsi="Arial" w:cs="Arial"/>
          <w:color w:val="000000" w:themeColor="text1"/>
          <w:sz w:val="22"/>
        </w:rPr>
        <w:t>Health &amp; Social Care in the Community</w:t>
      </w:r>
      <w:r w:rsidRPr="00087981">
        <w:rPr>
          <w:rFonts w:ascii="Arial" w:hAnsi="Arial" w:cs="Arial"/>
          <w:color w:val="000000" w:themeColor="text1"/>
          <w:sz w:val="22"/>
        </w:rPr>
        <w:t xml:space="preserve">, 30(2), </w:t>
      </w:r>
      <w:proofErr w:type="gramStart"/>
      <w:r w:rsidRPr="00087981">
        <w:rPr>
          <w:rFonts w:ascii="Arial" w:hAnsi="Arial" w:cs="Arial"/>
          <w:color w:val="000000" w:themeColor="text1"/>
          <w:sz w:val="22"/>
        </w:rPr>
        <w:t>pp.e</w:t>
      </w:r>
      <w:proofErr w:type="gramEnd"/>
      <w:r w:rsidRPr="00087981">
        <w:rPr>
          <w:rFonts w:ascii="Arial" w:hAnsi="Arial" w:cs="Arial"/>
          <w:color w:val="000000" w:themeColor="text1"/>
          <w:sz w:val="22"/>
        </w:rPr>
        <w:t>370–e376.</w:t>
      </w:r>
    </w:p>
    <w:p w14:paraId="69A50CF8" w14:textId="77777777" w:rsidR="005B5E19" w:rsidRPr="00087981" w:rsidRDefault="005B5E19" w:rsidP="00B43FAC">
      <w:pPr>
        <w:pStyle w:val="font-claude-response-body"/>
        <w:spacing w:line="360" w:lineRule="auto"/>
        <w:jc w:val="both"/>
        <w:rPr>
          <w:rFonts w:ascii="Arial" w:hAnsi="Arial" w:cs="Arial"/>
          <w:color w:val="000000" w:themeColor="text1"/>
          <w:sz w:val="22"/>
        </w:rPr>
      </w:pPr>
      <w:r w:rsidRPr="00087981">
        <w:rPr>
          <w:rFonts w:ascii="Arial" w:hAnsi="Arial" w:cs="Arial"/>
          <w:color w:val="000000" w:themeColor="text1"/>
          <w:sz w:val="22"/>
        </w:rPr>
        <w:t xml:space="preserve">Skills for Care, 2023. </w:t>
      </w:r>
      <w:r w:rsidRPr="00087981">
        <w:rPr>
          <w:rStyle w:val="Emphasis"/>
          <w:rFonts w:ascii="Arial" w:eastAsiaTheme="majorEastAsia" w:hAnsi="Arial" w:cs="Arial"/>
          <w:color w:val="000000" w:themeColor="text1"/>
          <w:sz w:val="22"/>
        </w:rPr>
        <w:t>The state of the adult social care sector and workforce in England</w:t>
      </w:r>
      <w:r w:rsidRPr="00087981">
        <w:rPr>
          <w:rFonts w:ascii="Arial" w:hAnsi="Arial" w:cs="Arial"/>
          <w:color w:val="000000" w:themeColor="text1"/>
          <w:sz w:val="22"/>
        </w:rPr>
        <w:t>. Leeds: Skills for Care.</w:t>
      </w:r>
    </w:p>
    <w:p w14:paraId="7BEF76DC" w14:textId="77777777" w:rsidR="005B5E19" w:rsidRPr="00087981" w:rsidRDefault="005B5E19" w:rsidP="00B43FAC">
      <w:pPr>
        <w:pStyle w:val="font-claude-response-body"/>
        <w:spacing w:line="360" w:lineRule="auto"/>
        <w:jc w:val="both"/>
        <w:rPr>
          <w:rFonts w:ascii="Arial" w:hAnsi="Arial" w:cs="Arial"/>
          <w:color w:val="000000" w:themeColor="text1"/>
          <w:sz w:val="22"/>
        </w:rPr>
      </w:pPr>
      <w:r w:rsidRPr="00087981">
        <w:rPr>
          <w:rFonts w:ascii="Arial" w:hAnsi="Arial" w:cs="Arial"/>
          <w:color w:val="000000" w:themeColor="text1"/>
          <w:sz w:val="22"/>
        </w:rPr>
        <w:t xml:space="preserve">Social Care Institute for Excellence (SCIE), 2020. </w:t>
      </w:r>
      <w:r w:rsidRPr="00087981">
        <w:rPr>
          <w:rStyle w:val="Emphasis"/>
          <w:rFonts w:ascii="Arial" w:eastAsiaTheme="majorEastAsia" w:hAnsi="Arial" w:cs="Arial"/>
          <w:color w:val="000000" w:themeColor="text1"/>
          <w:sz w:val="22"/>
        </w:rPr>
        <w:t>Person-centred care</w:t>
      </w:r>
      <w:r w:rsidRPr="00087981">
        <w:rPr>
          <w:rFonts w:ascii="Arial" w:hAnsi="Arial" w:cs="Arial"/>
          <w:color w:val="000000" w:themeColor="text1"/>
          <w:sz w:val="22"/>
        </w:rPr>
        <w:t xml:space="preserve">. Available at: </w:t>
      </w:r>
      <w:hyperlink r:id="rId9" w:history="1">
        <w:r w:rsidRPr="00087981">
          <w:rPr>
            <w:rStyle w:val="Hyperlink"/>
            <w:rFonts w:ascii="Arial" w:hAnsi="Arial" w:cs="Arial"/>
            <w:color w:val="000000" w:themeColor="text1"/>
            <w:sz w:val="22"/>
          </w:rPr>
          <w:t>www.scie.org.uk</w:t>
        </w:r>
      </w:hyperlink>
      <w:r w:rsidRPr="00087981">
        <w:rPr>
          <w:rFonts w:ascii="Arial" w:hAnsi="Arial" w:cs="Arial"/>
          <w:color w:val="000000" w:themeColor="text1"/>
          <w:sz w:val="22"/>
        </w:rPr>
        <w:t xml:space="preserve"> [</w:t>
      </w:r>
      <w:r>
        <w:rPr>
          <w:rFonts w:ascii="Arial" w:hAnsi="Arial" w:cs="Arial"/>
          <w:color w:val="000000" w:themeColor="text1"/>
          <w:sz w:val="22"/>
        </w:rPr>
        <w:t>Accessed on: 11 June 2025</w:t>
      </w:r>
      <w:r w:rsidRPr="00087981">
        <w:rPr>
          <w:rFonts w:ascii="Arial" w:hAnsi="Arial" w:cs="Arial"/>
          <w:color w:val="000000" w:themeColor="text1"/>
          <w:sz w:val="22"/>
        </w:rPr>
        <w:t>].</w:t>
      </w:r>
    </w:p>
    <w:p w14:paraId="1D0F2D59" w14:textId="04FD5966" w:rsidR="004552CE" w:rsidRPr="005E44B5" w:rsidRDefault="004552CE" w:rsidP="00B43FAC">
      <w:pPr>
        <w:spacing w:line="360" w:lineRule="auto"/>
        <w:rPr>
          <w:color w:val="FF0000"/>
        </w:rPr>
      </w:pPr>
    </w:p>
    <w:sectPr w:rsidR="004552CE" w:rsidRPr="005E44B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DDAB76" w14:textId="77777777" w:rsidR="00DB4824" w:rsidRDefault="00DB4824" w:rsidP="003C7C97">
      <w:pPr>
        <w:spacing w:after="0" w:line="240" w:lineRule="auto"/>
      </w:pPr>
      <w:r>
        <w:separator/>
      </w:r>
    </w:p>
  </w:endnote>
  <w:endnote w:type="continuationSeparator" w:id="0">
    <w:p w14:paraId="05A09725" w14:textId="77777777" w:rsidR="00DB4824" w:rsidRDefault="00DB4824"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4685538"/>
      <w:docPartObj>
        <w:docPartGallery w:val="Page Numbers (Bottom of Page)"/>
        <w:docPartUnique/>
      </w:docPartObj>
    </w:sdtPr>
    <w:sdtEndPr>
      <w:rPr>
        <w:noProof/>
      </w:rPr>
    </w:sdtEndPr>
    <w:sdtContent>
      <w:p w14:paraId="10137C88" w14:textId="32E1828F" w:rsidR="00793BDF" w:rsidRDefault="00793BDF">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A44FE6C" w14:textId="77777777" w:rsidR="00793BDF" w:rsidRDefault="00793B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130629" w14:textId="77777777" w:rsidR="00DB4824" w:rsidRDefault="00DB4824" w:rsidP="003C7C97">
      <w:pPr>
        <w:spacing w:after="0" w:line="240" w:lineRule="auto"/>
      </w:pPr>
      <w:r>
        <w:separator/>
      </w:r>
    </w:p>
  </w:footnote>
  <w:footnote w:type="continuationSeparator" w:id="0">
    <w:p w14:paraId="6FEA0567" w14:textId="77777777" w:rsidR="00DB4824" w:rsidRDefault="00DB4824"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9586953">
    <w:abstractNumId w:val="5"/>
  </w:num>
  <w:num w:numId="2" w16cid:durableId="243954543">
    <w:abstractNumId w:val="1"/>
  </w:num>
  <w:num w:numId="3" w16cid:durableId="1801418451">
    <w:abstractNumId w:val="8"/>
  </w:num>
  <w:num w:numId="4" w16cid:durableId="1893690583">
    <w:abstractNumId w:val="18"/>
  </w:num>
  <w:num w:numId="5" w16cid:durableId="716703318">
    <w:abstractNumId w:val="15"/>
  </w:num>
  <w:num w:numId="6" w16cid:durableId="476729168">
    <w:abstractNumId w:val="16"/>
  </w:num>
  <w:num w:numId="7" w16cid:durableId="1605655000">
    <w:abstractNumId w:val="19"/>
  </w:num>
  <w:num w:numId="8" w16cid:durableId="606011437">
    <w:abstractNumId w:val="12"/>
  </w:num>
  <w:num w:numId="9" w16cid:durableId="940991639">
    <w:abstractNumId w:val="3"/>
  </w:num>
  <w:num w:numId="10" w16cid:durableId="214200546">
    <w:abstractNumId w:val="10"/>
  </w:num>
  <w:num w:numId="11" w16cid:durableId="1296914521">
    <w:abstractNumId w:val="11"/>
  </w:num>
  <w:num w:numId="12" w16cid:durableId="1636644241">
    <w:abstractNumId w:val="9"/>
  </w:num>
  <w:num w:numId="13" w16cid:durableId="909466579">
    <w:abstractNumId w:val="14"/>
  </w:num>
  <w:num w:numId="14" w16cid:durableId="2136944927">
    <w:abstractNumId w:val="7"/>
  </w:num>
  <w:num w:numId="15" w16cid:durableId="1642272165">
    <w:abstractNumId w:val="2"/>
  </w:num>
  <w:num w:numId="16" w16cid:durableId="1883442701">
    <w:abstractNumId w:val="4"/>
  </w:num>
  <w:num w:numId="17" w16cid:durableId="1827932384">
    <w:abstractNumId w:val="20"/>
  </w:num>
  <w:num w:numId="18" w16cid:durableId="1071081616">
    <w:abstractNumId w:val="17"/>
  </w:num>
  <w:num w:numId="19" w16cid:durableId="1960838891">
    <w:abstractNumId w:val="6"/>
  </w:num>
  <w:num w:numId="20" w16cid:durableId="1745293887">
    <w:abstractNumId w:val="13"/>
  </w:num>
  <w:num w:numId="21" w16cid:durableId="954604227">
    <w:abstractNumId w:val="21"/>
  </w:num>
  <w:num w:numId="22" w16cid:durableId="1623002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964"/>
    <w:rsid w:val="0001715D"/>
    <w:rsid w:val="00022C42"/>
    <w:rsid w:val="00027B15"/>
    <w:rsid w:val="00030A05"/>
    <w:rsid w:val="00031641"/>
    <w:rsid w:val="00070818"/>
    <w:rsid w:val="0008238F"/>
    <w:rsid w:val="00082EC6"/>
    <w:rsid w:val="00085388"/>
    <w:rsid w:val="00087981"/>
    <w:rsid w:val="000D41DC"/>
    <w:rsid w:val="00125D37"/>
    <w:rsid w:val="00127C1A"/>
    <w:rsid w:val="00130628"/>
    <w:rsid w:val="00150D81"/>
    <w:rsid w:val="00166CEB"/>
    <w:rsid w:val="001730B8"/>
    <w:rsid w:val="00183CB9"/>
    <w:rsid w:val="00184A9A"/>
    <w:rsid w:val="001947DF"/>
    <w:rsid w:val="001B22BB"/>
    <w:rsid w:val="001B619C"/>
    <w:rsid w:val="001D1D3C"/>
    <w:rsid w:val="002156D4"/>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407BC"/>
    <w:rsid w:val="00343505"/>
    <w:rsid w:val="003458DB"/>
    <w:rsid w:val="003523D3"/>
    <w:rsid w:val="00364C35"/>
    <w:rsid w:val="0038300C"/>
    <w:rsid w:val="00396F60"/>
    <w:rsid w:val="003A51D6"/>
    <w:rsid w:val="003B125E"/>
    <w:rsid w:val="003B2A5E"/>
    <w:rsid w:val="003B4517"/>
    <w:rsid w:val="003C7C97"/>
    <w:rsid w:val="003F1CFC"/>
    <w:rsid w:val="00406B8D"/>
    <w:rsid w:val="00410068"/>
    <w:rsid w:val="0041618E"/>
    <w:rsid w:val="0042295C"/>
    <w:rsid w:val="00426EEC"/>
    <w:rsid w:val="004466C3"/>
    <w:rsid w:val="004552CE"/>
    <w:rsid w:val="00481FF7"/>
    <w:rsid w:val="004D1EE6"/>
    <w:rsid w:val="00500295"/>
    <w:rsid w:val="00501AAF"/>
    <w:rsid w:val="00523D2D"/>
    <w:rsid w:val="00527AFA"/>
    <w:rsid w:val="005419DA"/>
    <w:rsid w:val="005678AC"/>
    <w:rsid w:val="005709B1"/>
    <w:rsid w:val="00572B3B"/>
    <w:rsid w:val="005836D2"/>
    <w:rsid w:val="00587C58"/>
    <w:rsid w:val="005A7FD4"/>
    <w:rsid w:val="005B1A84"/>
    <w:rsid w:val="005B5E19"/>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24E79"/>
    <w:rsid w:val="0076092B"/>
    <w:rsid w:val="007632A9"/>
    <w:rsid w:val="00774092"/>
    <w:rsid w:val="00782830"/>
    <w:rsid w:val="0078664A"/>
    <w:rsid w:val="00793BDF"/>
    <w:rsid w:val="007B0F6D"/>
    <w:rsid w:val="007B2036"/>
    <w:rsid w:val="007C62C3"/>
    <w:rsid w:val="007D25AA"/>
    <w:rsid w:val="007E0354"/>
    <w:rsid w:val="007E62E2"/>
    <w:rsid w:val="007F0873"/>
    <w:rsid w:val="00805726"/>
    <w:rsid w:val="00815117"/>
    <w:rsid w:val="008332FE"/>
    <w:rsid w:val="008520F8"/>
    <w:rsid w:val="00855F34"/>
    <w:rsid w:val="00872076"/>
    <w:rsid w:val="008826B6"/>
    <w:rsid w:val="008B0B22"/>
    <w:rsid w:val="008C58B0"/>
    <w:rsid w:val="008C591B"/>
    <w:rsid w:val="008C6182"/>
    <w:rsid w:val="008E1C20"/>
    <w:rsid w:val="0092002C"/>
    <w:rsid w:val="00926458"/>
    <w:rsid w:val="00933720"/>
    <w:rsid w:val="00954C4F"/>
    <w:rsid w:val="009C7E52"/>
    <w:rsid w:val="009E4934"/>
    <w:rsid w:val="009F40A7"/>
    <w:rsid w:val="009F5CE6"/>
    <w:rsid w:val="00A035CD"/>
    <w:rsid w:val="00A50E80"/>
    <w:rsid w:val="00A513B0"/>
    <w:rsid w:val="00A63F7F"/>
    <w:rsid w:val="00A667CE"/>
    <w:rsid w:val="00A75042"/>
    <w:rsid w:val="00A774BC"/>
    <w:rsid w:val="00A82678"/>
    <w:rsid w:val="00A84A93"/>
    <w:rsid w:val="00A946CB"/>
    <w:rsid w:val="00AA77C8"/>
    <w:rsid w:val="00AC7BE2"/>
    <w:rsid w:val="00AE35BF"/>
    <w:rsid w:val="00B1067E"/>
    <w:rsid w:val="00B43FAC"/>
    <w:rsid w:val="00B81790"/>
    <w:rsid w:val="00B81BBC"/>
    <w:rsid w:val="00BD03D5"/>
    <w:rsid w:val="00BF34E1"/>
    <w:rsid w:val="00C3215E"/>
    <w:rsid w:val="00C45272"/>
    <w:rsid w:val="00C47770"/>
    <w:rsid w:val="00C75856"/>
    <w:rsid w:val="00C85A7C"/>
    <w:rsid w:val="00C95214"/>
    <w:rsid w:val="00CC3F59"/>
    <w:rsid w:val="00CD06E7"/>
    <w:rsid w:val="00CD4774"/>
    <w:rsid w:val="00D10AAF"/>
    <w:rsid w:val="00D27540"/>
    <w:rsid w:val="00D4006B"/>
    <w:rsid w:val="00D40D7A"/>
    <w:rsid w:val="00D64A0D"/>
    <w:rsid w:val="00D750B4"/>
    <w:rsid w:val="00D81C18"/>
    <w:rsid w:val="00D8461A"/>
    <w:rsid w:val="00D95CAF"/>
    <w:rsid w:val="00DB4824"/>
    <w:rsid w:val="00DB60B6"/>
    <w:rsid w:val="00DC1CC6"/>
    <w:rsid w:val="00E067A8"/>
    <w:rsid w:val="00E13924"/>
    <w:rsid w:val="00E15FD5"/>
    <w:rsid w:val="00E1725A"/>
    <w:rsid w:val="00E33758"/>
    <w:rsid w:val="00E40A6F"/>
    <w:rsid w:val="00E53E5E"/>
    <w:rsid w:val="00E64325"/>
    <w:rsid w:val="00E673C5"/>
    <w:rsid w:val="00E67967"/>
    <w:rsid w:val="00E82723"/>
    <w:rsid w:val="00EA29A5"/>
    <w:rsid w:val="00EC107C"/>
    <w:rsid w:val="00EC60EF"/>
    <w:rsid w:val="00EC7EBE"/>
    <w:rsid w:val="00EC7FD2"/>
    <w:rsid w:val="00ED5964"/>
    <w:rsid w:val="00EF04BD"/>
    <w:rsid w:val="00F1720B"/>
    <w:rsid w:val="00F36ADC"/>
    <w:rsid w:val="00F514B7"/>
    <w:rsid w:val="00F605C6"/>
    <w:rsid w:val="00F6785B"/>
    <w:rsid w:val="00F915D6"/>
    <w:rsid w:val="00FA23FD"/>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autoRedefine/>
    <w:uiPriority w:val="9"/>
    <w:qFormat/>
    <w:rsid w:val="005B5E19"/>
    <w:pPr>
      <w:keepNext/>
      <w:keepLines/>
      <w:spacing w:before="240" w:after="0" w:line="360" w:lineRule="auto"/>
      <w:jc w:val="both"/>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5B5E19"/>
    <w:pPr>
      <w:keepNext/>
      <w:keepLines/>
      <w:spacing w:before="40" w:after="0" w:line="360" w:lineRule="auto"/>
      <w:jc w:val="both"/>
      <w:outlineLvl w:val="1"/>
    </w:pPr>
    <w:rPr>
      <w:rFonts w:ascii="Arial" w:eastAsiaTheme="majorEastAsia" w:hAnsi="Arial" w:cs="Arial"/>
      <w:b/>
      <w:color w:val="000000" w:themeColor="text1"/>
      <w:sz w:val="22"/>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B5E19"/>
    <w:rPr>
      <w:rFonts w:ascii="Arial" w:eastAsiaTheme="majorEastAsia" w:hAnsi="Arial" w:cstheme="majorBidi"/>
      <w:b/>
      <w:color w:val="000000" w:themeColor="text1"/>
      <w:sz w:val="28"/>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5B5E19"/>
    <w:rPr>
      <w:rFonts w:ascii="Arial" w:eastAsiaTheme="majorEastAsia" w:hAnsi="Arial" w:cs="Arial"/>
      <w:b/>
      <w:color w:val="000000" w:themeColor="text1"/>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font-claude-response-body">
    <w:name w:val="font-claude-response-body"/>
    <w:basedOn w:val="Normal"/>
    <w:rsid w:val="00087981"/>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279463">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qc.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sci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5578FF-DA3F-4BED-A061-5E9C41BCB7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1584</Words>
  <Characters>9035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Akhtar</dc:creator>
  <cp:keywords/>
  <dc:description/>
  <cp:lastModifiedBy>Shazia Akhtar</cp:lastModifiedBy>
  <cp:revision>2</cp:revision>
  <dcterms:created xsi:type="dcterms:W3CDTF">2026-07-21T23:00:00Z</dcterms:created>
  <dcterms:modified xsi:type="dcterms:W3CDTF">2026-07-21T23:00:00Z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