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448BB5" w14:textId="77777777" w:rsidR="00593FF7" w:rsidRPr="001E2E5D" w:rsidRDefault="00593FF7" w:rsidP="001E2E5D">
      <w:pPr>
        <w:spacing w:line="360" w:lineRule="auto"/>
        <w:jc w:val="both"/>
        <w:rPr>
          <w:rFonts w:ascii="Arial" w:hAnsi="Arial" w:cs="Arial"/>
        </w:rPr>
      </w:pPr>
      <w:r w:rsidRPr="001E2E5D">
        <w:rPr>
          <w:rFonts w:ascii="Arial" w:hAnsi="Arial" w:cs="Arial"/>
          <w:noProof/>
        </w:rPr>
        <w:drawing>
          <wp:inline distT="0" distB="0" distL="85723" distR="85723" wp14:anchorId="55F5227D" wp14:editId="3838EF53">
            <wp:extent cx="2650417" cy="969560"/>
            <wp:effectExtent l="0" t="0" r="0" b="0"/>
            <wp:docPr id="420514022" name="Picture 420514022"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514022" name="Picture 420514022" descr="A black background with white text&#10;&#10;AI-generated content may be incorrect."/>
                    <pic:cNvPicPr/>
                  </pic:nvPicPr>
                  <pic:blipFill>
                    <a:blip r:embed="rId7"/>
                    <a:stretch>
                      <a:fillRect/>
                    </a:stretch>
                  </pic:blipFill>
                  <pic:spPr>
                    <a:xfrm>
                      <a:off x="0" y="0"/>
                      <a:ext cx="2650417" cy="969560"/>
                    </a:xfrm>
                    <a:prstGeom prst="rect">
                      <a:avLst/>
                    </a:prstGeom>
                    <a:noFill/>
                    <a:ln w="12700" cap="flat" cmpd="sng">
                      <a:noFill/>
                      <a:prstDash val="solid"/>
                      <a:miter/>
                    </a:ln>
                  </pic:spPr>
                </pic:pic>
              </a:graphicData>
            </a:graphic>
          </wp:inline>
        </w:drawing>
      </w:r>
    </w:p>
    <w:p w14:paraId="2FB05FA5" w14:textId="77777777" w:rsidR="00593FF7" w:rsidRPr="001E2E5D" w:rsidRDefault="00593FF7" w:rsidP="001E2E5D">
      <w:pPr>
        <w:spacing w:line="360" w:lineRule="auto"/>
        <w:jc w:val="both"/>
        <w:rPr>
          <w:rFonts w:ascii="Arial" w:hAnsi="Arial" w:cs="Arial"/>
        </w:rPr>
      </w:pPr>
    </w:p>
    <w:p w14:paraId="1C51FBF5" w14:textId="77777777" w:rsidR="00593FF7" w:rsidRPr="001E2E5D" w:rsidRDefault="00593FF7" w:rsidP="001E2E5D">
      <w:pPr>
        <w:spacing w:line="360" w:lineRule="auto"/>
        <w:jc w:val="both"/>
        <w:rPr>
          <w:rFonts w:ascii="Arial" w:hAnsi="Arial" w:cs="Arial"/>
        </w:rPr>
      </w:pPr>
    </w:p>
    <w:p w14:paraId="103BB6A1" w14:textId="77777777" w:rsidR="00593FF7" w:rsidRPr="001E2E5D" w:rsidRDefault="00593FF7" w:rsidP="001E2E5D">
      <w:pPr>
        <w:spacing w:line="360" w:lineRule="auto"/>
        <w:jc w:val="both"/>
        <w:rPr>
          <w:rFonts w:ascii="Arial" w:hAnsi="Arial" w:cs="Arial"/>
        </w:rPr>
      </w:pPr>
    </w:p>
    <w:p w14:paraId="5DDA030C" w14:textId="77777777" w:rsidR="00593FF7" w:rsidRPr="001E2E5D" w:rsidRDefault="00593FF7" w:rsidP="001E2E5D">
      <w:pPr>
        <w:spacing w:line="360" w:lineRule="auto"/>
        <w:jc w:val="both"/>
        <w:rPr>
          <w:rFonts w:ascii="Arial" w:hAnsi="Arial" w:cs="Arial"/>
        </w:rPr>
      </w:pPr>
    </w:p>
    <w:p w14:paraId="0FB3C4EB" w14:textId="77777777" w:rsidR="00593FF7" w:rsidRPr="001E2E5D" w:rsidRDefault="00593FF7" w:rsidP="001E2E5D">
      <w:pPr>
        <w:spacing w:line="360" w:lineRule="auto"/>
        <w:jc w:val="both"/>
        <w:rPr>
          <w:rFonts w:ascii="Arial" w:hAnsi="Arial" w:cs="Arial"/>
        </w:rPr>
      </w:pPr>
    </w:p>
    <w:p w14:paraId="7E9631E0" w14:textId="77777777" w:rsidR="00593FF7" w:rsidRPr="001E2E5D" w:rsidRDefault="00593FF7" w:rsidP="001E2E5D">
      <w:pPr>
        <w:spacing w:line="360" w:lineRule="auto"/>
        <w:jc w:val="both"/>
        <w:rPr>
          <w:rFonts w:ascii="Arial" w:hAnsi="Arial" w:cs="Arial"/>
        </w:rPr>
      </w:pPr>
    </w:p>
    <w:p w14:paraId="71400CA9" w14:textId="28EDEB7F" w:rsidR="00593FF7" w:rsidRPr="001E2E5D" w:rsidRDefault="00593FF7" w:rsidP="001E2E5D">
      <w:pPr>
        <w:spacing w:line="360" w:lineRule="auto"/>
        <w:jc w:val="center"/>
        <w:rPr>
          <w:rFonts w:ascii="Arial" w:hAnsi="Arial" w:cs="Arial"/>
          <w:b/>
          <w:bCs/>
        </w:rPr>
      </w:pPr>
      <w:r w:rsidRPr="001E2E5D">
        <w:rPr>
          <w:rFonts w:ascii="Arial" w:hAnsi="Arial" w:cs="Arial"/>
          <w:b/>
          <w:bCs/>
        </w:rPr>
        <w:t>QUALITY ASSURANCE AND SERVICE IMPROVEMENT</w:t>
      </w:r>
      <w:r w:rsidR="00F215D0">
        <w:rPr>
          <w:rFonts w:ascii="Arial" w:hAnsi="Arial" w:cs="Arial"/>
          <w:b/>
          <w:bCs/>
        </w:rPr>
        <w:t>S</w:t>
      </w:r>
    </w:p>
    <w:p w14:paraId="4C09860F" w14:textId="77777777" w:rsidR="00593FF7" w:rsidRPr="001E2E5D" w:rsidRDefault="00593FF7" w:rsidP="001E2E5D">
      <w:pPr>
        <w:spacing w:line="360" w:lineRule="auto"/>
        <w:jc w:val="center"/>
        <w:rPr>
          <w:rFonts w:ascii="Arial" w:hAnsi="Arial" w:cs="Arial"/>
          <w:b/>
          <w:bCs/>
        </w:rPr>
      </w:pPr>
      <w:r w:rsidRPr="001E2E5D">
        <w:rPr>
          <w:rFonts w:ascii="Arial" w:hAnsi="Arial" w:cs="Arial"/>
          <w:b/>
          <w:bCs/>
        </w:rPr>
        <w:t>Topic: Quality Failure in Maternity Care at Shrewsbury and Telford Hospital NHS Trust</w:t>
      </w:r>
    </w:p>
    <w:p w14:paraId="75C7F157" w14:textId="2468CC9C" w:rsidR="00593FF7" w:rsidRPr="001E2E5D" w:rsidRDefault="00593FF7" w:rsidP="001E2E5D">
      <w:pPr>
        <w:spacing w:line="360" w:lineRule="auto"/>
        <w:jc w:val="both"/>
        <w:rPr>
          <w:rFonts w:ascii="Arial" w:hAnsi="Arial" w:cs="Arial"/>
          <w:b/>
          <w:bCs/>
        </w:rPr>
      </w:pPr>
    </w:p>
    <w:p w14:paraId="12827C96" w14:textId="77777777" w:rsidR="00593FF7" w:rsidRPr="001E2E5D" w:rsidRDefault="00593FF7" w:rsidP="001E2E5D">
      <w:pPr>
        <w:spacing w:line="360" w:lineRule="auto"/>
        <w:jc w:val="both"/>
        <w:rPr>
          <w:rFonts w:ascii="Arial" w:hAnsi="Arial" w:cs="Arial"/>
        </w:rPr>
      </w:pPr>
    </w:p>
    <w:p w14:paraId="32F24236" w14:textId="77777777" w:rsidR="00593FF7" w:rsidRPr="001E2E5D" w:rsidRDefault="00593FF7" w:rsidP="001E2E5D">
      <w:pPr>
        <w:spacing w:line="360" w:lineRule="auto"/>
        <w:jc w:val="both"/>
        <w:rPr>
          <w:rFonts w:ascii="Arial" w:hAnsi="Arial" w:cs="Arial"/>
        </w:rPr>
      </w:pPr>
    </w:p>
    <w:p w14:paraId="12E2E28B" w14:textId="77777777" w:rsidR="00593FF7" w:rsidRPr="001E2E5D" w:rsidRDefault="00593FF7" w:rsidP="001E2E5D">
      <w:pPr>
        <w:spacing w:line="360" w:lineRule="auto"/>
        <w:jc w:val="both"/>
        <w:rPr>
          <w:rFonts w:ascii="Arial" w:hAnsi="Arial" w:cs="Arial"/>
        </w:rPr>
      </w:pPr>
    </w:p>
    <w:p w14:paraId="2519A891" w14:textId="77777777" w:rsidR="00593FF7" w:rsidRPr="001E2E5D" w:rsidRDefault="00593FF7" w:rsidP="001E2E5D">
      <w:pPr>
        <w:spacing w:line="360" w:lineRule="auto"/>
        <w:jc w:val="both"/>
        <w:rPr>
          <w:rFonts w:ascii="Arial" w:hAnsi="Arial" w:cs="Arial"/>
        </w:rPr>
      </w:pPr>
    </w:p>
    <w:p w14:paraId="646493BF" w14:textId="77777777" w:rsidR="00593FF7" w:rsidRPr="001E2E5D" w:rsidRDefault="00593FF7" w:rsidP="001E2E5D">
      <w:pPr>
        <w:spacing w:line="360" w:lineRule="auto"/>
        <w:jc w:val="both"/>
        <w:rPr>
          <w:rFonts w:ascii="Arial" w:hAnsi="Arial" w:cs="Arial"/>
        </w:rPr>
      </w:pPr>
    </w:p>
    <w:p w14:paraId="0184F4C3" w14:textId="77777777" w:rsidR="00593FF7" w:rsidRPr="001E2E5D" w:rsidRDefault="00593FF7" w:rsidP="001E2E5D">
      <w:pPr>
        <w:spacing w:line="360" w:lineRule="auto"/>
        <w:jc w:val="both"/>
        <w:rPr>
          <w:rFonts w:ascii="Arial" w:hAnsi="Arial" w:cs="Arial"/>
        </w:rPr>
      </w:pPr>
      <w:r w:rsidRPr="001E2E5D">
        <w:rPr>
          <w:rFonts w:ascii="Arial" w:hAnsi="Arial" w:cs="Arial"/>
        </w:rPr>
        <w:t>Programme: MSc Public Health and Social Care in Practice</w:t>
      </w:r>
    </w:p>
    <w:p w14:paraId="64AE7F4E" w14:textId="77777777" w:rsidR="00593FF7" w:rsidRPr="001E2E5D" w:rsidRDefault="00593FF7" w:rsidP="001E2E5D">
      <w:pPr>
        <w:spacing w:line="360" w:lineRule="auto"/>
        <w:jc w:val="both"/>
        <w:rPr>
          <w:rFonts w:ascii="Arial" w:hAnsi="Arial" w:cs="Arial"/>
        </w:rPr>
      </w:pPr>
      <w:r w:rsidRPr="001E2E5D">
        <w:rPr>
          <w:rFonts w:ascii="Arial" w:hAnsi="Arial" w:cs="Arial"/>
        </w:rPr>
        <w:t>Module name: Quality Assurance and Service Improvement</w:t>
      </w:r>
    </w:p>
    <w:p w14:paraId="1556C275" w14:textId="6029B4EC" w:rsidR="00593FF7" w:rsidRPr="001E2E5D" w:rsidRDefault="00593FF7" w:rsidP="001E2E5D">
      <w:pPr>
        <w:spacing w:line="360" w:lineRule="auto"/>
        <w:jc w:val="both"/>
        <w:rPr>
          <w:rFonts w:ascii="Arial" w:hAnsi="Arial" w:cs="Arial"/>
        </w:rPr>
      </w:pPr>
      <w:r w:rsidRPr="001E2E5D">
        <w:rPr>
          <w:rFonts w:ascii="Arial" w:hAnsi="Arial" w:cs="Arial"/>
        </w:rPr>
        <w:t xml:space="preserve">Module code: </w:t>
      </w:r>
      <w:r w:rsidR="004B610C">
        <w:rPr>
          <w:rFonts w:ascii="Arial" w:hAnsi="Arial" w:cs="Arial"/>
        </w:rPr>
        <w:t>LCHS7006</w:t>
      </w:r>
    </w:p>
    <w:p w14:paraId="3C6ECFC1" w14:textId="554AD004" w:rsidR="00593FF7" w:rsidRPr="001E2E5D" w:rsidRDefault="00593FF7" w:rsidP="001E2E5D">
      <w:pPr>
        <w:spacing w:line="360" w:lineRule="auto"/>
        <w:jc w:val="both"/>
        <w:rPr>
          <w:rFonts w:ascii="Arial" w:hAnsi="Arial" w:cs="Arial"/>
        </w:rPr>
      </w:pPr>
      <w:r w:rsidRPr="001E2E5D">
        <w:rPr>
          <w:rFonts w:ascii="Arial" w:hAnsi="Arial" w:cs="Arial"/>
        </w:rPr>
        <w:t xml:space="preserve">Student name: </w:t>
      </w:r>
      <w:r w:rsidR="004B610C">
        <w:rPr>
          <w:rFonts w:ascii="Arial" w:hAnsi="Arial" w:cs="Arial"/>
        </w:rPr>
        <w:t xml:space="preserve">Isha Patel </w:t>
      </w:r>
    </w:p>
    <w:p w14:paraId="0225035F" w14:textId="5C113FEE" w:rsidR="00593FF7" w:rsidRPr="001E2E5D" w:rsidRDefault="00593FF7" w:rsidP="001E2E5D">
      <w:pPr>
        <w:spacing w:line="360" w:lineRule="auto"/>
        <w:jc w:val="both"/>
        <w:rPr>
          <w:rFonts w:ascii="Arial" w:hAnsi="Arial" w:cs="Arial"/>
        </w:rPr>
      </w:pPr>
      <w:r w:rsidRPr="001E2E5D">
        <w:rPr>
          <w:rFonts w:ascii="Arial" w:hAnsi="Arial" w:cs="Arial"/>
        </w:rPr>
        <w:t xml:space="preserve">Student ID: </w:t>
      </w:r>
      <w:r w:rsidR="004B610C">
        <w:rPr>
          <w:rFonts w:ascii="Arial" w:hAnsi="Arial" w:cs="Arial"/>
        </w:rPr>
        <w:t>2433014</w:t>
      </w:r>
    </w:p>
    <w:p w14:paraId="60FF0856" w14:textId="4D5A3857" w:rsidR="00593FF7" w:rsidRPr="001E2E5D" w:rsidRDefault="00593FF7" w:rsidP="001E2E5D">
      <w:pPr>
        <w:spacing w:line="360" w:lineRule="auto"/>
        <w:jc w:val="both"/>
        <w:rPr>
          <w:rFonts w:ascii="Arial" w:hAnsi="Arial" w:cs="Arial"/>
        </w:rPr>
      </w:pPr>
      <w:r w:rsidRPr="001E2E5D">
        <w:rPr>
          <w:rFonts w:ascii="Arial" w:hAnsi="Arial" w:cs="Arial"/>
        </w:rPr>
        <w:t>Lecturer:</w:t>
      </w:r>
      <w:r w:rsidR="008B36FF">
        <w:rPr>
          <w:rFonts w:ascii="Arial" w:hAnsi="Arial" w:cs="Arial"/>
        </w:rPr>
        <w:t xml:space="preserve"> Shepherd Ziko</w:t>
      </w:r>
    </w:p>
    <w:sdt>
      <w:sdtPr>
        <w:rPr>
          <w:rFonts w:asciiTheme="minorHAnsi" w:eastAsiaTheme="minorHAnsi" w:hAnsiTheme="minorHAnsi" w:cstheme="minorBidi"/>
          <w:color w:val="auto"/>
          <w:kern w:val="2"/>
          <w:sz w:val="24"/>
          <w:szCs w:val="24"/>
          <w:lang w:eastAsia="en-US"/>
          <w14:ligatures w14:val="standardContextual"/>
        </w:rPr>
        <w:id w:val="-995484892"/>
        <w:docPartObj>
          <w:docPartGallery w:val="Table of Contents"/>
          <w:docPartUnique/>
        </w:docPartObj>
      </w:sdtPr>
      <w:sdtEndPr>
        <w:rPr>
          <w:rFonts w:ascii="Arial" w:hAnsi="Arial" w:cs="Arial"/>
          <w:b/>
          <w:bCs/>
        </w:rPr>
      </w:sdtEndPr>
      <w:sdtContent>
        <w:p w14:paraId="0EA7E237" w14:textId="4FFE6044" w:rsidR="00A16026" w:rsidRDefault="00A16026">
          <w:pPr>
            <w:pStyle w:val="TOCHeading"/>
          </w:pPr>
          <w:r>
            <w:t>Table of Contents</w:t>
          </w:r>
        </w:p>
        <w:p w14:paraId="7CBA518E" w14:textId="6058EF8E" w:rsidR="00A16026" w:rsidRPr="00A16026" w:rsidRDefault="00A16026" w:rsidP="00A16026">
          <w:pPr>
            <w:pStyle w:val="TOC1"/>
            <w:tabs>
              <w:tab w:val="right" w:leader="dot" w:pos="9016"/>
            </w:tabs>
            <w:spacing w:line="360" w:lineRule="auto"/>
            <w:jc w:val="both"/>
            <w:rPr>
              <w:rFonts w:ascii="Arial" w:hAnsi="Arial" w:cs="Arial"/>
              <w:noProof/>
            </w:rPr>
          </w:pPr>
          <w:r w:rsidRPr="00A16026">
            <w:rPr>
              <w:rFonts w:ascii="Arial" w:hAnsi="Arial" w:cs="Arial"/>
            </w:rPr>
            <w:fldChar w:fldCharType="begin"/>
          </w:r>
          <w:r w:rsidRPr="00A16026">
            <w:rPr>
              <w:rFonts w:ascii="Arial" w:hAnsi="Arial" w:cs="Arial"/>
            </w:rPr>
            <w:instrText xml:space="preserve"> TOC \o "1-3" \h \z \u </w:instrText>
          </w:r>
          <w:r w:rsidRPr="00A16026">
            <w:rPr>
              <w:rFonts w:ascii="Arial" w:hAnsi="Arial" w:cs="Arial"/>
            </w:rPr>
            <w:fldChar w:fldCharType="separate"/>
          </w:r>
          <w:hyperlink w:anchor="_Toc216278827" w:history="1">
            <w:r w:rsidRPr="00A16026">
              <w:rPr>
                <w:rStyle w:val="Hyperlink"/>
                <w:rFonts w:ascii="Arial" w:hAnsi="Arial" w:cs="Arial"/>
                <w:noProof/>
              </w:rPr>
              <w:t>1. Introduction</w:t>
            </w:r>
            <w:r w:rsidRPr="00A16026">
              <w:rPr>
                <w:rFonts w:ascii="Arial" w:hAnsi="Arial" w:cs="Arial"/>
                <w:noProof/>
                <w:webHidden/>
              </w:rPr>
              <w:tab/>
            </w:r>
            <w:r w:rsidRPr="00A16026">
              <w:rPr>
                <w:rFonts w:ascii="Arial" w:hAnsi="Arial" w:cs="Arial"/>
                <w:noProof/>
                <w:webHidden/>
              </w:rPr>
              <w:fldChar w:fldCharType="begin"/>
            </w:r>
            <w:r w:rsidRPr="00A16026">
              <w:rPr>
                <w:rFonts w:ascii="Arial" w:hAnsi="Arial" w:cs="Arial"/>
                <w:noProof/>
                <w:webHidden/>
              </w:rPr>
              <w:instrText xml:space="preserve"> PAGEREF _Toc216278827 \h </w:instrText>
            </w:r>
            <w:r w:rsidRPr="00A16026">
              <w:rPr>
                <w:rFonts w:ascii="Arial" w:hAnsi="Arial" w:cs="Arial"/>
                <w:noProof/>
                <w:webHidden/>
              </w:rPr>
            </w:r>
            <w:r w:rsidRPr="00A16026">
              <w:rPr>
                <w:rFonts w:ascii="Arial" w:hAnsi="Arial" w:cs="Arial"/>
                <w:noProof/>
                <w:webHidden/>
              </w:rPr>
              <w:fldChar w:fldCharType="separate"/>
            </w:r>
            <w:r w:rsidRPr="00A16026">
              <w:rPr>
                <w:rFonts w:ascii="Arial" w:hAnsi="Arial" w:cs="Arial"/>
                <w:noProof/>
                <w:webHidden/>
              </w:rPr>
              <w:t>3</w:t>
            </w:r>
            <w:r w:rsidRPr="00A16026">
              <w:rPr>
                <w:rFonts w:ascii="Arial" w:hAnsi="Arial" w:cs="Arial"/>
                <w:noProof/>
                <w:webHidden/>
              </w:rPr>
              <w:fldChar w:fldCharType="end"/>
            </w:r>
          </w:hyperlink>
        </w:p>
        <w:p w14:paraId="12D7B936" w14:textId="2B58B59A" w:rsidR="00A16026" w:rsidRPr="00A16026" w:rsidRDefault="00A16026" w:rsidP="00A16026">
          <w:pPr>
            <w:pStyle w:val="TOC2"/>
            <w:tabs>
              <w:tab w:val="right" w:leader="dot" w:pos="9016"/>
            </w:tabs>
            <w:spacing w:line="360" w:lineRule="auto"/>
            <w:jc w:val="both"/>
            <w:rPr>
              <w:rFonts w:ascii="Arial" w:hAnsi="Arial" w:cs="Arial"/>
              <w:noProof/>
            </w:rPr>
          </w:pPr>
          <w:hyperlink w:anchor="_Toc216278828" w:history="1">
            <w:r w:rsidRPr="00A16026">
              <w:rPr>
                <w:rStyle w:val="Hyperlink"/>
                <w:rFonts w:ascii="Arial" w:hAnsi="Arial" w:cs="Arial"/>
                <w:noProof/>
              </w:rPr>
              <w:t>1.1 Background</w:t>
            </w:r>
            <w:r w:rsidRPr="00A16026">
              <w:rPr>
                <w:rFonts w:ascii="Arial" w:hAnsi="Arial" w:cs="Arial"/>
                <w:noProof/>
                <w:webHidden/>
              </w:rPr>
              <w:tab/>
            </w:r>
            <w:r w:rsidRPr="00A16026">
              <w:rPr>
                <w:rFonts w:ascii="Arial" w:hAnsi="Arial" w:cs="Arial"/>
                <w:noProof/>
                <w:webHidden/>
              </w:rPr>
              <w:fldChar w:fldCharType="begin"/>
            </w:r>
            <w:r w:rsidRPr="00A16026">
              <w:rPr>
                <w:rFonts w:ascii="Arial" w:hAnsi="Arial" w:cs="Arial"/>
                <w:noProof/>
                <w:webHidden/>
              </w:rPr>
              <w:instrText xml:space="preserve"> PAGEREF _Toc216278828 \h </w:instrText>
            </w:r>
            <w:r w:rsidRPr="00A16026">
              <w:rPr>
                <w:rFonts w:ascii="Arial" w:hAnsi="Arial" w:cs="Arial"/>
                <w:noProof/>
                <w:webHidden/>
              </w:rPr>
            </w:r>
            <w:r w:rsidRPr="00A16026">
              <w:rPr>
                <w:rFonts w:ascii="Arial" w:hAnsi="Arial" w:cs="Arial"/>
                <w:noProof/>
                <w:webHidden/>
              </w:rPr>
              <w:fldChar w:fldCharType="separate"/>
            </w:r>
            <w:r w:rsidRPr="00A16026">
              <w:rPr>
                <w:rFonts w:ascii="Arial" w:hAnsi="Arial" w:cs="Arial"/>
                <w:noProof/>
                <w:webHidden/>
              </w:rPr>
              <w:t>3</w:t>
            </w:r>
            <w:r w:rsidRPr="00A16026">
              <w:rPr>
                <w:rFonts w:ascii="Arial" w:hAnsi="Arial" w:cs="Arial"/>
                <w:noProof/>
                <w:webHidden/>
              </w:rPr>
              <w:fldChar w:fldCharType="end"/>
            </w:r>
          </w:hyperlink>
        </w:p>
        <w:p w14:paraId="78E91392" w14:textId="5A462DE0" w:rsidR="00A16026" w:rsidRPr="00A16026" w:rsidRDefault="00A16026" w:rsidP="00A16026">
          <w:pPr>
            <w:pStyle w:val="TOC2"/>
            <w:tabs>
              <w:tab w:val="right" w:leader="dot" w:pos="9016"/>
            </w:tabs>
            <w:spacing w:line="360" w:lineRule="auto"/>
            <w:jc w:val="both"/>
            <w:rPr>
              <w:rFonts w:ascii="Arial" w:hAnsi="Arial" w:cs="Arial"/>
              <w:noProof/>
            </w:rPr>
          </w:pPr>
          <w:hyperlink w:anchor="_Toc216278829" w:history="1">
            <w:r w:rsidRPr="00A16026">
              <w:rPr>
                <w:rStyle w:val="Hyperlink"/>
                <w:rFonts w:ascii="Arial" w:hAnsi="Arial" w:cs="Arial"/>
                <w:noProof/>
              </w:rPr>
              <w:t>1.2 Identification of the Problem</w:t>
            </w:r>
            <w:r w:rsidRPr="00A16026">
              <w:rPr>
                <w:rFonts w:ascii="Arial" w:hAnsi="Arial" w:cs="Arial"/>
                <w:noProof/>
                <w:webHidden/>
              </w:rPr>
              <w:tab/>
            </w:r>
            <w:r w:rsidRPr="00A16026">
              <w:rPr>
                <w:rFonts w:ascii="Arial" w:hAnsi="Arial" w:cs="Arial"/>
                <w:noProof/>
                <w:webHidden/>
              </w:rPr>
              <w:fldChar w:fldCharType="begin"/>
            </w:r>
            <w:r w:rsidRPr="00A16026">
              <w:rPr>
                <w:rFonts w:ascii="Arial" w:hAnsi="Arial" w:cs="Arial"/>
                <w:noProof/>
                <w:webHidden/>
              </w:rPr>
              <w:instrText xml:space="preserve"> PAGEREF _Toc216278829 \h </w:instrText>
            </w:r>
            <w:r w:rsidRPr="00A16026">
              <w:rPr>
                <w:rFonts w:ascii="Arial" w:hAnsi="Arial" w:cs="Arial"/>
                <w:noProof/>
                <w:webHidden/>
              </w:rPr>
            </w:r>
            <w:r w:rsidRPr="00A16026">
              <w:rPr>
                <w:rFonts w:ascii="Arial" w:hAnsi="Arial" w:cs="Arial"/>
                <w:noProof/>
                <w:webHidden/>
              </w:rPr>
              <w:fldChar w:fldCharType="separate"/>
            </w:r>
            <w:r w:rsidRPr="00A16026">
              <w:rPr>
                <w:rFonts w:ascii="Arial" w:hAnsi="Arial" w:cs="Arial"/>
                <w:noProof/>
                <w:webHidden/>
              </w:rPr>
              <w:t>4</w:t>
            </w:r>
            <w:r w:rsidRPr="00A16026">
              <w:rPr>
                <w:rFonts w:ascii="Arial" w:hAnsi="Arial" w:cs="Arial"/>
                <w:noProof/>
                <w:webHidden/>
              </w:rPr>
              <w:fldChar w:fldCharType="end"/>
            </w:r>
          </w:hyperlink>
        </w:p>
        <w:p w14:paraId="20A0C8C5" w14:textId="253CC017" w:rsidR="00A16026" w:rsidRPr="00A16026" w:rsidRDefault="00A16026" w:rsidP="00A16026">
          <w:pPr>
            <w:pStyle w:val="TOC2"/>
            <w:tabs>
              <w:tab w:val="right" w:leader="dot" w:pos="9016"/>
            </w:tabs>
            <w:spacing w:line="360" w:lineRule="auto"/>
            <w:jc w:val="both"/>
            <w:rPr>
              <w:rFonts w:ascii="Arial" w:hAnsi="Arial" w:cs="Arial"/>
              <w:noProof/>
            </w:rPr>
          </w:pPr>
          <w:hyperlink w:anchor="_Toc216278830" w:history="1">
            <w:r w:rsidRPr="00A16026">
              <w:rPr>
                <w:rStyle w:val="Hyperlink"/>
                <w:rFonts w:ascii="Arial" w:hAnsi="Arial" w:cs="Arial"/>
                <w:noProof/>
              </w:rPr>
              <w:t>1.3 Rationale for Addressing the Problem</w:t>
            </w:r>
            <w:r w:rsidRPr="00A16026">
              <w:rPr>
                <w:rFonts w:ascii="Arial" w:hAnsi="Arial" w:cs="Arial"/>
                <w:noProof/>
                <w:webHidden/>
              </w:rPr>
              <w:tab/>
            </w:r>
            <w:r w:rsidRPr="00A16026">
              <w:rPr>
                <w:rFonts w:ascii="Arial" w:hAnsi="Arial" w:cs="Arial"/>
                <w:noProof/>
                <w:webHidden/>
              </w:rPr>
              <w:fldChar w:fldCharType="begin"/>
            </w:r>
            <w:r w:rsidRPr="00A16026">
              <w:rPr>
                <w:rFonts w:ascii="Arial" w:hAnsi="Arial" w:cs="Arial"/>
                <w:noProof/>
                <w:webHidden/>
              </w:rPr>
              <w:instrText xml:space="preserve"> PAGEREF _Toc216278830 \h </w:instrText>
            </w:r>
            <w:r w:rsidRPr="00A16026">
              <w:rPr>
                <w:rFonts w:ascii="Arial" w:hAnsi="Arial" w:cs="Arial"/>
                <w:noProof/>
                <w:webHidden/>
              </w:rPr>
            </w:r>
            <w:r w:rsidRPr="00A16026">
              <w:rPr>
                <w:rFonts w:ascii="Arial" w:hAnsi="Arial" w:cs="Arial"/>
                <w:noProof/>
                <w:webHidden/>
              </w:rPr>
              <w:fldChar w:fldCharType="separate"/>
            </w:r>
            <w:r w:rsidRPr="00A16026">
              <w:rPr>
                <w:rFonts w:ascii="Arial" w:hAnsi="Arial" w:cs="Arial"/>
                <w:noProof/>
                <w:webHidden/>
              </w:rPr>
              <w:t>4</w:t>
            </w:r>
            <w:r w:rsidRPr="00A16026">
              <w:rPr>
                <w:rFonts w:ascii="Arial" w:hAnsi="Arial" w:cs="Arial"/>
                <w:noProof/>
                <w:webHidden/>
              </w:rPr>
              <w:fldChar w:fldCharType="end"/>
            </w:r>
          </w:hyperlink>
        </w:p>
        <w:p w14:paraId="5342E370" w14:textId="2E8D3070" w:rsidR="00A16026" w:rsidRPr="00A16026" w:rsidRDefault="00A16026" w:rsidP="00A16026">
          <w:pPr>
            <w:pStyle w:val="TOC1"/>
            <w:tabs>
              <w:tab w:val="right" w:leader="dot" w:pos="9016"/>
            </w:tabs>
            <w:spacing w:line="360" w:lineRule="auto"/>
            <w:jc w:val="both"/>
            <w:rPr>
              <w:rFonts w:ascii="Arial" w:hAnsi="Arial" w:cs="Arial"/>
              <w:noProof/>
            </w:rPr>
          </w:pPr>
          <w:hyperlink w:anchor="_Toc216278831" w:history="1">
            <w:r w:rsidRPr="00A16026">
              <w:rPr>
                <w:rStyle w:val="Hyperlink"/>
                <w:rFonts w:ascii="Arial" w:hAnsi="Arial" w:cs="Arial"/>
                <w:noProof/>
              </w:rPr>
              <w:t>2. Main Body</w:t>
            </w:r>
            <w:r w:rsidRPr="00A16026">
              <w:rPr>
                <w:rFonts w:ascii="Arial" w:hAnsi="Arial" w:cs="Arial"/>
                <w:noProof/>
                <w:webHidden/>
              </w:rPr>
              <w:tab/>
            </w:r>
            <w:r w:rsidRPr="00A16026">
              <w:rPr>
                <w:rFonts w:ascii="Arial" w:hAnsi="Arial" w:cs="Arial"/>
                <w:noProof/>
                <w:webHidden/>
              </w:rPr>
              <w:fldChar w:fldCharType="begin"/>
            </w:r>
            <w:r w:rsidRPr="00A16026">
              <w:rPr>
                <w:rFonts w:ascii="Arial" w:hAnsi="Arial" w:cs="Arial"/>
                <w:noProof/>
                <w:webHidden/>
              </w:rPr>
              <w:instrText xml:space="preserve"> PAGEREF _Toc216278831 \h </w:instrText>
            </w:r>
            <w:r w:rsidRPr="00A16026">
              <w:rPr>
                <w:rFonts w:ascii="Arial" w:hAnsi="Arial" w:cs="Arial"/>
                <w:noProof/>
                <w:webHidden/>
              </w:rPr>
            </w:r>
            <w:r w:rsidRPr="00A16026">
              <w:rPr>
                <w:rFonts w:ascii="Arial" w:hAnsi="Arial" w:cs="Arial"/>
                <w:noProof/>
                <w:webHidden/>
              </w:rPr>
              <w:fldChar w:fldCharType="separate"/>
            </w:r>
            <w:r w:rsidRPr="00A16026">
              <w:rPr>
                <w:rFonts w:ascii="Arial" w:hAnsi="Arial" w:cs="Arial"/>
                <w:noProof/>
                <w:webHidden/>
              </w:rPr>
              <w:t>5</w:t>
            </w:r>
            <w:r w:rsidRPr="00A16026">
              <w:rPr>
                <w:rFonts w:ascii="Arial" w:hAnsi="Arial" w:cs="Arial"/>
                <w:noProof/>
                <w:webHidden/>
              </w:rPr>
              <w:fldChar w:fldCharType="end"/>
            </w:r>
          </w:hyperlink>
        </w:p>
        <w:p w14:paraId="481C3088" w14:textId="70B7DF31" w:rsidR="00A16026" w:rsidRPr="00A16026" w:rsidRDefault="00A16026" w:rsidP="00A16026">
          <w:pPr>
            <w:pStyle w:val="TOC2"/>
            <w:tabs>
              <w:tab w:val="right" w:leader="dot" w:pos="9016"/>
            </w:tabs>
            <w:spacing w:line="360" w:lineRule="auto"/>
            <w:jc w:val="both"/>
            <w:rPr>
              <w:rFonts w:ascii="Arial" w:hAnsi="Arial" w:cs="Arial"/>
              <w:noProof/>
            </w:rPr>
          </w:pPr>
          <w:hyperlink w:anchor="_Toc216278832" w:history="1">
            <w:r w:rsidRPr="00A16026">
              <w:rPr>
                <w:rStyle w:val="Hyperlink"/>
                <w:rFonts w:ascii="Arial" w:hAnsi="Arial" w:cs="Arial"/>
                <w:noProof/>
              </w:rPr>
              <w:t>2.1 Role of the Swiss Cheese Model</w:t>
            </w:r>
            <w:r w:rsidRPr="00A16026">
              <w:rPr>
                <w:rFonts w:ascii="Arial" w:hAnsi="Arial" w:cs="Arial"/>
                <w:noProof/>
                <w:webHidden/>
              </w:rPr>
              <w:tab/>
            </w:r>
            <w:r w:rsidRPr="00A16026">
              <w:rPr>
                <w:rFonts w:ascii="Arial" w:hAnsi="Arial" w:cs="Arial"/>
                <w:noProof/>
                <w:webHidden/>
              </w:rPr>
              <w:fldChar w:fldCharType="begin"/>
            </w:r>
            <w:r w:rsidRPr="00A16026">
              <w:rPr>
                <w:rFonts w:ascii="Arial" w:hAnsi="Arial" w:cs="Arial"/>
                <w:noProof/>
                <w:webHidden/>
              </w:rPr>
              <w:instrText xml:space="preserve"> PAGEREF _Toc216278832 \h </w:instrText>
            </w:r>
            <w:r w:rsidRPr="00A16026">
              <w:rPr>
                <w:rFonts w:ascii="Arial" w:hAnsi="Arial" w:cs="Arial"/>
                <w:noProof/>
                <w:webHidden/>
              </w:rPr>
            </w:r>
            <w:r w:rsidRPr="00A16026">
              <w:rPr>
                <w:rFonts w:ascii="Arial" w:hAnsi="Arial" w:cs="Arial"/>
                <w:noProof/>
                <w:webHidden/>
              </w:rPr>
              <w:fldChar w:fldCharType="separate"/>
            </w:r>
            <w:r w:rsidRPr="00A16026">
              <w:rPr>
                <w:rFonts w:ascii="Arial" w:hAnsi="Arial" w:cs="Arial"/>
                <w:noProof/>
                <w:webHidden/>
              </w:rPr>
              <w:t>5</w:t>
            </w:r>
            <w:r w:rsidRPr="00A16026">
              <w:rPr>
                <w:rFonts w:ascii="Arial" w:hAnsi="Arial" w:cs="Arial"/>
                <w:noProof/>
                <w:webHidden/>
              </w:rPr>
              <w:fldChar w:fldCharType="end"/>
            </w:r>
          </w:hyperlink>
        </w:p>
        <w:p w14:paraId="7C7E9A02" w14:textId="1548E0B8" w:rsidR="00A16026" w:rsidRPr="00A16026" w:rsidRDefault="00A16026" w:rsidP="00A16026">
          <w:pPr>
            <w:pStyle w:val="TOC2"/>
            <w:tabs>
              <w:tab w:val="right" w:leader="dot" w:pos="9016"/>
            </w:tabs>
            <w:spacing w:line="360" w:lineRule="auto"/>
            <w:jc w:val="both"/>
            <w:rPr>
              <w:rFonts w:ascii="Arial" w:hAnsi="Arial" w:cs="Arial"/>
              <w:noProof/>
            </w:rPr>
          </w:pPr>
          <w:hyperlink w:anchor="_Toc216278833" w:history="1">
            <w:r w:rsidRPr="00A16026">
              <w:rPr>
                <w:rStyle w:val="Hyperlink"/>
                <w:rFonts w:ascii="Arial" w:hAnsi="Arial" w:cs="Arial"/>
                <w:noProof/>
              </w:rPr>
              <w:t>2.2 Analysis of Root Causes Using Quality Frameworks</w:t>
            </w:r>
            <w:r w:rsidRPr="00A16026">
              <w:rPr>
                <w:rFonts w:ascii="Arial" w:hAnsi="Arial" w:cs="Arial"/>
                <w:noProof/>
                <w:webHidden/>
              </w:rPr>
              <w:tab/>
            </w:r>
            <w:r w:rsidRPr="00A16026">
              <w:rPr>
                <w:rFonts w:ascii="Arial" w:hAnsi="Arial" w:cs="Arial"/>
                <w:noProof/>
                <w:webHidden/>
              </w:rPr>
              <w:fldChar w:fldCharType="begin"/>
            </w:r>
            <w:r w:rsidRPr="00A16026">
              <w:rPr>
                <w:rFonts w:ascii="Arial" w:hAnsi="Arial" w:cs="Arial"/>
                <w:noProof/>
                <w:webHidden/>
              </w:rPr>
              <w:instrText xml:space="preserve"> PAGEREF _Toc216278833 \h </w:instrText>
            </w:r>
            <w:r w:rsidRPr="00A16026">
              <w:rPr>
                <w:rFonts w:ascii="Arial" w:hAnsi="Arial" w:cs="Arial"/>
                <w:noProof/>
                <w:webHidden/>
              </w:rPr>
            </w:r>
            <w:r w:rsidRPr="00A16026">
              <w:rPr>
                <w:rFonts w:ascii="Arial" w:hAnsi="Arial" w:cs="Arial"/>
                <w:noProof/>
                <w:webHidden/>
              </w:rPr>
              <w:fldChar w:fldCharType="separate"/>
            </w:r>
            <w:r w:rsidRPr="00A16026">
              <w:rPr>
                <w:rFonts w:ascii="Arial" w:hAnsi="Arial" w:cs="Arial"/>
                <w:noProof/>
                <w:webHidden/>
              </w:rPr>
              <w:t>5</w:t>
            </w:r>
            <w:r w:rsidRPr="00A16026">
              <w:rPr>
                <w:rFonts w:ascii="Arial" w:hAnsi="Arial" w:cs="Arial"/>
                <w:noProof/>
                <w:webHidden/>
              </w:rPr>
              <w:fldChar w:fldCharType="end"/>
            </w:r>
          </w:hyperlink>
        </w:p>
        <w:p w14:paraId="1FE73F4E" w14:textId="193D2C5E" w:rsidR="00A16026" w:rsidRPr="00A16026" w:rsidRDefault="00A16026" w:rsidP="00A16026">
          <w:pPr>
            <w:pStyle w:val="TOC2"/>
            <w:tabs>
              <w:tab w:val="right" w:leader="dot" w:pos="9016"/>
            </w:tabs>
            <w:spacing w:line="360" w:lineRule="auto"/>
            <w:jc w:val="both"/>
            <w:rPr>
              <w:rFonts w:ascii="Arial" w:hAnsi="Arial" w:cs="Arial"/>
              <w:noProof/>
            </w:rPr>
          </w:pPr>
          <w:hyperlink w:anchor="_Toc216278834" w:history="1">
            <w:r w:rsidRPr="00A16026">
              <w:rPr>
                <w:rStyle w:val="Hyperlink"/>
                <w:rFonts w:ascii="Arial" w:hAnsi="Arial" w:cs="Arial"/>
                <w:noProof/>
              </w:rPr>
              <w:t>2.3 Five Whys Method</w:t>
            </w:r>
            <w:r w:rsidRPr="00A16026">
              <w:rPr>
                <w:rFonts w:ascii="Arial" w:hAnsi="Arial" w:cs="Arial"/>
                <w:noProof/>
                <w:webHidden/>
              </w:rPr>
              <w:tab/>
            </w:r>
            <w:r w:rsidRPr="00A16026">
              <w:rPr>
                <w:rFonts w:ascii="Arial" w:hAnsi="Arial" w:cs="Arial"/>
                <w:noProof/>
                <w:webHidden/>
              </w:rPr>
              <w:fldChar w:fldCharType="begin"/>
            </w:r>
            <w:r w:rsidRPr="00A16026">
              <w:rPr>
                <w:rFonts w:ascii="Arial" w:hAnsi="Arial" w:cs="Arial"/>
                <w:noProof/>
                <w:webHidden/>
              </w:rPr>
              <w:instrText xml:space="preserve"> PAGEREF _Toc216278834 \h </w:instrText>
            </w:r>
            <w:r w:rsidRPr="00A16026">
              <w:rPr>
                <w:rFonts w:ascii="Arial" w:hAnsi="Arial" w:cs="Arial"/>
                <w:noProof/>
                <w:webHidden/>
              </w:rPr>
            </w:r>
            <w:r w:rsidRPr="00A16026">
              <w:rPr>
                <w:rFonts w:ascii="Arial" w:hAnsi="Arial" w:cs="Arial"/>
                <w:noProof/>
                <w:webHidden/>
              </w:rPr>
              <w:fldChar w:fldCharType="separate"/>
            </w:r>
            <w:r w:rsidRPr="00A16026">
              <w:rPr>
                <w:rFonts w:ascii="Arial" w:hAnsi="Arial" w:cs="Arial"/>
                <w:noProof/>
                <w:webHidden/>
              </w:rPr>
              <w:t>5</w:t>
            </w:r>
            <w:r w:rsidRPr="00A16026">
              <w:rPr>
                <w:rFonts w:ascii="Arial" w:hAnsi="Arial" w:cs="Arial"/>
                <w:noProof/>
                <w:webHidden/>
              </w:rPr>
              <w:fldChar w:fldCharType="end"/>
            </w:r>
          </w:hyperlink>
        </w:p>
        <w:p w14:paraId="0574617D" w14:textId="3B2E08D3" w:rsidR="00A16026" w:rsidRPr="00A16026" w:rsidRDefault="00A16026" w:rsidP="00A16026">
          <w:pPr>
            <w:pStyle w:val="TOC2"/>
            <w:tabs>
              <w:tab w:val="right" w:leader="dot" w:pos="9016"/>
            </w:tabs>
            <w:spacing w:line="360" w:lineRule="auto"/>
            <w:jc w:val="both"/>
            <w:rPr>
              <w:rFonts w:ascii="Arial" w:hAnsi="Arial" w:cs="Arial"/>
              <w:noProof/>
            </w:rPr>
          </w:pPr>
          <w:hyperlink w:anchor="_Toc216278835" w:history="1">
            <w:r w:rsidRPr="00A16026">
              <w:rPr>
                <w:rStyle w:val="Hyperlink"/>
                <w:rFonts w:ascii="Arial" w:hAnsi="Arial" w:cs="Arial"/>
                <w:noProof/>
              </w:rPr>
              <w:t>2.4 Fishbone (Ishikawa) Analysis</w:t>
            </w:r>
            <w:r w:rsidRPr="00A16026">
              <w:rPr>
                <w:rFonts w:ascii="Arial" w:hAnsi="Arial" w:cs="Arial"/>
                <w:noProof/>
                <w:webHidden/>
              </w:rPr>
              <w:tab/>
            </w:r>
            <w:r w:rsidRPr="00A16026">
              <w:rPr>
                <w:rFonts w:ascii="Arial" w:hAnsi="Arial" w:cs="Arial"/>
                <w:noProof/>
                <w:webHidden/>
              </w:rPr>
              <w:fldChar w:fldCharType="begin"/>
            </w:r>
            <w:r w:rsidRPr="00A16026">
              <w:rPr>
                <w:rFonts w:ascii="Arial" w:hAnsi="Arial" w:cs="Arial"/>
                <w:noProof/>
                <w:webHidden/>
              </w:rPr>
              <w:instrText xml:space="preserve"> PAGEREF _Toc216278835 \h </w:instrText>
            </w:r>
            <w:r w:rsidRPr="00A16026">
              <w:rPr>
                <w:rFonts w:ascii="Arial" w:hAnsi="Arial" w:cs="Arial"/>
                <w:noProof/>
                <w:webHidden/>
              </w:rPr>
            </w:r>
            <w:r w:rsidRPr="00A16026">
              <w:rPr>
                <w:rFonts w:ascii="Arial" w:hAnsi="Arial" w:cs="Arial"/>
                <w:noProof/>
                <w:webHidden/>
              </w:rPr>
              <w:fldChar w:fldCharType="separate"/>
            </w:r>
            <w:r w:rsidRPr="00A16026">
              <w:rPr>
                <w:rFonts w:ascii="Arial" w:hAnsi="Arial" w:cs="Arial"/>
                <w:noProof/>
                <w:webHidden/>
              </w:rPr>
              <w:t>6</w:t>
            </w:r>
            <w:r w:rsidRPr="00A16026">
              <w:rPr>
                <w:rFonts w:ascii="Arial" w:hAnsi="Arial" w:cs="Arial"/>
                <w:noProof/>
                <w:webHidden/>
              </w:rPr>
              <w:fldChar w:fldCharType="end"/>
            </w:r>
          </w:hyperlink>
        </w:p>
        <w:p w14:paraId="5CCCBD31" w14:textId="7F03F4DD" w:rsidR="00A16026" w:rsidRPr="00A16026" w:rsidRDefault="00A16026" w:rsidP="00A16026">
          <w:pPr>
            <w:pStyle w:val="TOC2"/>
            <w:tabs>
              <w:tab w:val="right" w:leader="dot" w:pos="9016"/>
            </w:tabs>
            <w:spacing w:line="360" w:lineRule="auto"/>
            <w:jc w:val="both"/>
            <w:rPr>
              <w:rFonts w:ascii="Arial" w:hAnsi="Arial" w:cs="Arial"/>
              <w:noProof/>
            </w:rPr>
          </w:pPr>
          <w:hyperlink w:anchor="_Toc216278836" w:history="1">
            <w:r w:rsidRPr="00A16026">
              <w:rPr>
                <w:rStyle w:val="Hyperlink"/>
                <w:rFonts w:ascii="Arial" w:hAnsi="Arial" w:cs="Arial"/>
                <w:noProof/>
              </w:rPr>
              <w:t>2.5 Donabedian Model Application</w:t>
            </w:r>
            <w:r w:rsidRPr="00A16026">
              <w:rPr>
                <w:rFonts w:ascii="Arial" w:hAnsi="Arial" w:cs="Arial"/>
                <w:noProof/>
                <w:webHidden/>
              </w:rPr>
              <w:tab/>
            </w:r>
            <w:r w:rsidRPr="00A16026">
              <w:rPr>
                <w:rFonts w:ascii="Arial" w:hAnsi="Arial" w:cs="Arial"/>
                <w:noProof/>
                <w:webHidden/>
              </w:rPr>
              <w:fldChar w:fldCharType="begin"/>
            </w:r>
            <w:r w:rsidRPr="00A16026">
              <w:rPr>
                <w:rFonts w:ascii="Arial" w:hAnsi="Arial" w:cs="Arial"/>
                <w:noProof/>
                <w:webHidden/>
              </w:rPr>
              <w:instrText xml:space="preserve"> PAGEREF _Toc216278836 \h </w:instrText>
            </w:r>
            <w:r w:rsidRPr="00A16026">
              <w:rPr>
                <w:rFonts w:ascii="Arial" w:hAnsi="Arial" w:cs="Arial"/>
                <w:noProof/>
                <w:webHidden/>
              </w:rPr>
            </w:r>
            <w:r w:rsidRPr="00A16026">
              <w:rPr>
                <w:rFonts w:ascii="Arial" w:hAnsi="Arial" w:cs="Arial"/>
                <w:noProof/>
                <w:webHidden/>
              </w:rPr>
              <w:fldChar w:fldCharType="separate"/>
            </w:r>
            <w:r w:rsidRPr="00A16026">
              <w:rPr>
                <w:rFonts w:ascii="Arial" w:hAnsi="Arial" w:cs="Arial"/>
                <w:noProof/>
                <w:webHidden/>
              </w:rPr>
              <w:t>6</w:t>
            </w:r>
            <w:r w:rsidRPr="00A16026">
              <w:rPr>
                <w:rFonts w:ascii="Arial" w:hAnsi="Arial" w:cs="Arial"/>
                <w:noProof/>
                <w:webHidden/>
              </w:rPr>
              <w:fldChar w:fldCharType="end"/>
            </w:r>
          </w:hyperlink>
        </w:p>
        <w:p w14:paraId="3582F743" w14:textId="058FFBC8" w:rsidR="00A16026" w:rsidRPr="00A16026" w:rsidRDefault="00A16026" w:rsidP="00A16026">
          <w:pPr>
            <w:pStyle w:val="TOC2"/>
            <w:tabs>
              <w:tab w:val="right" w:leader="dot" w:pos="9016"/>
            </w:tabs>
            <w:spacing w:line="360" w:lineRule="auto"/>
            <w:jc w:val="both"/>
            <w:rPr>
              <w:rFonts w:ascii="Arial" w:hAnsi="Arial" w:cs="Arial"/>
              <w:noProof/>
            </w:rPr>
          </w:pPr>
          <w:hyperlink w:anchor="_Toc216278837" w:history="1">
            <w:r w:rsidRPr="00A16026">
              <w:rPr>
                <w:rStyle w:val="Hyperlink"/>
                <w:rFonts w:ascii="Arial" w:hAnsi="Arial" w:cs="Arial"/>
                <w:noProof/>
              </w:rPr>
              <w:t>2.6 Strategic Assessment Using SWOT Analysis</w:t>
            </w:r>
            <w:r w:rsidRPr="00A16026">
              <w:rPr>
                <w:rFonts w:ascii="Arial" w:hAnsi="Arial" w:cs="Arial"/>
                <w:noProof/>
                <w:webHidden/>
              </w:rPr>
              <w:tab/>
            </w:r>
            <w:r w:rsidRPr="00A16026">
              <w:rPr>
                <w:rFonts w:ascii="Arial" w:hAnsi="Arial" w:cs="Arial"/>
                <w:noProof/>
                <w:webHidden/>
              </w:rPr>
              <w:fldChar w:fldCharType="begin"/>
            </w:r>
            <w:r w:rsidRPr="00A16026">
              <w:rPr>
                <w:rFonts w:ascii="Arial" w:hAnsi="Arial" w:cs="Arial"/>
                <w:noProof/>
                <w:webHidden/>
              </w:rPr>
              <w:instrText xml:space="preserve"> PAGEREF _Toc216278837 \h </w:instrText>
            </w:r>
            <w:r w:rsidRPr="00A16026">
              <w:rPr>
                <w:rFonts w:ascii="Arial" w:hAnsi="Arial" w:cs="Arial"/>
                <w:noProof/>
                <w:webHidden/>
              </w:rPr>
            </w:r>
            <w:r w:rsidRPr="00A16026">
              <w:rPr>
                <w:rFonts w:ascii="Arial" w:hAnsi="Arial" w:cs="Arial"/>
                <w:noProof/>
                <w:webHidden/>
              </w:rPr>
              <w:fldChar w:fldCharType="separate"/>
            </w:r>
            <w:r w:rsidRPr="00A16026">
              <w:rPr>
                <w:rFonts w:ascii="Arial" w:hAnsi="Arial" w:cs="Arial"/>
                <w:noProof/>
                <w:webHidden/>
              </w:rPr>
              <w:t>6</w:t>
            </w:r>
            <w:r w:rsidRPr="00A16026">
              <w:rPr>
                <w:rFonts w:ascii="Arial" w:hAnsi="Arial" w:cs="Arial"/>
                <w:noProof/>
                <w:webHidden/>
              </w:rPr>
              <w:fldChar w:fldCharType="end"/>
            </w:r>
          </w:hyperlink>
        </w:p>
        <w:p w14:paraId="7C54A5D8" w14:textId="3CD4ABC7" w:rsidR="00A16026" w:rsidRPr="00A16026" w:rsidRDefault="00A16026" w:rsidP="00A16026">
          <w:pPr>
            <w:pStyle w:val="TOC2"/>
            <w:tabs>
              <w:tab w:val="right" w:leader="dot" w:pos="9016"/>
            </w:tabs>
            <w:spacing w:line="360" w:lineRule="auto"/>
            <w:jc w:val="both"/>
            <w:rPr>
              <w:rFonts w:ascii="Arial" w:hAnsi="Arial" w:cs="Arial"/>
              <w:noProof/>
            </w:rPr>
          </w:pPr>
          <w:hyperlink w:anchor="_Toc216278838" w:history="1">
            <w:r w:rsidRPr="00A16026">
              <w:rPr>
                <w:rStyle w:val="Hyperlink"/>
                <w:rFonts w:ascii="Arial" w:hAnsi="Arial" w:cs="Arial"/>
                <w:noProof/>
              </w:rPr>
              <w:t>2.7 PDSA Model</w:t>
            </w:r>
            <w:r w:rsidRPr="00A16026">
              <w:rPr>
                <w:rFonts w:ascii="Arial" w:hAnsi="Arial" w:cs="Arial"/>
                <w:noProof/>
                <w:webHidden/>
              </w:rPr>
              <w:tab/>
            </w:r>
            <w:r w:rsidRPr="00A16026">
              <w:rPr>
                <w:rFonts w:ascii="Arial" w:hAnsi="Arial" w:cs="Arial"/>
                <w:noProof/>
                <w:webHidden/>
              </w:rPr>
              <w:fldChar w:fldCharType="begin"/>
            </w:r>
            <w:r w:rsidRPr="00A16026">
              <w:rPr>
                <w:rFonts w:ascii="Arial" w:hAnsi="Arial" w:cs="Arial"/>
                <w:noProof/>
                <w:webHidden/>
              </w:rPr>
              <w:instrText xml:space="preserve"> PAGEREF _Toc216278838 \h </w:instrText>
            </w:r>
            <w:r w:rsidRPr="00A16026">
              <w:rPr>
                <w:rFonts w:ascii="Arial" w:hAnsi="Arial" w:cs="Arial"/>
                <w:noProof/>
                <w:webHidden/>
              </w:rPr>
            </w:r>
            <w:r w:rsidRPr="00A16026">
              <w:rPr>
                <w:rFonts w:ascii="Arial" w:hAnsi="Arial" w:cs="Arial"/>
                <w:noProof/>
                <w:webHidden/>
              </w:rPr>
              <w:fldChar w:fldCharType="separate"/>
            </w:r>
            <w:r w:rsidRPr="00A16026">
              <w:rPr>
                <w:rFonts w:ascii="Arial" w:hAnsi="Arial" w:cs="Arial"/>
                <w:noProof/>
                <w:webHidden/>
              </w:rPr>
              <w:t>6</w:t>
            </w:r>
            <w:r w:rsidRPr="00A16026">
              <w:rPr>
                <w:rFonts w:ascii="Arial" w:hAnsi="Arial" w:cs="Arial"/>
                <w:noProof/>
                <w:webHidden/>
              </w:rPr>
              <w:fldChar w:fldCharType="end"/>
            </w:r>
          </w:hyperlink>
        </w:p>
        <w:p w14:paraId="566B4DDF" w14:textId="26D585BC" w:rsidR="00A16026" w:rsidRPr="00A16026" w:rsidRDefault="00A16026" w:rsidP="00A16026">
          <w:pPr>
            <w:pStyle w:val="TOC1"/>
            <w:tabs>
              <w:tab w:val="right" w:leader="dot" w:pos="9016"/>
            </w:tabs>
            <w:spacing w:line="360" w:lineRule="auto"/>
            <w:jc w:val="both"/>
            <w:rPr>
              <w:rFonts w:ascii="Arial" w:hAnsi="Arial" w:cs="Arial"/>
              <w:noProof/>
            </w:rPr>
          </w:pPr>
          <w:hyperlink w:anchor="_Toc216278839" w:history="1">
            <w:r w:rsidRPr="00A16026">
              <w:rPr>
                <w:rStyle w:val="Hyperlink"/>
                <w:rFonts w:ascii="Arial" w:hAnsi="Arial" w:cs="Arial"/>
                <w:noProof/>
              </w:rPr>
              <w:t>3. Recommendations</w:t>
            </w:r>
            <w:r w:rsidRPr="00A16026">
              <w:rPr>
                <w:rFonts w:ascii="Arial" w:hAnsi="Arial" w:cs="Arial"/>
                <w:noProof/>
                <w:webHidden/>
              </w:rPr>
              <w:tab/>
            </w:r>
            <w:r w:rsidRPr="00A16026">
              <w:rPr>
                <w:rFonts w:ascii="Arial" w:hAnsi="Arial" w:cs="Arial"/>
                <w:noProof/>
                <w:webHidden/>
              </w:rPr>
              <w:fldChar w:fldCharType="begin"/>
            </w:r>
            <w:r w:rsidRPr="00A16026">
              <w:rPr>
                <w:rFonts w:ascii="Arial" w:hAnsi="Arial" w:cs="Arial"/>
                <w:noProof/>
                <w:webHidden/>
              </w:rPr>
              <w:instrText xml:space="preserve"> PAGEREF _Toc216278839 \h </w:instrText>
            </w:r>
            <w:r w:rsidRPr="00A16026">
              <w:rPr>
                <w:rFonts w:ascii="Arial" w:hAnsi="Arial" w:cs="Arial"/>
                <w:noProof/>
                <w:webHidden/>
              </w:rPr>
            </w:r>
            <w:r w:rsidRPr="00A16026">
              <w:rPr>
                <w:rFonts w:ascii="Arial" w:hAnsi="Arial" w:cs="Arial"/>
                <w:noProof/>
                <w:webHidden/>
              </w:rPr>
              <w:fldChar w:fldCharType="separate"/>
            </w:r>
            <w:r w:rsidRPr="00A16026">
              <w:rPr>
                <w:rFonts w:ascii="Arial" w:hAnsi="Arial" w:cs="Arial"/>
                <w:noProof/>
                <w:webHidden/>
              </w:rPr>
              <w:t>7</w:t>
            </w:r>
            <w:r w:rsidRPr="00A16026">
              <w:rPr>
                <w:rFonts w:ascii="Arial" w:hAnsi="Arial" w:cs="Arial"/>
                <w:noProof/>
                <w:webHidden/>
              </w:rPr>
              <w:fldChar w:fldCharType="end"/>
            </w:r>
          </w:hyperlink>
        </w:p>
        <w:p w14:paraId="6D974E55" w14:textId="6AC2363F" w:rsidR="00A16026" w:rsidRPr="00A16026" w:rsidRDefault="00A16026" w:rsidP="00A16026">
          <w:pPr>
            <w:pStyle w:val="TOC1"/>
            <w:tabs>
              <w:tab w:val="right" w:leader="dot" w:pos="9016"/>
            </w:tabs>
            <w:spacing w:line="360" w:lineRule="auto"/>
            <w:jc w:val="both"/>
            <w:rPr>
              <w:rFonts w:ascii="Arial" w:hAnsi="Arial" w:cs="Arial"/>
              <w:noProof/>
            </w:rPr>
          </w:pPr>
          <w:hyperlink w:anchor="_Toc216278840" w:history="1">
            <w:r w:rsidRPr="00A16026">
              <w:rPr>
                <w:rStyle w:val="Hyperlink"/>
                <w:rFonts w:ascii="Arial" w:hAnsi="Arial" w:cs="Arial"/>
                <w:noProof/>
              </w:rPr>
              <w:t>4. Conclusion</w:t>
            </w:r>
            <w:r w:rsidRPr="00A16026">
              <w:rPr>
                <w:rFonts w:ascii="Arial" w:hAnsi="Arial" w:cs="Arial"/>
                <w:noProof/>
                <w:webHidden/>
              </w:rPr>
              <w:tab/>
            </w:r>
            <w:r w:rsidRPr="00A16026">
              <w:rPr>
                <w:rFonts w:ascii="Arial" w:hAnsi="Arial" w:cs="Arial"/>
                <w:noProof/>
                <w:webHidden/>
              </w:rPr>
              <w:fldChar w:fldCharType="begin"/>
            </w:r>
            <w:r w:rsidRPr="00A16026">
              <w:rPr>
                <w:rFonts w:ascii="Arial" w:hAnsi="Arial" w:cs="Arial"/>
                <w:noProof/>
                <w:webHidden/>
              </w:rPr>
              <w:instrText xml:space="preserve"> PAGEREF _Toc216278840 \h </w:instrText>
            </w:r>
            <w:r w:rsidRPr="00A16026">
              <w:rPr>
                <w:rFonts w:ascii="Arial" w:hAnsi="Arial" w:cs="Arial"/>
                <w:noProof/>
                <w:webHidden/>
              </w:rPr>
            </w:r>
            <w:r w:rsidRPr="00A16026">
              <w:rPr>
                <w:rFonts w:ascii="Arial" w:hAnsi="Arial" w:cs="Arial"/>
                <w:noProof/>
                <w:webHidden/>
              </w:rPr>
              <w:fldChar w:fldCharType="separate"/>
            </w:r>
            <w:r w:rsidRPr="00A16026">
              <w:rPr>
                <w:rFonts w:ascii="Arial" w:hAnsi="Arial" w:cs="Arial"/>
                <w:noProof/>
                <w:webHidden/>
              </w:rPr>
              <w:t>10</w:t>
            </w:r>
            <w:r w:rsidRPr="00A16026">
              <w:rPr>
                <w:rFonts w:ascii="Arial" w:hAnsi="Arial" w:cs="Arial"/>
                <w:noProof/>
                <w:webHidden/>
              </w:rPr>
              <w:fldChar w:fldCharType="end"/>
            </w:r>
          </w:hyperlink>
        </w:p>
        <w:p w14:paraId="60A5096A" w14:textId="4568F640" w:rsidR="00A16026" w:rsidRPr="00A16026" w:rsidRDefault="00A16026" w:rsidP="00A16026">
          <w:pPr>
            <w:pStyle w:val="TOC1"/>
            <w:tabs>
              <w:tab w:val="right" w:leader="dot" w:pos="9016"/>
            </w:tabs>
            <w:spacing w:line="360" w:lineRule="auto"/>
            <w:jc w:val="both"/>
            <w:rPr>
              <w:rFonts w:ascii="Arial" w:hAnsi="Arial" w:cs="Arial"/>
              <w:noProof/>
            </w:rPr>
          </w:pPr>
          <w:hyperlink w:anchor="_Toc216278841" w:history="1">
            <w:r w:rsidRPr="00A16026">
              <w:rPr>
                <w:rStyle w:val="Hyperlink"/>
                <w:rFonts w:ascii="Arial" w:hAnsi="Arial" w:cs="Arial"/>
                <w:noProof/>
              </w:rPr>
              <w:t>Reference List</w:t>
            </w:r>
            <w:r w:rsidRPr="00A16026">
              <w:rPr>
                <w:rFonts w:ascii="Arial" w:hAnsi="Arial" w:cs="Arial"/>
                <w:noProof/>
                <w:webHidden/>
              </w:rPr>
              <w:tab/>
            </w:r>
            <w:r w:rsidRPr="00A16026">
              <w:rPr>
                <w:rFonts w:ascii="Arial" w:hAnsi="Arial" w:cs="Arial"/>
                <w:noProof/>
                <w:webHidden/>
              </w:rPr>
              <w:fldChar w:fldCharType="begin"/>
            </w:r>
            <w:r w:rsidRPr="00A16026">
              <w:rPr>
                <w:rFonts w:ascii="Arial" w:hAnsi="Arial" w:cs="Arial"/>
                <w:noProof/>
                <w:webHidden/>
              </w:rPr>
              <w:instrText xml:space="preserve"> PAGEREF _Toc216278841 \h </w:instrText>
            </w:r>
            <w:r w:rsidRPr="00A16026">
              <w:rPr>
                <w:rFonts w:ascii="Arial" w:hAnsi="Arial" w:cs="Arial"/>
                <w:noProof/>
                <w:webHidden/>
              </w:rPr>
            </w:r>
            <w:r w:rsidRPr="00A16026">
              <w:rPr>
                <w:rFonts w:ascii="Arial" w:hAnsi="Arial" w:cs="Arial"/>
                <w:noProof/>
                <w:webHidden/>
              </w:rPr>
              <w:fldChar w:fldCharType="separate"/>
            </w:r>
            <w:r w:rsidRPr="00A16026">
              <w:rPr>
                <w:rFonts w:ascii="Arial" w:hAnsi="Arial" w:cs="Arial"/>
                <w:noProof/>
                <w:webHidden/>
              </w:rPr>
              <w:t>11</w:t>
            </w:r>
            <w:r w:rsidRPr="00A16026">
              <w:rPr>
                <w:rFonts w:ascii="Arial" w:hAnsi="Arial" w:cs="Arial"/>
                <w:noProof/>
                <w:webHidden/>
              </w:rPr>
              <w:fldChar w:fldCharType="end"/>
            </w:r>
          </w:hyperlink>
        </w:p>
        <w:p w14:paraId="599E1FFC" w14:textId="66BBDC46" w:rsidR="00A16026" w:rsidRPr="00A16026" w:rsidRDefault="00A16026" w:rsidP="00A16026">
          <w:pPr>
            <w:spacing w:line="360" w:lineRule="auto"/>
            <w:jc w:val="both"/>
            <w:rPr>
              <w:rFonts w:ascii="Arial" w:hAnsi="Arial" w:cs="Arial"/>
            </w:rPr>
          </w:pPr>
          <w:r w:rsidRPr="00A16026">
            <w:rPr>
              <w:rFonts w:ascii="Arial" w:hAnsi="Arial" w:cs="Arial"/>
              <w:b/>
              <w:bCs/>
            </w:rPr>
            <w:fldChar w:fldCharType="end"/>
          </w:r>
        </w:p>
      </w:sdtContent>
    </w:sdt>
    <w:p w14:paraId="32EFA742" w14:textId="77777777" w:rsidR="00593FF7" w:rsidRPr="00A16026" w:rsidRDefault="00593FF7" w:rsidP="00A16026">
      <w:pPr>
        <w:spacing w:line="360" w:lineRule="auto"/>
        <w:jc w:val="both"/>
        <w:rPr>
          <w:rFonts w:ascii="Arial" w:hAnsi="Arial" w:cs="Arial"/>
        </w:rPr>
      </w:pPr>
    </w:p>
    <w:p w14:paraId="67B9D4BE" w14:textId="591DDB03" w:rsidR="00593FF7" w:rsidRPr="00A16026" w:rsidRDefault="00593FF7" w:rsidP="00A16026">
      <w:pPr>
        <w:spacing w:line="360" w:lineRule="auto"/>
        <w:jc w:val="both"/>
        <w:rPr>
          <w:rFonts w:ascii="Arial" w:hAnsi="Arial" w:cs="Arial"/>
          <w:b/>
          <w:bCs/>
        </w:rPr>
      </w:pPr>
      <w:r w:rsidRPr="00A16026">
        <w:rPr>
          <w:rFonts w:ascii="Arial" w:hAnsi="Arial" w:cs="Arial"/>
          <w:b/>
          <w:bCs/>
        </w:rPr>
        <w:br w:type="page"/>
      </w:r>
    </w:p>
    <w:p w14:paraId="50E49C1F" w14:textId="152C1FD0" w:rsidR="003B7239" w:rsidRPr="001E2E5D" w:rsidRDefault="001E2E5D" w:rsidP="001E2E5D">
      <w:pPr>
        <w:pStyle w:val="Heading1"/>
      </w:pPr>
      <w:bookmarkStart w:id="0" w:name="_Toc216278827"/>
      <w:r>
        <w:t xml:space="preserve">1. </w:t>
      </w:r>
      <w:r w:rsidR="003B7239" w:rsidRPr="001E2E5D">
        <w:t>Introduction</w:t>
      </w:r>
      <w:bookmarkEnd w:id="0"/>
      <w:r w:rsidR="003B7239" w:rsidRPr="001E2E5D">
        <w:t xml:space="preserve"> </w:t>
      </w:r>
    </w:p>
    <w:p w14:paraId="37637C74" w14:textId="5A81575F" w:rsidR="003B7239" w:rsidRPr="001E2E5D" w:rsidRDefault="003B7239" w:rsidP="001E2E5D">
      <w:pPr>
        <w:spacing w:line="360" w:lineRule="auto"/>
        <w:jc w:val="both"/>
        <w:rPr>
          <w:rFonts w:ascii="Arial" w:hAnsi="Arial" w:cs="Arial"/>
        </w:rPr>
      </w:pPr>
      <w:r w:rsidRPr="001E2E5D">
        <w:rPr>
          <w:rFonts w:ascii="Arial" w:hAnsi="Arial" w:cs="Arial"/>
        </w:rPr>
        <w:t>Quality and safety in maternity services are central to safeguarding maternal and neonatal health</w:t>
      </w:r>
      <w:r w:rsidR="00020D0D" w:rsidRPr="001E2E5D">
        <w:rPr>
          <w:rFonts w:ascii="Arial" w:hAnsi="Arial" w:cs="Arial"/>
        </w:rPr>
        <w:t xml:space="preserve"> (Vedam et al, 2022)</w:t>
      </w:r>
      <w:r w:rsidRPr="001E2E5D">
        <w:rPr>
          <w:rFonts w:ascii="Arial" w:hAnsi="Arial" w:cs="Arial"/>
        </w:rPr>
        <w:t>. In recent years, growing evidence has highlighted that failures within maternity systems can lead to serious preventable harm and loss of life. The Shrewsbury and Telford Hospital NHS Trust maternity scandal, revealed through the final Ockenden Report (2022), represents one of the most severe breakdowns in maternity care governance in the UK. Over two decades, avoidable deaths, brain injuries, and long-term disability occurred due to systemic failings rather than isolated clinical errors</w:t>
      </w:r>
      <w:r w:rsidR="0038424B" w:rsidRPr="001E2E5D">
        <w:rPr>
          <w:rFonts w:ascii="Arial" w:hAnsi="Arial" w:cs="Arial"/>
        </w:rPr>
        <w:t xml:space="preserve"> (Dobson, 2022)</w:t>
      </w:r>
      <w:r w:rsidRPr="001E2E5D">
        <w:rPr>
          <w:rFonts w:ascii="Arial" w:hAnsi="Arial" w:cs="Arial"/>
        </w:rPr>
        <w:t>. This case has become a critical example for examining how leadership, safety culture, staff training and accountability directly influence patient outcomes. As a result, addressing these shortcomings is vital for improving future maternity services</w:t>
      </w:r>
      <w:r w:rsidR="00204AD3" w:rsidRPr="001E2E5D">
        <w:rPr>
          <w:rFonts w:ascii="Arial" w:hAnsi="Arial" w:cs="Arial"/>
        </w:rPr>
        <w:t xml:space="preserve"> (Vedam et al, 2022)</w:t>
      </w:r>
      <w:r w:rsidRPr="001E2E5D">
        <w:rPr>
          <w:rFonts w:ascii="Arial" w:hAnsi="Arial" w:cs="Arial"/>
        </w:rPr>
        <w:t>.</w:t>
      </w:r>
    </w:p>
    <w:p w14:paraId="7EAA51B8" w14:textId="554723AD" w:rsidR="003B7239" w:rsidRPr="001E2E5D" w:rsidRDefault="001E2E5D" w:rsidP="001E2E5D">
      <w:pPr>
        <w:pStyle w:val="Heading2"/>
      </w:pPr>
      <w:bookmarkStart w:id="1" w:name="_Toc216278828"/>
      <w:r>
        <w:t xml:space="preserve">1.1 </w:t>
      </w:r>
      <w:r w:rsidR="003B7239" w:rsidRPr="001E2E5D">
        <w:t>Background</w:t>
      </w:r>
      <w:bookmarkEnd w:id="1"/>
      <w:r w:rsidR="003B7239" w:rsidRPr="001E2E5D">
        <w:t xml:space="preserve"> </w:t>
      </w:r>
    </w:p>
    <w:p w14:paraId="670DE90A" w14:textId="0DA3AA1F" w:rsidR="003B7239" w:rsidRPr="001E2E5D" w:rsidRDefault="003B7239" w:rsidP="001E2E5D">
      <w:pPr>
        <w:spacing w:line="360" w:lineRule="auto"/>
        <w:jc w:val="both"/>
        <w:rPr>
          <w:rFonts w:ascii="Arial" w:hAnsi="Arial" w:cs="Arial"/>
        </w:rPr>
      </w:pPr>
      <w:r w:rsidRPr="001E2E5D">
        <w:rPr>
          <w:rFonts w:ascii="Arial" w:hAnsi="Arial" w:cs="Arial"/>
        </w:rPr>
        <w:t xml:space="preserve">The maternity failures at Shrewsbury and Telford Hospital NHS Trust occurred over more than twenty years, during which patterns of avoidable harm repeatedly went unrecognised or unaddressed. The Ockenden Report (2022) revealed that poor </w:t>
      </w:r>
      <w:proofErr w:type="spellStart"/>
      <w:r w:rsidRPr="001E2E5D">
        <w:rPr>
          <w:rFonts w:ascii="Arial" w:hAnsi="Arial" w:cs="Arial"/>
        </w:rPr>
        <w:t>fetal</w:t>
      </w:r>
      <w:proofErr w:type="spellEnd"/>
      <w:r w:rsidRPr="001E2E5D">
        <w:rPr>
          <w:rFonts w:ascii="Arial" w:hAnsi="Arial" w:cs="Arial"/>
        </w:rPr>
        <w:t xml:space="preserve"> monitoring, delayed escalation, inadequate risk assessment and a preference for "normal birth at any cost" resulted in severe clinical consequences. These included stillbirths, neonatal deaths, avoidable hysterectomies, hypoxic brain injuries and maternal mortality</w:t>
      </w:r>
      <w:r w:rsidR="00B96485" w:rsidRPr="001E2E5D">
        <w:rPr>
          <w:rFonts w:ascii="Arial" w:hAnsi="Arial" w:cs="Arial"/>
        </w:rPr>
        <w:t xml:space="preserve"> (Dyer, 2022)</w:t>
      </w:r>
      <w:r w:rsidRPr="001E2E5D">
        <w:rPr>
          <w:rFonts w:ascii="Arial" w:hAnsi="Arial" w:cs="Arial"/>
        </w:rPr>
        <w:t>. Families consistently reported concerns being dismissed, records altered or communication withheld, suggesting a defensive rather than transparent safety culture</w:t>
      </w:r>
      <w:r w:rsidR="00B8009E" w:rsidRPr="001E2E5D">
        <w:rPr>
          <w:rFonts w:ascii="Arial" w:hAnsi="Arial" w:cs="Arial"/>
        </w:rPr>
        <w:t xml:space="preserve"> (O’Dowd, 2025)</w:t>
      </w:r>
      <w:r w:rsidRPr="001E2E5D">
        <w:rPr>
          <w:rFonts w:ascii="Arial" w:hAnsi="Arial" w:cs="Arial"/>
        </w:rPr>
        <w:t>.</w:t>
      </w:r>
    </w:p>
    <w:p w14:paraId="1C5E75DD" w14:textId="6BFD5F24" w:rsidR="003B7239" w:rsidRPr="001E2E5D" w:rsidRDefault="003B7239" w:rsidP="001E2E5D">
      <w:pPr>
        <w:spacing w:line="360" w:lineRule="auto"/>
        <w:jc w:val="both"/>
        <w:rPr>
          <w:rFonts w:ascii="Arial" w:hAnsi="Arial" w:cs="Arial"/>
        </w:rPr>
      </w:pPr>
      <w:r w:rsidRPr="001E2E5D">
        <w:rPr>
          <w:rFonts w:ascii="Arial" w:hAnsi="Arial" w:cs="Arial"/>
        </w:rPr>
        <w:t>These failures occurred despite national enquiries, maternity safety improvement programmes and repeated policy initiatives aimed at improving standards of care. Reports from the Care Quality Commission and MBRRACE-UK highlighted variation in clinical standards, delayed implementation of national guidelines and inadequate oversight mechanisms across maternity services</w:t>
      </w:r>
      <w:r w:rsidR="00133EF7" w:rsidRPr="001E2E5D">
        <w:rPr>
          <w:rFonts w:ascii="Arial" w:hAnsi="Arial" w:cs="Arial"/>
        </w:rPr>
        <w:t xml:space="preserve"> (Dyer, 2022)</w:t>
      </w:r>
      <w:r w:rsidRPr="001E2E5D">
        <w:rPr>
          <w:rFonts w:ascii="Arial" w:hAnsi="Arial" w:cs="Arial"/>
        </w:rPr>
        <w:t>. Workforce shortages, poor supervision and lack of sustained training further contributed to rising levels of preventable harm</w:t>
      </w:r>
      <w:r w:rsidR="002623F7">
        <w:rPr>
          <w:rFonts w:ascii="Arial" w:hAnsi="Arial" w:cs="Arial"/>
        </w:rPr>
        <w:t xml:space="preserve"> </w:t>
      </w:r>
      <w:r w:rsidR="00133EF7" w:rsidRPr="001E2E5D">
        <w:rPr>
          <w:rFonts w:ascii="Arial" w:hAnsi="Arial" w:cs="Arial"/>
        </w:rPr>
        <w:t>(</w:t>
      </w:r>
      <w:r w:rsidR="005F45CC" w:rsidRPr="005F45CC">
        <w:rPr>
          <w:rFonts w:ascii="Arial" w:hAnsi="Arial" w:cs="Arial"/>
        </w:rPr>
        <w:t>Farrant</w:t>
      </w:r>
      <w:r w:rsidR="005F45CC">
        <w:rPr>
          <w:rFonts w:ascii="Arial" w:hAnsi="Arial" w:cs="Arial"/>
        </w:rPr>
        <w:t xml:space="preserve"> et al</w:t>
      </w:r>
      <w:r w:rsidR="00133EF7" w:rsidRPr="001E2E5D">
        <w:rPr>
          <w:rFonts w:ascii="Arial" w:hAnsi="Arial" w:cs="Arial"/>
        </w:rPr>
        <w:t>, 202</w:t>
      </w:r>
      <w:r w:rsidR="005F45CC">
        <w:rPr>
          <w:rFonts w:ascii="Arial" w:hAnsi="Arial" w:cs="Arial"/>
        </w:rPr>
        <w:t>2</w:t>
      </w:r>
      <w:r w:rsidR="00133EF7" w:rsidRPr="001E2E5D">
        <w:rPr>
          <w:rFonts w:ascii="Arial" w:hAnsi="Arial" w:cs="Arial"/>
        </w:rPr>
        <w:t>)</w:t>
      </w:r>
      <w:r w:rsidRPr="001E2E5D">
        <w:rPr>
          <w:rFonts w:ascii="Arial" w:hAnsi="Arial" w:cs="Arial"/>
        </w:rPr>
        <w:t>. As such, the scandal is widely recognised not simply as a local organisational failure, but a reflection of systemic weaknesses in policy implementation, regulatory enforcement and safety culture across the healthcare system</w:t>
      </w:r>
      <w:r w:rsidR="00133EF7" w:rsidRPr="001E2E5D">
        <w:rPr>
          <w:rFonts w:ascii="Arial" w:hAnsi="Arial" w:cs="Arial"/>
        </w:rPr>
        <w:t xml:space="preserve"> (Dyer, 2022)</w:t>
      </w:r>
      <w:r w:rsidRPr="001E2E5D">
        <w:rPr>
          <w:rFonts w:ascii="Arial" w:hAnsi="Arial" w:cs="Arial"/>
        </w:rPr>
        <w:t>.</w:t>
      </w:r>
    </w:p>
    <w:p w14:paraId="6EDC6D95" w14:textId="57480A00" w:rsidR="003B7239" w:rsidRPr="001E2E5D" w:rsidRDefault="001E2E5D" w:rsidP="001E2E5D">
      <w:pPr>
        <w:pStyle w:val="Heading2"/>
      </w:pPr>
      <w:bookmarkStart w:id="2" w:name="_Toc216278829"/>
      <w:r>
        <w:t xml:space="preserve">1.2 </w:t>
      </w:r>
      <w:r w:rsidR="003B7239" w:rsidRPr="001E2E5D">
        <w:t>Identification of the Problem</w:t>
      </w:r>
      <w:bookmarkEnd w:id="2"/>
      <w:r w:rsidR="003B7239" w:rsidRPr="001E2E5D">
        <w:t xml:space="preserve"> </w:t>
      </w:r>
    </w:p>
    <w:p w14:paraId="4EE093D6" w14:textId="252C3469" w:rsidR="003B7239" w:rsidRPr="001E2E5D" w:rsidRDefault="003B7239" w:rsidP="001E2E5D">
      <w:pPr>
        <w:spacing w:line="360" w:lineRule="auto"/>
        <w:jc w:val="both"/>
        <w:rPr>
          <w:rFonts w:ascii="Arial" w:hAnsi="Arial" w:cs="Arial"/>
        </w:rPr>
      </w:pPr>
      <w:r w:rsidRPr="001E2E5D">
        <w:rPr>
          <w:rFonts w:ascii="Arial" w:hAnsi="Arial" w:cs="Arial"/>
        </w:rPr>
        <w:t>The central problem highlighted in this case is the failure to ensure safe, effective and evidence-based maternity care due to organisational, cultural and clinical governance breakdowns</w:t>
      </w:r>
      <w:r w:rsidR="00253BAE" w:rsidRPr="001E2E5D">
        <w:rPr>
          <w:rFonts w:ascii="Arial" w:hAnsi="Arial" w:cs="Arial"/>
        </w:rPr>
        <w:t xml:space="preserve"> (Shi et al, 2023)</w:t>
      </w:r>
      <w:r w:rsidRPr="001E2E5D">
        <w:rPr>
          <w:rFonts w:ascii="Arial" w:hAnsi="Arial" w:cs="Arial"/>
        </w:rPr>
        <w:t>. The persistence of avoidable harm demonstrated that safety systems were not functioning reliably, and learning from incidents was either delayed or absent</w:t>
      </w:r>
      <w:r w:rsidR="000F5624" w:rsidRPr="001E2E5D">
        <w:rPr>
          <w:rFonts w:ascii="Arial" w:hAnsi="Arial" w:cs="Arial"/>
        </w:rPr>
        <w:t xml:space="preserve"> (Mahmood et al, 2021)</w:t>
      </w:r>
      <w:r w:rsidRPr="001E2E5D">
        <w:rPr>
          <w:rFonts w:ascii="Arial" w:hAnsi="Arial" w:cs="Arial"/>
        </w:rPr>
        <w:t>. Staff reported inadequate escalation pathways, inconsistent competency training and leadership disengagement from frontline safety concerns</w:t>
      </w:r>
      <w:r w:rsidR="0060430C" w:rsidRPr="001E2E5D">
        <w:rPr>
          <w:rFonts w:ascii="Arial" w:hAnsi="Arial" w:cs="Arial"/>
        </w:rPr>
        <w:t xml:space="preserve"> (Shi et al, 2023)</w:t>
      </w:r>
      <w:r w:rsidRPr="001E2E5D">
        <w:rPr>
          <w:rFonts w:ascii="Arial" w:hAnsi="Arial" w:cs="Arial"/>
        </w:rPr>
        <w:t>. At the same time, parents and families felt dismissed, unheard and excluded from decision-making. These issues collectively resulted in a pattern of unsafe care, increased morbidity and mortality, and long-lasting psychological trauma for affected families</w:t>
      </w:r>
      <w:r w:rsidR="0060430C" w:rsidRPr="001E2E5D">
        <w:rPr>
          <w:rFonts w:ascii="Arial" w:hAnsi="Arial" w:cs="Arial"/>
        </w:rPr>
        <w:t xml:space="preserve"> (Mahmood et al, 2021)</w:t>
      </w:r>
      <w:r w:rsidRPr="001E2E5D">
        <w:rPr>
          <w:rFonts w:ascii="Arial" w:hAnsi="Arial" w:cs="Arial"/>
        </w:rPr>
        <w:t>.</w:t>
      </w:r>
    </w:p>
    <w:p w14:paraId="18945A00" w14:textId="34C375AB" w:rsidR="003B7239" w:rsidRPr="001E2E5D" w:rsidRDefault="001E2E5D" w:rsidP="001E2E5D">
      <w:pPr>
        <w:pStyle w:val="Heading2"/>
      </w:pPr>
      <w:bookmarkStart w:id="3" w:name="_Toc216278830"/>
      <w:r>
        <w:t xml:space="preserve">1.3 </w:t>
      </w:r>
      <w:r w:rsidR="003B7239" w:rsidRPr="001E2E5D">
        <w:t>Rationale for Addressing the Problem</w:t>
      </w:r>
      <w:bookmarkEnd w:id="3"/>
      <w:r w:rsidR="003B7239" w:rsidRPr="001E2E5D">
        <w:t xml:space="preserve"> </w:t>
      </w:r>
    </w:p>
    <w:p w14:paraId="0E4D8300" w14:textId="370DD3D3" w:rsidR="003B7239" w:rsidRPr="001E2E5D" w:rsidRDefault="003B7239" w:rsidP="001E2E5D">
      <w:pPr>
        <w:spacing w:line="360" w:lineRule="auto"/>
        <w:jc w:val="both"/>
        <w:rPr>
          <w:rFonts w:ascii="Arial" w:hAnsi="Arial" w:cs="Arial"/>
        </w:rPr>
      </w:pPr>
      <w:r w:rsidRPr="001E2E5D">
        <w:rPr>
          <w:rFonts w:ascii="Arial" w:hAnsi="Arial" w:cs="Arial"/>
        </w:rPr>
        <w:t>Addressing the failures identified in this maternity scandal is essential not only for restoring trust but also for meeting national public health priorities related to maternal and neonatal safety</w:t>
      </w:r>
      <w:r w:rsidR="00442368" w:rsidRPr="001E2E5D">
        <w:rPr>
          <w:rFonts w:ascii="Arial" w:hAnsi="Arial" w:cs="Arial"/>
        </w:rPr>
        <w:t xml:space="preserve"> (MacLellan et al, 2022)</w:t>
      </w:r>
      <w:r w:rsidRPr="001E2E5D">
        <w:rPr>
          <w:rFonts w:ascii="Arial" w:hAnsi="Arial" w:cs="Arial"/>
        </w:rPr>
        <w:t>. Preventable harm places a long-term burden on families, healthcare systems and wider society, including emotional trauma, additional healthcare needs, disability services and litigation</w:t>
      </w:r>
      <w:r w:rsidR="00070E86" w:rsidRPr="001E2E5D">
        <w:rPr>
          <w:rFonts w:ascii="Arial" w:hAnsi="Arial" w:cs="Arial"/>
        </w:rPr>
        <w:t xml:space="preserve"> (Liberati et al, 2021)</w:t>
      </w:r>
      <w:r w:rsidRPr="001E2E5D">
        <w:rPr>
          <w:rFonts w:ascii="Arial" w:hAnsi="Arial" w:cs="Arial"/>
        </w:rPr>
        <w:t>. Improving maternity safety aligns with national frameworks such as Better Births, the NHS Patient Safety Strategy and the National Maternity Transformation Programme, all of which emphasise equity, transparency, learning culture and personalised care</w:t>
      </w:r>
      <w:r w:rsidR="008B4B46" w:rsidRPr="001E2E5D">
        <w:rPr>
          <w:rFonts w:ascii="Arial" w:hAnsi="Arial" w:cs="Arial"/>
        </w:rPr>
        <w:t xml:space="preserve"> (Dyer, 2022)</w:t>
      </w:r>
      <w:r w:rsidRPr="001E2E5D">
        <w:rPr>
          <w:rFonts w:ascii="Arial" w:hAnsi="Arial" w:cs="Arial"/>
        </w:rPr>
        <w:t>. Without meaningful action, similar failures may continue to occur elsewhere, perpetuating inequity and avoidable suffering</w:t>
      </w:r>
      <w:r w:rsidR="008B4B46" w:rsidRPr="001E2E5D">
        <w:rPr>
          <w:rFonts w:ascii="Arial" w:hAnsi="Arial" w:cs="Arial"/>
        </w:rPr>
        <w:t xml:space="preserve"> (MacLellan et al, 2022)</w:t>
      </w:r>
      <w:r w:rsidRPr="001E2E5D">
        <w:rPr>
          <w:rFonts w:ascii="Arial" w:hAnsi="Arial" w:cs="Arial"/>
        </w:rPr>
        <w:t>.</w:t>
      </w:r>
    </w:p>
    <w:p w14:paraId="7C558D26" w14:textId="77777777" w:rsidR="001E2E5D" w:rsidRDefault="003B7239" w:rsidP="001E2E5D">
      <w:pPr>
        <w:spacing w:line="360" w:lineRule="auto"/>
        <w:jc w:val="both"/>
        <w:rPr>
          <w:rFonts w:ascii="Arial" w:hAnsi="Arial" w:cs="Arial"/>
        </w:rPr>
      </w:pPr>
      <w:r w:rsidRPr="001E2E5D">
        <w:rPr>
          <w:rFonts w:ascii="Arial" w:hAnsi="Arial" w:cs="Arial"/>
        </w:rPr>
        <w:t>There is also a moral and legal obligation to ensure safe, respectful and evidence-based care for mothers, babies and families. The Ockenden findings demonstrate that improving safety requires more than revising clinical guidelines; it demands cultural transformation, leadership accountability and system-wide learning</w:t>
      </w:r>
      <w:r w:rsidR="008B4B46" w:rsidRPr="001E2E5D">
        <w:rPr>
          <w:rFonts w:ascii="Arial" w:hAnsi="Arial" w:cs="Arial"/>
        </w:rPr>
        <w:t xml:space="preserve"> (Dyer, 2022)</w:t>
      </w:r>
      <w:r w:rsidRPr="001E2E5D">
        <w:rPr>
          <w:rFonts w:ascii="Arial" w:hAnsi="Arial" w:cs="Arial"/>
        </w:rPr>
        <w:t>. By addressing the root causes</w:t>
      </w:r>
      <w:r w:rsidR="005C6C07" w:rsidRPr="001E2E5D">
        <w:rPr>
          <w:rFonts w:ascii="Arial" w:hAnsi="Arial" w:cs="Arial"/>
        </w:rPr>
        <w:t>,</w:t>
      </w:r>
      <w:r w:rsidRPr="001E2E5D">
        <w:rPr>
          <w:rFonts w:ascii="Arial" w:hAnsi="Arial" w:cs="Arial"/>
        </w:rPr>
        <w:t xml:space="preserve"> including governance, staff training, communication and reporting</w:t>
      </w:r>
      <w:r w:rsidR="005C6C07" w:rsidRPr="001E2E5D">
        <w:rPr>
          <w:rFonts w:ascii="Arial" w:hAnsi="Arial" w:cs="Arial"/>
        </w:rPr>
        <w:t xml:space="preserve">, </w:t>
      </w:r>
      <w:r w:rsidRPr="001E2E5D">
        <w:rPr>
          <w:rFonts w:ascii="Arial" w:hAnsi="Arial" w:cs="Arial"/>
        </w:rPr>
        <w:t>maternity care can move toward a model that supports consistency, compassion and quality improvement</w:t>
      </w:r>
      <w:r w:rsidR="008B4B46" w:rsidRPr="001E2E5D">
        <w:rPr>
          <w:rFonts w:ascii="Arial" w:hAnsi="Arial" w:cs="Arial"/>
        </w:rPr>
        <w:t xml:space="preserve"> (Liberati et al, 2021)</w:t>
      </w:r>
      <w:r w:rsidRPr="001E2E5D">
        <w:rPr>
          <w:rFonts w:ascii="Arial" w:hAnsi="Arial" w:cs="Arial"/>
        </w:rPr>
        <w:t>. Implementing these changes provides an opportunity to reshape maternity services into safer, more responsive and trauma-informed systems that prevent future tragedies and promote long-term wellbeing</w:t>
      </w:r>
      <w:r w:rsidR="008B4B46" w:rsidRPr="001E2E5D">
        <w:rPr>
          <w:rFonts w:ascii="Arial" w:hAnsi="Arial" w:cs="Arial"/>
        </w:rPr>
        <w:t xml:space="preserve"> (MacLellan et al, 2022)</w:t>
      </w:r>
      <w:r w:rsidRPr="001E2E5D">
        <w:rPr>
          <w:rFonts w:ascii="Arial" w:hAnsi="Arial" w:cs="Arial"/>
        </w:rPr>
        <w:t>.</w:t>
      </w:r>
    </w:p>
    <w:p w14:paraId="4EE5E914" w14:textId="507C403A" w:rsidR="00CA3426" w:rsidRPr="001E2E5D" w:rsidRDefault="001E2E5D" w:rsidP="001E2E5D">
      <w:pPr>
        <w:pStyle w:val="Heading1"/>
      </w:pPr>
      <w:bookmarkStart w:id="4" w:name="_Toc216278831"/>
      <w:r>
        <w:t xml:space="preserve">2. </w:t>
      </w:r>
      <w:r w:rsidR="00CA3426" w:rsidRPr="001E2E5D">
        <w:t>Main Body</w:t>
      </w:r>
      <w:bookmarkEnd w:id="4"/>
      <w:r w:rsidR="00CA3426" w:rsidRPr="001E2E5D">
        <w:t xml:space="preserve"> </w:t>
      </w:r>
    </w:p>
    <w:p w14:paraId="7914DC18" w14:textId="02135D03" w:rsidR="001E2E5D" w:rsidRPr="001E2E5D" w:rsidRDefault="001E2E5D" w:rsidP="001E2E5D">
      <w:pPr>
        <w:pStyle w:val="Heading2"/>
      </w:pPr>
      <w:bookmarkStart w:id="5" w:name="_Toc216278832"/>
      <w:r>
        <w:t xml:space="preserve">2.1 </w:t>
      </w:r>
      <w:r w:rsidRPr="001E2E5D">
        <w:t>Role of the Swiss Cheese Model</w:t>
      </w:r>
      <w:bookmarkEnd w:id="5"/>
    </w:p>
    <w:p w14:paraId="304C7723" w14:textId="3B544D00" w:rsidR="001E2E5D" w:rsidRPr="001E2E5D" w:rsidRDefault="001E2E5D" w:rsidP="001E2E5D">
      <w:pPr>
        <w:spacing w:line="360" w:lineRule="auto"/>
        <w:jc w:val="both"/>
        <w:rPr>
          <w:rFonts w:ascii="Arial" w:hAnsi="Arial" w:cs="Arial"/>
        </w:rPr>
      </w:pPr>
      <w:r w:rsidRPr="001E2E5D">
        <w:rPr>
          <w:rFonts w:ascii="Arial" w:hAnsi="Arial" w:cs="Arial"/>
        </w:rPr>
        <w:t xml:space="preserve">The Swiss Cheese Model provides a useful framework to understand how multiple system failures </w:t>
      </w:r>
      <w:r w:rsidR="004D7A40">
        <w:rPr>
          <w:rFonts w:ascii="Arial" w:hAnsi="Arial" w:cs="Arial"/>
        </w:rPr>
        <w:t xml:space="preserve">are </w:t>
      </w:r>
      <w:r w:rsidRPr="001E2E5D">
        <w:rPr>
          <w:rFonts w:ascii="Arial" w:hAnsi="Arial" w:cs="Arial"/>
        </w:rPr>
        <w:t xml:space="preserve">aligned to create harm. In this case, several layers of defence that should have protected patients were weakened simultaneously (Post, 2025). At the policy level, national maternity guidance was not fully implemented or monitored. At the clinical governance level, oversight was inconsistent and external scrutiny was limited (Post, 2025). At the operational level, risk escalation systems were unclear, investigations were defensive, and learning was not embedded. Workforce capacity further deteriorated due to poor staffing, inadequate supervision and insufficient training (Hald et al., 2021). Finally, the organisational culture discouraged reporting of safety concerns, meaning early warning signs were repeatedly missed (Hald et al., 2021). The alignment of these weaknesses resulted in delayed escalation during labour, missed </w:t>
      </w:r>
      <w:proofErr w:type="spellStart"/>
      <w:r w:rsidRPr="001E2E5D">
        <w:rPr>
          <w:rFonts w:ascii="Arial" w:hAnsi="Arial" w:cs="Arial"/>
        </w:rPr>
        <w:t>fetal</w:t>
      </w:r>
      <w:proofErr w:type="spellEnd"/>
      <w:r w:rsidRPr="001E2E5D">
        <w:rPr>
          <w:rFonts w:ascii="Arial" w:hAnsi="Arial" w:cs="Arial"/>
        </w:rPr>
        <w:t xml:space="preserve"> monitoring abnormalities, and inappropriate clinical decision-making, all contributing to preventable maternal and neonatal harm (Post, 2025).</w:t>
      </w:r>
    </w:p>
    <w:p w14:paraId="51946ED8" w14:textId="5BCAF7CA" w:rsidR="00CA3426" w:rsidRPr="001E2E5D" w:rsidRDefault="001E2E5D" w:rsidP="001E2E5D">
      <w:pPr>
        <w:pStyle w:val="Heading2"/>
      </w:pPr>
      <w:bookmarkStart w:id="6" w:name="_Toc216278833"/>
      <w:r>
        <w:t xml:space="preserve">2.2 </w:t>
      </w:r>
      <w:r w:rsidR="00CA3426" w:rsidRPr="001E2E5D">
        <w:t>Analysis of Root Causes Using Quality Frameworks</w:t>
      </w:r>
      <w:bookmarkEnd w:id="6"/>
    </w:p>
    <w:p w14:paraId="466D3188" w14:textId="5E82367D" w:rsidR="00CA3426" w:rsidRPr="001E2E5D" w:rsidRDefault="00CA3426" w:rsidP="001E2E5D">
      <w:pPr>
        <w:spacing w:line="360" w:lineRule="auto"/>
        <w:jc w:val="both"/>
        <w:rPr>
          <w:rFonts w:ascii="Arial" w:hAnsi="Arial" w:cs="Arial"/>
        </w:rPr>
      </w:pPr>
      <w:r w:rsidRPr="001E2E5D">
        <w:rPr>
          <w:rFonts w:ascii="Arial" w:hAnsi="Arial" w:cs="Arial"/>
        </w:rPr>
        <w:t>The failures at Shrewsbury and Telford were not isolated clinical errors but symptoms of longstanding systemic weaknesses. Root Cause Analysis (RCA) identifies leadership, communication breakdowns, and weak clinical governance structures as central drivers</w:t>
      </w:r>
      <w:r w:rsidR="00D31A96" w:rsidRPr="001E2E5D">
        <w:rPr>
          <w:rFonts w:ascii="Arial" w:hAnsi="Arial" w:cs="Arial"/>
        </w:rPr>
        <w:t xml:space="preserve"> (Woodland and Carroll, 2022)</w:t>
      </w:r>
      <w:r w:rsidRPr="001E2E5D">
        <w:rPr>
          <w:rFonts w:ascii="Arial" w:hAnsi="Arial" w:cs="Arial"/>
        </w:rPr>
        <w:t xml:space="preserve">. Senior leaders failed to act on repeated warning signs, including complaints, incident reports and external reviews. This allowed poor practice to become normalised over time, reducing the organisation’s capacity to prevent harm (Woodland and Carroll, 2022). Communication during emergencies and handovers was poor, meaning critical information about maternal or </w:t>
      </w:r>
      <w:proofErr w:type="spellStart"/>
      <w:r w:rsidRPr="001E2E5D">
        <w:rPr>
          <w:rFonts w:ascii="Arial" w:hAnsi="Arial" w:cs="Arial"/>
        </w:rPr>
        <w:t>fetal</w:t>
      </w:r>
      <w:proofErr w:type="spellEnd"/>
      <w:r w:rsidRPr="001E2E5D">
        <w:rPr>
          <w:rFonts w:ascii="Arial" w:hAnsi="Arial" w:cs="Arial"/>
        </w:rPr>
        <w:t xml:space="preserve"> risk was often missed or inaccurately conveyed, delaying clinical intervention (Lowe, 2023). Risk management processes were ineffective, with weak escalation frameworks and limited mechanisms to translate incident findings into learning</w:t>
      </w:r>
      <w:r w:rsidR="00C81403" w:rsidRPr="001E2E5D">
        <w:rPr>
          <w:rFonts w:ascii="Arial" w:hAnsi="Arial" w:cs="Arial"/>
        </w:rPr>
        <w:t xml:space="preserve"> (Lowe, 2023)</w:t>
      </w:r>
      <w:r w:rsidRPr="001E2E5D">
        <w:rPr>
          <w:rFonts w:ascii="Arial" w:hAnsi="Arial" w:cs="Arial"/>
        </w:rPr>
        <w:t>.</w:t>
      </w:r>
    </w:p>
    <w:p w14:paraId="492CEBED" w14:textId="08E6E697" w:rsidR="001E2E5D" w:rsidRPr="001E2E5D" w:rsidRDefault="001E2E5D" w:rsidP="001E2E5D">
      <w:pPr>
        <w:pStyle w:val="Heading2"/>
      </w:pPr>
      <w:bookmarkStart w:id="7" w:name="_Toc216278834"/>
      <w:r>
        <w:t>2.3 Five</w:t>
      </w:r>
      <w:r w:rsidRPr="001E2E5D">
        <w:t xml:space="preserve"> Whys Method</w:t>
      </w:r>
      <w:bookmarkEnd w:id="7"/>
      <w:r w:rsidRPr="001E2E5D">
        <w:t xml:space="preserve"> </w:t>
      </w:r>
    </w:p>
    <w:p w14:paraId="5B63CD45" w14:textId="59CA1201" w:rsidR="001E2E5D" w:rsidRPr="001E2E5D" w:rsidRDefault="001E2E5D" w:rsidP="001E2E5D">
      <w:pPr>
        <w:spacing w:line="360" w:lineRule="auto"/>
        <w:jc w:val="both"/>
        <w:rPr>
          <w:rFonts w:ascii="Arial" w:hAnsi="Arial" w:cs="Arial"/>
        </w:rPr>
      </w:pPr>
      <w:r w:rsidRPr="001E2E5D">
        <w:rPr>
          <w:rFonts w:ascii="Arial" w:hAnsi="Arial" w:cs="Arial"/>
        </w:rPr>
        <w:t>The 5 Whys method is a root cause analysis tool used to explore why a problem occurred by repeatedly asking the question “why?” until systemic causes are revealed rather than surface-level symptoms (</w:t>
      </w:r>
      <w:r w:rsidR="00501831" w:rsidRPr="00501831">
        <w:rPr>
          <w:rFonts w:ascii="Arial" w:hAnsi="Arial" w:cs="Arial"/>
        </w:rPr>
        <w:t>Barsalou</w:t>
      </w:r>
      <w:r w:rsidR="00501831">
        <w:rPr>
          <w:rFonts w:ascii="Arial" w:hAnsi="Arial" w:cs="Arial"/>
        </w:rPr>
        <w:t xml:space="preserve"> et al</w:t>
      </w:r>
      <w:r w:rsidRPr="001E2E5D">
        <w:rPr>
          <w:rFonts w:ascii="Arial" w:hAnsi="Arial" w:cs="Arial"/>
        </w:rPr>
        <w:t>, 202</w:t>
      </w:r>
      <w:r w:rsidR="00501831">
        <w:rPr>
          <w:rFonts w:ascii="Arial" w:hAnsi="Arial" w:cs="Arial"/>
        </w:rPr>
        <w:t>4</w:t>
      </w:r>
      <w:r w:rsidR="00453CDB">
        <w:rPr>
          <w:rFonts w:ascii="Arial" w:hAnsi="Arial" w:cs="Arial"/>
        </w:rPr>
        <w:t xml:space="preserve">; </w:t>
      </w:r>
      <w:r w:rsidR="00453CDB" w:rsidRPr="00453CDB">
        <w:rPr>
          <w:rFonts w:ascii="Arial" w:hAnsi="Arial" w:cs="Arial"/>
        </w:rPr>
        <w:t>Hounsou</w:t>
      </w:r>
      <w:r w:rsidR="00453CDB">
        <w:rPr>
          <w:rFonts w:ascii="Arial" w:hAnsi="Arial" w:cs="Arial"/>
        </w:rPr>
        <w:t xml:space="preserve"> et al, 2024</w:t>
      </w:r>
      <w:r w:rsidRPr="001E2E5D">
        <w:rPr>
          <w:rFonts w:ascii="Arial" w:hAnsi="Arial" w:cs="Arial"/>
        </w:rPr>
        <w:t>). Applying this approach to the Shrewsbury and Telford maternity failings highlights how organisational weaknesses contributed to avoidable harm.</w:t>
      </w:r>
    </w:p>
    <w:p w14:paraId="1EC6B8AB" w14:textId="1C15BDE6" w:rsidR="001E2E5D" w:rsidRPr="001E2E5D" w:rsidRDefault="001E2E5D" w:rsidP="001E2E5D">
      <w:pPr>
        <w:spacing w:line="360" w:lineRule="auto"/>
        <w:jc w:val="both"/>
        <w:rPr>
          <w:rFonts w:ascii="Arial" w:hAnsi="Arial" w:cs="Arial"/>
        </w:rPr>
      </w:pPr>
      <w:r w:rsidRPr="001E2E5D">
        <w:rPr>
          <w:rFonts w:ascii="Arial" w:hAnsi="Arial" w:cs="Arial"/>
          <w:b/>
          <w:bCs/>
        </w:rPr>
        <w:t>1. Why did preventable harm occur?</w:t>
      </w:r>
      <w:r>
        <w:rPr>
          <w:rFonts w:ascii="Arial" w:hAnsi="Arial" w:cs="Arial"/>
        </w:rPr>
        <w:t xml:space="preserve"> </w:t>
      </w:r>
      <w:r w:rsidRPr="001E2E5D">
        <w:rPr>
          <w:rFonts w:ascii="Arial" w:hAnsi="Arial" w:cs="Arial"/>
        </w:rPr>
        <w:t xml:space="preserve">Because </w:t>
      </w:r>
      <w:proofErr w:type="spellStart"/>
      <w:r w:rsidRPr="001E2E5D">
        <w:rPr>
          <w:rFonts w:ascii="Arial" w:hAnsi="Arial" w:cs="Arial"/>
        </w:rPr>
        <w:t>fetal</w:t>
      </w:r>
      <w:proofErr w:type="spellEnd"/>
      <w:r w:rsidRPr="001E2E5D">
        <w:rPr>
          <w:rFonts w:ascii="Arial" w:hAnsi="Arial" w:cs="Arial"/>
        </w:rPr>
        <w:t xml:space="preserve"> heart abnormalities and maternal deterioration were not escalated or acted upon in time (Lowe, 2023).</w:t>
      </w:r>
    </w:p>
    <w:p w14:paraId="48A7417A" w14:textId="17DC8C34" w:rsidR="001E2E5D" w:rsidRPr="001E2E5D" w:rsidRDefault="001E2E5D" w:rsidP="001E2E5D">
      <w:pPr>
        <w:spacing w:line="360" w:lineRule="auto"/>
        <w:jc w:val="both"/>
        <w:rPr>
          <w:rFonts w:ascii="Arial" w:hAnsi="Arial" w:cs="Arial"/>
        </w:rPr>
      </w:pPr>
      <w:r w:rsidRPr="001E2E5D">
        <w:rPr>
          <w:rFonts w:ascii="Arial" w:hAnsi="Arial" w:cs="Arial"/>
          <w:b/>
          <w:bCs/>
        </w:rPr>
        <w:t>2. Why was escalation delayed or inconsistent?</w:t>
      </w:r>
      <w:r>
        <w:rPr>
          <w:rFonts w:ascii="Arial" w:hAnsi="Arial" w:cs="Arial"/>
        </w:rPr>
        <w:t xml:space="preserve"> </w:t>
      </w:r>
      <w:r w:rsidRPr="001E2E5D">
        <w:rPr>
          <w:rFonts w:ascii="Arial" w:hAnsi="Arial" w:cs="Arial"/>
        </w:rPr>
        <w:t>Because staff lacked confidence and competency in interpreting CTG monitoring and recognising risk (Moura et al., 2022).</w:t>
      </w:r>
    </w:p>
    <w:p w14:paraId="5387B87D" w14:textId="7107E205" w:rsidR="001E2E5D" w:rsidRPr="001E2E5D" w:rsidRDefault="001E2E5D" w:rsidP="001E2E5D">
      <w:pPr>
        <w:spacing w:line="360" w:lineRule="auto"/>
        <w:jc w:val="both"/>
        <w:rPr>
          <w:rFonts w:ascii="Arial" w:hAnsi="Arial" w:cs="Arial"/>
        </w:rPr>
      </w:pPr>
      <w:r w:rsidRPr="001E2E5D">
        <w:rPr>
          <w:rFonts w:ascii="Arial" w:hAnsi="Arial" w:cs="Arial"/>
          <w:b/>
          <w:bCs/>
        </w:rPr>
        <w:t xml:space="preserve">3. Why did </w:t>
      </w:r>
      <w:r>
        <w:rPr>
          <w:rFonts w:ascii="Arial" w:hAnsi="Arial" w:cs="Arial"/>
          <w:b/>
          <w:bCs/>
        </w:rPr>
        <w:t xml:space="preserve">the </w:t>
      </w:r>
      <w:r w:rsidRPr="001E2E5D">
        <w:rPr>
          <w:rFonts w:ascii="Arial" w:hAnsi="Arial" w:cs="Arial"/>
          <w:b/>
          <w:bCs/>
        </w:rPr>
        <w:t>staff lack competency?</w:t>
      </w:r>
      <w:r>
        <w:rPr>
          <w:rFonts w:ascii="Arial" w:hAnsi="Arial" w:cs="Arial"/>
        </w:rPr>
        <w:t xml:space="preserve"> </w:t>
      </w:r>
      <w:r w:rsidRPr="001E2E5D">
        <w:rPr>
          <w:rFonts w:ascii="Arial" w:hAnsi="Arial" w:cs="Arial"/>
        </w:rPr>
        <w:t>Because training was insufficient, irregular, and not mandatory, skills varied widely between practitioners (Naz et al., 2022).</w:t>
      </w:r>
    </w:p>
    <w:p w14:paraId="18BD8514" w14:textId="2090E609" w:rsidR="001E2E5D" w:rsidRPr="001E2E5D" w:rsidRDefault="001E2E5D" w:rsidP="001E2E5D">
      <w:pPr>
        <w:spacing w:line="360" w:lineRule="auto"/>
        <w:jc w:val="both"/>
        <w:rPr>
          <w:rFonts w:ascii="Arial" w:hAnsi="Arial" w:cs="Arial"/>
        </w:rPr>
      </w:pPr>
      <w:r w:rsidRPr="001E2E5D">
        <w:rPr>
          <w:rFonts w:ascii="Arial" w:hAnsi="Arial" w:cs="Arial"/>
          <w:b/>
          <w:bCs/>
        </w:rPr>
        <w:t>4. Why was training inconsistent and poorly monitored?</w:t>
      </w:r>
      <w:r>
        <w:rPr>
          <w:rFonts w:ascii="Arial" w:hAnsi="Arial" w:cs="Arial"/>
        </w:rPr>
        <w:t xml:space="preserve"> </w:t>
      </w:r>
      <w:r w:rsidRPr="001E2E5D">
        <w:rPr>
          <w:rFonts w:ascii="Arial" w:hAnsi="Arial" w:cs="Arial"/>
        </w:rPr>
        <w:t>Because the organisation lacked strong governance systems and leadership oversight to ensure compliance with national safety standards (Dacre, 2021).</w:t>
      </w:r>
    </w:p>
    <w:p w14:paraId="39A718CC" w14:textId="79CC7B55" w:rsidR="001E2E5D" w:rsidRPr="001E2E5D" w:rsidRDefault="001E2E5D" w:rsidP="001E2E5D">
      <w:pPr>
        <w:spacing w:line="360" w:lineRule="auto"/>
        <w:jc w:val="both"/>
        <w:rPr>
          <w:rFonts w:ascii="Arial" w:hAnsi="Arial" w:cs="Arial"/>
        </w:rPr>
      </w:pPr>
      <w:r w:rsidRPr="001E2E5D">
        <w:rPr>
          <w:rFonts w:ascii="Arial" w:hAnsi="Arial" w:cs="Arial"/>
          <w:b/>
          <w:bCs/>
        </w:rPr>
        <w:t>5. Why was governance and oversight weak?</w:t>
      </w:r>
      <w:r>
        <w:rPr>
          <w:rFonts w:ascii="Arial" w:hAnsi="Arial" w:cs="Arial"/>
        </w:rPr>
        <w:t xml:space="preserve"> </w:t>
      </w:r>
      <w:r w:rsidRPr="001E2E5D">
        <w:rPr>
          <w:rFonts w:ascii="Arial" w:hAnsi="Arial" w:cs="Arial"/>
        </w:rPr>
        <w:t>Because the culture discouraged reporting concerns, leaders failed to act on early warning signs, and national guidelines were not enforced (</w:t>
      </w:r>
      <w:proofErr w:type="spellStart"/>
      <w:r w:rsidRPr="001E2E5D">
        <w:rPr>
          <w:rFonts w:ascii="Arial" w:hAnsi="Arial" w:cs="Arial"/>
        </w:rPr>
        <w:t>Lokugamage</w:t>
      </w:r>
      <w:proofErr w:type="spellEnd"/>
      <w:r w:rsidRPr="001E2E5D">
        <w:rPr>
          <w:rFonts w:ascii="Arial" w:hAnsi="Arial" w:cs="Arial"/>
        </w:rPr>
        <w:t xml:space="preserve"> et al., 2022).</w:t>
      </w:r>
    </w:p>
    <w:p w14:paraId="5A6F1D5A" w14:textId="7BD8A802" w:rsidR="001E2E5D" w:rsidRPr="001E2E5D" w:rsidRDefault="001E2E5D" w:rsidP="001E2E5D">
      <w:pPr>
        <w:pStyle w:val="Heading2"/>
      </w:pPr>
      <w:bookmarkStart w:id="8" w:name="_Toc216278835"/>
      <w:r>
        <w:t xml:space="preserve">2.4 </w:t>
      </w:r>
      <w:r w:rsidRPr="001E2E5D">
        <w:t>Fishbone (Ishikawa) Analysis</w:t>
      </w:r>
      <w:bookmarkEnd w:id="8"/>
    </w:p>
    <w:p w14:paraId="73C5FE54" w14:textId="77777777" w:rsidR="001E2E5D" w:rsidRPr="001E2E5D" w:rsidRDefault="001E2E5D" w:rsidP="001E2E5D">
      <w:pPr>
        <w:spacing w:line="360" w:lineRule="auto"/>
        <w:jc w:val="both"/>
        <w:rPr>
          <w:rFonts w:ascii="Arial" w:hAnsi="Arial" w:cs="Arial"/>
        </w:rPr>
      </w:pPr>
      <w:r w:rsidRPr="001E2E5D">
        <w:rPr>
          <w:rFonts w:ascii="Arial" w:hAnsi="Arial" w:cs="Arial"/>
        </w:rPr>
        <w:t>The Fishbone Diagram provides a structured way to identify and group the root causes contributing to failures in maternity care at the Shrewsbury and Telford Hospital NHS Trust. It highlights how multiple system factors, rather than single errors, contributed to preventable harm (Moura et al., 2022).</w:t>
      </w:r>
    </w:p>
    <w:p w14:paraId="0DBAC74B" w14:textId="77777777" w:rsidR="001E2E5D" w:rsidRPr="001E2E5D" w:rsidRDefault="001E2E5D" w:rsidP="001E2E5D">
      <w:pPr>
        <w:spacing w:line="360" w:lineRule="auto"/>
        <w:jc w:val="both"/>
        <w:rPr>
          <w:rFonts w:ascii="Arial" w:hAnsi="Arial" w:cs="Arial"/>
        </w:rPr>
      </w:pPr>
      <w:r w:rsidRPr="001E2E5D">
        <w:rPr>
          <w:rFonts w:ascii="Arial" w:hAnsi="Arial" w:cs="Arial"/>
          <w:b/>
          <w:bCs/>
        </w:rPr>
        <w:t>People</w:t>
      </w:r>
      <w:r w:rsidRPr="001E2E5D">
        <w:rPr>
          <w:rFonts w:ascii="Arial" w:hAnsi="Arial" w:cs="Arial"/>
        </w:rPr>
        <w:t xml:space="preserve">: Inadequate staff training and clinical competency resulted in misinterpretation of </w:t>
      </w:r>
      <w:proofErr w:type="spellStart"/>
      <w:r w:rsidRPr="001E2E5D">
        <w:rPr>
          <w:rFonts w:ascii="Arial" w:hAnsi="Arial" w:cs="Arial"/>
        </w:rPr>
        <w:t>fetal</w:t>
      </w:r>
      <w:proofErr w:type="spellEnd"/>
      <w:r w:rsidRPr="001E2E5D">
        <w:rPr>
          <w:rFonts w:ascii="Arial" w:hAnsi="Arial" w:cs="Arial"/>
        </w:rPr>
        <w:t xml:space="preserve"> monitoring and delayed escalation (Puntambekar et al., 2021). Staffing shortages led to high workloads, fatigue and reduced capacity to respond effectively to emergencies (Moura et al., 2022).</w:t>
      </w:r>
    </w:p>
    <w:p w14:paraId="517C3594" w14:textId="77777777" w:rsidR="001E2E5D" w:rsidRPr="001E2E5D" w:rsidRDefault="001E2E5D" w:rsidP="001E2E5D">
      <w:pPr>
        <w:spacing w:line="360" w:lineRule="auto"/>
        <w:jc w:val="both"/>
        <w:rPr>
          <w:rFonts w:ascii="Arial" w:hAnsi="Arial" w:cs="Arial"/>
        </w:rPr>
      </w:pPr>
      <w:r w:rsidRPr="001E2E5D">
        <w:rPr>
          <w:rFonts w:ascii="Arial" w:hAnsi="Arial" w:cs="Arial"/>
          <w:b/>
          <w:bCs/>
        </w:rPr>
        <w:t>Process</w:t>
      </w:r>
      <w:r w:rsidRPr="001E2E5D">
        <w:rPr>
          <w:rFonts w:ascii="Arial" w:hAnsi="Arial" w:cs="Arial"/>
        </w:rPr>
        <w:t>: Escalation pathways were unclear or inconsistently applied, meaning deteriorating patients were not identified or managed appropriately (Naz et al., 2022). Clinical documentation and communication during handovers were poor, contributing to information gaps and avoidable delays (Lowe, 2023).</w:t>
      </w:r>
    </w:p>
    <w:p w14:paraId="2520447C" w14:textId="77777777" w:rsidR="001E2E5D" w:rsidRPr="001E2E5D" w:rsidRDefault="001E2E5D" w:rsidP="001E2E5D">
      <w:pPr>
        <w:spacing w:line="360" w:lineRule="auto"/>
        <w:jc w:val="both"/>
        <w:rPr>
          <w:rFonts w:ascii="Arial" w:hAnsi="Arial" w:cs="Arial"/>
        </w:rPr>
      </w:pPr>
      <w:r w:rsidRPr="001E2E5D">
        <w:rPr>
          <w:rFonts w:ascii="Arial" w:hAnsi="Arial" w:cs="Arial"/>
          <w:b/>
          <w:bCs/>
        </w:rPr>
        <w:t>Policy</w:t>
      </w:r>
      <w:r w:rsidRPr="001E2E5D">
        <w:rPr>
          <w:rFonts w:ascii="Arial" w:hAnsi="Arial" w:cs="Arial"/>
        </w:rPr>
        <w:t>: National maternity safety guidelines, including CTG surveillance standards, were inconsistently followed or not embedded in practice (Dacre, 2021). Incident reporting lacked transparency and learning mechanisms, preventing improvement from repeated safety events (</w:t>
      </w:r>
      <w:proofErr w:type="spellStart"/>
      <w:r w:rsidRPr="001E2E5D">
        <w:rPr>
          <w:rFonts w:ascii="Arial" w:hAnsi="Arial" w:cs="Arial"/>
        </w:rPr>
        <w:t>Lokugamage</w:t>
      </w:r>
      <w:proofErr w:type="spellEnd"/>
      <w:r w:rsidRPr="001E2E5D">
        <w:rPr>
          <w:rFonts w:ascii="Arial" w:hAnsi="Arial" w:cs="Arial"/>
        </w:rPr>
        <w:t xml:space="preserve"> et al., 2022).</w:t>
      </w:r>
    </w:p>
    <w:p w14:paraId="61F01B17" w14:textId="77777777" w:rsidR="001E2E5D" w:rsidRPr="001E2E5D" w:rsidRDefault="001E2E5D" w:rsidP="001E2E5D">
      <w:pPr>
        <w:spacing w:line="360" w:lineRule="auto"/>
        <w:jc w:val="both"/>
        <w:rPr>
          <w:rFonts w:ascii="Arial" w:hAnsi="Arial" w:cs="Arial"/>
        </w:rPr>
      </w:pPr>
      <w:r w:rsidRPr="001E2E5D">
        <w:rPr>
          <w:rFonts w:ascii="Arial" w:hAnsi="Arial" w:cs="Arial"/>
          <w:b/>
          <w:bCs/>
        </w:rPr>
        <w:t>Environment</w:t>
      </w:r>
      <w:r w:rsidRPr="001E2E5D">
        <w:rPr>
          <w:rFonts w:ascii="Arial" w:hAnsi="Arial" w:cs="Arial"/>
        </w:rPr>
        <w:t>: Outdated equipment and limited resources created unsafe working conditions and limited clinical decision support (Moura et al., 2022). High caseloads and capacity pressures reduced time available for safe assessment and escalation.</w:t>
      </w:r>
    </w:p>
    <w:p w14:paraId="534C3D96" w14:textId="18D0B94A" w:rsidR="001E2E5D" w:rsidRPr="001E2E5D" w:rsidRDefault="001E2E5D" w:rsidP="001E2E5D">
      <w:pPr>
        <w:spacing w:line="360" w:lineRule="auto"/>
        <w:jc w:val="both"/>
        <w:rPr>
          <w:rFonts w:ascii="Arial" w:hAnsi="Arial" w:cs="Arial"/>
        </w:rPr>
      </w:pPr>
      <w:r w:rsidRPr="001E2E5D">
        <w:rPr>
          <w:rFonts w:ascii="Arial" w:hAnsi="Arial" w:cs="Arial"/>
          <w:b/>
          <w:bCs/>
        </w:rPr>
        <w:t>Management</w:t>
      </w:r>
      <w:r w:rsidRPr="001E2E5D">
        <w:rPr>
          <w:rFonts w:ascii="Arial" w:hAnsi="Arial" w:cs="Arial"/>
        </w:rPr>
        <w:t>: Leadership failures allowed poor practice to become normalised</w:t>
      </w:r>
      <w:r>
        <w:rPr>
          <w:rFonts w:ascii="Arial" w:hAnsi="Arial" w:cs="Arial"/>
        </w:rPr>
        <w:t>,</w:t>
      </w:r>
      <w:r w:rsidRPr="001E2E5D">
        <w:rPr>
          <w:rFonts w:ascii="Arial" w:hAnsi="Arial" w:cs="Arial"/>
        </w:rPr>
        <w:t xml:space="preserve"> and staff raising concerns were discouraged, contributing to a defensive culture (Woodland and Carroll, 2022). Lack of effective oversight meant systemic risks were not acted upon despite recurring patterns of avoidable harm.</w:t>
      </w:r>
    </w:p>
    <w:p w14:paraId="2EE3837A" w14:textId="77CCC933" w:rsidR="001E2E5D" w:rsidRPr="001E2E5D" w:rsidRDefault="001E2E5D" w:rsidP="001E2E5D">
      <w:pPr>
        <w:pStyle w:val="Heading2"/>
      </w:pPr>
      <w:bookmarkStart w:id="9" w:name="_Toc216278836"/>
      <w:r>
        <w:t xml:space="preserve">2.5 </w:t>
      </w:r>
      <w:r w:rsidRPr="001E2E5D">
        <w:t>Donabedian Model Application</w:t>
      </w:r>
      <w:bookmarkEnd w:id="9"/>
      <w:r w:rsidRPr="001E2E5D">
        <w:t xml:space="preserve"> </w:t>
      </w:r>
    </w:p>
    <w:p w14:paraId="6937ACF2" w14:textId="14A08AA7" w:rsidR="001E2E5D" w:rsidRPr="001E2E5D" w:rsidRDefault="001E2E5D" w:rsidP="001E2E5D">
      <w:pPr>
        <w:spacing w:line="360" w:lineRule="auto"/>
        <w:jc w:val="both"/>
        <w:rPr>
          <w:rFonts w:ascii="Arial" w:hAnsi="Arial" w:cs="Arial"/>
        </w:rPr>
      </w:pPr>
      <w:r w:rsidRPr="001E2E5D">
        <w:rPr>
          <w:rFonts w:ascii="Arial" w:hAnsi="Arial" w:cs="Arial"/>
        </w:rPr>
        <w:t xml:space="preserve">The Donabedian Model helps explain the failures in maternity care by examining how structure, processes, and outcomes </w:t>
      </w:r>
      <w:r>
        <w:rPr>
          <w:rFonts w:ascii="Arial" w:hAnsi="Arial" w:cs="Arial"/>
        </w:rPr>
        <w:t>interact</w:t>
      </w:r>
      <w:r w:rsidRPr="001E2E5D">
        <w:rPr>
          <w:rFonts w:ascii="Arial" w:hAnsi="Arial" w:cs="Arial"/>
        </w:rPr>
        <w:t xml:space="preserve"> and </w:t>
      </w:r>
      <w:r>
        <w:rPr>
          <w:rFonts w:ascii="Arial" w:hAnsi="Arial" w:cs="Arial"/>
        </w:rPr>
        <w:t>contribute</w:t>
      </w:r>
      <w:r w:rsidRPr="001E2E5D">
        <w:rPr>
          <w:rFonts w:ascii="Arial" w:hAnsi="Arial" w:cs="Arial"/>
        </w:rPr>
        <w:t xml:space="preserve"> to harm</w:t>
      </w:r>
      <w:r w:rsidR="00C57E6A">
        <w:rPr>
          <w:rFonts w:ascii="Arial" w:hAnsi="Arial" w:cs="Arial"/>
        </w:rPr>
        <w:t xml:space="preserve"> (</w:t>
      </w:r>
      <w:proofErr w:type="spellStart"/>
      <w:r w:rsidR="00C57E6A" w:rsidRPr="00C57E6A">
        <w:rPr>
          <w:rFonts w:ascii="Arial" w:hAnsi="Arial" w:cs="Arial"/>
        </w:rPr>
        <w:t>Pavalagantharajah</w:t>
      </w:r>
      <w:proofErr w:type="spellEnd"/>
      <w:r w:rsidR="00C57E6A">
        <w:rPr>
          <w:rFonts w:ascii="Arial" w:hAnsi="Arial" w:cs="Arial"/>
        </w:rPr>
        <w:t xml:space="preserve"> et al, 2023)</w:t>
      </w:r>
      <w:r w:rsidRPr="001E2E5D">
        <w:rPr>
          <w:rFonts w:ascii="Arial" w:hAnsi="Arial" w:cs="Arial"/>
        </w:rPr>
        <w:t>. Structurally, the Shrewsbury and Telford Hospital NHS Trust experienced significant deficits</w:t>
      </w:r>
      <w:r>
        <w:rPr>
          <w:rFonts w:ascii="Arial" w:hAnsi="Arial" w:cs="Arial"/>
        </w:rPr>
        <w:t>,</w:t>
      </w:r>
      <w:r w:rsidRPr="001E2E5D">
        <w:rPr>
          <w:rFonts w:ascii="Arial" w:hAnsi="Arial" w:cs="Arial"/>
        </w:rPr>
        <w:t xml:space="preserve"> including limited senior obstetric presence, understaffing, inadequate supervision of junior staff and weak digital systems for monitoring clinical performance (Jessop, 2020). These structural weaknesses </w:t>
      </w:r>
      <w:r w:rsidR="00501831">
        <w:rPr>
          <w:rFonts w:ascii="Arial" w:hAnsi="Arial" w:cs="Arial"/>
        </w:rPr>
        <w:t>resulted in maternity teams lacking the necessary oversight, resources, and support to ensure safe and</w:t>
      </w:r>
      <w:r w:rsidRPr="001E2E5D">
        <w:rPr>
          <w:rFonts w:ascii="Arial" w:hAnsi="Arial" w:cs="Arial"/>
        </w:rPr>
        <w:t xml:space="preserve"> consistent clinical practice</w:t>
      </w:r>
      <w:r w:rsidR="00F00B08">
        <w:rPr>
          <w:rFonts w:ascii="Arial" w:hAnsi="Arial" w:cs="Arial"/>
        </w:rPr>
        <w:t xml:space="preserve"> (Guta, 2022)</w:t>
      </w:r>
      <w:r w:rsidRPr="001E2E5D">
        <w:rPr>
          <w:rFonts w:ascii="Arial" w:hAnsi="Arial" w:cs="Arial"/>
        </w:rPr>
        <w:t>. The lack of robust audit systems further meant that safety issues were not systematically recognised, escalated, or addressed, reinforcing a cycle of risk rather than improvement</w:t>
      </w:r>
      <w:r w:rsidR="00F00B08">
        <w:rPr>
          <w:rFonts w:ascii="Arial" w:hAnsi="Arial" w:cs="Arial"/>
        </w:rPr>
        <w:t xml:space="preserve"> (</w:t>
      </w:r>
      <w:proofErr w:type="spellStart"/>
      <w:r w:rsidR="00F00B08" w:rsidRPr="00C57E6A">
        <w:rPr>
          <w:rFonts w:ascii="Arial" w:hAnsi="Arial" w:cs="Arial"/>
        </w:rPr>
        <w:t>Pavalagantharajah</w:t>
      </w:r>
      <w:proofErr w:type="spellEnd"/>
      <w:r w:rsidR="00F00B08">
        <w:rPr>
          <w:rFonts w:ascii="Arial" w:hAnsi="Arial" w:cs="Arial"/>
        </w:rPr>
        <w:t xml:space="preserve"> et al, 2023)</w:t>
      </w:r>
      <w:r w:rsidRPr="001E2E5D">
        <w:rPr>
          <w:rFonts w:ascii="Arial" w:hAnsi="Arial" w:cs="Arial"/>
        </w:rPr>
        <w:t>.</w:t>
      </w:r>
    </w:p>
    <w:p w14:paraId="17F2A0A6" w14:textId="4E564074" w:rsidR="001E2E5D" w:rsidRPr="001E2E5D" w:rsidRDefault="001E2E5D" w:rsidP="001E2E5D">
      <w:pPr>
        <w:spacing w:line="360" w:lineRule="auto"/>
        <w:jc w:val="both"/>
        <w:rPr>
          <w:rFonts w:ascii="Arial" w:hAnsi="Arial" w:cs="Arial"/>
        </w:rPr>
      </w:pPr>
      <w:r w:rsidRPr="001E2E5D">
        <w:rPr>
          <w:rFonts w:ascii="Arial" w:hAnsi="Arial" w:cs="Arial"/>
        </w:rPr>
        <w:t xml:space="preserve">The structural failings had a direct negative effect on clinical processes. As Guta (2022) explains, poor processes manifested through delayed escalation during deteriorating labour, inconsistent interpretation of </w:t>
      </w:r>
      <w:proofErr w:type="spellStart"/>
      <w:r w:rsidRPr="001E2E5D">
        <w:rPr>
          <w:rFonts w:ascii="Arial" w:hAnsi="Arial" w:cs="Arial"/>
        </w:rPr>
        <w:t>fetal</w:t>
      </w:r>
      <w:proofErr w:type="spellEnd"/>
      <w:r w:rsidRPr="001E2E5D">
        <w:rPr>
          <w:rFonts w:ascii="Arial" w:hAnsi="Arial" w:cs="Arial"/>
        </w:rPr>
        <w:t xml:space="preserve"> monitoring, weak communication, and inadequate investigations following adverse events. These poorly functioning processes ultimately influenced outcomes, resulting in preventable maternal and neonatal deaths, long-term disability, and avoidable trauma for families</w:t>
      </w:r>
      <w:r w:rsidR="00714685">
        <w:rPr>
          <w:rFonts w:ascii="Arial" w:hAnsi="Arial" w:cs="Arial"/>
        </w:rPr>
        <w:t xml:space="preserve"> </w:t>
      </w:r>
      <w:r w:rsidR="00714685" w:rsidRPr="001E2E5D">
        <w:rPr>
          <w:rFonts w:ascii="Arial" w:hAnsi="Arial" w:cs="Arial"/>
        </w:rPr>
        <w:t>(Jessop, 2020)</w:t>
      </w:r>
      <w:r w:rsidRPr="001E2E5D">
        <w:rPr>
          <w:rFonts w:ascii="Arial" w:hAnsi="Arial" w:cs="Arial"/>
        </w:rPr>
        <w:t>. The erosion of public confidence in the Trust’s maternity services was an additional outcome, demonstrating that failures extended beyond clinical harm to long-term reputational and organisational damage. The model therefore reinforces that better outcomes rely on strengthening both the structure and processes underpinning care delivery</w:t>
      </w:r>
      <w:r w:rsidR="000A7722">
        <w:rPr>
          <w:rFonts w:ascii="Arial" w:hAnsi="Arial" w:cs="Arial"/>
        </w:rPr>
        <w:t xml:space="preserve"> (Guta, 2022)</w:t>
      </w:r>
      <w:r w:rsidRPr="001E2E5D">
        <w:rPr>
          <w:rFonts w:ascii="Arial" w:hAnsi="Arial" w:cs="Arial"/>
        </w:rPr>
        <w:t>.</w:t>
      </w:r>
    </w:p>
    <w:p w14:paraId="5209C6E3" w14:textId="46C143EA" w:rsidR="001E2E5D" w:rsidRPr="001E2E5D" w:rsidRDefault="001E2E5D" w:rsidP="001E2E5D">
      <w:pPr>
        <w:pStyle w:val="Heading2"/>
      </w:pPr>
      <w:bookmarkStart w:id="10" w:name="_Toc216278837"/>
      <w:r>
        <w:t xml:space="preserve">2.6 </w:t>
      </w:r>
      <w:r w:rsidRPr="001E2E5D">
        <w:t>Strategic Assessment Using SWOT Analysis</w:t>
      </w:r>
      <w:bookmarkEnd w:id="10"/>
      <w:r w:rsidRPr="001E2E5D">
        <w:t xml:space="preserve"> </w:t>
      </w:r>
    </w:p>
    <w:p w14:paraId="5C1FD059" w14:textId="32DD8172" w:rsidR="001E2E5D" w:rsidRPr="001E2E5D" w:rsidRDefault="001E2E5D" w:rsidP="001E2E5D">
      <w:pPr>
        <w:spacing w:line="360" w:lineRule="auto"/>
        <w:jc w:val="both"/>
        <w:rPr>
          <w:rFonts w:ascii="Arial" w:hAnsi="Arial" w:cs="Arial"/>
        </w:rPr>
      </w:pPr>
      <w:r w:rsidRPr="001E2E5D">
        <w:rPr>
          <w:rFonts w:ascii="Arial" w:hAnsi="Arial" w:cs="Arial"/>
        </w:rPr>
        <w:t xml:space="preserve">A SWOT analysis provides a strategic lens through which the Trust’s performance and capacity for improvement can be assessed. The </w:t>
      </w:r>
      <w:r w:rsidR="000A7722">
        <w:rPr>
          <w:rFonts w:ascii="Arial" w:hAnsi="Arial" w:cs="Arial"/>
        </w:rPr>
        <w:t>study</w:t>
      </w:r>
      <w:r w:rsidRPr="001E2E5D">
        <w:rPr>
          <w:rFonts w:ascii="Arial" w:hAnsi="Arial" w:cs="Arial"/>
        </w:rPr>
        <w:t xml:space="preserve"> revealed significant organisational weaknesses</w:t>
      </w:r>
      <w:r>
        <w:rPr>
          <w:rFonts w:ascii="Arial" w:hAnsi="Arial" w:cs="Arial"/>
        </w:rPr>
        <w:t>,</w:t>
      </w:r>
      <w:r w:rsidRPr="001E2E5D">
        <w:rPr>
          <w:rFonts w:ascii="Arial" w:hAnsi="Arial" w:cs="Arial"/>
        </w:rPr>
        <w:t xml:space="preserve"> including poor governance oversight, inconsistently applied guidelines, and </w:t>
      </w:r>
      <w:r>
        <w:rPr>
          <w:rFonts w:ascii="Arial" w:hAnsi="Arial" w:cs="Arial"/>
        </w:rPr>
        <w:t xml:space="preserve">a </w:t>
      </w:r>
      <w:r w:rsidRPr="001E2E5D">
        <w:rPr>
          <w:rFonts w:ascii="Arial" w:hAnsi="Arial" w:cs="Arial"/>
        </w:rPr>
        <w:t>lack of a robust learning culture (</w:t>
      </w:r>
      <w:proofErr w:type="spellStart"/>
      <w:r w:rsidRPr="001E2E5D">
        <w:rPr>
          <w:rFonts w:ascii="Arial" w:hAnsi="Arial" w:cs="Arial"/>
        </w:rPr>
        <w:t>Lokugamage</w:t>
      </w:r>
      <w:proofErr w:type="spellEnd"/>
      <w:r w:rsidRPr="001E2E5D">
        <w:rPr>
          <w:rFonts w:ascii="Arial" w:hAnsi="Arial" w:cs="Arial"/>
        </w:rPr>
        <w:t xml:space="preserve"> et al., 2022). Staff also reported a reluctance to raise safety concerns due to fear of blame or negative consequences, indicating cultural and psychological barriers to effective safety practices (Knight and Stanford, 2022). These weaknesses reduced the Trust’s ability to identify risks early and respond to them </w:t>
      </w:r>
      <w:r>
        <w:rPr>
          <w:rFonts w:ascii="Arial" w:hAnsi="Arial" w:cs="Arial"/>
        </w:rPr>
        <w:t>promptly</w:t>
      </w:r>
      <w:r w:rsidRPr="001E2E5D">
        <w:rPr>
          <w:rFonts w:ascii="Arial" w:hAnsi="Arial" w:cs="Arial"/>
        </w:rPr>
        <w:t>. Furthermore, heavy workloads and staff shortages resulted in burnout, fatigue, and reduced morale, further compromising care standards and workforce stability</w:t>
      </w:r>
      <w:r w:rsidR="007B5B69">
        <w:rPr>
          <w:rFonts w:ascii="Arial" w:hAnsi="Arial" w:cs="Arial"/>
        </w:rPr>
        <w:t xml:space="preserve"> (</w:t>
      </w:r>
      <w:proofErr w:type="spellStart"/>
      <w:r w:rsidR="007B5B69" w:rsidRPr="007B5B69">
        <w:rPr>
          <w:rFonts w:ascii="Arial" w:hAnsi="Arial" w:cs="Arial"/>
        </w:rPr>
        <w:t>Ukonaho</w:t>
      </w:r>
      <w:proofErr w:type="spellEnd"/>
      <w:r w:rsidR="007B5B69">
        <w:rPr>
          <w:rFonts w:ascii="Arial" w:hAnsi="Arial" w:cs="Arial"/>
        </w:rPr>
        <w:t>, 2024)</w:t>
      </w:r>
      <w:r w:rsidRPr="001E2E5D">
        <w:rPr>
          <w:rFonts w:ascii="Arial" w:hAnsi="Arial" w:cs="Arial"/>
        </w:rPr>
        <w:t>.</w:t>
      </w:r>
    </w:p>
    <w:p w14:paraId="4B88D706" w14:textId="797E3D63" w:rsidR="001E2E5D" w:rsidRPr="001E2E5D" w:rsidRDefault="001E2E5D" w:rsidP="001E2E5D">
      <w:pPr>
        <w:spacing w:line="360" w:lineRule="auto"/>
        <w:jc w:val="both"/>
        <w:rPr>
          <w:rFonts w:ascii="Arial" w:hAnsi="Arial" w:cs="Arial"/>
        </w:rPr>
      </w:pPr>
      <w:r w:rsidRPr="001E2E5D">
        <w:rPr>
          <w:rFonts w:ascii="Arial" w:hAnsi="Arial" w:cs="Arial"/>
        </w:rPr>
        <w:t xml:space="preserve">Despite these weaknesses, the SWOT analysis also highlights potential strengths and opportunities. </w:t>
      </w:r>
      <w:r w:rsidRPr="002F5781">
        <w:rPr>
          <w:rFonts w:ascii="Arial" w:hAnsi="Arial" w:cs="Arial"/>
        </w:rPr>
        <w:t>The Trust had committed frontline staff and access to national improvement initiatives such as the Saving Babies’ Lives Care Bundle, offering a foundation for change</w:t>
      </w:r>
      <w:r w:rsidR="002F5781">
        <w:rPr>
          <w:rFonts w:ascii="Arial" w:hAnsi="Arial" w:cs="Arial"/>
        </w:rPr>
        <w:t xml:space="preserve"> (</w:t>
      </w:r>
      <w:r w:rsidR="002F5781" w:rsidRPr="002F5781">
        <w:rPr>
          <w:rFonts w:ascii="Arial" w:hAnsi="Arial" w:cs="Arial"/>
        </w:rPr>
        <w:t>Widdows</w:t>
      </w:r>
      <w:r w:rsidR="002F5781">
        <w:rPr>
          <w:rFonts w:ascii="Arial" w:hAnsi="Arial" w:cs="Arial"/>
        </w:rPr>
        <w:t xml:space="preserve"> et al, 2021)</w:t>
      </w:r>
      <w:r w:rsidRPr="001E2E5D">
        <w:rPr>
          <w:rFonts w:ascii="Arial" w:hAnsi="Arial" w:cs="Arial"/>
        </w:rPr>
        <w:t>. Opportunities included investment in training, improved technology, external regulation, and partnerships with high-performing Trusts</w:t>
      </w:r>
      <w:r w:rsidR="00605B9B">
        <w:rPr>
          <w:rFonts w:ascii="Arial" w:hAnsi="Arial" w:cs="Arial"/>
        </w:rPr>
        <w:t xml:space="preserve"> </w:t>
      </w:r>
      <w:r w:rsidR="00605B9B" w:rsidRPr="001E2E5D">
        <w:rPr>
          <w:rFonts w:ascii="Arial" w:hAnsi="Arial" w:cs="Arial"/>
        </w:rPr>
        <w:t>(Knight and Stanford, 2022)</w:t>
      </w:r>
      <w:r w:rsidRPr="001E2E5D">
        <w:rPr>
          <w:rFonts w:ascii="Arial" w:hAnsi="Arial" w:cs="Arial"/>
        </w:rPr>
        <w:t>. However, threats such as rising litigation costs, negative media attention, and declining staff retention highlighted the urgency of organisational transformation</w:t>
      </w:r>
      <w:r w:rsidR="00605B9B">
        <w:rPr>
          <w:rFonts w:ascii="Arial" w:hAnsi="Arial" w:cs="Arial"/>
        </w:rPr>
        <w:t xml:space="preserve"> (</w:t>
      </w:r>
      <w:proofErr w:type="spellStart"/>
      <w:r w:rsidR="00605B9B" w:rsidRPr="007B5B69">
        <w:rPr>
          <w:rFonts w:ascii="Arial" w:hAnsi="Arial" w:cs="Arial"/>
        </w:rPr>
        <w:t>Ukonaho</w:t>
      </w:r>
      <w:proofErr w:type="spellEnd"/>
      <w:r w:rsidR="00605B9B">
        <w:rPr>
          <w:rFonts w:ascii="Arial" w:hAnsi="Arial" w:cs="Arial"/>
        </w:rPr>
        <w:t>, 2024)</w:t>
      </w:r>
      <w:r w:rsidRPr="001E2E5D">
        <w:rPr>
          <w:rFonts w:ascii="Arial" w:hAnsi="Arial" w:cs="Arial"/>
        </w:rPr>
        <w:t>.</w:t>
      </w:r>
    </w:p>
    <w:p w14:paraId="5BADE236" w14:textId="1934135F" w:rsidR="001E2E5D" w:rsidRPr="001E2E5D" w:rsidRDefault="001E2E5D" w:rsidP="001E2E5D">
      <w:pPr>
        <w:pStyle w:val="Heading2"/>
      </w:pPr>
      <w:bookmarkStart w:id="11" w:name="_Toc216278838"/>
      <w:r>
        <w:t xml:space="preserve">2.7 </w:t>
      </w:r>
      <w:r w:rsidRPr="001E2E5D">
        <w:t>PDSA Model</w:t>
      </w:r>
      <w:bookmarkEnd w:id="11"/>
      <w:r w:rsidRPr="001E2E5D">
        <w:t xml:space="preserve"> </w:t>
      </w:r>
    </w:p>
    <w:p w14:paraId="38CC1413" w14:textId="4D1AA032" w:rsidR="001E2E5D" w:rsidRPr="001E2E5D" w:rsidRDefault="001E2E5D" w:rsidP="001E2E5D">
      <w:pPr>
        <w:spacing w:line="360" w:lineRule="auto"/>
        <w:jc w:val="both"/>
        <w:rPr>
          <w:rFonts w:ascii="Arial" w:hAnsi="Arial" w:cs="Arial"/>
        </w:rPr>
      </w:pPr>
      <w:r w:rsidRPr="001E2E5D">
        <w:rPr>
          <w:rFonts w:ascii="Arial" w:hAnsi="Arial" w:cs="Arial"/>
        </w:rPr>
        <w:t xml:space="preserve">The PDSA (Plan–Do–Study–Act) model supports structured and continuous service improvement within healthcare settings and is </w:t>
      </w:r>
      <w:r>
        <w:rPr>
          <w:rFonts w:ascii="Arial" w:hAnsi="Arial" w:cs="Arial"/>
        </w:rPr>
        <w:t>well-suited</w:t>
      </w:r>
      <w:r w:rsidRPr="001E2E5D">
        <w:rPr>
          <w:rFonts w:ascii="Arial" w:hAnsi="Arial" w:cs="Arial"/>
        </w:rPr>
        <w:t xml:space="preserve"> to addressing systemic failures identified in the Shrewsbury and Telford maternity case. It enables organisations to implement changes in small, manageable stages while evaluating outcomes and adapting improvements over time rather than implementing change reactively (Naz et al., 2022). In this context, the PDSA cycle provides a structured framework to support improvements in clinical governance, communication, </w:t>
      </w:r>
      <w:proofErr w:type="spellStart"/>
      <w:r w:rsidRPr="001E2E5D">
        <w:rPr>
          <w:rFonts w:ascii="Arial" w:hAnsi="Arial" w:cs="Arial"/>
        </w:rPr>
        <w:t>fetal</w:t>
      </w:r>
      <w:proofErr w:type="spellEnd"/>
      <w:r w:rsidRPr="001E2E5D">
        <w:rPr>
          <w:rFonts w:ascii="Arial" w:hAnsi="Arial" w:cs="Arial"/>
        </w:rPr>
        <w:t xml:space="preserve"> monitoring, and escalation pathways</w:t>
      </w:r>
      <w:r w:rsidR="009C6F8D">
        <w:rPr>
          <w:rFonts w:ascii="Arial" w:hAnsi="Arial" w:cs="Arial"/>
        </w:rPr>
        <w:t xml:space="preserve"> (</w:t>
      </w:r>
      <w:r w:rsidR="009C6F8D" w:rsidRPr="009C6F8D">
        <w:rPr>
          <w:rFonts w:ascii="Arial" w:hAnsi="Arial" w:cs="Arial"/>
        </w:rPr>
        <w:t>Ndicunguye</w:t>
      </w:r>
      <w:r w:rsidR="0075028E">
        <w:rPr>
          <w:rFonts w:ascii="Arial" w:hAnsi="Arial" w:cs="Arial"/>
        </w:rPr>
        <w:t xml:space="preserve"> </w:t>
      </w:r>
      <w:r w:rsidR="009C6F8D" w:rsidRPr="009C6F8D">
        <w:rPr>
          <w:rFonts w:ascii="Arial" w:hAnsi="Arial" w:cs="Arial"/>
        </w:rPr>
        <w:t>and Ayadi</w:t>
      </w:r>
      <w:r w:rsidR="009C6F8D">
        <w:rPr>
          <w:rFonts w:ascii="Arial" w:hAnsi="Arial" w:cs="Arial"/>
        </w:rPr>
        <w:t>, 2022)</w:t>
      </w:r>
      <w:r w:rsidRPr="001E2E5D">
        <w:rPr>
          <w:rFonts w:ascii="Arial" w:hAnsi="Arial" w:cs="Arial"/>
        </w:rPr>
        <w:t>.</w:t>
      </w:r>
    </w:p>
    <w:p w14:paraId="716B7E29" w14:textId="1EA3E5B8" w:rsidR="001E2E5D" w:rsidRPr="00FA69AC" w:rsidRDefault="001E2E5D" w:rsidP="001E2E5D">
      <w:pPr>
        <w:spacing w:line="360" w:lineRule="auto"/>
        <w:jc w:val="both"/>
        <w:rPr>
          <w:rFonts w:ascii="Arial" w:hAnsi="Arial" w:cs="Arial"/>
          <w:b/>
          <w:bCs/>
        </w:rPr>
      </w:pPr>
      <w:r w:rsidRPr="001E2E5D">
        <w:rPr>
          <w:rFonts w:ascii="Arial" w:hAnsi="Arial" w:cs="Arial"/>
          <w:b/>
          <w:bCs/>
        </w:rPr>
        <w:t>Plan</w:t>
      </w:r>
      <w:r w:rsidR="00FA69AC">
        <w:rPr>
          <w:rFonts w:ascii="Arial" w:hAnsi="Arial" w:cs="Arial"/>
          <w:b/>
          <w:bCs/>
        </w:rPr>
        <w:t xml:space="preserve">: </w:t>
      </w:r>
      <w:r w:rsidRPr="001E2E5D">
        <w:rPr>
          <w:rFonts w:ascii="Arial" w:hAnsi="Arial" w:cs="Arial"/>
        </w:rPr>
        <w:t xml:space="preserve">In the planning stage, key problems are identified using evidence from audits, incident reports, complaints, and performance data (Naz et al., 2022). For the Trust, this includes failures in </w:t>
      </w:r>
      <w:proofErr w:type="spellStart"/>
      <w:r w:rsidRPr="001E2E5D">
        <w:rPr>
          <w:rFonts w:ascii="Arial" w:hAnsi="Arial" w:cs="Arial"/>
        </w:rPr>
        <w:t>fetal</w:t>
      </w:r>
      <w:proofErr w:type="spellEnd"/>
      <w:r w:rsidRPr="001E2E5D">
        <w:rPr>
          <w:rFonts w:ascii="Arial" w:hAnsi="Arial" w:cs="Arial"/>
        </w:rPr>
        <w:t xml:space="preserve"> monitoring interpretation, unclear escalation processes, weak communication, and inconsistent adherence to national maternity standards (Guta, 2022). Clear improvement objectives would be developed, such as implementing mandatory CTG training, strengthening reporting systems, and redesigning communication protocols during clinical handovers</w:t>
      </w:r>
      <w:r w:rsidR="00C41540">
        <w:rPr>
          <w:rFonts w:ascii="Arial" w:hAnsi="Arial" w:cs="Arial"/>
        </w:rPr>
        <w:t xml:space="preserve"> (</w:t>
      </w:r>
      <w:r w:rsidR="00C41540" w:rsidRPr="009C6F8D">
        <w:rPr>
          <w:rFonts w:ascii="Arial" w:hAnsi="Arial" w:cs="Arial"/>
        </w:rPr>
        <w:t>Ndicunguye</w:t>
      </w:r>
      <w:r w:rsidR="00C41540">
        <w:rPr>
          <w:rFonts w:ascii="Arial" w:hAnsi="Arial" w:cs="Arial"/>
        </w:rPr>
        <w:t xml:space="preserve"> </w:t>
      </w:r>
      <w:r w:rsidR="00C41540" w:rsidRPr="009C6F8D">
        <w:rPr>
          <w:rFonts w:ascii="Arial" w:hAnsi="Arial" w:cs="Arial"/>
        </w:rPr>
        <w:t>and Ayadi</w:t>
      </w:r>
      <w:r w:rsidR="00C41540">
        <w:rPr>
          <w:rFonts w:ascii="Arial" w:hAnsi="Arial" w:cs="Arial"/>
        </w:rPr>
        <w:t>, 2022)</w:t>
      </w:r>
      <w:r w:rsidR="00C41540" w:rsidRPr="001E2E5D">
        <w:rPr>
          <w:rFonts w:ascii="Arial" w:hAnsi="Arial" w:cs="Arial"/>
        </w:rPr>
        <w:t>.</w:t>
      </w:r>
    </w:p>
    <w:p w14:paraId="32E67BBA" w14:textId="2AB9525C" w:rsidR="001E2E5D" w:rsidRPr="00FA69AC" w:rsidRDefault="001E2E5D" w:rsidP="001E2E5D">
      <w:pPr>
        <w:spacing w:line="360" w:lineRule="auto"/>
        <w:jc w:val="both"/>
        <w:rPr>
          <w:rFonts w:ascii="Arial" w:hAnsi="Arial" w:cs="Arial"/>
          <w:b/>
          <w:bCs/>
        </w:rPr>
      </w:pPr>
      <w:r w:rsidRPr="001E2E5D">
        <w:rPr>
          <w:rFonts w:ascii="Arial" w:hAnsi="Arial" w:cs="Arial"/>
          <w:b/>
          <w:bCs/>
        </w:rPr>
        <w:t>Do</w:t>
      </w:r>
      <w:r w:rsidR="00FA69AC">
        <w:rPr>
          <w:rFonts w:ascii="Arial" w:hAnsi="Arial" w:cs="Arial"/>
          <w:b/>
          <w:bCs/>
        </w:rPr>
        <w:t xml:space="preserve">: </w:t>
      </w:r>
      <w:r w:rsidRPr="001E2E5D">
        <w:rPr>
          <w:rFonts w:ascii="Arial" w:hAnsi="Arial" w:cs="Arial"/>
        </w:rPr>
        <w:t>The implementation stage involves rolling out targeted interventions on a small scale to test feasibility and effectiveness (Lowe, 2023). At the Trust, this may include piloting new clinical guidelines, simulation-based emergency training, and digital monitoring tools to support decision-making. Staff engagement and leadership support are essential during this stage to prevent resistance and ensure operational acceptability (Woodland and Carroll, 2022).</w:t>
      </w:r>
    </w:p>
    <w:p w14:paraId="6970F253" w14:textId="4877BCE4" w:rsidR="001E2E5D" w:rsidRPr="00FA69AC" w:rsidRDefault="001E2E5D" w:rsidP="001E2E5D">
      <w:pPr>
        <w:spacing w:line="360" w:lineRule="auto"/>
        <w:jc w:val="both"/>
        <w:rPr>
          <w:rFonts w:ascii="Arial" w:hAnsi="Arial" w:cs="Arial"/>
          <w:b/>
          <w:bCs/>
        </w:rPr>
      </w:pPr>
      <w:r w:rsidRPr="001E2E5D">
        <w:rPr>
          <w:rFonts w:ascii="Arial" w:hAnsi="Arial" w:cs="Arial"/>
          <w:b/>
          <w:bCs/>
        </w:rPr>
        <w:t>Study</w:t>
      </w:r>
      <w:r w:rsidR="00FA69AC">
        <w:rPr>
          <w:rFonts w:ascii="Arial" w:hAnsi="Arial" w:cs="Arial"/>
          <w:b/>
          <w:bCs/>
        </w:rPr>
        <w:t xml:space="preserve">: </w:t>
      </w:r>
      <w:r w:rsidRPr="001E2E5D">
        <w:rPr>
          <w:rFonts w:ascii="Arial" w:hAnsi="Arial" w:cs="Arial"/>
        </w:rPr>
        <w:t>During the Study phase, the effectiveness of changes is evaluated using feedback from families, staff, audit findings and incident analysis (Naz et al., 2022). This reflection enables teams to evaluate whether interventions have improved safety, communication, and clinical consistency, or if further refinement is necessary</w:t>
      </w:r>
      <w:r w:rsidR="00C41540">
        <w:rPr>
          <w:rFonts w:ascii="Arial" w:hAnsi="Arial" w:cs="Arial"/>
        </w:rPr>
        <w:t xml:space="preserve"> (</w:t>
      </w:r>
      <w:r w:rsidR="00C41540" w:rsidRPr="009C6F8D">
        <w:rPr>
          <w:rFonts w:ascii="Arial" w:hAnsi="Arial" w:cs="Arial"/>
        </w:rPr>
        <w:t>Ndicunguye</w:t>
      </w:r>
      <w:r w:rsidR="00C41540">
        <w:rPr>
          <w:rFonts w:ascii="Arial" w:hAnsi="Arial" w:cs="Arial"/>
        </w:rPr>
        <w:t xml:space="preserve"> </w:t>
      </w:r>
      <w:r w:rsidR="00C41540" w:rsidRPr="009C6F8D">
        <w:rPr>
          <w:rFonts w:ascii="Arial" w:hAnsi="Arial" w:cs="Arial"/>
        </w:rPr>
        <w:t>and Ayadi</w:t>
      </w:r>
      <w:r w:rsidR="00C41540">
        <w:rPr>
          <w:rFonts w:ascii="Arial" w:hAnsi="Arial" w:cs="Arial"/>
        </w:rPr>
        <w:t>, 2022)</w:t>
      </w:r>
      <w:r w:rsidR="00C41540" w:rsidRPr="001E2E5D">
        <w:rPr>
          <w:rFonts w:ascii="Arial" w:hAnsi="Arial" w:cs="Arial"/>
        </w:rPr>
        <w:t>.</w:t>
      </w:r>
    </w:p>
    <w:p w14:paraId="6F11C320" w14:textId="70C34636" w:rsidR="001E2E5D" w:rsidRPr="00FA69AC" w:rsidRDefault="001E2E5D" w:rsidP="001E2E5D">
      <w:pPr>
        <w:spacing w:line="360" w:lineRule="auto"/>
        <w:jc w:val="both"/>
        <w:rPr>
          <w:rFonts w:ascii="Arial" w:hAnsi="Arial" w:cs="Arial"/>
          <w:b/>
          <w:bCs/>
        </w:rPr>
      </w:pPr>
      <w:r w:rsidRPr="001E2E5D">
        <w:rPr>
          <w:rFonts w:ascii="Arial" w:hAnsi="Arial" w:cs="Arial"/>
          <w:b/>
          <w:bCs/>
        </w:rPr>
        <w:t>Act</w:t>
      </w:r>
      <w:r w:rsidR="00FA69AC">
        <w:rPr>
          <w:rFonts w:ascii="Arial" w:hAnsi="Arial" w:cs="Arial"/>
          <w:b/>
          <w:bCs/>
        </w:rPr>
        <w:t xml:space="preserve">: </w:t>
      </w:r>
      <w:r w:rsidRPr="001E2E5D">
        <w:rPr>
          <w:rFonts w:ascii="Arial" w:hAnsi="Arial" w:cs="Arial"/>
        </w:rPr>
        <w:t>Finally, in the Act phase, successful interventions are scaled Trust-wide and incorporated into policy and routine practice (</w:t>
      </w:r>
      <w:proofErr w:type="spellStart"/>
      <w:r w:rsidRPr="001E2E5D">
        <w:rPr>
          <w:rFonts w:ascii="Arial" w:hAnsi="Arial" w:cs="Arial"/>
        </w:rPr>
        <w:t>Lokugamage</w:t>
      </w:r>
      <w:proofErr w:type="spellEnd"/>
      <w:r w:rsidRPr="001E2E5D">
        <w:rPr>
          <w:rFonts w:ascii="Arial" w:hAnsi="Arial" w:cs="Arial"/>
        </w:rPr>
        <w:t xml:space="preserve"> et al., 2022). If outcomes do not meet expectations, modifications are made, and the cycle repeats to support long-term improvement and sustained learning</w:t>
      </w:r>
      <w:r w:rsidR="00C41540">
        <w:rPr>
          <w:rFonts w:ascii="Arial" w:hAnsi="Arial" w:cs="Arial"/>
        </w:rPr>
        <w:t xml:space="preserve"> (</w:t>
      </w:r>
      <w:r w:rsidR="00C41540" w:rsidRPr="009C6F8D">
        <w:rPr>
          <w:rFonts w:ascii="Arial" w:hAnsi="Arial" w:cs="Arial"/>
        </w:rPr>
        <w:t>Ndicunguye</w:t>
      </w:r>
      <w:r w:rsidR="00C41540">
        <w:rPr>
          <w:rFonts w:ascii="Arial" w:hAnsi="Arial" w:cs="Arial"/>
        </w:rPr>
        <w:t xml:space="preserve"> </w:t>
      </w:r>
      <w:r w:rsidR="00C41540" w:rsidRPr="009C6F8D">
        <w:rPr>
          <w:rFonts w:ascii="Arial" w:hAnsi="Arial" w:cs="Arial"/>
        </w:rPr>
        <w:t>and Ayadi</w:t>
      </w:r>
      <w:r w:rsidR="00C41540">
        <w:rPr>
          <w:rFonts w:ascii="Arial" w:hAnsi="Arial" w:cs="Arial"/>
        </w:rPr>
        <w:t>, 2022)</w:t>
      </w:r>
      <w:r w:rsidR="00C41540" w:rsidRPr="001E2E5D">
        <w:rPr>
          <w:rFonts w:ascii="Arial" w:hAnsi="Arial" w:cs="Arial"/>
        </w:rPr>
        <w:t>.</w:t>
      </w:r>
    </w:p>
    <w:p w14:paraId="17778263" w14:textId="402EE7CB" w:rsidR="001E2E5D" w:rsidRPr="001E2E5D" w:rsidRDefault="001E2E5D" w:rsidP="001E2E5D">
      <w:pPr>
        <w:pStyle w:val="Heading1"/>
      </w:pPr>
      <w:bookmarkStart w:id="12" w:name="_Toc216278839"/>
      <w:r>
        <w:t xml:space="preserve">3. </w:t>
      </w:r>
      <w:r w:rsidRPr="001E2E5D">
        <w:t>Recommendations</w:t>
      </w:r>
      <w:bookmarkEnd w:id="12"/>
      <w:r w:rsidRPr="001E2E5D">
        <w:t xml:space="preserve"> </w:t>
      </w:r>
    </w:p>
    <w:p w14:paraId="5ED1C8D5" w14:textId="77777777" w:rsidR="001E2E5D" w:rsidRPr="001E2E5D" w:rsidRDefault="001E2E5D" w:rsidP="001E2E5D">
      <w:pPr>
        <w:spacing w:line="360" w:lineRule="auto"/>
        <w:jc w:val="both"/>
        <w:rPr>
          <w:rFonts w:ascii="Arial" w:hAnsi="Arial" w:cs="Arial"/>
        </w:rPr>
      </w:pPr>
      <w:r w:rsidRPr="001E2E5D">
        <w:rPr>
          <w:rFonts w:ascii="Arial" w:hAnsi="Arial" w:cs="Arial"/>
        </w:rPr>
        <w:t>Improving maternity care at the Shrewsbury and Telford Hospital NHS Trust requires comprehensive, system-wide reform grounded in evidence-based quality improvement practice. The following recommendations build on the identified root causes and support sustainable improvements aligned with national maternity safety priorities.</w:t>
      </w:r>
    </w:p>
    <w:p w14:paraId="2FEE35BA" w14:textId="3F256BAA" w:rsidR="001E2E5D" w:rsidRPr="001E2E5D" w:rsidRDefault="001E2E5D" w:rsidP="001E2E5D">
      <w:pPr>
        <w:spacing w:line="360" w:lineRule="auto"/>
        <w:jc w:val="both"/>
        <w:rPr>
          <w:rFonts w:ascii="Arial" w:hAnsi="Arial" w:cs="Arial"/>
          <w:b/>
          <w:bCs/>
        </w:rPr>
      </w:pPr>
      <w:r w:rsidRPr="001E2E5D">
        <w:rPr>
          <w:rFonts w:ascii="Arial" w:hAnsi="Arial" w:cs="Arial"/>
          <w:b/>
          <w:bCs/>
        </w:rPr>
        <w:t>Strengthening Clinical Governance and Accountability</w:t>
      </w:r>
      <w:r>
        <w:rPr>
          <w:rFonts w:ascii="Arial" w:hAnsi="Arial" w:cs="Arial"/>
          <w:b/>
          <w:bCs/>
        </w:rPr>
        <w:t xml:space="preserve">: </w:t>
      </w:r>
      <w:r w:rsidRPr="001E2E5D">
        <w:rPr>
          <w:rFonts w:ascii="Arial" w:hAnsi="Arial" w:cs="Arial"/>
        </w:rPr>
        <w:t>Strengthening governance is essential to improving safety and preventing recurrence of avoidable harm. A clearer governance framework should ensure leadership accountability, improved oversight and consistent adherence to national maternity safety standards. Establishing regular external audits and independent review panels will promote transparency and early identification of risks</w:t>
      </w:r>
      <w:r w:rsidR="00F84AE6">
        <w:rPr>
          <w:rFonts w:ascii="Arial" w:hAnsi="Arial" w:cs="Arial"/>
        </w:rPr>
        <w:t xml:space="preserve"> (</w:t>
      </w:r>
      <w:r w:rsidR="00F84AE6" w:rsidRPr="00F84AE6">
        <w:rPr>
          <w:rFonts w:ascii="Arial" w:hAnsi="Arial" w:cs="Arial"/>
        </w:rPr>
        <w:t>McGowan</w:t>
      </w:r>
      <w:r w:rsidR="00F84AE6">
        <w:rPr>
          <w:rFonts w:ascii="Arial" w:hAnsi="Arial" w:cs="Arial"/>
        </w:rPr>
        <w:t xml:space="preserve"> et al, 2024)</w:t>
      </w:r>
      <w:r w:rsidRPr="001E2E5D">
        <w:rPr>
          <w:rFonts w:ascii="Arial" w:hAnsi="Arial" w:cs="Arial"/>
        </w:rPr>
        <w:t xml:space="preserve">. Ensuring governance is embedded at both </w:t>
      </w:r>
      <w:r>
        <w:rPr>
          <w:rFonts w:ascii="Arial" w:hAnsi="Arial" w:cs="Arial"/>
        </w:rPr>
        <w:t xml:space="preserve">the </w:t>
      </w:r>
      <w:r w:rsidRPr="001E2E5D">
        <w:rPr>
          <w:rFonts w:ascii="Arial" w:hAnsi="Arial" w:cs="Arial"/>
        </w:rPr>
        <w:t xml:space="preserve">board and clinical team </w:t>
      </w:r>
      <w:r>
        <w:rPr>
          <w:rFonts w:ascii="Arial" w:hAnsi="Arial" w:cs="Arial"/>
        </w:rPr>
        <w:t>levels</w:t>
      </w:r>
      <w:r w:rsidRPr="001E2E5D">
        <w:rPr>
          <w:rFonts w:ascii="Arial" w:hAnsi="Arial" w:cs="Arial"/>
        </w:rPr>
        <w:t xml:space="preserve"> will allow risks to be escalated quickly and addressed systematically rather than reactively</w:t>
      </w:r>
      <w:r w:rsidR="00BD3A23">
        <w:rPr>
          <w:rFonts w:ascii="Arial" w:hAnsi="Arial" w:cs="Arial"/>
        </w:rPr>
        <w:t xml:space="preserve"> (</w:t>
      </w:r>
      <w:r w:rsidR="00BD3A23" w:rsidRPr="00BD3A23">
        <w:rPr>
          <w:rFonts w:ascii="Arial" w:hAnsi="Arial" w:cs="Arial"/>
        </w:rPr>
        <w:t>Darley</w:t>
      </w:r>
      <w:r w:rsidR="00BD3A23">
        <w:rPr>
          <w:rFonts w:ascii="Arial" w:hAnsi="Arial" w:cs="Arial"/>
        </w:rPr>
        <w:t xml:space="preserve"> et al, 2018)</w:t>
      </w:r>
      <w:r w:rsidRPr="001E2E5D">
        <w:rPr>
          <w:rFonts w:ascii="Arial" w:hAnsi="Arial" w:cs="Arial"/>
        </w:rPr>
        <w:t>.</w:t>
      </w:r>
    </w:p>
    <w:p w14:paraId="0B13E786" w14:textId="36C96818" w:rsidR="001E2E5D" w:rsidRPr="001E2E5D" w:rsidRDefault="001E2E5D" w:rsidP="001E2E5D">
      <w:pPr>
        <w:spacing w:line="360" w:lineRule="auto"/>
        <w:jc w:val="both"/>
        <w:rPr>
          <w:rFonts w:ascii="Arial" w:hAnsi="Arial" w:cs="Arial"/>
          <w:b/>
          <w:bCs/>
        </w:rPr>
      </w:pPr>
      <w:r w:rsidRPr="001E2E5D">
        <w:rPr>
          <w:rFonts w:ascii="Arial" w:hAnsi="Arial" w:cs="Arial"/>
          <w:b/>
          <w:bCs/>
        </w:rPr>
        <w:t>Workforce Development and Competency-Based Training</w:t>
      </w:r>
      <w:r>
        <w:rPr>
          <w:rFonts w:ascii="Arial" w:hAnsi="Arial" w:cs="Arial"/>
          <w:b/>
          <w:bCs/>
        </w:rPr>
        <w:t xml:space="preserve">:  </w:t>
      </w:r>
      <w:r w:rsidRPr="001E2E5D">
        <w:rPr>
          <w:rFonts w:ascii="Arial" w:hAnsi="Arial" w:cs="Arial"/>
        </w:rPr>
        <w:t xml:space="preserve">Mandatory ongoing training is critical to ensuring clinicians possess the necessary confidence and competency in </w:t>
      </w:r>
      <w:proofErr w:type="spellStart"/>
      <w:r w:rsidRPr="001E2E5D">
        <w:rPr>
          <w:rFonts w:ascii="Arial" w:hAnsi="Arial" w:cs="Arial"/>
        </w:rPr>
        <w:t>fetal</w:t>
      </w:r>
      <w:proofErr w:type="spellEnd"/>
      <w:r w:rsidRPr="001E2E5D">
        <w:rPr>
          <w:rFonts w:ascii="Arial" w:hAnsi="Arial" w:cs="Arial"/>
        </w:rPr>
        <w:t xml:space="preserve"> monitoring, escalation, and emergency response. Annual CTG interpretation assessments and simulation-based multidisciplinary drills should be standard practice to reduce variation in skill levels</w:t>
      </w:r>
      <w:r w:rsidR="00517A3C">
        <w:rPr>
          <w:rFonts w:ascii="Arial" w:hAnsi="Arial" w:cs="Arial"/>
        </w:rPr>
        <w:t xml:space="preserve"> (</w:t>
      </w:r>
      <w:r w:rsidR="00517A3C" w:rsidRPr="00BD3A23">
        <w:rPr>
          <w:rFonts w:ascii="Arial" w:hAnsi="Arial" w:cs="Arial"/>
        </w:rPr>
        <w:t>Darley</w:t>
      </w:r>
      <w:r w:rsidR="00517A3C">
        <w:rPr>
          <w:rFonts w:ascii="Arial" w:hAnsi="Arial" w:cs="Arial"/>
        </w:rPr>
        <w:t xml:space="preserve"> et al, 2018)</w:t>
      </w:r>
      <w:r w:rsidRPr="001E2E5D">
        <w:rPr>
          <w:rFonts w:ascii="Arial" w:hAnsi="Arial" w:cs="Arial"/>
        </w:rPr>
        <w:t>. Workforce planning must also ensure safe staffing ratios, appropriate skill mix and senior obstetric oversight. Reducing workload pressures can minimise burnout, improve decision-making and support teamwork</w:t>
      </w:r>
      <w:r w:rsidR="0005519B">
        <w:rPr>
          <w:rFonts w:ascii="Arial" w:hAnsi="Arial" w:cs="Arial"/>
        </w:rPr>
        <w:t xml:space="preserve"> (</w:t>
      </w:r>
      <w:r w:rsidR="0005519B" w:rsidRPr="0005519B">
        <w:rPr>
          <w:rFonts w:ascii="Arial" w:hAnsi="Arial" w:cs="Arial"/>
        </w:rPr>
        <w:t>Shah</w:t>
      </w:r>
      <w:r w:rsidR="0005519B">
        <w:rPr>
          <w:rFonts w:ascii="Arial" w:hAnsi="Arial" w:cs="Arial"/>
        </w:rPr>
        <w:t xml:space="preserve"> et al, 2015)</w:t>
      </w:r>
      <w:r w:rsidRPr="001E2E5D">
        <w:rPr>
          <w:rFonts w:ascii="Arial" w:hAnsi="Arial" w:cs="Arial"/>
        </w:rPr>
        <w:t>.</w:t>
      </w:r>
    </w:p>
    <w:p w14:paraId="10A5F968" w14:textId="018322C1" w:rsidR="001E2E5D" w:rsidRPr="001E2E5D" w:rsidRDefault="001E2E5D" w:rsidP="001E2E5D">
      <w:pPr>
        <w:spacing w:line="360" w:lineRule="auto"/>
        <w:jc w:val="both"/>
        <w:rPr>
          <w:rFonts w:ascii="Arial" w:hAnsi="Arial" w:cs="Arial"/>
          <w:b/>
          <w:bCs/>
        </w:rPr>
      </w:pPr>
      <w:r w:rsidRPr="001E2E5D">
        <w:rPr>
          <w:rFonts w:ascii="Arial" w:hAnsi="Arial" w:cs="Arial"/>
          <w:b/>
          <w:bCs/>
        </w:rPr>
        <w:t>Improving Escalation Pathways and Clinical Processes</w:t>
      </w:r>
      <w:r>
        <w:rPr>
          <w:rFonts w:ascii="Arial" w:hAnsi="Arial" w:cs="Arial"/>
          <w:b/>
          <w:bCs/>
        </w:rPr>
        <w:t xml:space="preserve">:  </w:t>
      </w:r>
      <w:r w:rsidRPr="001E2E5D">
        <w:rPr>
          <w:rFonts w:ascii="Arial" w:hAnsi="Arial" w:cs="Arial"/>
        </w:rPr>
        <w:t>Clear escalation pathways must be embedded in practice to ensure timely responses to clinical deterioration. Consistent use of standardised communication tools, such as the SBAR framework, during handovers and emergencies will support accuracy and reduce avoidable miscommunication. These improvements will help ensure consistency, reduce variation and increase the reliability of clinical decision-making across teams</w:t>
      </w:r>
      <w:r w:rsidR="00ED7F76">
        <w:rPr>
          <w:rFonts w:ascii="Arial" w:hAnsi="Arial" w:cs="Arial"/>
        </w:rPr>
        <w:t xml:space="preserve"> (</w:t>
      </w:r>
      <w:r w:rsidR="00ED7F76" w:rsidRPr="00ED7F76">
        <w:rPr>
          <w:rFonts w:ascii="Arial" w:hAnsi="Arial" w:cs="Arial"/>
        </w:rPr>
        <w:t>Allen</w:t>
      </w:r>
      <w:r w:rsidR="00ED7F76">
        <w:rPr>
          <w:rFonts w:ascii="Arial" w:hAnsi="Arial" w:cs="Arial"/>
        </w:rPr>
        <w:t xml:space="preserve"> et al, 2020)</w:t>
      </w:r>
      <w:r w:rsidRPr="001E2E5D">
        <w:rPr>
          <w:rFonts w:ascii="Arial" w:hAnsi="Arial" w:cs="Arial"/>
        </w:rPr>
        <w:t>.</w:t>
      </w:r>
    </w:p>
    <w:p w14:paraId="0847A7F0" w14:textId="2DAAA05E" w:rsidR="001E2E5D" w:rsidRPr="00411E7D" w:rsidRDefault="001E2E5D" w:rsidP="001E2E5D">
      <w:pPr>
        <w:spacing w:line="360" w:lineRule="auto"/>
        <w:jc w:val="both"/>
        <w:rPr>
          <w:rFonts w:ascii="Arial" w:hAnsi="Arial" w:cs="Arial"/>
          <w:b/>
          <w:bCs/>
        </w:rPr>
      </w:pPr>
      <w:r w:rsidRPr="00411E7D">
        <w:rPr>
          <w:rFonts w:ascii="Arial" w:hAnsi="Arial" w:cs="Arial"/>
          <w:b/>
          <w:bCs/>
        </w:rPr>
        <w:t>Embedding a Positive Safety Culture</w:t>
      </w:r>
      <w:r w:rsidR="00411E7D">
        <w:rPr>
          <w:rFonts w:ascii="Arial" w:hAnsi="Arial" w:cs="Arial"/>
          <w:b/>
          <w:bCs/>
        </w:rPr>
        <w:t xml:space="preserve">: </w:t>
      </w:r>
      <w:r w:rsidRPr="001E2E5D">
        <w:rPr>
          <w:rFonts w:ascii="Arial" w:hAnsi="Arial" w:cs="Arial"/>
        </w:rPr>
        <w:t>A Just Culture approach should be implemented to replace blame with learning while still maintaining accountability. When staff feel psychologically safe, reporting incidents and near misses becomes routine rather than avoided</w:t>
      </w:r>
      <w:r w:rsidR="00517A3C">
        <w:rPr>
          <w:rFonts w:ascii="Arial" w:hAnsi="Arial" w:cs="Arial"/>
        </w:rPr>
        <w:t xml:space="preserve"> (</w:t>
      </w:r>
      <w:r w:rsidR="00517A3C" w:rsidRPr="00BD3A23">
        <w:rPr>
          <w:rFonts w:ascii="Arial" w:hAnsi="Arial" w:cs="Arial"/>
        </w:rPr>
        <w:t>Darley</w:t>
      </w:r>
      <w:r w:rsidR="00517A3C">
        <w:rPr>
          <w:rFonts w:ascii="Arial" w:hAnsi="Arial" w:cs="Arial"/>
        </w:rPr>
        <w:t xml:space="preserve"> et al, 2018)</w:t>
      </w:r>
      <w:r w:rsidRPr="001E2E5D">
        <w:rPr>
          <w:rFonts w:ascii="Arial" w:hAnsi="Arial" w:cs="Arial"/>
        </w:rPr>
        <w:t>. To enable this, leaders must demonstrate openness, model responsive behaviours</w:t>
      </w:r>
      <w:r w:rsidR="00411E7D">
        <w:rPr>
          <w:rFonts w:ascii="Arial" w:hAnsi="Arial" w:cs="Arial"/>
        </w:rPr>
        <w:t>,</w:t>
      </w:r>
      <w:r w:rsidRPr="001E2E5D">
        <w:rPr>
          <w:rFonts w:ascii="Arial" w:hAnsi="Arial" w:cs="Arial"/>
        </w:rPr>
        <w:t xml:space="preserve"> and visibly support staff raising concerns. Embedding a safety culture is essential for creating conditions where continuous improvement thrives</w:t>
      </w:r>
      <w:r w:rsidR="00C611A4">
        <w:rPr>
          <w:rFonts w:ascii="Arial" w:hAnsi="Arial" w:cs="Arial"/>
        </w:rPr>
        <w:t xml:space="preserve"> (</w:t>
      </w:r>
      <w:r w:rsidR="00C611A4" w:rsidRPr="00C611A4">
        <w:rPr>
          <w:rFonts w:ascii="Arial" w:hAnsi="Arial" w:cs="Arial"/>
        </w:rPr>
        <w:t>Crowe</w:t>
      </w:r>
      <w:r w:rsidR="00C611A4">
        <w:rPr>
          <w:rFonts w:ascii="Arial" w:hAnsi="Arial" w:cs="Arial"/>
        </w:rPr>
        <w:t xml:space="preserve"> and Manley, 2019)</w:t>
      </w:r>
      <w:r w:rsidRPr="001E2E5D">
        <w:rPr>
          <w:rFonts w:ascii="Arial" w:hAnsi="Arial" w:cs="Arial"/>
        </w:rPr>
        <w:t>.</w:t>
      </w:r>
    </w:p>
    <w:p w14:paraId="35B9BFA1" w14:textId="5870B1E7" w:rsidR="001E2E5D" w:rsidRPr="00411E7D" w:rsidRDefault="001E2E5D" w:rsidP="001E2E5D">
      <w:pPr>
        <w:spacing w:line="360" w:lineRule="auto"/>
        <w:jc w:val="both"/>
        <w:rPr>
          <w:rFonts w:ascii="Arial" w:hAnsi="Arial" w:cs="Arial"/>
          <w:b/>
          <w:bCs/>
        </w:rPr>
      </w:pPr>
      <w:r w:rsidRPr="00411E7D">
        <w:rPr>
          <w:rFonts w:ascii="Arial" w:hAnsi="Arial" w:cs="Arial"/>
          <w:b/>
          <w:bCs/>
        </w:rPr>
        <w:t>Enhancing Incident Reporting and Learning Systems</w:t>
      </w:r>
      <w:r w:rsidR="00411E7D">
        <w:rPr>
          <w:rFonts w:ascii="Arial" w:hAnsi="Arial" w:cs="Arial"/>
          <w:b/>
          <w:bCs/>
        </w:rPr>
        <w:t xml:space="preserve">:  </w:t>
      </w:r>
      <w:r w:rsidRPr="001E2E5D">
        <w:rPr>
          <w:rFonts w:ascii="Arial" w:hAnsi="Arial" w:cs="Arial"/>
        </w:rPr>
        <w:t>Incident reporting systems must be improved to support transparency and effective learning. Clear feedback loops help staff understand actions taken following reported concerns and encourage engagement with reporting systems. Lessons learned should be shared across the service through regular learning meetings and reflective practice sessions to reinforce improvement as a shared responsibility</w:t>
      </w:r>
      <w:r w:rsidR="00517A3C">
        <w:rPr>
          <w:rFonts w:ascii="Arial" w:hAnsi="Arial" w:cs="Arial"/>
        </w:rPr>
        <w:t xml:space="preserve"> (</w:t>
      </w:r>
      <w:r w:rsidR="00517A3C" w:rsidRPr="00F84AE6">
        <w:rPr>
          <w:rFonts w:ascii="Arial" w:hAnsi="Arial" w:cs="Arial"/>
        </w:rPr>
        <w:t>McGowan</w:t>
      </w:r>
      <w:r w:rsidR="00517A3C">
        <w:rPr>
          <w:rFonts w:ascii="Arial" w:hAnsi="Arial" w:cs="Arial"/>
        </w:rPr>
        <w:t xml:space="preserve"> et al, 2024)</w:t>
      </w:r>
      <w:r w:rsidRPr="001E2E5D">
        <w:rPr>
          <w:rFonts w:ascii="Arial" w:hAnsi="Arial" w:cs="Arial"/>
        </w:rPr>
        <w:t>.</w:t>
      </w:r>
    </w:p>
    <w:p w14:paraId="42C6BBFF" w14:textId="435F1ACB" w:rsidR="001E2E5D" w:rsidRPr="006D75AD" w:rsidRDefault="001E2E5D" w:rsidP="001E2E5D">
      <w:pPr>
        <w:spacing w:line="360" w:lineRule="auto"/>
        <w:jc w:val="both"/>
        <w:rPr>
          <w:rFonts w:ascii="Arial" w:hAnsi="Arial" w:cs="Arial"/>
          <w:b/>
          <w:bCs/>
        </w:rPr>
      </w:pPr>
      <w:r w:rsidRPr="006D75AD">
        <w:rPr>
          <w:rFonts w:ascii="Arial" w:hAnsi="Arial" w:cs="Arial"/>
          <w:b/>
          <w:bCs/>
        </w:rPr>
        <w:t>Digital Transformation and Technology Integration</w:t>
      </w:r>
      <w:r w:rsidR="006D75AD">
        <w:rPr>
          <w:rFonts w:ascii="Arial" w:hAnsi="Arial" w:cs="Arial"/>
          <w:b/>
          <w:bCs/>
        </w:rPr>
        <w:t xml:space="preserve">: </w:t>
      </w:r>
      <w:r w:rsidRPr="001E2E5D">
        <w:rPr>
          <w:rFonts w:ascii="Arial" w:hAnsi="Arial" w:cs="Arial"/>
        </w:rPr>
        <w:t xml:space="preserve">Modernising digital infrastructure can improve decision-making reliability and reduce clinical risk. Introducing electronic </w:t>
      </w:r>
      <w:proofErr w:type="spellStart"/>
      <w:r w:rsidRPr="001E2E5D">
        <w:rPr>
          <w:rFonts w:ascii="Arial" w:hAnsi="Arial" w:cs="Arial"/>
        </w:rPr>
        <w:t>fetal</w:t>
      </w:r>
      <w:proofErr w:type="spellEnd"/>
      <w:r w:rsidRPr="001E2E5D">
        <w:rPr>
          <w:rFonts w:ascii="Arial" w:hAnsi="Arial" w:cs="Arial"/>
        </w:rPr>
        <w:t xml:space="preserve"> monitoring tools with automated alerts and decision-support prompts can help clinicians detect risk earlier</w:t>
      </w:r>
      <w:r w:rsidR="00517A3C">
        <w:rPr>
          <w:rFonts w:ascii="Arial" w:hAnsi="Arial" w:cs="Arial"/>
        </w:rPr>
        <w:t xml:space="preserve"> (</w:t>
      </w:r>
      <w:r w:rsidR="00517A3C" w:rsidRPr="0005519B">
        <w:rPr>
          <w:rFonts w:ascii="Arial" w:hAnsi="Arial" w:cs="Arial"/>
        </w:rPr>
        <w:t>Shah</w:t>
      </w:r>
      <w:r w:rsidR="00517A3C">
        <w:rPr>
          <w:rFonts w:ascii="Arial" w:hAnsi="Arial" w:cs="Arial"/>
        </w:rPr>
        <w:t xml:space="preserve"> et al, 2015)</w:t>
      </w:r>
      <w:r w:rsidRPr="001E2E5D">
        <w:rPr>
          <w:rFonts w:ascii="Arial" w:hAnsi="Arial" w:cs="Arial"/>
        </w:rPr>
        <w:t>. Standardising digital maternity records will support continuity of care, reduce documentation gaps and improve real-time information sharing across the multidisciplinary team</w:t>
      </w:r>
      <w:r w:rsidR="00517A3C">
        <w:rPr>
          <w:rFonts w:ascii="Arial" w:hAnsi="Arial" w:cs="Arial"/>
        </w:rPr>
        <w:t xml:space="preserve"> (</w:t>
      </w:r>
      <w:r w:rsidR="00517A3C" w:rsidRPr="00BD3A23">
        <w:rPr>
          <w:rFonts w:ascii="Arial" w:hAnsi="Arial" w:cs="Arial"/>
        </w:rPr>
        <w:t>Darley</w:t>
      </w:r>
      <w:r w:rsidR="00517A3C">
        <w:rPr>
          <w:rFonts w:ascii="Arial" w:hAnsi="Arial" w:cs="Arial"/>
        </w:rPr>
        <w:t xml:space="preserve"> et al, 2018)</w:t>
      </w:r>
      <w:r w:rsidRPr="001E2E5D">
        <w:rPr>
          <w:rFonts w:ascii="Arial" w:hAnsi="Arial" w:cs="Arial"/>
        </w:rPr>
        <w:t>.</w:t>
      </w:r>
    </w:p>
    <w:p w14:paraId="3985FB20" w14:textId="37C4F671" w:rsidR="001E2E5D" w:rsidRPr="00121EDD" w:rsidRDefault="001E2E5D" w:rsidP="001E2E5D">
      <w:pPr>
        <w:spacing w:line="360" w:lineRule="auto"/>
        <w:jc w:val="both"/>
        <w:rPr>
          <w:rFonts w:ascii="Arial" w:hAnsi="Arial" w:cs="Arial"/>
          <w:b/>
          <w:bCs/>
        </w:rPr>
      </w:pPr>
      <w:r w:rsidRPr="00121EDD">
        <w:rPr>
          <w:rFonts w:ascii="Arial" w:hAnsi="Arial" w:cs="Arial"/>
          <w:b/>
          <w:bCs/>
        </w:rPr>
        <w:t>Applying Continuous Quality Improvement Methodologies</w:t>
      </w:r>
      <w:r w:rsidR="00121EDD">
        <w:rPr>
          <w:rFonts w:ascii="Arial" w:hAnsi="Arial" w:cs="Arial"/>
          <w:b/>
          <w:bCs/>
        </w:rPr>
        <w:t xml:space="preserve">: </w:t>
      </w:r>
      <w:r w:rsidRPr="001E2E5D">
        <w:rPr>
          <w:rFonts w:ascii="Arial" w:hAnsi="Arial" w:cs="Arial"/>
        </w:rPr>
        <w:t>The PDSA cycle should guide implementation of improvements in manageable stages, enabling testing, evaluation and refinement before wider rollout</w:t>
      </w:r>
      <w:r w:rsidR="00517A3C">
        <w:rPr>
          <w:rFonts w:ascii="Arial" w:hAnsi="Arial" w:cs="Arial"/>
        </w:rPr>
        <w:t xml:space="preserve"> (</w:t>
      </w:r>
      <w:r w:rsidR="00517A3C" w:rsidRPr="00ED7F76">
        <w:rPr>
          <w:rFonts w:ascii="Arial" w:hAnsi="Arial" w:cs="Arial"/>
        </w:rPr>
        <w:t>Allen</w:t>
      </w:r>
      <w:r w:rsidR="00517A3C">
        <w:rPr>
          <w:rFonts w:ascii="Arial" w:hAnsi="Arial" w:cs="Arial"/>
        </w:rPr>
        <w:t xml:space="preserve"> et al, 2020)</w:t>
      </w:r>
      <w:r w:rsidRPr="001E2E5D">
        <w:rPr>
          <w:rFonts w:ascii="Arial" w:hAnsi="Arial" w:cs="Arial"/>
        </w:rPr>
        <w:t>. Lean and Six Sigma methodologies can support standardisation, reduce inefficiencies and enhance process reliability. Regular evaluation ensures improvements remain aligned with service needs and emerging evidence, supporting long-term sustainability</w:t>
      </w:r>
      <w:r w:rsidR="00517A3C">
        <w:rPr>
          <w:rFonts w:ascii="Arial" w:hAnsi="Arial" w:cs="Arial"/>
        </w:rPr>
        <w:t xml:space="preserve"> (</w:t>
      </w:r>
      <w:r w:rsidR="00517A3C" w:rsidRPr="0005519B">
        <w:rPr>
          <w:rFonts w:ascii="Arial" w:hAnsi="Arial" w:cs="Arial"/>
        </w:rPr>
        <w:t>Shah</w:t>
      </w:r>
      <w:r w:rsidR="00517A3C">
        <w:rPr>
          <w:rFonts w:ascii="Arial" w:hAnsi="Arial" w:cs="Arial"/>
        </w:rPr>
        <w:t xml:space="preserve"> et al, 2015)</w:t>
      </w:r>
      <w:r w:rsidRPr="001E2E5D">
        <w:rPr>
          <w:rFonts w:ascii="Arial" w:hAnsi="Arial" w:cs="Arial"/>
        </w:rPr>
        <w:t>.</w:t>
      </w:r>
    </w:p>
    <w:p w14:paraId="68A089BC" w14:textId="1ABB00EE" w:rsidR="001E2E5D" w:rsidRPr="00121EDD" w:rsidRDefault="001E2E5D" w:rsidP="001E2E5D">
      <w:pPr>
        <w:spacing w:line="360" w:lineRule="auto"/>
        <w:jc w:val="both"/>
        <w:rPr>
          <w:rFonts w:ascii="Arial" w:hAnsi="Arial" w:cs="Arial"/>
          <w:b/>
          <w:bCs/>
        </w:rPr>
      </w:pPr>
      <w:r w:rsidRPr="00121EDD">
        <w:rPr>
          <w:rFonts w:ascii="Arial" w:hAnsi="Arial" w:cs="Arial"/>
          <w:b/>
          <w:bCs/>
        </w:rPr>
        <w:t>Improving Patient and Family Engagement</w:t>
      </w:r>
      <w:r w:rsidR="00121EDD">
        <w:rPr>
          <w:rFonts w:ascii="Arial" w:hAnsi="Arial" w:cs="Arial"/>
          <w:b/>
          <w:bCs/>
        </w:rPr>
        <w:t xml:space="preserve">: </w:t>
      </w:r>
      <w:r w:rsidRPr="001E2E5D">
        <w:rPr>
          <w:rFonts w:ascii="Arial" w:hAnsi="Arial" w:cs="Arial"/>
        </w:rPr>
        <w:t>Co-production with parents, including families affected by preventable harm, should be embedded into service improvement processes. Patient voice should be incorporated into decision-making through advisory boards, feedback mechanisms and maternity partnership networks. This ensures improvements remain grounded in lived experience rather than organisational assumptions</w:t>
      </w:r>
      <w:r w:rsidR="00517A3C">
        <w:rPr>
          <w:rFonts w:ascii="Arial" w:hAnsi="Arial" w:cs="Arial"/>
        </w:rPr>
        <w:t xml:space="preserve"> (</w:t>
      </w:r>
      <w:r w:rsidR="00517A3C" w:rsidRPr="00ED7F76">
        <w:rPr>
          <w:rFonts w:ascii="Arial" w:hAnsi="Arial" w:cs="Arial"/>
        </w:rPr>
        <w:t>Allen</w:t>
      </w:r>
      <w:r w:rsidR="00517A3C">
        <w:rPr>
          <w:rFonts w:ascii="Arial" w:hAnsi="Arial" w:cs="Arial"/>
        </w:rPr>
        <w:t xml:space="preserve"> et al, 2020)</w:t>
      </w:r>
      <w:r w:rsidRPr="001E2E5D">
        <w:rPr>
          <w:rFonts w:ascii="Arial" w:hAnsi="Arial" w:cs="Arial"/>
        </w:rPr>
        <w:t>.</w:t>
      </w:r>
    </w:p>
    <w:p w14:paraId="77ED2BBF" w14:textId="5F9A6E1A" w:rsidR="001E2E5D" w:rsidRPr="00121EDD" w:rsidRDefault="001E2E5D" w:rsidP="001E2E5D">
      <w:pPr>
        <w:spacing w:line="360" w:lineRule="auto"/>
        <w:jc w:val="both"/>
        <w:rPr>
          <w:rFonts w:ascii="Arial" w:hAnsi="Arial" w:cs="Arial"/>
          <w:b/>
          <w:bCs/>
        </w:rPr>
      </w:pPr>
      <w:r w:rsidRPr="00121EDD">
        <w:rPr>
          <w:rFonts w:ascii="Arial" w:hAnsi="Arial" w:cs="Arial"/>
          <w:b/>
          <w:bCs/>
        </w:rPr>
        <w:t>Reducing Inequalities and Strengthening Equity</w:t>
      </w:r>
      <w:r w:rsidR="00121EDD">
        <w:rPr>
          <w:rFonts w:ascii="Arial" w:hAnsi="Arial" w:cs="Arial"/>
          <w:b/>
          <w:bCs/>
        </w:rPr>
        <w:t xml:space="preserve">: </w:t>
      </w:r>
      <w:r w:rsidRPr="001E2E5D">
        <w:rPr>
          <w:rFonts w:ascii="Arial" w:hAnsi="Arial" w:cs="Arial"/>
        </w:rPr>
        <w:t>Equity monitoring should be implemented to identify disparities in care based on ethnicity, socioeconomic status or other demographic factors. Culturally sensitive care training will help staff deliver inclusive care and reduce variation in experience and outcomes</w:t>
      </w:r>
      <w:r w:rsidR="00517A3C">
        <w:rPr>
          <w:rFonts w:ascii="Arial" w:hAnsi="Arial" w:cs="Arial"/>
        </w:rPr>
        <w:t xml:space="preserve"> (</w:t>
      </w:r>
      <w:r w:rsidR="00517A3C" w:rsidRPr="0005519B">
        <w:rPr>
          <w:rFonts w:ascii="Arial" w:hAnsi="Arial" w:cs="Arial"/>
        </w:rPr>
        <w:t>Shah</w:t>
      </w:r>
      <w:r w:rsidR="00517A3C">
        <w:rPr>
          <w:rFonts w:ascii="Arial" w:hAnsi="Arial" w:cs="Arial"/>
        </w:rPr>
        <w:t xml:space="preserve"> et al, 2015)</w:t>
      </w:r>
      <w:r w:rsidRPr="001E2E5D">
        <w:rPr>
          <w:rFonts w:ascii="Arial" w:hAnsi="Arial" w:cs="Arial"/>
        </w:rPr>
        <w:t>.</w:t>
      </w:r>
    </w:p>
    <w:p w14:paraId="7CB84546" w14:textId="11A74713" w:rsidR="001E2E5D" w:rsidRPr="00121EDD" w:rsidRDefault="001E2E5D" w:rsidP="001E2E5D">
      <w:pPr>
        <w:spacing w:line="360" w:lineRule="auto"/>
        <w:jc w:val="both"/>
        <w:rPr>
          <w:rFonts w:ascii="Arial" w:hAnsi="Arial" w:cs="Arial"/>
          <w:b/>
          <w:bCs/>
        </w:rPr>
      </w:pPr>
      <w:r w:rsidRPr="00121EDD">
        <w:rPr>
          <w:rFonts w:ascii="Arial" w:hAnsi="Arial" w:cs="Arial"/>
          <w:b/>
          <w:bCs/>
        </w:rPr>
        <w:t xml:space="preserve">Supporting Staff </w:t>
      </w:r>
      <w:r w:rsidR="00517A3C">
        <w:rPr>
          <w:rFonts w:ascii="Arial" w:hAnsi="Arial" w:cs="Arial"/>
          <w:b/>
          <w:bCs/>
        </w:rPr>
        <w:t>Well-being</w:t>
      </w:r>
      <w:r w:rsidRPr="00121EDD">
        <w:rPr>
          <w:rFonts w:ascii="Arial" w:hAnsi="Arial" w:cs="Arial"/>
          <w:b/>
          <w:bCs/>
        </w:rPr>
        <w:t xml:space="preserve"> and Retention</w:t>
      </w:r>
      <w:r w:rsidR="00121EDD">
        <w:rPr>
          <w:rFonts w:ascii="Arial" w:hAnsi="Arial" w:cs="Arial"/>
          <w:b/>
          <w:bCs/>
        </w:rPr>
        <w:t xml:space="preserve">: </w:t>
      </w:r>
      <w:r w:rsidRPr="001E2E5D">
        <w:rPr>
          <w:rFonts w:ascii="Arial" w:hAnsi="Arial" w:cs="Arial"/>
        </w:rPr>
        <w:t xml:space="preserve">Staff </w:t>
      </w:r>
      <w:r w:rsidR="00121EDD">
        <w:rPr>
          <w:rFonts w:ascii="Arial" w:hAnsi="Arial" w:cs="Arial"/>
        </w:rPr>
        <w:t>well-being</w:t>
      </w:r>
      <w:r w:rsidRPr="001E2E5D">
        <w:rPr>
          <w:rFonts w:ascii="Arial" w:hAnsi="Arial" w:cs="Arial"/>
        </w:rPr>
        <w:t xml:space="preserve"> is essential for safe care delivery. Emotional support services, protected supervision and leadership development pathways should be prioritised to build resilience, reduce burnout and retain experienced clinicians.</w:t>
      </w:r>
    </w:p>
    <w:p w14:paraId="601D2291" w14:textId="3CAC9072" w:rsidR="001E2E5D" w:rsidRPr="00121EDD" w:rsidRDefault="001E2E5D" w:rsidP="001E2E5D">
      <w:pPr>
        <w:spacing w:line="360" w:lineRule="auto"/>
        <w:jc w:val="both"/>
        <w:rPr>
          <w:rFonts w:ascii="Arial" w:hAnsi="Arial" w:cs="Arial"/>
          <w:b/>
          <w:bCs/>
        </w:rPr>
      </w:pPr>
      <w:r w:rsidRPr="00121EDD">
        <w:rPr>
          <w:rFonts w:ascii="Arial" w:hAnsi="Arial" w:cs="Arial"/>
          <w:b/>
          <w:bCs/>
        </w:rPr>
        <w:t>Monitoring Progress and Sustaining Change</w:t>
      </w:r>
      <w:r w:rsidR="00121EDD">
        <w:rPr>
          <w:rFonts w:ascii="Arial" w:hAnsi="Arial" w:cs="Arial"/>
          <w:b/>
          <w:bCs/>
        </w:rPr>
        <w:t xml:space="preserve">: </w:t>
      </w:r>
      <w:r w:rsidRPr="001E2E5D">
        <w:rPr>
          <w:rFonts w:ascii="Arial" w:hAnsi="Arial" w:cs="Arial"/>
        </w:rPr>
        <w:t>A real-time dashboard of key safety, quality and workforce indicators should be used to track improvement and identify emerging risks. Sustained change requires leadership commitment, staff engagement and routine evaluation to ensure improvements become embedded practice rather than temporary fixes</w:t>
      </w:r>
      <w:r w:rsidR="00517A3C">
        <w:rPr>
          <w:rFonts w:ascii="Arial" w:hAnsi="Arial" w:cs="Arial"/>
        </w:rPr>
        <w:t xml:space="preserve"> (</w:t>
      </w:r>
      <w:r w:rsidR="00517A3C" w:rsidRPr="00F84AE6">
        <w:rPr>
          <w:rFonts w:ascii="Arial" w:hAnsi="Arial" w:cs="Arial"/>
        </w:rPr>
        <w:t>McGowan</w:t>
      </w:r>
      <w:r w:rsidR="00517A3C">
        <w:rPr>
          <w:rFonts w:ascii="Arial" w:hAnsi="Arial" w:cs="Arial"/>
        </w:rPr>
        <w:t xml:space="preserve"> et al, 2024)</w:t>
      </w:r>
      <w:r w:rsidRPr="001E2E5D">
        <w:rPr>
          <w:rFonts w:ascii="Arial" w:hAnsi="Arial" w:cs="Arial"/>
        </w:rPr>
        <w:t>.</w:t>
      </w:r>
    </w:p>
    <w:p w14:paraId="58C40704" w14:textId="36CBB10C" w:rsidR="001E2E5D" w:rsidRPr="001E2E5D" w:rsidRDefault="00121EDD" w:rsidP="00121EDD">
      <w:pPr>
        <w:pStyle w:val="Heading1"/>
      </w:pPr>
      <w:bookmarkStart w:id="13" w:name="_Toc216278840"/>
      <w:r>
        <w:t xml:space="preserve">4. </w:t>
      </w:r>
      <w:r w:rsidR="001E2E5D" w:rsidRPr="001E2E5D">
        <w:t>Conclusion</w:t>
      </w:r>
      <w:bookmarkEnd w:id="13"/>
      <w:r w:rsidR="001E2E5D" w:rsidRPr="001E2E5D">
        <w:t xml:space="preserve"> </w:t>
      </w:r>
    </w:p>
    <w:p w14:paraId="734E0555" w14:textId="77777777" w:rsidR="001E2E5D" w:rsidRPr="001E2E5D" w:rsidRDefault="001E2E5D" w:rsidP="001E2E5D">
      <w:pPr>
        <w:spacing w:line="360" w:lineRule="auto"/>
        <w:jc w:val="both"/>
        <w:rPr>
          <w:rFonts w:ascii="Arial" w:hAnsi="Arial" w:cs="Arial"/>
        </w:rPr>
      </w:pPr>
      <w:r w:rsidRPr="001E2E5D">
        <w:rPr>
          <w:rFonts w:ascii="Arial" w:hAnsi="Arial" w:cs="Arial"/>
        </w:rPr>
        <w:t>The failures at Shrewsbury and Telford Hospital NHS Trust illustrate how systemic weaknesses in governance, culture, communication and workforce capability can create conditions where preventable harm becomes normalised rather than addressed. The findings from the Ockenden Report (2022), alongside national reviews, confirm that the harm experienced by families was not the result of individual mistakes but deeply rooted organisational failings. These failures demonstrate the need for maternity services to prioritise accountability, consistency in clinical practice, and continuous learning to protect the well-being of mothers, babies and families. Without strong leadership, transparent reporting and competent staffing, safety mechanisms are unable to function effectively and prevent avoidable outcomes.</w:t>
      </w:r>
    </w:p>
    <w:p w14:paraId="132F88C4" w14:textId="77777777" w:rsidR="001E2E5D" w:rsidRPr="001E2E5D" w:rsidRDefault="001E2E5D" w:rsidP="001E2E5D">
      <w:pPr>
        <w:spacing w:line="360" w:lineRule="auto"/>
        <w:jc w:val="both"/>
        <w:rPr>
          <w:rFonts w:ascii="Arial" w:hAnsi="Arial" w:cs="Arial"/>
        </w:rPr>
      </w:pPr>
      <w:r w:rsidRPr="001E2E5D">
        <w:rPr>
          <w:rFonts w:ascii="Arial" w:hAnsi="Arial" w:cs="Arial"/>
        </w:rPr>
        <w:t>Moving forward, meaningful improvement must be grounded in long-term sustainable change rather than short-term reactive solutions. Models such as the Donabedian Framework, Swiss Cheese Theory and PDSA cycle highlight the importance of improving system structures, strengthening clinical processes and actively measuring outcomes to prevent recurrence of harm. Embedding a compassionate, open and learning-driven culture is equally essential to rebuild public trust and support staff confidence. By addressing root causes and applying evidence-based quality improvement approaches, maternity services can become safer, more equitable and more responsive to the needs of women and families, ensuring that tragedies like those at Shrewsbury and Telford are not repeated.</w:t>
      </w:r>
    </w:p>
    <w:p w14:paraId="219E767C" w14:textId="77777777" w:rsidR="001E2E5D" w:rsidRPr="001E2E5D" w:rsidRDefault="001E2E5D" w:rsidP="001E2E5D">
      <w:pPr>
        <w:spacing w:line="360" w:lineRule="auto"/>
        <w:jc w:val="both"/>
        <w:rPr>
          <w:rFonts w:ascii="Arial" w:hAnsi="Arial" w:cs="Arial"/>
        </w:rPr>
      </w:pPr>
    </w:p>
    <w:p w14:paraId="57343E20" w14:textId="77777777" w:rsidR="001E2E5D" w:rsidRPr="001E2E5D" w:rsidRDefault="001E2E5D" w:rsidP="001E2E5D">
      <w:pPr>
        <w:spacing w:line="360" w:lineRule="auto"/>
        <w:jc w:val="both"/>
        <w:rPr>
          <w:rFonts w:ascii="Arial" w:hAnsi="Arial" w:cs="Arial"/>
        </w:rPr>
      </w:pPr>
    </w:p>
    <w:p w14:paraId="0A402B9E" w14:textId="77777777" w:rsidR="001E2E5D" w:rsidRPr="001E2E5D" w:rsidRDefault="001E2E5D" w:rsidP="001E2E5D">
      <w:pPr>
        <w:spacing w:line="360" w:lineRule="auto"/>
        <w:jc w:val="both"/>
        <w:rPr>
          <w:rFonts w:ascii="Arial" w:hAnsi="Arial" w:cs="Arial"/>
        </w:rPr>
      </w:pPr>
    </w:p>
    <w:p w14:paraId="5AD605A4" w14:textId="77777777" w:rsidR="001E2E5D" w:rsidRPr="001E2E5D" w:rsidRDefault="001E2E5D" w:rsidP="001E2E5D">
      <w:pPr>
        <w:spacing w:line="360" w:lineRule="auto"/>
        <w:jc w:val="both"/>
        <w:rPr>
          <w:rFonts w:ascii="Arial" w:hAnsi="Arial" w:cs="Arial"/>
        </w:rPr>
      </w:pPr>
    </w:p>
    <w:p w14:paraId="5FA35C16" w14:textId="77777777" w:rsidR="001E2E5D" w:rsidRPr="001E2E5D" w:rsidRDefault="001E2E5D" w:rsidP="001E2E5D">
      <w:pPr>
        <w:spacing w:line="360" w:lineRule="auto"/>
        <w:jc w:val="both"/>
        <w:rPr>
          <w:rFonts w:ascii="Arial" w:hAnsi="Arial" w:cs="Arial"/>
        </w:rPr>
      </w:pPr>
    </w:p>
    <w:p w14:paraId="1910AD55" w14:textId="77777777" w:rsidR="001E2E5D" w:rsidRPr="001E2E5D" w:rsidRDefault="001E2E5D" w:rsidP="001E2E5D">
      <w:pPr>
        <w:spacing w:line="360" w:lineRule="auto"/>
        <w:jc w:val="both"/>
        <w:rPr>
          <w:rFonts w:ascii="Arial" w:hAnsi="Arial" w:cs="Arial"/>
        </w:rPr>
      </w:pPr>
    </w:p>
    <w:p w14:paraId="5EEC4BB2" w14:textId="77777777" w:rsidR="00084ABC" w:rsidRPr="001E2E5D" w:rsidRDefault="00084ABC" w:rsidP="001E2E5D">
      <w:pPr>
        <w:spacing w:line="360" w:lineRule="auto"/>
        <w:jc w:val="both"/>
        <w:rPr>
          <w:rFonts w:ascii="Arial" w:hAnsi="Arial" w:cs="Arial"/>
        </w:rPr>
      </w:pPr>
    </w:p>
    <w:p w14:paraId="46797535" w14:textId="17EBE40F" w:rsidR="00084ABC" w:rsidRPr="001E2E5D" w:rsidRDefault="00084ABC" w:rsidP="00121EDD">
      <w:pPr>
        <w:pStyle w:val="Heading1"/>
      </w:pPr>
      <w:bookmarkStart w:id="14" w:name="_Toc216278841"/>
      <w:r w:rsidRPr="001E2E5D">
        <w:t>Reference List</w:t>
      </w:r>
      <w:bookmarkEnd w:id="14"/>
    </w:p>
    <w:p w14:paraId="15D9E46D" w14:textId="7D854FDA" w:rsidR="00F84AE6" w:rsidRDefault="00F84AE6" w:rsidP="004D7A40">
      <w:pPr>
        <w:spacing w:line="276" w:lineRule="auto"/>
        <w:jc w:val="both"/>
        <w:rPr>
          <w:rFonts w:ascii="Arial" w:hAnsi="Arial" w:cs="Arial"/>
        </w:rPr>
      </w:pPr>
      <w:r w:rsidRPr="00F84AE6">
        <w:rPr>
          <w:rFonts w:ascii="Arial" w:hAnsi="Arial" w:cs="Arial"/>
        </w:rPr>
        <w:t xml:space="preserve">Allen, T., Walshe, K., </w:t>
      </w:r>
      <w:proofErr w:type="spellStart"/>
      <w:r w:rsidRPr="00F84AE6">
        <w:rPr>
          <w:rFonts w:ascii="Arial" w:hAnsi="Arial" w:cs="Arial"/>
        </w:rPr>
        <w:t>Proudlove</w:t>
      </w:r>
      <w:proofErr w:type="spellEnd"/>
      <w:r w:rsidRPr="00F84AE6">
        <w:rPr>
          <w:rFonts w:ascii="Arial" w:hAnsi="Arial" w:cs="Arial"/>
        </w:rPr>
        <w:t xml:space="preserve">, N. and Sutton, M., </w:t>
      </w:r>
      <w:r w:rsidR="00122D90">
        <w:rPr>
          <w:rFonts w:ascii="Arial" w:hAnsi="Arial" w:cs="Arial"/>
        </w:rPr>
        <w:t>(</w:t>
      </w:r>
      <w:r w:rsidRPr="00F84AE6">
        <w:rPr>
          <w:rFonts w:ascii="Arial" w:hAnsi="Arial" w:cs="Arial"/>
        </w:rPr>
        <w:t>2020</w:t>
      </w:r>
      <w:r w:rsidR="00122D90">
        <w:rPr>
          <w:rFonts w:ascii="Arial" w:hAnsi="Arial" w:cs="Arial"/>
        </w:rPr>
        <w:t>)</w:t>
      </w:r>
      <w:r w:rsidRPr="00F84AE6">
        <w:rPr>
          <w:rFonts w:ascii="Arial" w:hAnsi="Arial" w:cs="Arial"/>
        </w:rPr>
        <w:t>. The measurement and improvement of maternity service performance through inspection and rating: an observational study of maternity services in acute hospitals in England. </w:t>
      </w:r>
      <w:r w:rsidRPr="00F84AE6">
        <w:rPr>
          <w:rFonts w:ascii="Arial" w:hAnsi="Arial" w:cs="Arial"/>
          <w:i/>
          <w:iCs/>
        </w:rPr>
        <w:t>Health Policy</w:t>
      </w:r>
      <w:r w:rsidRPr="00F84AE6">
        <w:rPr>
          <w:rFonts w:ascii="Arial" w:hAnsi="Arial" w:cs="Arial"/>
        </w:rPr>
        <w:t>, </w:t>
      </w:r>
      <w:r w:rsidRPr="00F84AE6">
        <w:rPr>
          <w:rFonts w:ascii="Arial" w:hAnsi="Arial" w:cs="Arial"/>
          <w:i/>
          <w:iCs/>
        </w:rPr>
        <w:t>124</w:t>
      </w:r>
      <w:r w:rsidRPr="00F84AE6">
        <w:rPr>
          <w:rFonts w:ascii="Arial" w:hAnsi="Arial" w:cs="Arial"/>
        </w:rPr>
        <w:t>(11), pp.1233-1238.</w:t>
      </w:r>
      <w:r>
        <w:rPr>
          <w:rFonts w:ascii="Arial" w:hAnsi="Arial" w:cs="Arial"/>
        </w:rPr>
        <w:t xml:space="preserve"> </w:t>
      </w:r>
      <w:hyperlink r:id="rId8" w:history="1">
        <w:r w:rsidRPr="008A4A53">
          <w:rPr>
            <w:rStyle w:val="Hyperlink"/>
            <w:rFonts w:ascii="Arial" w:hAnsi="Arial" w:cs="Arial"/>
          </w:rPr>
          <w:t>https://www.sciencedirect.com/science/article/pii/S0168851020302177</w:t>
        </w:r>
      </w:hyperlink>
    </w:p>
    <w:p w14:paraId="18F46769" w14:textId="2D58AD0A" w:rsidR="00D8774B" w:rsidRDefault="00D8774B" w:rsidP="004D7A40">
      <w:pPr>
        <w:spacing w:line="276" w:lineRule="auto"/>
        <w:jc w:val="both"/>
        <w:rPr>
          <w:rFonts w:ascii="Arial" w:hAnsi="Arial" w:cs="Arial"/>
        </w:rPr>
      </w:pPr>
      <w:r w:rsidRPr="00D8774B">
        <w:rPr>
          <w:rFonts w:ascii="Arial" w:hAnsi="Arial" w:cs="Arial"/>
        </w:rPr>
        <w:t xml:space="preserve">Barsalou, M., Starzyńska, B. and Konrad, M., </w:t>
      </w:r>
      <w:r w:rsidR="00343B5C">
        <w:rPr>
          <w:rFonts w:ascii="Arial" w:hAnsi="Arial" w:cs="Arial"/>
        </w:rPr>
        <w:t>(</w:t>
      </w:r>
      <w:r w:rsidRPr="00D8774B">
        <w:rPr>
          <w:rFonts w:ascii="Arial" w:hAnsi="Arial" w:cs="Arial"/>
        </w:rPr>
        <w:t>2024</w:t>
      </w:r>
      <w:r w:rsidR="00343B5C">
        <w:rPr>
          <w:rFonts w:ascii="Arial" w:hAnsi="Arial" w:cs="Arial"/>
        </w:rPr>
        <w:t>)</w:t>
      </w:r>
      <w:r w:rsidRPr="00D8774B">
        <w:rPr>
          <w:rFonts w:ascii="Arial" w:hAnsi="Arial" w:cs="Arial"/>
        </w:rPr>
        <w:t>. Five whys: a possible path to failure. </w:t>
      </w:r>
      <w:r w:rsidRPr="00D8774B">
        <w:rPr>
          <w:rFonts w:ascii="Arial" w:hAnsi="Arial" w:cs="Arial"/>
          <w:i/>
          <w:iCs/>
        </w:rPr>
        <w:t>International Journal of Six Sigma and Competitive Advantage</w:t>
      </w:r>
      <w:r w:rsidRPr="00D8774B">
        <w:rPr>
          <w:rFonts w:ascii="Arial" w:hAnsi="Arial" w:cs="Arial"/>
        </w:rPr>
        <w:t>, </w:t>
      </w:r>
      <w:r w:rsidRPr="00D8774B">
        <w:rPr>
          <w:rFonts w:ascii="Arial" w:hAnsi="Arial" w:cs="Arial"/>
          <w:i/>
          <w:iCs/>
        </w:rPr>
        <w:t>15</w:t>
      </w:r>
      <w:r w:rsidRPr="00D8774B">
        <w:rPr>
          <w:rFonts w:ascii="Arial" w:hAnsi="Arial" w:cs="Arial"/>
        </w:rPr>
        <w:t>(1), pp.19-32.</w:t>
      </w:r>
      <w:r>
        <w:rPr>
          <w:rFonts w:ascii="Arial" w:hAnsi="Arial" w:cs="Arial"/>
        </w:rPr>
        <w:t xml:space="preserve"> </w:t>
      </w:r>
      <w:hyperlink r:id="rId9" w:history="1">
        <w:r w:rsidRPr="008A4A53">
          <w:rPr>
            <w:rStyle w:val="Hyperlink"/>
            <w:rFonts w:ascii="Arial" w:hAnsi="Arial" w:cs="Arial"/>
          </w:rPr>
          <w:t>https://www.inderscienceonline.com/doi/abs/10.1504/IJSSCA.2024.139599</w:t>
        </w:r>
      </w:hyperlink>
    </w:p>
    <w:p w14:paraId="3A452AF5" w14:textId="362BFA66" w:rsidR="00270BD2" w:rsidRDefault="00270BD2" w:rsidP="004D7A40">
      <w:pPr>
        <w:spacing w:line="276" w:lineRule="auto"/>
        <w:jc w:val="both"/>
        <w:rPr>
          <w:rFonts w:ascii="Arial" w:hAnsi="Arial" w:cs="Arial"/>
        </w:rPr>
      </w:pPr>
      <w:r w:rsidRPr="00270BD2">
        <w:rPr>
          <w:rFonts w:ascii="Arial" w:hAnsi="Arial" w:cs="Arial"/>
        </w:rPr>
        <w:t xml:space="preserve">Crowe, C. and Manley, K., </w:t>
      </w:r>
      <w:r w:rsidR="00343B5C">
        <w:rPr>
          <w:rFonts w:ascii="Arial" w:hAnsi="Arial" w:cs="Arial"/>
        </w:rPr>
        <w:t>(</w:t>
      </w:r>
      <w:r w:rsidRPr="00270BD2">
        <w:rPr>
          <w:rFonts w:ascii="Arial" w:hAnsi="Arial" w:cs="Arial"/>
        </w:rPr>
        <w:t>2019</w:t>
      </w:r>
      <w:r w:rsidR="00343B5C">
        <w:rPr>
          <w:rFonts w:ascii="Arial" w:hAnsi="Arial" w:cs="Arial"/>
        </w:rPr>
        <w:t>)</w:t>
      </w:r>
      <w:r w:rsidRPr="00270BD2">
        <w:rPr>
          <w:rFonts w:ascii="Arial" w:hAnsi="Arial" w:cs="Arial"/>
        </w:rPr>
        <w:t>. Person-centred, safe and effective care in maternity services: the need for greater change towards best practice. </w:t>
      </w:r>
      <w:r w:rsidRPr="00270BD2">
        <w:rPr>
          <w:rFonts w:ascii="Arial" w:hAnsi="Arial" w:cs="Arial"/>
          <w:i/>
          <w:iCs/>
        </w:rPr>
        <w:t>International Practice Development Journal</w:t>
      </w:r>
      <w:r w:rsidRPr="00270BD2">
        <w:rPr>
          <w:rFonts w:ascii="Arial" w:hAnsi="Arial" w:cs="Arial"/>
        </w:rPr>
        <w:t>, </w:t>
      </w:r>
      <w:r w:rsidRPr="00270BD2">
        <w:rPr>
          <w:rFonts w:ascii="Arial" w:hAnsi="Arial" w:cs="Arial"/>
          <w:i/>
          <w:iCs/>
        </w:rPr>
        <w:t>9</w:t>
      </w:r>
      <w:r w:rsidRPr="00270BD2">
        <w:rPr>
          <w:rFonts w:ascii="Arial" w:hAnsi="Arial" w:cs="Arial"/>
        </w:rPr>
        <w:t>(1).</w:t>
      </w:r>
      <w:r>
        <w:rPr>
          <w:rFonts w:ascii="Arial" w:hAnsi="Arial" w:cs="Arial"/>
        </w:rPr>
        <w:t xml:space="preserve"> </w:t>
      </w:r>
      <w:hyperlink r:id="rId10" w:history="1">
        <w:r w:rsidRPr="008A4A53">
          <w:rPr>
            <w:rStyle w:val="Hyperlink"/>
            <w:rFonts w:ascii="Arial" w:hAnsi="Arial" w:cs="Arial"/>
          </w:rPr>
          <w:t>https://www.fons.org/wp-content/uploads/2024/02/IPDJ_09_01_08.pdf</w:t>
        </w:r>
      </w:hyperlink>
    </w:p>
    <w:p w14:paraId="4F378360" w14:textId="238A9509" w:rsidR="0075052A" w:rsidRPr="00071D76" w:rsidRDefault="0075052A" w:rsidP="004D7A40">
      <w:pPr>
        <w:spacing w:line="276" w:lineRule="auto"/>
        <w:jc w:val="both"/>
        <w:rPr>
          <w:rFonts w:ascii="Arial" w:hAnsi="Arial" w:cs="Arial"/>
        </w:rPr>
      </w:pPr>
      <w:r w:rsidRPr="00071D76">
        <w:rPr>
          <w:rFonts w:ascii="Arial" w:hAnsi="Arial" w:cs="Arial"/>
        </w:rPr>
        <w:t xml:space="preserve">Dacre, J., </w:t>
      </w:r>
      <w:r w:rsidR="00343B5C">
        <w:rPr>
          <w:rFonts w:ascii="Arial" w:hAnsi="Arial" w:cs="Arial"/>
        </w:rPr>
        <w:t>(</w:t>
      </w:r>
      <w:r w:rsidRPr="00071D76">
        <w:rPr>
          <w:rFonts w:ascii="Arial" w:hAnsi="Arial" w:cs="Arial"/>
        </w:rPr>
        <w:t>2021</w:t>
      </w:r>
      <w:r w:rsidR="00343B5C">
        <w:rPr>
          <w:rFonts w:ascii="Arial" w:hAnsi="Arial" w:cs="Arial"/>
        </w:rPr>
        <w:t>)</w:t>
      </w:r>
      <w:r w:rsidRPr="00071D76">
        <w:rPr>
          <w:rFonts w:ascii="Arial" w:hAnsi="Arial" w:cs="Arial"/>
        </w:rPr>
        <w:t xml:space="preserve">. The Health and Social Care Committee’s Expert Panel: Evaluation of the Government’s progress against its policy commitments in the area of maternity services in England. </w:t>
      </w:r>
      <w:hyperlink r:id="rId11" w:history="1">
        <w:r w:rsidRPr="00071D76">
          <w:rPr>
            <w:rStyle w:val="Hyperlink"/>
            <w:rFonts w:ascii="Arial" w:hAnsi="Arial" w:cs="Arial"/>
          </w:rPr>
          <w:t>https://discovery.ucl.ac.uk/id/eprint/10140780/</w:t>
        </w:r>
      </w:hyperlink>
    </w:p>
    <w:p w14:paraId="18793CCD" w14:textId="69CD13AF" w:rsidR="00F84AE6" w:rsidRDefault="00F84AE6" w:rsidP="004D7A40">
      <w:pPr>
        <w:spacing w:line="276" w:lineRule="auto"/>
        <w:jc w:val="both"/>
        <w:rPr>
          <w:rFonts w:ascii="Arial" w:hAnsi="Arial" w:cs="Arial"/>
        </w:rPr>
      </w:pPr>
      <w:r w:rsidRPr="00F84AE6">
        <w:rPr>
          <w:rFonts w:ascii="Arial" w:hAnsi="Arial" w:cs="Arial"/>
        </w:rPr>
        <w:t xml:space="preserve">Darley, S., Walshe, K., Boaden, R., </w:t>
      </w:r>
      <w:proofErr w:type="spellStart"/>
      <w:r w:rsidRPr="00F84AE6">
        <w:rPr>
          <w:rFonts w:ascii="Arial" w:hAnsi="Arial" w:cs="Arial"/>
        </w:rPr>
        <w:t>Proudlove</w:t>
      </w:r>
      <w:proofErr w:type="spellEnd"/>
      <w:r w:rsidRPr="00F84AE6">
        <w:rPr>
          <w:rFonts w:ascii="Arial" w:hAnsi="Arial" w:cs="Arial"/>
        </w:rPr>
        <w:t xml:space="preserve">, N. and Goff, M., </w:t>
      </w:r>
      <w:r w:rsidR="00343B5C">
        <w:rPr>
          <w:rFonts w:ascii="Arial" w:hAnsi="Arial" w:cs="Arial"/>
        </w:rPr>
        <w:t>(</w:t>
      </w:r>
      <w:r w:rsidRPr="00F84AE6">
        <w:rPr>
          <w:rFonts w:ascii="Arial" w:hAnsi="Arial" w:cs="Arial"/>
        </w:rPr>
        <w:t>2018</w:t>
      </w:r>
      <w:r w:rsidR="00343B5C">
        <w:rPr>
          <w:rFonts w:ascii="Arial" w:hAnsi="Arial" w:cs="Arial"/>
        </w:rPr>
        <w:t>)</w:t>
      </w:r>
      <w:r w:rsidRPr="00F84AE6">
        <w:rPr>
          <w:rFonts w:ascii="Arial" w:hAnsi="Arial" w:cs="Arial"/>
        </w:rPr>
        <w:t>. Improvement capability and performance: a qualitative study of maternity services providers in the UK. International Journal for Quality in Health Care, 30(9), pp.692-700.</w:t>
      </w:r>
      <w:r>
        <w:rPr>
          <w:rFonts w:ascii="Arial" w:hAnsi="Arial" w:cs="Arial"/>
        </w:rPr>
        <w:t xml:space="preserve"> </w:t>
      </w:r>
      <w:hyperlink r:id="rId12" w:history="1">
        <w:r w:rsidRPr="008A4A53">
          <w:rPr>
            <w:rStyle w:val="Hyperlink"/>
            <w:rFonts w:ascii="Arial" w:hAnsi="Arial" w:cs="Arial"/>
          </w:rPr>
          <w:t>https://academic.oup.com/intqhc/article-abstract/30/9/692/4971551</w:t>
        </w:r>
      </w:hyperlink>
    </w:p>
    <w:p w14:paraId="39338487" w14:textId="6A715290" w:rsidR="00B8009E" w:rsidRPr="00071D76" w:rsidRDefault="00B8009E" w:rsidP="004D7A40">
      <w:pPr>
        <w:spacing w:line="276" w:lineRule="auto"/>
        <w:jc w:val="both"/>
        <w:rPr>
          <w:rFonts w:ascii="Arial" w:hAnsi="Arial" w:cs="Arial"/>
        </w:rPr>
      </w:pPr>
      <w:r w:rsidRPr="00071D76">
        <w:rPr>
          <w:rFonts w:ascii="Arial" w:hAnsi="Arial" w:cs="Arial"/>
        </w:rPr>
        <w:t xml:space="preserve">Dyer, C., </w:t>
      </w:r>
      <w:r w:rsidR="00F4518B" w:rsidRPr="00071D76">
        <w:rPr>
          <w:rFonts w:ascii="Arial" w:hAnsi="Arial" w:cs="Arial"/>
        </w:rPr>
        <w:t>(</w:t>
      </w:r>
      <w:r w:rsidRPr="00071D76">
        <w:rPr>
          <w:rFonts w:ascii="Arial" w:hAnsi="Arial" w:cs="Arial"/>
        </w:rPr>
        <w:t>2022</w:t>
      </w:r>
      <w:r w:rsidR="00F4518B" w:rsidRPr="00071D76">
        <w:rPr>
          <w:rFonts w:ascii="Arial" w:hAnsi="Arial" w:cs="Arial"/>
        </w:rPr>
        <w:t>)</w:t>
      </w:r>
      <w:r w:rsidRPr="00071D76">
        <w:rPr>
          <w:rFonts w:ascii="Arial" w:hAnsi="Arial" w:cs="Arial"/>
        </w:rPr>
        <w:t xml:space="preserve">. Failure to work collaboratively and learn from incidents led to deaths of babies and mothers at Shrewsbury and Telford trust, review finds. </w:t>
      </w:r>
      <w:hyperlink r:id="rId13" w:history="1">
        <w:r w:rsidRPr="00071D76">
          <w:rPr>
            <w:rStyle w:val="Hyperlink"/>
            <w:rFonts w:ascii="Arial" w:hAnsi="Arial" w:cs="Arial"/>
          </w:rPr>
          <w:t>https://www.bmj.com/content/376/bmj.o858.short</w:t>
        </w:r>
      </w:hyperlink>
    </w:p>
    <w:p w14:paraId="5C628CC1" w14:textId="22352F5F" w:rsidR="000663B8" w:rsidRPr="00071D76" w:rsidRDefault="0038424B" w:rsidP="004D7A40">
      <w:pPr>
        <w:spacing w:line="276" w:lineRule="auto"/>
        <w:jc w:val="both"/>
        <w:rPr>
          <w:rFonts w:ascii="Arial" w:hAnsi="Arial" w:cs="Arial"/>
        </w:rPr>
      </w:pPr>
      <w:r w:rsidRPr="00071D76">
        <w:rPr>
          <w:rFonts w:ascii="Arial" w:hAnsi="Arial" w:cs="Arial"/>
        </w:rPr>
        <w:t xml:space="preserve">Dobson, J., </w:t>
      </w:r>
      <w:r w:rsidR="00F4518B" w:rsidRPr="00071D76">
        <w:rPr>
          <w:rFonts w:ascii="Arial" w:hAnsi="Arial" w:cs="Arial"/>
        </w:rPr>
        <w:t>(</w:t>
      </w:r>
      <w:r w:rsidRPr="00071D76">
        <w:rPr>
          <w:rFonts w:ascii="Arial" w:hAnsi="Arial" w:cs="Arial"/>
        </w:rPr>
        <w:t>2022</w:t>
      </w:r>
      <w:r w:rsidR="00F4518B" w:rsidRPr="00071D76">
        <w:rPr>
          <w:rFonts w:ascii="Arial" w:hAnsi="Arial" w:cs="Arial"/>
        </w:rPr>
        <w:t>)</w:t>
      </w:r>
      <w:r w:rsidRPr="00071D76">
        <w:rPr>
          <w:rFonts w:ascii="Arial" w:hAnsi="Arial" w:cs="Arial"/>
        </w:rPr>
        <w:t xml:space="preserve">. Ignoring women’s experience led to the NHS’s biggest maternity scandal. </w:t>
      </w:r>
      <w:hyperlink r:id="rId14" w:history="1">
        <w:r w:rsidRPr="00071D76">
          <w:rPr>
            <w:rStyle w:val="Hyperlink"/>
            <w:rFonts w:ascii="Arial" w:hAnsi="Arial" w:cs="Arial"/>
          </w:rPr>
          <w:t>https://www.bmj.com/content/377/bmj.o899.abstract</w:t>
        </w:r>
      </w:hyperlink>
    </w:p>
    <w:p w14:paraId="0D9AA6D6" w14:textId="6D7E8B68" w:rsidR="009C6F8D" w:rsidRDefault="009C6F8D" w:rsidP="004D7A40">
      <w:pPr>
        <w:spacing w:line="276" w:lineRule="auto"/>
        <w:jc w:val="both"/>
        <w:rPr>
          <w:rFonts w:ascii="Arial" w:hAnsi="Arial" w:cs="Arial"/>
        </w:rPr>
      </w:pPr>
      <w:r w:rsidRPr="009C6F8D">
        <w:rPr>
          <w:rFonts w:ascii="Arial" w:hAnsi="Arial" w:cs="Arial"/>
        </w:rPr>
        <w:t xml:space="preserve">Farrant, K., </w:t>
      </w:r>
      <w:proofErr w:type="spellStart"/>
      <w:r w:rsidRPr="009C6F8D">
        <w:rPr>
          <w:rFonts w:ascii="Arial" w:hAnsi="Arial" w:cs="Arial"/>
        </w:rPr>
        <w:t>Faluyi</w:t>
      </w:r>
      <w:proofErr w:type="spellEnd"/>
      <w:r w:rsidRPr="009C6F8D">
        <w:rPr>
          <w:rFonts w:ascii="Arial" w:hAnsi="Arial" w:cs="Arial"/>
        </w:rPr>
        <w:t xml:space="preserve">, D., Watson, K., Vause, S., Birds, H., Rowbotham, S. and </w:t>
      </w:r>
      <w:proofErr w:type="spellStart"/>
      <w:r w:rsidRPr="009C6F8D">
        <w:rPr>
          <w:rFonts w:ascii="Arial" w:hAnsi="Arial" w:cs="Arial"/>
        </w:rPr>
        <w:t>Heazell</w:t>
      </w:r>
      <w:proofErr w:type="spellEnd"/>
      <w:r w:rsidRPr="009C6F8D">
        <w:rPr>
          <w:rFonts w:ascii="Arial" w:hAnsi="Arial" w:cs="Arial"/>
        </w:rPr>
        <w:t xml:space="preserve">, A.E., </w:t>
      </w:r>
      <w:r w:rsidR="00343B5C">
        <w:rPr>
          <w:rFonts w:ascii="Arial" w:hAnsi="Arial" w:cs="Arial"/>
        </w:rPr>
        <w:t>(</w:t>
      </w:r>
      <w:r w:rsidRPr="009C6F8D">
        <w:rPr>
          <w:rFonts w:ascii="Arial" w:hAnsi="Arial" w:cs="Arial"/>
        </w:rPr>
        <w:t>2022</w:t>
      </w:r>
      <w:r w:rsidR="00343B5C">
        <w:rPr>
          <w:rFonts w:ascii="Arial" w:hAnsi="Arial" w:cs="Arial"/>
        </w:rPr>
        <w:t>)</w:t>
      </w:r>
      <w:r w:rsidRPr="009C6F8D">
        <w:rPr>
          <w:rFonts w:ascii="Arial" w:hAnsi="Arial" w:cs="Arial"/>
        </w:rPr>
        <w:t>. Role of ethnicity in high-level obstetric clinical incidents: a review of cases from a large UK NHS maternity unit. </w:t>
      </w:r>
      <w:r w:rsidRPr="009C6F8D">
        <w:rPr>
          <w:rFonts w:ascii="Arial" w:hAnsi="Arial" w:cs="Arial"/>
          <w:i/>
          <w:iCs/>
        </w:rPr>
        <w:t>BMJ Open Quality</w:t>
      </w:r>
      <w:r w:rsidRPr="009C6F8D">
        <w:rPr>
          <w:rFonts w:ascii="Arial" w:hAnsi="Arial" w:cs="Arial"/>
        </w:rPr>
        <w:t>, </w:t>
      </w:r>
      <w:r w:rsidRPr="009C6F8D">
        <w:rPr>
          <w:rFonts w:ascii="Arial" w:hAnsi="Arial" w:cs="Arial"/>
          <w:i/>
          <w:iCs/>
        </w:rPr>
        <w:t>11</w:t>
      </w:r>
      <w:r w:rsidRPr="009C6F8D">
        <w:rPr>
          <w:rFonts w:ascii="Arial" w:hAnsi="Arial" w:cs="Arial"/>
        </w:rPr>
        <w:t>(4).</w:t>
      </w:r>
      <w:r>
        <w:rPr>
          <w:rFonts w:ascii="Arial" w:hAnsi="Arial" w:cs="Arial"/>
        </w:rPr>
        <w:t xml:space="preserve"> </w:t>
      </w:r>
      <w:hyperlink r:id="rId15" w:history="1">
        <w:r w:rsidRPr="008A4A53">
          <w:rPr>
            <w:rStyle w:val="Hyperlink"/>
            <w:rFonts w:ascii="Arial" w:hAnsi="Arial" w:cs="Arial"/>
          </w:rPr>
          <w:t>https://bmjopenquality.bmj.com/content/11/4/e001862</w:t>
        </w:r>
      </w:hyperlink>
    </w:p>
    <w:p w14:paraId="69BEB170" w14:textId="4B42A997" w:rsidR="0075052A" w:rsidRPr="00071D76" w:rsidRDefault="0075052A" w:rsidP="004D7A40">
      <w:pPr>
        <w:spacing w:line="276" w:lineRule="auto"/>
        <w:jc w:val="both"/>
        <w:rPr>
          <w:rFonts w:ascii="Arial" w:hAnsi="Arial" w:cs="Arial"/>
        </w:rPr>
      </w:pPr>
      <w:r w:rsidRPr="00071D76">
        <w:rPr>
          <w:rFonts w:ascii="Arial" w:hAnsi="Arial" w:cs="Arial"/>
        </w:rPr>
        <w:t xml:space="preserve">Guta, N.M., </w:t>
      </w:r>
      <w:r w:rsidR="00343B5C">
        <w:rPr>
          <w:rFonts w:ascii="Arial" w:hAnsi="Arial" w:cs="Arial"/>
        </w:rPr>
        <w:t>(</w:t>
      </w:r>
      <w:r w:rsidRPr="00071D76">
        <w:rPr>
          <w:rFonts w:ascii="Arial" w:hAnsi="Arial" w:cs="Arial"/>
        </w:rPr>
        <w:t>2022</w:t>
      </w:r>
      <w:r w:rsidR="00343B5C">
        <w:rPr>
          <w:rFonts w:ascii="Arial" w:hAnsi="Arial" w:cs="Arial"/>
        </w:rPr>
        <w:t>)</w:t>
      </w:r>
      <w:r w:rsidRPr="00071D76">
        <w:rPr>
          <w:rFonts w:ascii="Arial" w:hAnsi="Arial" w:cs="Arial"/>
        </w:rPr>
        <w:t xml:space="preserve">. Application of Donabedian quality-of-care framework to assess quality of neonatal resuscitation, its outcome, and associated factors among resuscitated newborns at public hospitals of East </w:t>
      </w:r>
      <w:proofErr w:type="spellStart"/>
      <w:r w:rsidRPr="00071D76">
        <w:rPr>
          <w:rFonts w:ascii="Arial" w:hAnsi="Arial" w:cs="Arial"/>
        </w:rPr>
        <w:t>Wollega</w:t>
      </w:r>
      <w:proofErr w:type="spellEnd"/>
      <w:r w:rsidRPr="00071D76">
        <w:rPr>
          <w:rFonts w:ascii="Arial" w:hAnsi="Arial" w:cs="Arial"/>
        </w:rPr>
        <w:t xml:space="preserve"> zone, </w:t>
      </w:r>
      <w:proofErr w:type="spellStart"/>
      <w:r w:rsidRPr="00071D76">
        <w:rPr>
          <w:rFonts w:ascii="Arial" w:hAnsi="Arial" w:cs="Arial"/>
        </w:rPr>
        <w:t>Oromia</w:t>
      </w:r>
      <w:proofErr w:type="spellEnd"/>
      <w:r w:rsidRPr="00071D76">
        <w:rPr>
          <w:rFonts w:ascii="Arial" w:hAnsi="Arial" w:cs="Arial"/>
        </w:rPr>
        <w:t>, Western Ethiopia, 2021. </w:t>
      </w:r>
      <w:r w:rsidRPr="00071D76">
        <w:rPr>
          <w:rFonts w:ascii="Arial" w:hAnsi="Arial" w:cs="Arial"/>
          <w:i/>
          <w:iCs/>
        </w:rPr>
        <w:t xml:space="preserve">BMC </w:t>
      </w:r>
      <w:proofErr w:type="spellStart"/>
      <w:r w:rsidRPr="00071D76">
        <w:rPr>
          <w:rFonts w:ascii="Arial" w:hAnsi="Arial" w:cs="Arial"/>
          <w:i/>
          <w:iCs/>
        </w:rPr>
        <w:t>pediatrics</w:t>
      </w:r>
      <w:proofErr w:type="spellEnd"/>
      <w:r w:rsidRPr="00071D76">
        <w:rPr>
          <w:rFonts w:ascii="Arial" w:hAnsi="Arial" w:cs="Arial"/>
        </w:rPr>
        <w:t>, </w:t>
      </w:r>
      <w:r w:rsidRPr="00071D76">
        <w:rPr>
          <w:rFonts w:ascii="Arial" w:hAnsi="Arial" w:cs="Arial"/>
          <w:i/>
          <w:iCs/>
        </w:rPr>
        <w:t>22</w:t>
      </w:r>
      <w:r w:rsidRPr="00071D76">
        <w:rPr>
          <w:rFonts w:ascii="Arial" w:hAnsi="Arial" w:cs="Arial"/>
        </w:rPr>
        <w:t xml:space="preserve">(1), p.605. </w:t>
      </w:r>
      <w:hyperlink r:id="rId16" w:history="1">
        <w:r w:rsidRPr="00071D76">
          <w:rPr>
            <w:rStyle w:val="Hyperlink"/>
            <w:rFonts w:ascii="Arial" w:hAnsi="Arial" w:cs="Arial"/>
          </w:rPr>
          <w:t>https://link.springer.com/article/10.1186/s12887-022-03638-y</w:t>
        </w:r>
      </w:hyperlink>
    </w:p>
    <w:p w14:paraId="00B9BA6E" w14:textId="2432525A" w:rsidR="002658E3" w:rsidRPr="00071D76" w:rsidRDefault="005B3235" w:rsidP="004D7A40">
      <w:pPr>
        <w:spacing w:line="276" w:lineRule="auto"/>
        <w:jc w:val="both"/>
        <w:rPr>
          <w:rFonts w:ascii="Arial" w:hAnsi="Arial" w:cs="Arial"/>
        </w:rPr>
      </w:pPr>
      <w:r w:rsidRPr="00071D76">
        <w:rPr>
          <w:rFonts w:ascii="Arial" w:hAnsi="Arial" w:cs="Arial"/>
        </w:rPr>
        <w:t xml:space="preserve">Hald, E.J., Gillespie, A. and Reader, T.W., </w:t>
      </w:r>
      <w:r w:rsidR="00F4518B" w:rsidRPr="00071D76">
        <w:rPr>
          <w:rFonts w:ascii="Arial" w:hAnsi="Arial" w:cs="Arial"/>
        </w:rPr>
        <w:t>(</w:t>
      </w:r>
      <w:r w:rsidRPr="00071D76">
        <w:rPr>
          <w:rFonts w:ascii="Arial" w:hAnsi="Arial" w:cs="Arial"/>
        </w:rPr>
        <w:t>2021</w:t>
      </w:r>
      <w:r w:rsidR="00F4518B" w:rsidRPr="00071D76">
        <w:rPr>
          <w:rFonts w:ascii="Arial" w:hAnsi="Arial" w:cs="Arial"/>
        </w:rPr>
        <w:t>)</w:t>
      </w:r>
      <w:r w:rsidRPr="00071D76">
        <w:rPr>
          <w:rFonts w:ascii="Arial" w:hAnsi="Arial" w:cs="Arial"/>
        </w:rPr>
        <w:t>. Causal and corrective organisational culture: A systematic review of case studies of institutional failure. </w:t>
      </w:r>
      <w:r w:rsidRPr="00071D76">
        <w:rPr>
          <w:rFonts w:ascii="Arial" w:hAnsi="Arial" w:cs="Arial"/>
          <w:i/>
          <w:iCs/>
        </w:rPr>
        <w:t>Journal of Business Ethics</w:t>
      </w:r>
      <w:r w:rsidRPr="00071D76">
        <w:rPr>
          <w:rFonts w:ascii="Arial" w:hAnsi="Arial" w:cs="Arial"/>
        </w:rPr>
        <w:t>, </w:t>
      </w:r>
      <w:r w:rsidRPr="00071D76">
        <w:rPr>
          <w:rFonts w:ascii="Arial" w:hAnsi="Arial" w:cs="Arial"/>
          <w:i/>
          <w:iCs/>
        </w:rPr>
        <w:t>174</w:t>
      </w:r>
      <w:r w:rsidRPr="00071D76">
        <w:rPr>
          <w:rFonts w:ascii="Arial" w:hAnsi="Arial" w:cs="Arial"/>
        </w:rPr>
        <w:t xml:space="preserve">(2), pp.457-483. </w:t>
      </w:r>
      <w:hyperlink r:id="rId17" w:history="1">
        <w:r w:rsidR="002658E3" w:rsidRPr="00071D76">
          <w:rPr>
            <w:rStyle w:val="Hyperlink"/>
            <w:rFonts w:ascii="Arial" w:hAnsi="Arial" w:cs="Arial"/>
          </w:rPr>
          <w:t>https://link.springer.com/article/10.1007/s10551-020-04620-3</w:t>
        </w:r>
      </w:hyperlink>
    </w:p>
    <w:p w14:paraId="2344DF55" w14:textId="1E9074DE" w:rsidR="00453CDB" w:rsidRDefault="00453CDB" w:rsidP="004D7A40">
      <w:pPr>
        <w:spacing w:line="276" w:lineRule="auto"/>
        <w:jc w:val="both"/>
        <w:rPr>
          <w:rFonts w:ascii="Arial" w:hAnsi="Arial" w:cs="Arial"/>
        </w:rPr>
      </w:pPr>
      <w:r w:rsidRPr="00453CDB">
        <w:rPr>
          <w:rFonts w:ascii="Arial" w:hAnsi="Arial" w:cs="Arial"/>
        </w:rPr>
        <w:t xml:space="preserve">Hounsou, C.B., Dossou, J.P., Delvaux, T., </w:t>
      </w:r>
      <w:proofErr w:type="spellStart"/>
      <w:r w:rsidRPr="00453CDB">
        <w:rPr>
          <w:rFonts w:ascii="Arial" w:hAnsi="Arial" w:cs="Arial"/>
        </w:rPr>
        <w:t>Benova</w:t>
      </w:r>
      <w:proofErr w:type="spellEnd"/>
      <w:r w:rsidRPr="00453CDB">
        <w:rPr>
          <w:rFonts w:ascii="Arial" w:hAnsi="Arial" w:cs="Arial"/>
        </w:rPr>
        <w:t xml:space="preserve">, L., </w:t>
      </w:r>
      <w:proofErr w:type="spellStart"/>
      <w:r w:rsidRPr="00453CDB">
        <w:rPr>
          <w:rFonts w:ascii="Arial" w:hAnsi="Arial" w:cs="Arial"/>
        </w:rPr>
        <w:t>Ouendo</w:t>
      </w:r>
      <w:proofErr w:type="spellEnd"/>
      <w:r w:rsidRPr="00453CDB">
        <w:rPr>
          <w:rFonts w:ascii="Arial" w:hAnsi="Arial" w:cs="Arial"/>
        </w:rPr>
        <w:t xml:space="preserve">, E.M., </w:t>
      </w:r>
      <w:proofErr w:type="spellStart"/>
      <w:r w:rsidRPr="00453CDB">
        <w:rPr>
          <w:rFonts w:ascii="Arial" w:hAnsi="Arial" w:cs="Arial"/>
        </w:rPr>
        <w:t>Lokossou</w:t>
      </w:r>
      <w:proofErr w:type="spellEnd"/>
      <w:r w:rsidRPr="00453CDB">
        <w:rPr>
          <w:rFonts w:ascii="Arial" w:hAnsi="Arial" w:cs="Arial"/>
        </w:rPr>
        <w:t xml:space="preserve">, S., </w:t>
      </w:r>
      <w:proofErr w:type="spellStart"/>
      <w:r w:rsidRPr="00453CDB">
        <w:rPr>
          <w:rFonts w:ascii="Arial" w:hAnsi="Arial" w:cs="Arial"/>
        </w:rPr>
        <w:t>Zweekhorst</w:t>
      </w:r>
      <w:proofErr w:type="spellEnd"/>
      <w:r w:rsidRPr="00453CDB">
        <w:rPr>
          <w:rFonts w:ascii="Arial" w:hAnsi="Arial" w:cs="Arial"/>
        </w:rPr>
        <w:t xml:space="preserve">, M. and Marchal, B., </w:t>
      </w:r>
      <w:r w:rsidR="00343B5C">
        <w:rPr>
          <w:rFonts w:ascii="Arial" w:hAnsi="Arial" w:cs="Arial"/>
        </w:rPr>
        <w:t>(</w:t>
      </w:r>
      <w:r w:rsidRPr="00453CDB">
        <w:rPr>
          <w:rFonts w:ascii="Arial" w:hAnsi="Arial" w:cs="Arial"/>
        </w:rPr>
        <w:t>2024</w:t>
      </w:r>
      <w:r w:rsidR="00343B5C">
        <w:rPr>
          <w:rFonts w:ascii="Arial" w:hAnsi="Arial" w:cs="Arial"/>
        </w:rPr>
        <w:t>)</w:t>
      </w:r>
      <w:r w:rsidRPr="00453CDB">
        <w:rPr>
          <w:rFonts w:ascii="Arial" w:hAnsi="Arial" w:cs="Arial"/>
        </w:rPr>
        <w:t>. “We do these audits, but in the end, it’s useless.” How can facility-based maternal death reviews improve the quality of care in Benin?. </w:t>
      </w:r>
      <w:r w:rsidRPr="00453CDB">
        <w:rPr>
          <w:rFonts w:ascii="Arial" w:hAnsi="Arial" w:cs="Arial"/>
          <w:i/>
          <w:iCs/>
        </w:rPr>
        <w:t>SSM-Health Systems</w:t>
      </w:r>
      <w:r w:rsidRPr="00453CDB">
        <w:rPr>
          <w:rFonts w:ascii="Arial" w:hAnsi="Arial" w:cs="Arial"/>
        </w:rPr>
        <w:t>, </w:t>
      </w:r>
      <w:r w:rsidRPr="00453CDB">
        <w:rPr>
          <w:rFonts w:ascii="Arial" w:hAnsi="Arial" w:cs="Arial"/>
          <w:i/>
          <w:iCs/>
        </w:rPr>
        <w:t>3</w:t>
      </w:r>
      <w:r w:rsidRPr="00453CDB">
        <w:rPr>
          <w:rFonts w:ascii="Arial" w:hAnsi="Arial" w:cs="Arial"/>
        </w:rPr>
        <w:t>, p.100032.</w:t>
      </w:r>
      <w:r>
        <w:rPr>
          <w:rFonts w:ascii="Arial" w:hAnsi="Arial" w:cs="Arial"/>
        </w:rPr>
        <w:t xml:space="preserve"> </w:t>
      </w:r>
      <w:hyperlink r:id="rId18" w:history="1">
        <w:r w:rsidRPr="008A4A53">
          <w:rPr>
            <w:rStyle w:val="Hyperlink"/>
            <w:rFonts w:ascii="Arial" w:hAnsi="Arial" w:cs="Arial"/>
          </w:rPr>
          <w:t>https://www.sciencedirect.com/science/article/pii/S2949856224000254</w:t>
        </w:r>
      </w:hyperlink>
    </w:p>
    <w:p w14:paraId="2455E14C" w14:textId="7FD75B75" w:rsidR="0075052A" w:rsidRPr="00071D76" w:rsidRDefault="0075052A" w:rsidP="004D7A40">
      <w:pPr>
        <w:spacing w:line="276" w:lineRule="auto"/>
        <w:jc w:val="both"/>
        <w:rPr>
          <w:rFonts w:ascii="Arial" w:hAnsi="Arial" w:cs="Arial"/>
        </w:rPr>
      </w:pPr>
      <w:r w:rsidRPr="00071D76">
        <w:rPr>
          <w:rFonts w:ascii="Arial" w:hAnsi="Arial" w:cs="Arial"/>
        </w:rPr>
        <w:t xml:space="preserve">Jessop, E., </w:t>
      </w:r>
      <w:r w:rsidR="00343B5C">
        <w:rPr>
          <w:rFonts w:ascii="Arial" w:hAnsi="Arial" w:cs="Arial"/>
        </w:rPr>
        <w:t>(</w:t>
      </w:r>
      <w:r w:rsidRPr="00071D76">
        <w:rPr>
          <w:rFonts w:ascii="Arial" w:hAnsi="Arial" w:cs="Arial"/>
        </w:rPr>
        <w:t>2020</w:t>
      </w:r>
      <w:r w:rsidR="00343B5C">
        <w:rPr>
          <w:rFonts w:ascii="Arial" w:hAnsi="Arial" w:cs="Arial"/>
        </w:rPr>
        <w:t>)</w:t>
      </w:r>
      <w:r w:rsidRPr="00071D76">
        <w:rPr>
          <w:rFonts w:ascii="Arial" w:hAnsi="Arial" w:cs="Arial"/>
        </w:rPr>
        <w:t>. Evaluating healthcare systems and services. </w:t>
      </w:r>
      <w:r w:rsidRPr="00071D76">
        <w:rPr>
          <w:rFonts w:ascii="Arial" w:hAnsi="Arial" w:cs="Arial"/>
          <w:i/>
          <w:iCs/>
        </w:rPr>
        <w:t>Healthcare Public Health: Improving Health Services Through Population Science</w:t>
      </w:r>
      <w:r w:rsidRPr="00071D76">
        <w:rPr>
          <w:rFonts w:ascii="Arial" w:hAnsi="Arial" w:cs="Arial"/>
        </w:rPr>
        <w:t xml:space="preserve">, p.119. </w:t>
      </w:r>
      <w:hyperlink r:id="rId19" w:history="1">
        <w:r w:rsidRPr="00071D76">
          <w:rPr>
            <w:rStyle w:val="Hyperlink"/>
            <w:rFonts w:ascii="Arial" w:hAnsi="Arial" w:cs="Arial"/>
          </w:rPr>
          <w:t>https://books.google.com/books?hl=en&amp;lr=&amp;id=-ST3DwAAQBAJ&amp;oi=fnd&amp;pg=PA119&amp;dq=Donabedian+Modelapply+for+Maternity+Care+Failure++in+UK&amp;ots=A9ZVCqh2dP&amp;sig=gD4DG7HtlYqIdceIplOggoB4mu8</w:t>
        </w:r>
      </w:hyperlink>
    </w:p>
    <w:p w14:paraId="33AFCF7A" w14:textId="3DCC4DEC" w:rsidR="0075052A" w:rsidRPr="00071D76" w:rsidRDefault="0075052A" w:rsidP="004D7A40">
      <w:pPr>
        <w:spacing w:line="276" w:lineRule="auto"/>
        <w:jc w:val="both"/>
        <w:rPr>
          <w:rFonts w:ascii="Arial" w:hAnsi="Arial" w:cs="Arial"/>
        </w:rPr>
      </w:pPr>
      <w:r w:rsidRPr="00071D76">
        <w:rPr>
          <w:rFonts w:ascii="Arial" w:hAnsi="Arial" w:cs="Arial"/>
        </w:rPr>
        <w:t xml:space="preserve">Knight, M. and Stanford, S., </w:t>
      </w:r>
      <w:r w:rsidR="00343B5C">
        <w:rPr>
          <w:rFonts w:ascii="Arial" w:hAnsi="Arial" w:cs="Arial"/>
        </w:rPr>
        <w:t>(</w:t>
      </w:r>
      <w:r w:rsidRPr="00071D76">
        <w:rPr>
          <w:rFonts w:ascii="Arial" w:hAnsi="Arial" w:cs="Arial"/>
        </w:rPr>
        <w:t>2022</w:t>
      </w:r>
      <w:r w:rsidR="00343B5C">
        <w:rPr>
          <w:rFonts w:ascii="Arial" w:hAnsi="Arial" w:cs="Arial"/>
        </w:rPr>
        <w:t>)</w:t>
      </w:r>
      <w:r w:rsidRPr="00071D76">
        <w:rPr>
          <w:rFonts w:ascii="Arial" w:hAnsi="Arial" w:cs="Arial"/>
        </w:rPr>
        <w:t>. Ockenden: another shocking review of maternity services. </w:t>
      </w:r>
      <w:proofErr w:type="spellStart"/>
      <w:r w:rsidRPr="00071D76">
        <w:rPr>
          <w:rFonts w:ascii="Arial" w:hAnsi="Arial" w:cs="Arial"/>
          <w:i/>
          <w:iCs/>
        </w:rPr>
        <w:t>bmj</w:t>
      </w:r>
      <w:proofErr w:type="spellEnd"/>
      <w:r w:rsidRPr="00071D76">
        <w:rPr>
          <w:rFonts w:ascii="Arial" w:hAnsi="Arial" w:cs="Arial"/>
        </w:rPr>
        <w:t>, </w:t>
      </w:r>
      <w:r w:rsidRPr="00071D76">
        <w:rPr>
          <w:rFonts w:ascii="Arial" w:hAnsi="Arial" w:cs="Arial"/>
          <w:i/>
          <w:iCs/>
        </w:rPr>
        <w:t>377</w:t>
      </w:r>
      <w:r w:rsidRPr="00071D76">
        <w:rPr>
          <w:rFonts w:ascii="Arial" w:hAnsi="Arial" w:cs="Arial"/>
        </w:rPr>
        <w:t xml:space="preserve">. </w:t>
      </w:r>
      <w:hyperlink r:id="rId20" w:history="1">
        <w:r w:rsidRPr="00071D76">
          <w:rPr>
            <w:rStyle w:val="Hyperlink"/>
            <w:rFonts w:ascii="Arial" w:hAnsi="Arial" w:cs="Arial"/>
          </w:rPr>
          <w:t>https://www.bmj.com/content/377/bmj.o898.full</w:t>
        </w:r>
      </w:hyperlink>
    </w:p>
    <w:p w14:paraId="1C4F4B05" w14:textId="1883A77C" w:rsidR="008B4B46" w:rsidRPr="00071D76" w:rsidRDefault="008B4B46" w:rsidP="004D7A40">
      <w:pPr>
        <w:spacing w:line="276" w:lineRule="auto"/>
        <w:jc w:val="both"/>
        <w:rPr>
          <w:rFonts w:ascii="Arial" w:hAnsi="Arial" w:cs="Arial"/>
        </w:rPr>
      </w:pPr>
      <w:r w:rsidRPr="00071D76">
        <w:rPr>
          <w:rFonts w:ascii="Arial" w:hAnsi="Arial" w:cs="Arial"/>
        </w:rPr>
        <w:t xml:space="preserve">Liberati, E.G., Tarrant, C., Willars, J., Draycott, T., Winter, C., Kuberska, K., Paton, A., Marjanovic, S., Leach, B., Lichten, C. and Hocking, L., </w:t>
      </w:r>
      <w:r w:rsidR="00F4518B" w:rsidRPr="00071D76">
        <w:rPr>
          <w:rFonts w:ascii="Arial" w:hAnsi="Arial" w:cs="Arial"/>
        </w:rPr>
        <w:t>(</w:t>
      </w:r>
      <w:r w:rsidRPr="00071D76">
        <w:rPr>
          <w:rFonts w:ascii="Arial" w:hAnsi="Arial" w:cs="Arial"/>
        </w:rPr>
        <w:t>2021</w:t>
      </w:r>
      <w:r w:rsidR="00F4518B" w:rsidRPr="00071D76">
        <w:rPr>
          <w:rFonts w:ascii="Arial" w:hAnsi="Arial" w:cs="Arial"/>
        </w:rPr>
        <w:t>)</w:t>
      </w:r>
      <w:r w:rsidRPr="00071D76">
        <w:rPr>
          <w:rFonts w:ascii="Arial" w:hAnsi="Arial" w:cs="Arial"/>
        </w:rPr>
        <w:t>. Seven features of safety in maternity units: a framework based on multisite ethnography and stakeholder consultation. </w:t>
      </w:r>
      <w:r w:rsidRPr="00071D76">
        <w:rPr>
          <w:rFonts w:ascii="Arial" w:hAnsi="Arial" w:cs="Arial"/>
          <w:i/>
          <w:iCs/>
        </w:rPr>
        <w:t>BMJ quality &amp; safety</w:t>
      </w:r>
      <w:r w:rsidRPr="00071D76">
        <w:rPr>
          <w:rFonts w:ascii="Arial" w:hAnsi="Arial" w:cs="Arial"/>
        </w:rPr>
        <w:t>, </w:t>
      </w:r>
      <w:r w:rsidRPr="00071D76">
        <w:rPr>
          <w:rFonts w:ascii="Arial" w:hAnsi="Arial" w:cs="Arial"/>
          <w:i/>
          <w:iCs/>
        </w:rPr>
        <w:t>30</w:t>
      </w:r>
      <w:r w:rsidRPr="00071D76">
        <w:rPr>
          <w:rFonts w:ascii="Arial" w:hAnsi="Arial" w:cs="Arial"/>
        </w:rPr>
        <w:t xml:space="preserve">(6), pp.444-456. </w:t>
      </w:r>
      <w:hyperlink r:id="rId21" w:history="1">
        <w:r w:rsidRPr="00071D76">
          <w:rPr>
            <w:rStyle w:val="Hyperlink"/>
            <w:rFonts w:ascii="Arial" w:hAnsi="Arial" w:cs="Arial"/>
          </w:rPr>
          <w:t>https://qualitysafety.bmj.com/content/30/6/444.abstract</w:t>
        </w:r>
      </w:hyperlink>
    </w:p>
    <w:p w14:paraId="6EA0496F" w14:textId="62661F2F" w:rsidR="00481AE0" w:rsidRPr="00071D76" w:rsidRDefault="005B3235" w:rsidP="004D7A40">
      <w:pPr>
        <w:spacing w:line="276" w:lineRule="auto"/>
        <w:jc w:val="both"/>
        <w:rPr>
          <w:rFonts w:ascii="Arial" w:hAnsi="Arial" w:cs="Arial"/>
        </w:rPr>
      </w:pPr>
      <w:r w:rsidRPr="00071D76">
        <w:rPr>
          <w:rFonts w:ascii="Arial" w:hAnsi="Arial" w:cs="Arial"/>
        </w:rPr>
        <w:t xml:space="preserve">Lowe, P., </w:t>
      </w:r>
      <w:r w:rsidR="005E6B89" w:rsidRPr="00071D76">
        <w:rPr>
          <w:rFonts w:ascii="Arial" w:hAnsi="Arial" w:cs="Arial"/>
        </w:rPr>
        <w:t>(</w:t>
      </w:r>
      <w:r w:rsidRPr="00071D76">
        <w:rPr>
          <w:rFonts w:ascii="Arial" w:hAnsi="Arial" w:cs="Arial"/>
        </w:rPr>
        <w:t>2023</w:t>
      </w:r>
      <w:r w:rsidR="005E6B89" w:rsidRPr="00071D76">
        <w:rPr>
          <w:rFonts w:ascii="Arial" w:hAnsi="Arial" w:cs="Arial"/>
        </w:rPr>
        <w:t>)</w:t>
      </w:r>
      <w:r w:rsidRPr="00071D76">
        <w:rPr>
          <w:rFonts w:ascii="Arial" w:hAnsi="Arial" w:cs="Arial"/>
        </w:rPr>
        <w:t xml:space="preserve">. Reproductive Coercion and Abuse: Key Issues for Safeguarding in Abortion, Contraception and Maternity Care Settings. </w:t>
      </w:r>
      <w:hyperlink r:id="rId22" w:history="1">
        <w:r w:rsidR="00481AE0" w:rsidRPr="00071D76">
          <w:rPr>
            <w:rStyle w:val="Hyperlink"/>
            <w:rFonts w:ascii="Arial" w:hAnsi="Arial" w:cs="Arial"/>
          </w:rPr>
          <w:t>https://publications.aston.ac.uk/id/eprint/45733/</w:t>
        </w:r>
      </w:hyperlink>
    </w:p>
    <w:p w14:paraId="1825ACAF" w14:textId="6FFB759E" w:rsidR="0075052A" w:rsidRPr="00071D76" w:rsidRDefault="0075052A" w:rsidP="004D7A40">
      <w:pPr>
        <w:spacing w:line="276" w:lineRule="auto"/>
        <w:jc w:val="both"/>
        <w:rPr>
          <w:rFonts w:ascii="Arial" w:hAnsi="Arial" w:cs="Arial"/>
        </w:rPr>
      </w:pPr>
      <w:proofErr w:type="spellStart"/>
      <w:r w:rsidRPr="00071D76">
        <w:rPr>
          <w:rFonts w:ascii="Arial" w:hAnsi="Arial" w:cs="Arial"/>
        </w:rPr>
        <w:t>Lokugamage</w:t>
      </w:r>
      <w:proofErr w:type="spellEnd"/>
      <w:r w:rsidRPr="00071D76">
        <w:rPr>
          <w:rFonts w:ascii="Arial" w:hAnsi="Arial" w:cs="Arial"/>
        </w:rPr>
        <w:t xml:space="preserve">, A.U., Robinson, N., </w:t>
      </w:r>
      <w:proofErr w:type="spellStart"/>
      <w:r w:rsidRPr="00071D76">
        <w:rPr>
          <w:rFonts w:ascii="Arial" w:hAnsi="Arial" w:cs="Arial"/>
        </w:rPr>
        <w:t>Pathberiya</w:t>
      </w:r>
      <w:proofErr w:type="spellEnd"/>
      <w:r w:rsidRPr="00071D76">
        <w:rPr>
          <w:rFonts w:ascii="Arial" w:hAnsi="Arial" w:cs="Arial"/>
        </w:rPr>
        <w:t xml:space="preserve">, S.D., Wong, S. and Douglass, C., </w:t>
      </w:r>
      <w:r w:rsidR="00343B5C">
        <w:rPr>
          <w:rFonts w:ascii="Arial" w:hAnsi="Arial" w:cs="Arial"/>
        </w:rPr>
        <w:t>(</w:t>
      </w:r>
      <w:r w:rsidRPr="00071D76">
        <w:rPr>
          <w:rFonts w:ascii="Arial" w:hAnsi="Arial" w:cs="Arial"/>
        </w:rPr>
        <w:t>2022</w:t>
      </w:r>
      <w:r w:rsidR="00343B5C">
        <w:rPr>
          <w:rFonts w:ascii="Arial" w:hAnsi="Arial" w:cs="Arial"/>
        </w:rPr>
        <w:t>)</w:t>
      </w:r>
      <w:r w:rsidRPr="00071D76">
        <w:rPr>
          <w:rFonts w:ascii="Arial" w:hAnsi="Arial" w:cs="Arial"/>
        </w:rPr>
        <w:t>. Respectful maternity care in the UK using a decolonial lens. </w:t>
      </w:r>
      <w:r w:rsidRPr="00071D76">
        <w:rPr>
          <w:rFonts w:ascii="Arial" w:hAnsi="Arial" w:cs="Arial"/>
          <w:i/>
          <w:iCs/>
        </w:rPr>
        <w:t>SN Social Sciences</w:t>
      </w:r>
      <w:r w:rsidRPr="00071D76">
        <w:rPr>
          <w:rFonts w:ascii="Arial" w:hAnsi="Arial" w:cs="Arial"/>
        </w:rPr>
        <w:t>, </w:t>
      </w:r>
      <w:r w:rsidRPr="00071D76">
        <w:rPr>
          <w:rFonts w:ascii="Arial" w:hAnsi="Arial" w:cs="Arial"/>
          <w:i/>
          <w:iCs/>
        </w:rPr>
        <w:t>2</w:t>
      </w:r>
      <w:r w:rsidRPr="00071D76">
        <w:rPr>
          <w:rFonts w:ascii="Arial" w:hAnsi="Arial" w:cs="Arial"/>
        </w:rPr>
        <w:t xml:space="preserve">(12), p.267. </w:t>
      </w:r>
      <w:hyperlink r:id="rId23" w:history="1">
        <w:r w:rsidRPr="00071D76">
          <w:rPr>
            <w:rStyle w:val="Hyperlink"/>
            <w:rFonts w:ascii="Arial" w:hAnsi="Arial" w:cs="Arial"/>
          </w:rPr>
          <w:t>https://link.springer.com/article/10.1007/s43545-022-00576-5</w:t>
        </w:r>
      </w:hyperlink>
    </w:p>
    <w:p w14:paraId="5E3472D8" w14:textId="2D9AEA73" w:rsidR="00101F3E" w:rsidRPr="00071D76" w:rsidRDefault="00101F3E" w:rsidP="004D7A40">
      <w:pPr>
        <w:spacing w:line="276" w:lineRule="auto"/>
        <w:jc w:val="both"/>
        <w:rPr>
          <w:rFonts w:ascii="Arial" w:hAnsi="Arial" w:cs="Arial"/>
        </w:rPr>
      </w:pPr>
      <w:r w:rsidRPr="00071D76">
        <w:rPr>
          <w:rFonts w:ascii="Arial" w:hAnsi="Arial" w:cs="Arial"/>
        </w:rPr>
        <w:t xml:space="preserve">MacLellan, J., Collins, S., Myatt, M., Pope, C., Knighton, W. and Rai, T., </w:t>
      </w:r>
      <w:r w:rsidR="005E6B89" w:rsidRPr="00071D76">
        <w:rPr>
          <w:rFonts w:ascii="Arial" w:hAnsi="Arial" w:cs="Arial"/>
        </w:rPr>
        <w:t>(</w:t>
      </w:r>
      <w:r w:rsidRPr="00071D76">
        <w:rPr>
          <w:rFonts w:ascii="Arial" w:hAnsi="Arial" w:cs="Arial"/>
        </w:rPr>
        <w:t>2022</w:t>
      </w:r>
      <w:r w:rsidR="005E6B89" w:rsidRPr="00071D76">
        <w:rPr>
          <w:rFonts w:ascii="Arial" w:hAnsi="Arial" w:cs="Arial"/>
        </w:rPr>
        <w:t>)</w:t>
      </w:r>
      <w:r w:rsidRPr="00071D76">
        <w:rPr>
          <w:rFonts w:ascii="Arial" w:hAnsi="Arial" w:cs="Arial"/>
        </w:rPr>
        <w:t>. Black, Asian and minority ethnic women's experiences of maternity services in the UK: A qualitative evidence synthesis. </w:t>
      </w:r>
      <w:r w:rsidRPr="00071D76">
        <w:rPr>
          <w:rFonts w:ascii="Arial" w:hAnsi="Arial" w:cs="Arial"/>
          <w:i/>
          <w:iCs/>
        </w:rPr>
        <w:t>Journal of advanced nursing</w:t>
      </w:r>
      <w:r w:rsidRPr="00071D76">
        <w:rPr>
          <w:rFonts w:ascii="Arial" w:hAnsi="Arial" w:cs="Arial"/>
        </w:rPr>
        <w:t>, </w:t>
      </w:r>
      <w:r w:rsidRPr="00071D76">
        <w:rPr>
          <w:rFonts w:ascii="Arial" w:hAnsi="Arial" w:cs="Arial"/>
          <w:i/>
          <w:iCs/>
        </w:rPr>
        <w:t>78</w:t>
      </w:r>
      <w:r w:rsidRPr="00071D76">
        <w:rPr>
          <w:rFonts w:ascii="Arial" w:hAnsi="Arial" w:cs="Arial"/>
        </w:rPr>
        <w:t xml:space="preserve">(7), pp.2175-2190. </w:t>
      </w:r>
      <w:hyperlink r:id="rId24" w:history="1">
        <w:r w:rsidRPr="00071D76">
          <w:rPr>
            <w:rStyle w:val="Hyperlink"/>
            <w:rFonts w:ascii="Arial" w:hAnsi="Arial" w:cs="Arial"/>
          </w:rPr>
          <w:t>https://onlinelibrary.wiley.com/doi/abs/10.1111/jan.15233</w:t>
        </w:r>
      </w:hyperlink>
    </w:p>
    <w:p w14:paraId="24B101D8" w14:textId="0C8545BC" w:rsidR="007745E3" w:rsidRPr="00071D76" w:rsidRDefault="007745E3" w:rsidP="004D7A40">
      <w:pPr>
        <w:spacing w:line="276" w:lineRule="auto"/>
        <w:jc w:val="both"/>
        <w:rPr>
          <w:rFonts w:ascii="Arial" w:hAnsi="Arial" w:cs="Arial"/>
        </w:rPr>
      </w:pPr>
      <w:proofErr w:type="spellStart"/>
      <w:r w:rsidRPr="00071D76">
        <w:rPr>
          <w:rFonts w:ascii="Arial" w:hAnsi="Arial" w:cs="Arial"/>
        </w:rPr>
        <w:t>Mahmood</w:t>
      </w:r>
      <w:proofErr w:type="spellEnd"/>
      <w:r w:rsidRPr="00071D76">
        <w:rPr>
          <w:rFonts w:ascii="Arial" w:hAnsi="Arial" w:cs="Arial"/>
        </w:rPr>
        <w:t xml:space="preserve">, M.A., </w:t>
      </w:r>
      <w:proofErr w:type="spellStart"/>
      <w:r w:rsidRPr="00071D76">
        <w:rPr>
          <w:rFonts w:ascii="Arial" w:hAnsi="Arial" w:cs="Arial"/>
        </w:rPr>
        <w:t>Hendarto</w:t>
      </w:r>
      <w:proofErr w:type="spellEnd"/>
      <w:r w:rsidRPr="00071D76">
        <w:rPr>
          <w:rFonts w:ascii="Arial" w:hAnsi="Arial" w:cs="Arial"/>
        </w:rPr>
        <w:t xml:space="preserve">, H., Laksana, M.A.C., </w:t>
      </w:r>
      <w:proofErr w:type="spellStart"/>
      <w:r w:rsidRPr="00071D76">
        <w:rPr>
          <w:rFonts w:ascii="Arial" w:hAnsi="Arial" w:cs="Arial"/>
        </w:rPr>
        <w:t>Damayanti</w:t>
      </w:r>
      <w:proofErr w:type="spellEnd"/>
      <w:r w:rsidRPr="00071D76">
        <w:rPr>
          <w:rFonts w:ascii="Arial" w:hAnsi="Arial" w:cs="Arial"/>
        </w:rPr>
        <w:t xml:space="preserve">, H.E., </w:t>
      </w:r>
      <w:proofErr w:type="spellStart"/>
      <w:r w:rsidRPr="00071D76">
        <w:rPr>
          <w:rFonts w:ascii="Arial" w:hAnsi="Arial" w:cs="Arial"/>
        </w:rPr>
        <w:t>Suhargono</w:t>
      </w:r>
      <w:proofErr w:type="spellEnd"/>
      <w:r w:rsidRPr="00071D76">
        <w:rPr>
          <w:rFonts w:ascii="Arial" w:hAnsi="Arial" w:cs="Arial"/>
        </w:rPr>
        <w:t xml:space="preserve">, M.H., </w:t>
      </w:r>
      <w:proofErr w:type="spellStart"/>
      <w:r w:rsidRPr="00071D76">
        <w:rPr>
          <w:rFonts w:ascii="Arial" w:hAnsi="Arial" w:cs="Arial"/>
        </w:rPr>
        <w:t>Pranadyan</w:t>
      </w:r>
      <w:proofErr w:type="spellEnd"/>
      <w:r w:rsidRPr="00071D76">
        <w:rPr>
          <w:rFonts w:ascii="Arial" w:hAnsi="Arial" w:cs="Arial"/>
        </w:rPr>
        <w:t xml:space="preserve">, R., </w:t>
      </w:r>
      <w:proofErr w:type="spellStart"/>
      <w:r w:rsidRPr="00071D76">
        <w:rPr>
          <w:rFonts w:ascii="Arial" w:hAnsi="Arial" w:cs="Arial"/>
        </w:rPr>
        <w:t>Santoso</w:t>
      </w:r>
      <w:proofErr w:type="spellEnd"/>
      <w:r w:rsidRPr="00071D76">
        <w:rPr>
          <w:rFonts w:ascii="Arial" w:hAnsi="Arial" w:cs="Arial"/>
        </w:rPr>
        <w:t xml:space="preserve">, K.H., </w:t>
      </w:r>
      <w:proofErr w:type="spellStart"/>
      <w:r w:rsidRPr="00071D76">
        <w:rPr>
          <w:rFonts w:ascii="Arial" w:hAnsi="Arial" w:cs="Arial"/>
        </w:rPr>
        <w:t>Redjeki</w:t>
      </w:r>
      <w:proofErr w:type="spellEnd"/>
      <w:r w:rsidRPr="00071D76">
        <w:rPr>
          <w:rFonts w:ascii="Arial" w:hAnsi="Arial" w:cs="Arial"/>
        </w:rPr>
        <w:t xml:space="preserve">, K.S., </w:t>
      </w:r>
      <w:proofErr w:type="spellStart"/>
      <w:r w:rsidRPr="00071D76">
        <w:rPr>
          <w:rFonts w:ascii="Arial" w:hAnsi="Arial" w:cs="Arial"/>
        </w:rPr>
        <w:t>Winard</w:t>
      </w:r>
      <w:proofErr w:type="spellEnd"/>
      <w:r w:rsidRPr="00071D76">
        <w:rPr>
          <w:rFonts w:ascii="Arial" w:hAnsi="Arial" w:cs="Arial"/>
        </w:rPr>
        <w:t xml:space="preserve">, B., </w:t>
      </w:r>
      <w:proofErr w:type="spellStart"/>
      <w:r w:rsidRPr="00071D76">
        <w:rPr>
          <w:rFonts w:ascii="Arial" w:hAnsi="Arial" w:cs="Arial"/>
        </w:rPr>
        <w:t>Prasetyo</w:t>
      </w:r>
      <w:proofErr w:type="spellEnd"/>
      <w:r w:rsidRPr="00071D76">
        <w:rPr>
          <w:rFonts w:ascii="Arial" w:hAnsi="Arial" w:cs="Arial"/>
        </w:rPr>
        <w:t xml:space="preserve">, B. and </w:t>
      </w:r>
      <w:proofErr w:type="spellStart"/>
      <w:r w:rsidRPr="00071D76">
        <w:rPr>
          <w:rFonts w:ascii="Arial" w:hAnsi="Arial" w:cs="Arial"/>
        </w:rPr>
        <w:t>Vercruyssen</w:t>
      </w:r>
      <w:proofErr w:type="spellEnd"/>
      <w:r w:rsidRPr="00071D76">
        <w:rPr>
          <w:rFonts w:ascii="Arial" w:hAnsi="Arial" w:cs="Arial"/>
        </w:rPr>
        <w:t xml:space="preserve">, J., </w:t>
      </w:r>
      <w:r w:rsidR="005E6B89" w:rsidRPr="00071D76">
        <w:rPr>
          <w:rFonts w:ascii="Arial" w:hAnsi="Arial" w:cs="Arial"/>
        </w:rPr>
        <w:t>(</w:t>
      </w:r>
      <w:r w:rsidRPr="00071D76">
        <w:rPr>
          <w:rFonts w:ascii="Arial" w:hAnsi="Arial" w:cs="Arial"/>
        </w:rPr>
        <w:t>2021</w:t>
      </w:r>
      <w:r w:rsidR="005E6B89" w:rsidRPr="00071D76">
        <w:rPr>
          <w:rFonts w:ascii="Arial" w:hAnsi="Arial" w:cs="Arial"/>
        </w:rPr>
        <w:t>)</w:t>
      </w:r>
      <w:r w:rsidRPr="00071D76">
        <w:rPr>
          <w:rFonts w:ascii="Arial" w:hAnsi="Arial" w:cs="Arial"/>
        </w:rPr>
        <w:t>. Health system and quality of care factors contributing to maternal deaths in East Java, Indonesia. </w:t>
      </w:r>
      <w:r w:rsidRPr="00071D76">
        <w:rPr>
          <w:rFonts w:ascii="Arial" w:hAnsi="Arial" w:cs="Arial"/>
          <w:i/>
          <w:iCs/>
        </w:rPr>
        <w:t>PLoS One</w:t>
      </w:r>
      <w:r w:rsidRPr="00071D76">
        <w:rPr>
          <w:rFonts w:ascii="Arial" w:hAnsi="Arial" w:cs="Arial"/>
        </w:rPr>
        <w:t>, </w:t>
      </w:r>
      <w:r w:rsidRPr="00071D76">
        <w:rPr>
          <w:rFonts w:ascii="Arial" w:hAnsi="Arial" w:cs="Arial"/>
          <w:i/>
          <w:iCs/>
        </w:rPr>
        <w:t>16</w:t>
      </w:r>
      <w:r w:rsidRPr="00071D76">
        <w:rPr>
          <w:rFonts w:ascii="Arial" w:hAnsi="Arial" w:cs="Arial"/>
        </w:rPr>
        <w:t>(2), p.e0247911.</w:t>
      </w:r>
      <w:r w:rsidR="00C55B7C" w:rsidRPr="00071D76">
        <w:rPr>
          <w:rFonts w:ascii="Arial" w:hAnsi="Arial" w:cs="Arial"/>
        </w:rPr>
        <w:t xml:space="preserve"> </w:t>
      </w:r>
      <w:hyperlink r:id="rId25" w:history="1">
        <w:r w:rsidR="00C55B7C" w:rsidRPr="00071D76">
          <w:rPr>
            <w:rStyle w:val="Hyperlink"/>
            <w:rFonts w:ascii="Arial" w:hAnsi="Arial" w:cs="Arial"/>
          </w:rPr>
          <w:t>https://journals.plos.org/plosone/article?id=10.1371/journal.pone.0247911</w:t>
        </w:r>
      </w:hyperlink>
    </w:p>
    <w:p w14:paraId="58558245" w14:textId="6D3251C6" w:rsidR="00F84AE6" w:rsidRDefault="00F84AE6" w:rsidP="004D7A40">
      <w:pPr>
        <w:spacing w:line="276" w:lineRule="auto"/>
        <w:jc w:val="both"/>
        <w:rPr>
          <w:rFonts w:ascii="Arial" w:hAnsi="Arial" w:cs="Arial"/>
        </w:rPr>
      </w:pPr>
      <w:r w:rsidRPr="00F84AE6">
        <w:rPr>
          <w:rFonts w:ascii="Arial" w:hAnsi="Arial" w:cs="Arial"/>
        </w:rPr>
        <w:t xml:space="preserve">McGowan, J., Attal, B., Kuhn, I., Hinton, L., Draycott, T., Martin, G.P. and Dixon-Woods, M., </w:t>
      </w:r>
      <w:r w:rsidR="007C6B4D">
        <w:rPr>
          <w:rFonts w:ascii="Arial" w:hAnsi="Arial" w:cs="Arial"/>
        </w:rPr>
        <w:t>(</w:t>
      </w:r>
      <w:r w:rsidRPr="00F84AE6">
        <w:rPr>
          <w:rFonts w:ascii="Arial" w:hAnsi="Arial" w:cs="Arial"/>
        </w:rPr>
        <w:t>2024</w:t>
      </w:r>
      <w:r w:rsidR="007C6B4D">
        <w:rPr>
          <w:rFonts w:ascii="Arial" w:hAnsi="Arial" w:cs="Arial"/>
        </w:rPr>
        <w:t>)</w:t>
      </w:r>
      <w:r w:rsidRPr="00F84AE6">
        <w:rPr>
          <w:rFonts w:ascii="Arial" w:hAnsi="Arial" w:cs="Arial"/>
        </w:rPr>
        <w:t>. Quality and reporting of large-scale improvement programmes: a review of maternity initiatives in the English NHS, 2010–2023. </w:t>
      </w:r>
      <w:r w:rsidRPr="00F84AE6">
        <w:rPr>
          <w:rFonts w:ascii="Arial" w:hAnsi="Arial" w:cs="Arial"/>
          <w:i/>
          <w:iCs/>
        </w:rPr>
        <w:t>BMJ Quality &amp; Safety</w:t>
      </w:r>
      <w:r w:rsidRPr="00F84AE6">
        <w:rPr>
          <w:rFonts w:ascii="Arial" w:hAnsi="Arial" w:cs="Arial"/>
        </w:rPr>
        <w:t>, </w:t>
      </w:r>
      <w:r w:rsidRPr="00F84AE6">
        <w:rPr>
          <w:rFonts w:ascii="Arial" w:hAnsi="Arial" w:cs="Arial"/>
          <w:i/>
          <w:iCs/>
        </w:rPr>
        <w:t>33</w:t>
      </w:r>
      <w:r w:rsidRPr="00F84AE6">
        <w:rPr>
          <w:rFonts w:ascii="Arial" w:hAnsi="Arial" w:cs="Arial"/>
        </w:rPr>
        <w:t>(11), pp.704-715.</w:t>
      </w:r>
      <w:r>
        <w:rPr>
          <w:rFonts w:ascii="Arial" w:hAnsi="Arial" w:cs="Arial"/>
        </w:rPr>
        <w:t xml:space="preserve"> </w:t>
      </w:r>
      <w:hyperlink r:id="rId26" w:history="1">
        <w:r w:rsidRPr="008A4A53">
          <w:rPr>
            <w:rStyle w:val="Hyperlink"/>
            <w:rFonts w:ascii="Arial" w:hAnsi="Arial" w:cs="Arial"/>
          </w:rPr>
          <w:t>https://qualitysafety.bmj.com/content/33/11/704.abstract</w:t>
        </w:r>
      </w:hyperlink>
    </w:p>
    <w:p w14:paraId="6A20FE48" w14:textId="1E55371A" w:rsidR="0075052A" w:rsidRPr="00071D76" w:rsidRDefault="0075052A" w:rsidP="004D7A40">
      <w:pPr>
        <w:spacing w:line="276" w:lineRule="auto"/>
        <w:jc w:val="both"/>
        <w:rPr>
          <w:rFonts w:ascii="Arial" w:hAnsi="Arial" w:cs="Arial"/>
        </w:rPr>
      </w:pPr>
      <w:r w:rsidRPr="00071D76">
        <w:rPr>
          <w:rFonts w:ascii="Arial" w:hAnsi="Arial" w:cs="Arial"/>
        </w:rPr>
        <w:t xml:space="preserve">Moura, M.E.S., Maria, R.C.D., Silva, M.C.S.D. and Silva, M.M.D., </w:t>
      </w:r>
      <w:r w:rsidR="007C6B4D">
        <w:rPr>
          <w:rFonts w:ascii="Arial" w:hAnsi="Arial" w:cs="Arial"/>
        </w:rPr>
        <w:t>(</w:t>
      </w:r>
      <w:r w:rsidRPr="00071D76">
        <w:rPr>
          <w:rFonts w:ascii="Arial" w:hAnsi="Arial" w:cs="Arial"/>
        </w:rPr>
        <w:t>2022</w:t>
      </w:r>
      <w:r w:rsidR="007C6B4D">
        <w:rPr>
          <w:rFonts w:ascii="Arial" w:hAnsi="Arial" w:cs="Arial"/>
        </w:rPr>
        <w:t>)</w:t>
      </w:r>
      <w:r w:rsidRPr="00071D76">
        <w:rPr>
          <w:rFonts w:ascii="Arial" w:hAnsi="Arial" w:cs="Arial"/>
        </w:rPr>
        <w:t>. Risk management of adverse events in a maternity hospital. </w:t>
      </w:r>
      <w:proofErr w:type="spellStart"/>
      <w:r w:rsidRPr="00071D76">
        <w:rPr>
          <w:rFonts w:ascii="Arial" w:hAnsi="Arial" w:cs="Arial"/>
          <w:i/>
          <w:iCs/>
        </w:rPr>
        <w:t>Revista</w:t>
      </w:r>
      <w:proofErr w:type="spellEnd"/>
      <w:r w:rsidRPr="00071D76">
        <w:rPr>
          <w:rFonts w:ascii="Arial" w:hAnsi="Arial" w:cs="Arial"/>
          <w:i/>
          <w:iCs/>
        </w:rPr>
        <w:t xml:space="preserve"> </w:t>
      </w:r>
      <w:proofErr w:type="spellStart"/>
      <w:r w:rsidRPr="00071D76">
        <w:rPr>
          <w:rFonts w:ascii="Arial" w:hAnsi="Arial" w:cs="Arial"/>
          <w:i/>
          <w:iCs/>
        </w:rPr>
        <w:t>Gaúcha</w:t>
      </w:r>
      <w:proofErr w:type="spellEnd"/>
      <w:r w:rsidRPr="00071D76">
        <w:rPr>
          <w:rFonts w:ascii="Arial" w:hAnsi="Arial" w:cs="Arial"/>
          <w:i/>
          <w:iCs/>
        </w:rPr>
        <w:t xml:space="preserve"> de </w:t>
      </w:r>
      <w:proofErr w:type="spellStart"/>
      <w:r w:rsidRPr="00071D76">
        <w:rPr>
          <w:rFonts w:ascii="Arial" w:hAnsi="Arial" w:cs="Arial"/>
          <w:i/>
          <w:iCs/>
        </w:rPr>
        <w:t>Enfermagem</w:t>
      </w:r>
      <w:proofErr w:type="spellEnd"/>
      <w:r w:rsidRPr="00071D76">
        <w:rPr>
          <w:rFonts w:ascii="Arial" w:hAnsi="Arial" w:cs="Arial"/>
        </w:rPr>
        <w:t>, </w:t>
      </w:r>
      <w:r w:rsidRPr="00071D76">
        <w:rPr>
          <w:rFonts w:ascii="Arial" w:hAnsi="Arial" w:cs="Arial"/>
          <w:i/>
          <w:iCs/>
        </w:rPr>
        <w:t>43</w:t>
      </w:r>
      <w:r w:rsidRPr="00071D76">
        <w:rPr>
          <w:rFonts w:ascii="Arial" w:hAnsi="Arial" w:cs="Arial"/>
        </w:rPr>
        <w:t xml:space="preserve">, p.e20210255. </w:t>
      </w:r>
      <w:hyperlink r:id="rId27" w:history="1">
        <w:r w:rsidRPr="00071D76">
          <w:rPr>
            <w:rStyle w:val="Hyperlink"/>
            <w:rFonts w:ascii="Arial" w:hAnsi="Arial" w:cs="Arial"/>
          </w:rPr>
          <w:t>https://www.scielo.br/j/rgenf/a/8fZtDGq8LpRj5hKVKzFYBLH/?lang=en</w:t>
        </w:r>
      </w:hyperlink>
    </w:p>
    <w:p w14:paraId="0EC80319" w14:textId="1FACB65E" w:rsidR="0075052A" w:rsidRPr="00071D76" w:rsidRDefault="0075052A" w:rsidP="004D7A40">
      <w:pPr>
        <w:spacing w:line="276" w:lineRule="auto"/>
        <w:jc w:val="both"/>
        <w:rPr>
          <w:rFonts w:ascii="Arial" w:hAnsi="Arial" w:cs="Arial"/>
        </w:rPr>
      </w:pPr>
      <w:r w:rsidRPr="00071D76">
        <w:rPr>
          <w:rFonts w:ascii="Arial" w:hAnsi="Arial" w:cs="Arial"/>
        </w:rPr>
        <w:t xml:space="preserve">Naz, S., Saleem, S., Islam, Z.S., Bhamani, S. and Sheikh, L., </w:t>
      </w:r>
      <w:r w:rsidR="00DE6E72">
        <w:rPr>
          <w:rFonts w:ascii="Arial" w:hAnsi="Arial" w:cs="Arial"/>
        </w:rPr>
        <w:t>(</w:t>
      </w:r>
      <w:r w:rsidRPr="00071D76">
        <w:rPr>
          <w:rFonts w:ascii="Arial" w:hAnsi="Arial" w:cs="Arial"/>
        </w:rPr>
        <w:t>2022</w:t>
      </w:r>
      <w:r w:rsidR="00DE6E72">
        <w:rPr>
          <w:rFonts w:ascii="Arial" w:hAnsi="Arial" w:cs="Arial"/>
        </w:rPr>
        <w:t>)</w:t>
      </w:r>
      <w:r w:rsidRPr="00071D76">
        <w:rPr>
          <w:rFonts w:ascii="Arial" w:hAnsi="Arial" w:cs="Arial"/>
        </w:rPr>
        <w:t>. Obstetric triage improvement process using the Donabedian model of quality care: a quality improvement initiative. </w:t>
      </w:r>
      <w:r w:rsidRPr="00071D76">
        <w:rPr>
          <w:rFonts w:ascii="Arial" w:hAnsi="Arial" w:cs="Arial"/>
          <w:i/>
          <w:iCs/>
        </w:rPr>
        <w:t>BMJ Open Quality</w:t>
      </w:r>
      <w:r w:rsidRPr="00071D76">
        <w:rPr>
          <w:rFonts w:ascii="Arial" w:hAnsi="Arial" w:cs="Arial"/>
        </w:rPr>
        <w:t>, </w:t>
      </w:r>
      <w:r w:rsidRPr="00071D76">
        <w:rPr>
          <w:rFonts w:ascii="Arial" w:hAnsi="Arial" w:cs="Arial"/>
          <w:i/>
          <w:iCs/>
        </w:rPr>
        <w:t>11</w:t>
      </w:r>
      <w:r w:rsidRPr="00071D76">
        <w:rPr>
          <w:rFonts w:ascii="Arial" w:hAnsi="Arial" w:cs="Arial"/>
        </w:rPr>
        <w:t xml:space="preserve">(2), p.e001483. </w:t>
      </w:r>
      <w:hyperlink r:id="rId28" w:history="1">
        <w:r w:rsidRPr="00071D76">
          <w:rPr>
            <w:rStyle w:val="Hyperlink"/>
            <w:rFonts w:ascii="Arial" w:hAnsi="Arial" w:cs="Arial"/>
          </w:rPr>
          <w:t>https://bmjopenquality.bmj.com/content/11/2/e001483.abstract</w:t>
        </w:r>
      </w:hyperlink>
    </w:p>
    <w:p w14:paraId="5D96C3DB" w14:textId="195A7054" w:rsidR="009C6F8D" w:rsidRDefault="009C6F8D" w:rsidP="004D7A40">
      <w:pPr>
        <w:spacing w:line="276" w:lineRule="auto"/>
        <w:jc w:val="both"/>
        <w:rPr>
          <w:rFonts w:ascii="Arial" w:hAnsi="Arial" w:cs="Arial"/>
        </w:rPr>
      </w:pPr>
      <w:r w:rsidRPr="009C6F8D">
        <w:rPr>
          <w:rFonts w:ascii="Arial" w:hAnsi="Arial" w:cs="Arial"/>
        </w:rPr>
        <w:t xml:space="preserve">Ndicunguye, V.M. and El Ayadi, A.M., </w:t>
      </w:r>
      <w:r w:rsidR="00FD45F8">
        <w:rPr>
          <w:rFonts w:ascii="Arial" w:hAnsi="Arial" w:cs="Arial"/>
        </w:rPr>
        <w:t>(</w:t>
      </w:r>
      <w:r w:rsidRPr="009C6F8D">
        <w:rPr>
          <w:rFonts w:ascii="Arial" w:hAnsi="Arial" w:cs="Arial"/>
        </w:rPr>
        <w:t>2022</w:t>
      </w:r>
      <w:r w:rsidR="00FD45F8">
        <w:rPr>
          <w:rFonts w:ascii="Arial" w:hAnsi="Arial" w:cs="Arial"/>
        </w:rPr>
        <w:t>)</w:t>
      </w:r>
      <w:r w:rsidRPr="009C6F8D">
        <w:rPr>
          <w:rFonts w:ascii="Arial" w:hAnsi="Arial" w:cs="Arial"/>
        </w:rPr>
        <w:t>. Quality Improvement Models and Methods for Maternal Health in Lower-Resource Settings. </w:t>
      </w:r>
      <w:r w:rsidRPr="009C6F8D">
        <w:rPr>
          <w:rFonts w:ascii="Arial" w:hAnsi="Arial" w:cs="Arial"/>
          <w:i/>
          <w:iCs/>
        </w:rPr>
        <w:t xml:space="preserve">Obstetrics and </w:t>
      </w:r>
      <w:proofErr w:type="spellStart"/>
      <w:r w:rsidRPr="009C6F8D">
        <w:rPr>
          <w:rFonts w:ascii="Arial" w:hAnsi="Arial" w:cs="Arial"/>
          <w:i/>
          <w:iCs/>
        </w:rPr>
        <w:t>Gynecology</w:t>
      </w:r>
      <w:proofErr w:type="spellEnd"/>
      <w:r w:rsidRPr="009C6F8D">
        <w:rPr>
          <w:rFonts w:ascii="Arial" w:hAnsi="Arial" w:cs="Arial"/>
          <w:i/>
          <w:iCs/>
        </w:rPr>
        <w:t xml:space="preserve"> Clinics</w:t>
      </w:r>
      <w:r w:rsidRPr="009C6F8D">
        <w:rPr>
          <w:rFonts w:ascii="Arial" w:hAnsi="Arial" w:cs="Arial"/>
        </w:rPr>
        <w:t>, </w:t>
      </w:r>
      <w:r w:rsidRPr="009C6F8D">
        <w:rPr>
          <w:rFonts w:ascii="Arial" w:hAnsi="Arial" w:cs="Arial"/>
          <w:i/>
          <w:iCs/>
        </w:rPr>
        <w:t>49</w:t>
      </w:r>
      <w:r w:rsidRPr="009C6F8D">
        <w:rPr>
          <w:rFonts w:ascii="Arial" w:hAnsi="Arial" w:cs="Arial"/>
        </w:rPr>
        <w:t>(4), pp.823-839.</w:t>
      </w:r>
      <w:r>
        <w:rPr>
          <w:rFonts w:ascii="Arial" w:hAnsi="Arial" w:cs="Arial"/>
        </w:rPr>
        <w:t xml:space="preserve"> </w:t>
      </w:r>
      <w:hyperlink r:id="rId29" w:history="1">
        <w:r w:rsidRPr="008A4A53">
          <w:rPr>
            <w:rStyle w:val="Hyperlink"/>
            <w:rFonts w:ascii="Arial" w:hAnsi="Arial" w:cs="Arial"/>
          </w:rPr>
          <w:t>https://www.obgyn.theclinics.com/article/S0889-8545(22)00068-7/abstract</w:t>
        </w:r>
      </w:hyperlink>
    </w:p>
    <w:p w14:paraId="64C5496E" w14:textId="00EB4A87" w:rsidR="00133EF7" w:rsidRPr="00071D76" w:rsidRDefault="00133EF7" w:rsidP="004D7A40">
      <w:pPr>
        <w:spacing w:line="276" w:lineRule="auto"/>
        <w:jc w:val="both"/>
        <w:rPr>
          <w:rFonts w:ascii="Arial" w:hAnsi="Arial" w:cs="Arial"/>
        </w:rPr>
      </w:pPr>
      <w:r w:rsidRPr="00071D76">
        <w:rPr>
          <w:rFonts w:ascii="Arial" w:hAnsi="Arial" w:cs="Arial"/>
        </w:rPr>
        <w:t xml:space="preserve">O’Dowd, A., </w:t>
      </w:r>
      <w:r w:rsidR="005E6B89" w:rsidRPr="00071D76">
        <w:rPr>
          <w:rFonts w:ascii="Arial" w:hAnsi="Arial" w:cs="Arial"/>
        </w:rPr>
        <w:t>(</w:t>
      </w:r>
      <w:r w:rsidRPr="00071D76">
        <w:rPr>
          <w:rFonts w:ascii="Arial" w:hAnsi="Arial" w:cs="Arial"/>
        </w:rPr>
        <w:t>2025</w:t>
      </w:r>
      <w:r w:rsidR="005E6B89" w:rsidRPr="00071D76">
        <w:rPr>
          <w:rFonts w:ascii="Arial" w:hAnsi="Arial" w:cs="Arial"/>
        </w:rPr>
        <w:t>)</w:t>
      </w:r>
      <w:r w:rsidRPr="00071D76">
        <w:rPr>
          <w:rFonts w:ascii="Arial" w:hAnsi="Arial" w:cs="Arial"/>
        </w:rPr>
        <w:t xml:space="preserve">. Maternity care: 14 NHS trusts at centre of investigation named. </w:t>
      </w:r>
      <w:hyperlink r:id="rId30" w:history="1">
        <w:r w:rsidRPr="00071D76">
          <w:rPr>
            <w:rStyle w:val="Hyperlink"/>
            <w:rFonts w:ascii="Arial" w:hAnsi="Arial" w:cs="Arial"/>
          </w:rPr>
          <w:t>https://www.bmj.com/content/390/bmj.r1941.short</w:t>
        </w:r>
      </w:hyperlink>
    </w:p>
    <w:p w14:paraId="7DFA0711" w14:textId="09866E62" w:rsidR="004E26BA" w:rsidRDefault="004E26BA" w:rsidP="004D7A40">
      <w:pPr>
        <w:spacing w:line="276" w:lineRule="auto"/>
        <w:jc w:val="both"/>
        <w:rPr>
          <w:rFonts w:ascii="Arial" w:hAnsi="Arial" w:cs="Arial"/>
        </w:rPr>
      </w:pPr>
      <w:proofErr w:type="spellStart"/>
      <w:r w:rsidRPr="004E26BA">
        <w:rPr>
          <w:rFonts w:ascii="Arial" w:hAnsi="Arial" w:cs="Arial"/>
        </w:rPr>
        <w:t>Pavalagantharajah</w:t>
      </w:r>
      <w:proofErr w:type="spellEnd"/>
      <w:r w:rsidRPr="004E26BA">
        <w:rPr>
          <w:rFonts w:ascii="Arial" w:hAnsi="Arial" w:cs="Arial"/>
        </w:rPr>
        <w:t xml:space="preserve">, S., Negrin, A.R., Bouzanis, K., Joan Lee, T.S., Miller, P., Jones, R., Sinnott, W. and Alvarez, E., </w:t>
      </w:r>
      <w:r w:rsidR="00402E8E">
        <w:rPr>
          <w:rFonts w:ascii="Arial" w:hAnsi="Arial" w:cs="Arial"/>
        </w:rPr>
        <w:t>(</w:t>
      </w:r>
      <w:r w:rsidRPr="004E26BA">
        <w:rPr>
          <w:rFonts w:ascii="Arial" w:hAnsi="Arial" w:cs="Arial"/>
        </w:rPr>
        <w:t>2023</w:t>
      </w:r>
      <w:r w:rsidR="00402E8E">
        <w:rPr>
          <w:rFonts w:ascii="Arial" w:hAnsi="Arial" w:cs="Arial"/>
        </w:rPr>
        <w:t>)</w:t>
      </w:r>
      <w:r w:rsidRPr="004E26BA">
        <w:rPr>
          <w:rFonts w:ascii="Arial" w:hAnsi="Arial" w:cs="Arial"/>
        </w:rPr>
        <w:t>. Facility-based maternal quality of care frameworks: a systematic review and best fit framework analysis. </w:t>
      </w:r>
      <w:r w:rsidRPr="004E26BA">
        <w:rPr>
          <w:rFonts w:ascii="Arial" w:hAnsi="Arial" w:cs="Arial"/>
          <w:i/>
          <w:iCs/>
        </w:rPr>
        <w:t>Maternal and child health journal</w:t>
      </w:r>
      <w:r w:rsidRPr="004E26BA">
        <w:rPr>
          <w:rFonts w:ascii="Arial" w:hAnsi="Arial" w:cs="Arial"/>
        </w:rPr>
        <w:t>, </w:t>
      </w:r>
      <w:r w:rsidRPr="004E26BA">
        <w:rPr>
          <w:rFonts w:ascii="Arial" w:hAnsi="Arial" w:cs="Arial"/>
          <w:i/>
          <w:iCs/>
        </w:rPr>
        <w:t>27</w:t>
      </w:r>
      <w:r w:rsidRPr="004E26BA">
        <w:rPr>
          <w:rFonts w:ascii="Arial" w:hAnsi="Arial" w:cs="Arial"/>
        </w:rPr>
        <w:t>(10), pp.1742-1753.</w:t>
      </w:r>
      <w:r>
        <w:rPr>
          <w:rFonts w:ascii="Arial" w:hAnsi="Arial" w:cs="Arial"/>
        </w:rPr>
        <w:t xml:space="preserve"> </w:t>
      </w:r>
      <w:hyperlink r:id="rId31" w:history="1">
        <w:r w:rsidRPr="008A4A53">
          <w:rPr>
            <w:rStyle w:val="Hyperlink"/>
            <w:rFonts w:ascii="Arial" w:hAnsi="Arial" w:cs="Arial"/>
          </w:rPr>
          <w:t>https://link.springer.com/article/10.1007/s10995-023-03702-8</w:t>
        </w:r>
      </w:hyperlink>
    </w:p>
    <w:p w14:paraId="253FDA7E" w14:textId="493128E0" w:rsidR="00F126CB" w:rsidRPr="00071D76" w:rsidRDefault="005B3235" w:rsidP="004D7A40">
      <w:pPr>
        <w:spacing w:line="276" w:lineRule="auto"/>
        <w:jc w:val="both"/>
        <w:rPr>
          <w:rFonts w:ascii="Arial" w:hAnsi="Arial" w:cs="Arial"/>
        </w:rPr>
      </w:pPr>
      <w:r w:rsidRPr="00071D76">
        <w:rPr>
          <w:rFonts w:ascii="Arial" w:hAnsi="Arial" w:cs="Arial"/>
        </w:rPr>
        <w:t xml:space="preserve">Post, W., </w:t>
      </w:r>
      <w:r w:rsidR="005E6B89" w:rsidRPr="00071D76">
        <w:rPr>
          <w:rFonts w:ascii="Arial" w:hAnsi="Arial" w:cs="Arial"/>
        </w:rPr>
        <w:t>(</w:t>
      </w:r>
      <w:r w:rsidRPr="00071D76">
        <w:rPr>
          <w:rFonts w:ascii="Arial" w:hAnsi="Arial" w:cs="Arial"/>
        </w:rPr>
        <w:t>2025</w:t>
      </w:r>
      <w:r w:rsidR="005E6B89" w:rsidRPr="00071D76">
        <w:rPr>
          <w:rFonts w:ascii="Arial" w:hAnsi="Arial" w:cs="Arial"/>
        </w:rPr>
        <w:t>)</w:t>
      </w:r>
      <w:r w:rsidRPr="00071D76">
        <w:rPr>
          <w:rFonts w:ascii="Arial" w:hAnsi="Arial" w:cs="Arial"/>
        </w:rPr>
        <w:t>. A Concept Analysis on Failure to Rescue in Maternal Health: Implications for Practice and Policy. </w:t>
      </w:r>
      <w:r w:rsidRPr="00071D76">
        <w:rPr>
          <w:rFonts w:ascii="Arial" w:hAnsi="Arial" w:cs="Arial"/>
          <w:i/>
          <w:iCs/>
        </w:rPr>
        <w:t>Birth</w:t>
      </w:r>
      <w:r w:rsidRPr="00071D76">
        <w:rPr>
          <w:rFonts w:ascii="Arial" w:hAnsi="Arial" w:cs="Arial"/>
        </w:rPr>
        <w:t xml:space="preserve">. </w:t>
      </w:r>
      <w:hyperlink r:id="rId32" w:history="1">
        <w:r w:rsidR="00F126CB" w:rsidRPr="00071D76">
          <w:rPr>
            <w:rStyle w:val="Hyperlink"/>
            <w:rFonts w:ascii="Arial" w:hAnsi="Arial" w:cs="Arial"/>
          </w:rPr>
          <w:t>https://onlinelibrary.wiley.com/doi/abs/10.1111/birt.12914</w:t>
        </w:r>
      </w:hyperlink>
    </w:p>
    <w:p w14:paraId="14838123" w14:textId="36AE2274" w:rsidR="00F84AE6" w:rsidRDefault="00F84AE6" w:rsidP="004D7A40">
      <w:pPr>
        <w:spacing w:line="276" w:lineRule="auto"/>
        <w:jc w:val="both"/>
        <w:rPr>
          <w:rFonts w:ascii="Arial" w:hAnsi="Arial" w:cs="Arial"/>
        </w:rPr>
      </w:pPr>
      <w:r w:rsidRPr="00F84AE6">
        <w:rPr>
          <w:rFonts w:ascii="Arial" w:hAnsi="Arial" w:cs="Arial"/>
        </w:rPr>
        <w:t xml:space="preserve">Shah, A., Mohamed-Ahmed, O., </w:t>
      </w:r>
      <w:proofErr w:type="spellStart"/>
      <w:r w:rsidRPr="00F84AE6">
        <w:rPr>
          <w:rFonts w:ascii="Arial" w:hAnsi="Arial" w:cs="Arial"/>
        </w:rPr>
        <w:t>Peirsegaele</w:t>
      </w:r>
      <w:proofErr w:type="spellEnd"/>
      <w:r w:rsidRPr="00F84AE6">
        <w:rPr>
          <w:rFonts w:ascii="Arial" w:hAnsi="Arial" w:cs="Arial"/>
        </w:rPr>
        <w:t xml:space="preserve">, P., McClymont, C. and Knight, M., </w:t>
      </w:r>
      <w:r w:rsidR="00981BDF">
        <w:rPr>
          <w:rFonts w:ascii="Arial" w:hAnsi="Arial" w:cs="Arial"/>
        </w:rPr>
        <w:t>(</w:t>
      </w:r>
      <w:r w:rsidRPr="00F84AE6">
        <w:rPr>
          <w:rFonts w:ascii="Arial" w:hAnsi="Arial" w:cs="Arial"/>
        </w:rPr>
        <w:t>2015</w:t>
      </w:r>
      <w:r w:rsidR="00981BDF">
        <w:rPr>
          <w:rFonts w:ascii="Arial" w:hAnsi="Arial" w:cs="Arial"/>
        </w:rPr>
        <w:t>)</w:t>
      </w:r>
      <w:r w:rsidRPr="00F84AE6">
        <w:rPr>
          <w:rFonts w:ascii="Arial" w:hAnsi="Arial" w:cs="Arial"/>
        </w:rPr>
        <w:t>. Incident reviews in UK maternity units: a systematic appraisal of the quality of local guidelines. </w:t>
      </w:r>
      <w:r w:rsidRPr="00F84AE6">
        <w:rPr>
          <w:rFonts w:ascii="Arial" w:hAnsi="Arial" w:cs="Arial"/>
          <w:i/>
          <w:iCs/>
        </w:rPr>
        <w:t>BMC pregnancy and childbirth</w:t>
      </w:r>
      <w:r w:rsidRPr="00F84AE6">
        <w:rPr>
          <w:rFonts w:ascii="Arial" w:hAnsi="Arial" w:cs="Arial"/>
        </w:rPr>
        <w:t>, </w:t>
      </w:r>
      <w:r w:rsidRPr="00F84AE6">
        <w:rPr>
          <w:rFonts w:ascii="Arial" w:hAnsi="Arial" w:cs="Arial"/>
          <w:i/>
          <w:iCs/>
        </w:rPr>
        <w:t>15</w:t>
      </w:r>
      <w:r w:rsidRPr="00F84AE6">
        <w:rPr>
          <w:rFonts w:ascii="Arial" w:hAnsi="Arial" w:cs="Arial"/>
        </w:rPr>
        <w:t>(1), p.58.</w:t>
      </w:r>
      <w:r>
        <w:rPr>
          <w:rFonts w:ascii="Arial" w:hAnsi="Arial" w:cs="Arial"/>
        </w:rPr>
        <w:t xml:space="preserve"> </w:t>
      </w:r>
      <w:hyperlink r:id="rId33" w:history="1">
        <w:r w:rsidRPr="008A4A53">
          <w:rPr>
            <w:rStyle w:val="Hyperlink"/>
            <w:rFonts w:ascii="Arial" w:hAnsi="Arial" w:cs="Arial"/>
          </w:rPr>
          <w:t>https://link.springer.com/article/10.1186/s12884-015-0483-6</w:t>
        </w:r>
      </w:hyperlink>
    </w:p>
    <w:p w14:paraId="1D27EF1D" w14:textId="217805CE" w:rsidR="000F5624" w:rsidRDefault="000F5624" w:rsidP="004D7A40">
      <w:pPr>
        <w:spacing w:line="276" w:lineRule="auto"/>
        <w:jc w:val="both"/>
        <w:rPr>
          <w:rFonts w:ascii="Arial" w:hAnsi="Arial" w:cs="Arial"/>
        </w:rPr>
      </w:pPr>
      <w:r w:rsidRPr="00071D76">
        <w:rPr>
          <w:rFonts w:ascii="Arial" w:hAnsi="Arial" w:cs="Arial"/>
        </w:rPr>
        <w:t xml:space="preserve">Shi, M., Zhang, H., Huang, S., Zhang, M. and Hu, X., </w:t>
      </w:r>
      <w:r w:rsidR="005E6B89" w:rsidRPr="00071D76">
        <w:rPr>
          <w:rFonts w:ascii="Arial" w:hAnsi="Arial" w:cs="Arial"/>
        </w:rPr>
        <w:t>(</w:t>
      </w:r>
      <w:r w:rsidRPr="00071D76">
        <w:rPr>
          <w:rFonts w:ascii="Arial" w:hAnsi="Arial" w:cs="Arial"/>
        </w:rPr>
        <w:t>2023</w:t>
      </w:r>
      <w:r w:rsidR="005E6B89" w:rsidRPr="00071D76">
        <w:rPr>
          <w:rFonts w:ascii="Arial" w:hAnsi="Arial" w:cs="Arial"/>
        </w:rPr>
        <w:t>)</w:t>
      </w:r>
      <w:r w:rsidRPr="00071D76">
        <w:rPr>
          <w:rFonts w:ascii="Arial" w:hAnsi="Arial" w:cs="Arial"/>
        </w:rPr>
        <w:t>. Improving the quality of maternity care: learning from malpractice. </w:t>
      </w:r>
      <w:r w:rsidRPr="00071D76">
        <w:rPr>
          <w:rFonts w:ascii="Arial" w:hAnsi="Arial" w:cs="Arial"/>
          <w:i/>
          <w:iCs/>
        </w:rPr>
        <w:t>Journal of Patient Safety</w:t>
      </w:r>
      <w:r w:rsidRPr="00071D76">
        <w:rPr>
          <w:rFonts w:ascii="Arial" w:hAnsi="Arial" w:cs="Arial"/>
        </w:rPr>
        <w:t>, </w:t>
      </w:r>
      <w:r w:rsidRPr="00071D76">
        <w:rPr>
          <w:rFonts w:ascii="Arial" w:hAnsi="Arial" w:cs="Arial"/>
          <w:i/>
          <w:iCs/>
        </w:rPr>
        <w:t>19</w:t>
      </w:r>
      <w:r w:rsidRPr="00071D76">
        <w:rPr>
          <w:rFonts w:ascii="Arial" w:hAnsi="Arial" w:cs="Arial"/>
        </w:rPr>
        <w:t xml:space="preserve">(4), pp.229-238. </w:t>
      </w:r>
      <w:hyperlink r:id="rId34" w:history="1">
        <w:r w:rsidRPr="00071D76">
          <w:rPr>
            <w:rStyle w:val="Hyperlink"/>
            <w:rFonts w:ascii="Arial" w:hAnsi="Arial" w:cs="Arial"/>
          </w:rPr>
          <w:t>https://journals.lww.com/journalpatientsafety/fulltext/2023/06000/improving_the_quality_of_maternity_care__learning.3.aspx</w:t>
        </w:r>
      </w:hyperlink>
    </w:p>
    <w:p w14:paraId="1D63E833" w14:textId="1608D397" w:rsidR="005B49CA" w:rsidRDefault="005B49CA" w:rsidP="004D7A40">
      <w:pPr>
        <w:spacing w:line="276" w:lineRule="auto"/>
        <w:jc w:val="both"/>
        <w:rPr>
          <w:rFonts w:ascii="Arial" w:hAnsi="Arial" w:cs="Arial"/>
        </w:rPr>
      </w:pPr>
      <w:proofErr w:type="spellStart"/>
      <w:r w:rsidRPr="005B49CA">
        <w:rPr>
          <w:rFonts w:ascii="Arial" w:hAnsi="Arial" w:cs="Arial"/>
        </w:rPr>
        <w:t>Ukonaho</w:t>
      </w:r>
      <w:proofErr w:type="spellEnd"/>
      <w:r w:rsidRPr="005B49CA">
        <w:rPr>
          <w:rFonts w:ascii="Arial" w:hAnsi="Arial" w:cs="Arial"/>
        </w:rPr>
        <w:t xml:space="preserve">, T.T., </w:t>
      </w:r>
      <w:r w:rsidR="004A64FC">
        <w:rPr>
          <w:rFonts w:ascii="Arial" w:hAnsi="Arial" w:cs="Arial"/>
        </w:rPr>
        <w:t>(</w:t>
      </w:r>
      <w:r w:rsidRPr="005B49CA">
        <w:rPr>
          <w:rFonts w:ascii="Arial" w:hAnsi="Arial" w:cs="Arial"/>
        </w:rPr>
        <w:t>2024</w:t>
      </w:r>
      <w:r w:rsidR="004A64FC">
        <w:rPr>
          <w:rFonts w:ascii="Arial" w:hAnsi="Arial" w:cs="Arial"/>
        </w:rPr>
        <w:t>)</w:t>
      </w:r>
      <w:r w:rsidRPr="005B49CA">
        <w:rPr>
          <w:rFonts w:ascii="Arial" w:hAnsi="Arial" w:cs="Arial"/>
        </w:rPr>
        <w:t xml:space="preserve">. Global scenarios in maternal and </w:t>
      </w:r>
      <w:proofErr w:type="spellStart"/>
      <w:r w:rsidRPr="005B49CA">
        <w:rPr>
          <w:rFonts w:ascii="Arial" w:hAnsi="Arial" w:cs="Arial"/>
        </w:rPr>
        <w:t>fetal</w:t>
      </w:r>
      <w:proofErr w:type="spellEnd"/>
      <w:r w:rsidRPr="005B49CA">
        <w:rPr>
          <w:rFonts w:ascii="Arial" w:hAnsi="Arial" w:cs="Arial"/>
        </w:rPr>
        <w:t xml:space="preserve"> health diagnostics business in year 2030: analysis, conclusions and suggestions.</w:t>
      </w:r>
      <w:r>
        <w:rPr>
          <w:rFonts w:ascii="Arial" w:hAnsi="Arial" w:cs="Arial"/>
        </w:rPr>
        <w:t xml:space="preserve"> </w:t>
      </w:r>
      <w:hyperlink r:id="rId35" w:history="1">
        <w:r w:rsidRPr="008A4A53">
          <w:rPr>
            <w:rStyle w:val="Hyperlink"/>
            <w:rFonts w:ascii="Arial" w:hAnsi="Arial" w:cs="Arial"/>
          </w:rPr>
          <w:t>https://www.theseus.fi/handle/10024/863438</w:t>
        </w:r>
      </w:hyperlink>
    </w:p>
    <w:p w14:paraId="2E7A404B" w14:textId="35B1CBA7" w:rsidR="00516B3B" w:rsidRDefault="00516B3B" w:rsidP="004D7A40">
      <w:pPr>
        <w:spacing w:line="276" w:lineRule="auto"/>
        <w:jc w:val="both"/>
        <w:rPr>
          <w:rFonts w:ascii="Arial" w:hAnsi="Arial" w:cs="Arial"/>
        </w:rPr>
      </w:pPr>
      <w:r w:rsidRPr="00071D76">
        <w:rPr>
          <w:rFonts w:ascii="Arial" w:hAnsi="Arial" w:cs="Arial"/>
        </w:rPr>
        <w:t xml:space="preserve">Vedam, S., </w:t>
      </w:r>
      <w:proofErr w:type="spellStart"/>
      <w:r w:rsidRPr="00071D76">
        <w:rPr>
          <w:rFonts w:ascii="Arial" w:hAnsi="Arial" w:cs="Arial"/>
        </w:rPr>
        <w:t>Titoria</w:t>
      </w:r>
      <w:proofErr w:type="spellEnd"/>
      <w:r w:rsidRPr="00071D76">
        <w:rPr>
          <w:rFonts w:ascii="Arial" w:hAnsi="Arial" w:cs="Arial"/>
        </w:rPr>
        <w:t xml:space="preserve">, R., Niles, P., Stoll, K., Kumar, V., </w:t>
      </w:r>
      <w:proofErr w:type="spellStart"/>
      <w:r w:rsidRPr="00071D76">
        <w:rPr>
          <w:rFonts w:ascii="Arial" w:hAnsi="Arial" w:cs="Arial"/>
        </w:rPr>
        <w:t>Baswal</w:t>
      </w:r>
      <w:proofErr w:type="spellEnd"/>
      <w:r w:rsidRPr="00071D76">
        <w:rPr>
          <w:rFonts w:ascii="Arial" w:hAnsi="Arial" w:cs="Arial"/>
        </w:rPr>
        <w:t xml:space="preserve">, D., Mayra, K., Kaur, I. and Hardtman, P., </w:t>
      </w:r>
      <w:r w:rsidR="005E6B89" w:rsidRPr="00071D76">
        <w:rPr>
          <w:rFonts w:ascii="Arial" w:hAnsi="Arial" w:cs="Arial"/>
        </w:rPr>
        <w:t>(</w:t>
      </w:r>
      <w:r w:rsidRPr="00071D76">
        <w:rPr>
          <w:rFonts w:ascii="Arial" w:hAnsi="Arial" w:cs="Arial"/>
        </w:rPr>
        <w:t>2022</w:t>
      </w:r>
      <w:r w:rsidR="005E6B89" w:rsidRPr="00071D76">
        <w:rPr>
          <w:rFonts w:ascii="Arial" w:hAnsi="Arial" w:cs="Arial"/>
        </w:rPr>
        <w:t>)</w:t>
      </w:r>
      <w:r w:rsidRPr="00071D76">
        <w:rPr>
          <w:rFonts w:ascii="Arial" w:hAnsi="Arial" w:cs="Arial"/>
        </w:rPr>
        <w:t>. Advancing quality and safety of perinatal services in India: opportunities for effective midwifery integration. </w:t>
      </w:r>
      <w:r w:rsidRPr="00071D76">
        <w:rPr>
          <w:rFonts w:ascii="Arial" w:hAnsi="Arial" w:cs="Arial"/>
          <w:i/>
          <w:iCs/>
        </w:rPr>
        <w:t>Health Policy and Planning</w:t>
      </w:r>
      <w:r w:rsidRPr="00071D76">
        <w:rPr>
          <w:rFonts w:ascii="Arial" w:hAnsi="Arial" w:cs="Arial"/>
        </w:rPr>
        <w:t>, </w:t>
      </w:r>
      <w:r w:rsidRPr="00071D76">
        <w:rPr>
          <w:rFonts w:ascii="Arial" w:hAnsi="Arial" w:cs="Arial"/>
          <w:i/>
          <w:iCs/>
        </w:rPr>
        <w:t>37</w:t>
      </w:r>
      <w:r w:rsidRPr="00071D76">
        <w:rPr>
          <w:rFonts w:ascii="Arial" w:hAnsi="Arial" w:cs="Arial"/>
        </w:rPr>
        <w:t xml:space="preserve">(8), pp.1042-1063. </w:t>
      </w:r>
      <w:hyperlink r:id="rId36" w:history="1">
        <w:r w:rsidRPr="00071D76">
          <w:rPr>
            <w:rStyle w:val="Hyperlink"/>
            <w:rFonts w:ascii="Arial" w:hAnsi="Arial" w:cs="Arial"/>
          </w:rPr>
          <w:t>https://academic.oup.com/heapol/article-abstract/37/8/1042/6569159</w:t>
        </w:r>
      </w:hyperlink>
    </w:p>
    <w:p w14:paraId="1D980F26" w14:textId="5D3D6D32" w:rsidR="007B5B69" w:rsidRDefault="007B5B69" w:rsidP="004D7A40">
      <w:pPr>
        <w:spacing w:line="276" w:lineRule="auto"/>
        <w:jc w:val="both"/>
        <w:rPr>
          <w:rFonts w:ascii="Arial" w:hAnsi="Arial" w:cs="Arial"/>
        </w:rPr>
      </w:pPr>
      <w:r w:rsidRPr="007B5B69">
        <w:rPr>
          <w:rFonts w:ascii="Arial" w:hAnsi="Arial" w:cs="Arial"/>
        </w:rPr>
        <w:t xml:space="preserve">Widdows, K., Roberts, S.A., Camacho, E.M. and </w:t>
      </w:r>
      <w:proofErr w:type="spellStart"/>
      <w:r w:rsidRPr="007B5B69">
        <w:rPr>
          <w:rFonts w:ascii="Arial" w:hAnsi="Arial" w:cs="Arial"/>
        </w:rPr>
        <w:t>Heazell</w:t>
      </w:r>
      <w:proofErr w:type="spellEnd"/>
      <w:r w:rsidRPr="007B5B69">
        <w:rPr>
          <w:rFonts w:ascii="Arial" w:hAnsi="Arial" w:cs="Arial"/>
        </w:rPr>
        <w:t xml:space="preserve">, A.E., </w:t>
      </w:r>
      <w:r w:rsidR="005A2B94">
        <w:rPr>
          <w:rFonts w:ascii="Arial" w:hAnsi="Arial" w:cs="Arial"/>
        </w:rPr>
        <w:t>(</w:t>
      </w:r>
      <w:r w:rsidRPr="007B5B69">
        <w:rPr>
          <w:rFonts w:ascii="Arial" w:hAnsi="Arial" w:cs="Arial"/>
        </w:rPr>
        <w:t>2021</w:t>
      </w:r>
      <w:r w:rsidR="005A2B94">
        <w:rPr>
          <w:rFonts w:ascii="Arial" w:hAnsi="Arial" w:cs="Arial"/>
        </w:rPr>
        <w:t>)</w:t>
      </w:r>
      <w:r w:rsidRPr="007B5B69">
        <w:rPr>
          <w:rFonts w:ascii="Arial" w:hAnsi="Arial" w:cs="Arial"/>
        </w:rPr>
        <w:t>. Stillbirth rates, service outcomes and costs of implementing NHS England’s saving babies’ lives care bundle in maternity units in England: a cohort study. </w:t>
      </w:r>
      <w:proofErr w:type="spellStart"/>
      <w:r w:rsidRPr="007B5B69">
        <w:rPr>
          <w:rFonts w:ascii="Arial" w:hAnsi="Arial" w:cs="Arial"/>
          <w:i/>
          <w:iCs/>
        </w:rPr>
        <w:t>PloS</w:t>
      </w:r>
      <w:proofErr w:type="spellEnd"/>
      <w:r w:rsidRPr="007B5B69">
        <w:rPr>
          <w:rFonts w:ascii="Arial" w:hAnsi="Arial" w:cs="Arial"/>
          <w:i/>
          <w:iCs/>
        </w:rPr>
        <w:t xml:space="preserve"> one</w:t>
      </w:r>
      <w:r w:rsidRPr="007B5B69">
        <w:rPr>
          <w:rFonts w:ascii="Arial" w:hAnsi="Arial" w:cs="Arial"/>
        </w:rPr>
        <w:t>, </w:t>
      </w:r>
      <w:r w:rsidRPr="007B5B69">
        <w:rPr>
          <w:rFonts w:ascii="Arial" w:hAnsi="Arial" w:cs="Arial"/>
          <w:i/>
          <w:iCs/>
        </w:rPr>
        <w:t>16</w:t>
      </w:r>
      <w:r w:rsidRPr="007B5B69">
        <w:rPr>
          <w:rFonts w:ascii="Arial" w:hAnsi="Arial" w:cs="Arial"/>
        </w:rPr>
        <w:t>(4), p.e0250150.</w:t>
      </w:r>
      <w:r>
        <w:rPr>
          <w:rFonts w:ascii="Arial" w:hAnsi="Arial" w:cs="Arial"/>
        </w:rPr>
        <w:t xml:space="preserve"> </w:t>
      </w:r>
      <w:hyperlink r:id="rId37" w:history="1">
        <w:r w:rsidRPr="008A4A53">
          <w:rPr>
            <w:rStyle w:val="Hyperlink"/>
            <w:rFonts w:ascii="Arial" w:hAnsi="Arial" w:cs="Arial"/>
          </w:rPr>
          <w:t>https://journals.plos.org/plosone/article?id=10.1371/journal.pone.0250150</w:t>
        </w:r>
      </w:hyperlink>
    </w:p>
    <w:p w14:paraId="4F1A7CEA" w14:textId="789FA420" w:rsidR="00481AE0" w:rsidRPr="00071D76" w:rsidRDefault="005B3235" w:rsidP="004D7A40">
      <w:pPr>
        <w:spacing w:line="276" w:lineRule="auto"/>
        <w:jc w:val="both"/>
        <w:rPr>
          <w:rFonts w:ascii="Arial" w:hAnsi="Arial" w:cs="Arial"/>
        </w:rPr>
      </w:pPr>
      <w:r w:rsidRPr="00071D76">
        <w:rPr>
          <w:rFonts w:ascii="Arial" w:hAnsi="Arial" w:cs="Arial"/>
        </w:rPr>
        <w:t xml:space="preserve">Woodland, E. and Carroll, M., </w:t>
      </w:r>
      <w:r w:rsidR="005E6B89" w:rsidRPr="00071D76">
        <w:rPr>
          <w:rFonts w:ascii="Arial" w:hAnsi="Arial" w:cs="Arial"/>
        </w:rPr>
        <w:t>(</w:t>
      </w:r>
      <w:r w:rsidRPr="00071D76">
        <w:rPr>
          <w:rFonts w:ascii="Arial" w:hAnsi="Arial" w:cs="Arial"/>
        </w:rPr>
        <w:t>2022</w:t>
      </w:r>
      <w:r w:rsidR="005E6B89" w:rsidRPr="00071D76">
        <w:rPr>
          <w:rFonts w:ascii="Arial" w:hAnsi="Arial" w:cs="Arial"/>
        </w:rPr>
        <w:t>)</w:t>
      </w:r>
      <w:r w:rsidRPr="00071D76">
        <w:rPr>
          <w:rFonts w:ascii="Arial" w:hAnsi="Arial" w:cs="Arial"/>
        </w:rPr>
        <w:t>. Improving ICSI success rates following root cause analysis and use of system behaviour charts: the devil is in the detail!. </w:t>
      </w:r>
      <w:r w:rsidRPr="00071D76">
        <w:rPr>
          <w:rFonts w:ascii="Arial" w:hAnsi="Arial" w:cs="Arial"/>
          <w:i/>
          <w:iCs/>
        </w:rPr>
        <w:t>BMJ open quality</w:t>
      </w:r>
      <w:r w:rsidRPr="00071D76">
        <w:rPr>
          <w:rFonts w:ascii="Arial" w:hAnsi="Arial" w:cs="Arial"/>
        </w:rPr>
        <w:t>, </w:t>
      </w:r>
      <w:r w:rsidRPr="00071D76">
        <w:rPr>
          <w:rFonts w:ascii="Arial" w:hAnsi="Arial" w:cs="Arial"/>
          <w:i/>
          <w:iCs/>
        </w:rPr>
        <w:t>11</w:t>
      </w:r>
      <w:r w:rsidRPr="00071D76">
        <w:rPr>
          <w:rFonts w:ascii="Arial" w:hAnsi="Arial" w:cs="Arial"/>
        </w:rPr>
        <w:t xml:space="preserve">(4), p.e002003. </w:t>
      </w:r>
      <w:hyperlink r:id="rId38" w:history="1">
        <w:r w:rsidR="00481AE0" w:rsidRPr="00071D76">
          <w:rPr>
            <w:rStyle w:val="Hyperlink"/>
            <w:rFonts w:ascii="Arial" w:hAnsi="Arial" w:cs="Arial"/>
          </w:rPr>
          <w:t>https://bmjopenquality.bmj.com/content/11/4/e002003.abstract</w:t>
        </w:r>
      </w:hyperlink>
    </w:p>
    <w:p w14:paraId="3AAB0CE5" w14:textId="77777777" w:rsidR="00481AE0" w:rsidRPr="00071D76" w:rsidRDefault="00481AE0" w:rsidP="004D7A40">
      <w:pPr>
        <w:spacing w:line="276" w:lineRule="auto"/>
        <w:jc w:val="both"/>
        <w:rPr>
          <w:rFonts w:ascii="Arial" w:hAnsi="Arial" w:cs="Arial"/>
        </w:rPr>
      </w:pPr>
    </w:p>
    <w:p w14:paraId="6CD62E1C" w14:textId="77777777" w:rsidR="000663B8" w:rsidRPr="00071D76" w:rsidRDefault="000663B8" w:rsidP="004D7A40">
      <w:pPr>
        <w:spacing w:line="276" w:lineRule="auto"/>
        <w:jc w:val="both"/>
        <w:rPr>
          <w:rFonts w:ascii="Arial" w:hAnsi="Arial" w:cs="Arial"/>
        </w:rPr>
      </w:pPr>
    </w:p>
    <w:sectPr w:rsidR="000663B8" w:rsidRPr="00071D76" w:rsidSect="00A16026">
      <w:footerReference w:type="default" r:id="rId39"/>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4E19FB" w14:textId="77777777" w:rsidR="00A27BDC" w:rsidRDefault="00A27BDC" w:rsidP="00A16026">
      <w:pPr>
        <w:spacing w:after="0" w:line="240" w:lineRule="auto"/>
      </w:pPr>
      <w:r>
        <w:separator/>
      </w:r>
    </w:p>
  </w:endnote>
  <w:endnote w:type="continuationSeparator" w:id="0">
    <w:p w14:paraId="46F694D4" w14:textId="77777777" w:rsidR="00A27BDC" w:rsidRDefault="00A27BDC" w:rsidP="00A160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207163"/>
      <w:docPartObj>
        <w:docPartGallery w:val="Page Numbers (Bottom of Page)"/>
        <w:docPartUnique/>
      </w:docPartObj>
    </w:sdtPr>
    <w:sdtEndPr/>
    <w:sdtContent>
      <w:p w14:paraId="2E774AA6" w14:textId="6189B916" w:rsidR="00A16026" w:rsidRDefault="00A16026">
        <w:pPr>
          <w:pStyle w:val="Footer"/>
          <w:jc w:val="right"/>
        </w:pPr>
        <w:r>
          <w:fldChar w:fldCharType="begin"/>
        </w:r>
        <w:r>
          <w:instrText>PAGE   \* MERGEFORMAT</w:instrText>
        </w:r>
        <w:r>
          <w:fldChar w:fldCharType="separate"/>
        </w:r>
        <w:r>
          <w:t>2</w:t>
        </w:r>
        <w:r>
          <w:fldChar w:fldCharType="end"/>
        </w:r>
      </w:p>
    </w:sdtContent>
  </w:sdt>
  <w:p w14:paraId="3572054A" w14:textId="77777777" w:rsidR="00A16026" w:rsidRDefault="00A160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AC4BBE" w14:textId="77777777" w:rsidR="00A27BDC" w:rsidRDefault="00A27BDC" w:rsidP="00A16026">
      <w:pPr>
        <w:spacing w:after="0" w:line="240" w:lineRule="auto"/>
      </w:pPr>
      <w:r>
        <w:separator/>
      </w:r>
    </w:p>
  </w:footnote>
  <w:footnote w:type="continuationSeparator" w:id="0">
    <w:p w14:paraId="3F635393" w14:textId="77777777" w:rsidR="00A27BDC" w:rsidRDefault="00A27BDC" w:rsidP="00A160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D5FE3"/>
    <w:multiLevelType w:val="hybridMultilevel"/>
    <w:tmpl w:val="976A56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423137"/>
    <w:multiLevelType w:val="multilevel"/>
    <w:tmpl w:val="9BD23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A82E08"/>
    <w:multiLevelType w:val="multilevel"/>
    <w:tmpl w:val="9BD23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A122F4"/>
    <w:multiLevelType w:val="multilevel"/>
    <w:tmpl w:val="9BD23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D711F5"/>
    <w:multiLevelType w:val="multilevel"/>
    <w:tmpl w:val="9BD23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8B41BF"/>
    <w:multiLevelType w:val="multilevel"/>
    <w:tmpl w:val="9BD23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1D4145"/>
    <w:multiLevelType w:val="multilevel"/>
    <w:tmpl w:val="9BD23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4AE7B6A"/>
    <w:multiLevelType w:val="multilevel"/>
    <w:tmpl w:val="9BD23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96B5B63"/>
    <w:multiLevelType w:val="multilevel"/>
    <w:tmpl w:val="9BD23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98542EA"/>
    <w:multiLevelType w:val="multilevel"/>
    <w:tmpl w:val="9BD23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1EB7D45"/>
    <w:multiLevelType w:val="multilevel"/>
    <w:tmpl w:val="9BD23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75E07B7"/>
    <w:multiLevelType w:val="multilevel"/>
    <w:tmpl w:val="9BD23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91F3594"/>
    <w:multiLevelType w:val="multilevel"/>
    <w:tmpl w:val="9BD23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512516"/>
    <w:multiLevelType w:val="multilevel"/>
    <w:tmpl w:val="9BD23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31B5F74"/>
    <w:multiLevelType w:val="multilevel"/>
    <w:tmpl w:val="9BD23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555317D"/>
    <w:multiLevelType w:val="multilevel"/>
    <w:tmpl w:val="9BD23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A4D5295"/>
    <w:multiLevelType w:val="multilevel"/>
    <w:tmpl w:val="9BD23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C862943"/>
    <w:multiLevelType w:val="multilevel"/>
    <w:tmpl w:val="9BD23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79903DA"/>
    <w:multiLevelType w:val="hybridMultilevel"/>
    <w:tmpl w:val="D73A6074"/>
    <w:lvl w:ilvl="0" w:tplc="B42A3822">
      <w:start w:val="1"/>
      <w:numFmt w:val="bullet"/>
      <w:lvlText w:val="◦"/>
      <w:lvlJc w:val="left"/>
      <w:pPr>
        <w:tabs>
          <w:tab w:val="num" w:pos="720"/>
        </w:tabs>
        <w:ind w:left="720" w:hanging="360"/>
      </w:pPr>
      <w:rPr>
        <w:rFonts w:ascii="Garamond" w:hAnsi="Garamond" w:hint="default"/>
      </w:rPr>
    </w:lvl>
    <w:lvl w:ilvl="1" w:tplc="C2945F1C" w:tentative="1">
      <w:start w:val="1"/>
      <w:numFmt w:val="bullet"/>
      <w:lvlText w:val="◦"/>
      <w:lvlJc w:val="left"/>
      <w:pPr>
        <w:tabs>
          <w:tab w:val="num" w:pos="1440"/>
        </w:tabs>
        <w:ind w:left="1440" w:hanging="360"/>
      </w:pPr>
      <w:rPr>
        <w:rFonts w:ascii="Garamond" w:hAnsi="Garamond" w:hint="default"/>
      </w:rPr>
    </w:lvl>
    <w:lvl w:ilvl="2" w:tplc="2E32847E" w:tentative="1">
      <w:start w:val="1"/>
      <w:numFmt w:val="bullet"/>
      <w:lvlText w:val="◦"/>
      <w:lvlJc w:val="left"/>
      <w:pPr>
        <w:tabs>
          <w:tab w:val="num" w:pos="2160"/>
        </w:tabs>
        <w:ind w:left="2160" w:hanging="360"/>
      </w:pPr>
      <w:rPr>
        <w:rFonts w:ascii="Garamond" w:hAnsi="Garamond" w:hint="default"/>
      </w:rPr>
    </w:lvl>
    <w:lvl w:ilvl="3" w:tplc="3D82FD3A" w:tentative="1">
      <w:start w:val="1"/>
      <w:numFmt w:val="bullet"/>
      <w:lvlText w:val="◦"/>
      <w:lvlJc w:val="left"/>
      <w:pPr>
        <w:tabs>
          <w:tab w:val="num" w:pos="2880"/>
        </w:tabs>
        <w:ind w:left="2880" w:hanging="360"/>
      </w:pPr>
      <w:rPr>
        <w:rFonts w:ascii="Garamond" w:hAnsi="Garamond" w:hint="default"/>
      </w:rPr>
    </w:lvl>
    <w:lvl w:ilvl="4" w:tplc="5C84CE84" w:tentative="1">
      <w:start w:val="1"/>
      <w:numFmt w:val="bullet"/>
      <w:lvlText w:val="◦"/>
      <w:lvlJc w:val="left"/>
      <w:pPr>
        <w:tabs>
          <w:tab w:val="num" w:pos="3600"/>
        </w:tabs>
        <w:ind w:left="3600" w:hanging="360"/>
      </w:pPr>
      <w:rPr>
        <w:rFonts w:ascii="Garamond" w:hAnsi="Garamond" w:hint="default"/>
      </w:rPr>
    </w:lvl>
    <w:lvl w:ilvl="5" w:tplc="4CC0D70E" w:tentative="1">
      <w:start w:val="1"/>
      <w:numFmt w:val="bullet"/>
      <w:lvlText w:val="◦"/>
      <w:lvlJc w:val="left"/>
      <w:pPr>
        <w:tabs>
          <w:tab w:val="num" w:pos="4320"/>
        </w:tabs>
        <w:ind w:left="4320" w:hanging="360"/>
      </w:pPr>
      <w:rPr>
        <w:rFonts w:ascii="Garamond" w:hAnsi="Garamond" w:hint="default"/>
      </w:rPr>
    </w:lvl>
    <w:lvl w:ilvl="6" w:tplc="D6B0A9F4" w:tentative="1">
      <w:start w:val="1"/>
      <w:numFmt w:val="bullet"/>
      <w:lvlText w:val="◦"/>
      <w:lvlJc w:val="left"/>
      <w:pPr>
        <w:tabs>
          <w:tab w:val="num" w:pos="5040"/>
        </w:tabs>
        <w:ind w:left="5040" w:hanging="360"/>
      </w:pPr>
      <w:rPr>
        <w:rFonts w:ascii="Garamond" w:hAnsi="Garamond" w:hint="default"/>
      </w:rPr>
    </w:lvl>
    <w:lvl w:ilvl="7" w:tplc="7340F302" w:tentative="1">
      <w:start w:val="1"/>
      <w:numFmt w:val="bullet"/>
      <w:lvlText w:val="◦"/>
      <w:lvlJc w:val="left"/>
      <w:pPr>
        <w:tabs>
          <w:tab w:val="num" w:pos="5760"/>
        </w:tabs>
        <w:ind w:left="5760" w:hanging="360"/>
      </w:pPr>
      <w:rPr>
        <w:rFonts w:ascii="Garamond" w:hAnsi="Garamond" w:hint="default"/>
      </w:rPr>
    </w:lvl>
    <w:lvl w:ilvl="8" w:tplc="5F4A2D4C" w:tentative="1">
      <w:start w:val="1"/>
      <w:numFmt w:val="bullet"/>
      <w:lvlText w:val="◦"/>
      <w:lvlJc w:val="left"/>
      <w:pPr>
        <w:tabs>
          <w:tab w:val="num" w:pos="6480"/>
        </w:tabs>
        <w:ind w:left="6480" w:hanging="360"/>
      </w:pPr>
      <w:rPr>
        <w:rFonts w:ascii="Garamond" w:hAnsi="Garamond" w:hint="default"/>
      </w:rPr>
    </w:lvl>
  </w:abstractNum>
  <w:num w:numId="1" w16cid:durableId="1502694318">
    <w:abstractNumId w:val="1"/>
  </w:num>
  <w:num w:numId="2" w16cid:durableId="209923288">
    <w:abstractNumId w:val="4"/>
  </w:num>
  <w:num w:numId="3" w16cid:durableId="870528828">
    <w:abstractNumId w:val="2"/>
  </w:num>
  <w:num w:numId="4" w16cid:durableId="1995142847">
    <w:abstractNumId w:val="7"/>
  </w:num>
  <w:num w:numId="5" w16cid:durableId="1021780314">
    <w:abstractNumId w:val="8"/>
  </w:num>
  <w:num w:numId="6" w16cid:durableId="578634968">
    <w:abstractNumId w:val="14"/>
  </w:num>
  <w:num w:numId="7" w16cid:durableId="75790128">
    <w:abstractNumId w:val="5"/>
  </w:num>
  <w:num w:numId="8" w16cid:durableId="855389506">
    <w:abstractNumId w:val="12"/>
  </w:num>
  <w:num w:numId="9" w16cid:durableId="420103420">
    <w:abstractNumId w:val="11"/>
  </w:num>
  <w:num w:numId="10" w16cid:durableId="754088468">
    <w:abstractNumId w:val="6"/>
  </w:num>
  <w:num w:numId="11" w16cid:durableId="180779187">
    <w:abstractNumId w:val="10"/>
  </w:num>
  <w:num w:numId="12" w16cid:durableId="1366104569">
    <w:abstractNumId w:val="9"/>
  </w:num>
  <w:num w:numId="13" w16cid:durableId="485439500">
    <w:abstractNumId w:val="3"/>
  </w:num>
  <w:num w:numId="14" w16cid:durableId="1988589651">
    <w:abstractNumId w:val="16"/>
  </w:num>
  <w:num w:numId="15" w16cid:durableId="600799108">
    <w:abstractNumId w:val="17"/>
  </w:num>
  <w:num w:numId="16" w16cid:durableId="990014373">
    <w:abstractNumId w:val="15"/>
  </w:num>
  <w:num w:numId="17" w16cid:durableId="2043901727">
    <w:abstractNumId w:val="13"/>
  </w:num>
  <w:num w:numId="18" w16cid:durableId="369650189">
    <w:abstractNumId w:val="18"/>
  </w:num>
  <w:num w:numId="19" w16cid:durableId="2556752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1E07"/>
    <w:rsid w:val="0001166E"/>
    <w:rsid w:val="00020D0D"/>
    <w:rsid w:val="000232B3"/>
    <w:rsid w:val="000308AF"/>
    <w:rsid w:val="00041E07"/>
    <w:rsid w:val="0005519B"/>
    <w:rsid w:val="000663B8"/>
    <w:rsid w:val="00070E86"/>
    <w:rsid w:val="00071D76"/>
    <w:rsid w:val="00084ABC"/>
    <w:rsid w:val="000941F2"/>
    <w:rsid w:val="000A7722"/>
    <w:rsid w:val="000F5624"/>
    <w:rsid w:val="00101F3E"/>
    <w:rsid w:val="00121EDD"/>
    <w:rsid w:val="00122D90"/>
    <w:rsid w:val="00133EF7"/>
    <w:rsid w:val="001E2E5D"/>
    <w:rsid w:val="00204AD3"/>
    <w:rsid w:val="00253BAE"/>
    <w:rsid w:val="002552FD"/>
    <w:rsid w:val="002623F7"/>
    <w:rsid w:val="002658E3"/>
    <w:rsid w:val="00270BD2"/>
    <w:rsid w:val="002F5781"/>
    <w:rsid w:val="00310E2A"/>
    <w:rsid w:val="00343B5C"/>
    <w:rsid w:val="0038424B"/>
    <w:rsid w:val="003B7239"/>
    <w:rsid w:val="003D69BD"/>
    <w:rsid w:val="00402E8E"/>
    <w:rsid w:val="0040603E"/>
    <w:rsid w:val="00411E7D"/>
    <w:rsid w:val="00442368"/>
    <w:rsid w:val="00453CDB"/>
    <w:rsid w:val="00481AE0"/>
    <w:rsid w:val="004A64FC"/>
    <w:rsid w:val="004B610C"/>
    <w:rsid w:val="004D33E3"/>
    <w:rsid w:val="004D7A40"/>
    <w:rsid w:val="004E26BA"/>
    <w:rsid w:val="00501831"/>
    <w:rsid w:val="00516B3B"/>
    <w:rsid w:val="00517A3C"/>
    <w:rsid w:val="005538D8"/>
    <w:rsid w:val="00593FF7"/>
    <w:rsid w:val="005A2B94"/>
    <w:rsid w:val="005B1827"/>
    <w:rsid w:val="005B3235"/>
    <w:rsid w:val="005B49CA"/>
    <w:rsid w:val="005C6C07"/>
    <w:rsid w:val="005E6B89"/>
    <w:rsid w:val="005F45CC"/>
    <w:rsid w:val="0060430C"/>
    <w:rsid w:val="00605B9B"/>
    <w:rsid w:val="00666DA7"/>
    <w:rsid w:val="006D0AB1"/>
    <w:rsid w:val="006D75AD"/>
    <w:rsid w:val="00714685"/>
    <w:rsid w:val="0075028E"/>
    <w:rsid w:val="0075052A"/>
    <w:rsid w:val="007745E3"/>
    <w:rsid w:val="00775A4B"/>
    <w:rsid w:val="007B5B69"/>
    <w:rsid w:val="007C6B4D"/>
    <w:rsid w:val="00806EE1"/>
    <w:rsid w:val="0084029A"/>
    <w:rsid w:val="008B36FF"/>
    <w:rsid w:val="008B4B46"/>
    <w:rsid w:val="008D47EB"/>
    <w:rsid w:val="00903671"/>
    <w:rsid w:val="0093658E"/>
    <w:rsid w:val="00946DBB"/>
    <w:rsid w:val="00981BDF"/>
    <w:rsid w:val="009C2C1D"/>
    <w:rsid w:val="009C6F8D"/>
    <w:rsid w:val="00A16026"/>
    <w:rsid w:val="00A27BDC"/>
    <w:rsid w:val="00A30D04"/>
    <w:rsid w:val="00A85B59"/>
    <w:rsid w:val="00B8009E"/>
    <w:rsid w:val="00B939B4"/>
    <w:rsid w:val="00B96485"/>
    <w:rsid w:val="00BD3A23"/>
    <w:rsid w:val="00C41540"/>
    <w:rsid w:val="00C55B7C"/>
    <w:rsid w:val="00C57E6A"/>
    <w:rsid w:val="00C611A4"/>
    <w:rsid w:val="00C81403"/>
    <w:rsid w:val="00C82724"/>
    <w:rsid w:val="00CA3426"/>
    <w:rsid w:val="00CB4295"/>
    <w:rsid w:val="00D31A96"/>
    <w:rsid w:val="00D77E15"/>
    <w:rsid w:val="00D8774B"/>
    <w:rsid w:val="00DE19C5"/>
    <w:rsid w:val="00DE6E72"/>
    <w:rsid w:val="00E34877"/>
    <w:rsid w:val="00ED7BE7"/>
    <w:rsid w:val="00ED7F76"/>
    <w:rsid w:val="00F00B08"/>
    <w:rsid w:val="00F126CB"/>
    <w:rsid w:val="00F215D0"/>
    <w:rsid w:val="00F4518B"/>
    <w:rsid w:val="00F507DE"/>
    <w:rsid w:val="00F84AE6"/>
    <w:rsid w:val="00FA69AC"/>
    <w:rsid w:val="00FB6B0B"/>
    <w:rsid w:val="00FD45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F4D01"/>
  <w15:chartTrackingRefBased/>
  <w15:docId w15:val="{C74111AD-7FD8-44FA-94E0-C2DA0EE8F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93658E"/>
    <w:pPr>
      <w:keepNext/>
      <w:keepLines/>
      <w:spacing w:before="240" w:after="0" w:line="259" w:lineRule="auto"/>
      <w:outlineLvl w:val="0"/>
    </w:pPr>
    <w:rPr>
      <w:rFonts w:ascii="Arial" w:eastAsiaTheme="majorEastAsia" w:hAnsi="Arial" w:cstheme="majorBidi"/>
      <w:b/>
      <w:color w:val="000000" w:themeColor="text1"/>
      <w:kern w:val="0"/>
      <w:sz w:val="28"/>
      <w:szCs w:val="32"/>
      <w:lang w:eastAsia="en-GB"/>
      <w14:ligatures w14:val="none"/>
    </w:rPr>
  </w:style>
  <w:style w:type="paragraph" w:styleId="Heading2">
    <w:name w:val="heading 2"/>
    <w:next w:val="Normal"/>
    <w:link w:val="Heading2Char"/>
    <w:autoRedefine/>
    <w:uiPriority w:val="9"/>
    <w:unhideWhenUsed/>
    <w:qFormat/>
    <w:rsid w:val="009C2C1D"/>
    <w:pPr>
      <w:keepNext/>
      <w:keepLines/>
      <w:spacing w:after="152" w:line="265" w:lineRule="auto"/>
      <w:ind w:left="10" w:right="2" w:hanging="10"/>
      <w:outlineLvl w:val="1"/>
    </w:pPr>
    <w:rPr>
      <w:rFonts w:ascii="Arial" w:eastAsia="Times New Roman" w:hAnsi="Arial" w:cs="Times New Roman"/>
      <w:b/>
      <w:color w:val="000000"/>
    </w:rPr>
  </w:style>
  <w:style w:type="paragraph" w:styleId="Heading3">
    <w:name w:val="heading 3"/>
    <w:basedOn w:val="Normal"/>
    <w:next w:val="Normal"/>
    <w:link w:val="Heading3Char"/>
    <w:uiPriority w:val="9"/>
    <w:semiHidden/>
    <w:unhideWhenUsed/>
    <w:qFormat/>
    <w:rsid w:val="00041E0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1E0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1E0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1E0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1E0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1E0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1E0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658E"/>
    <w:rPr>
      <w:rFonts w:ascii="Arial" w:eastAsiaTheme="majorEastAsia" w:hAnsi="Arial" w:cstheme="majorBidi"/>
      <w:b/>
      <w:color w:val="000000" w:themeColor="text1"/>
      <w:kern w:val="0"/>
      <w:sz w:val="28"/>
      <w:szCs w:val="32"/>
      <w:lang w:eastAsia="en-GB"/>
      <w14:ligatures w14:val="none"/>
    </w:rPr>
  </w:style>
  <w:style w:type="character" w:customStyle="1" w:styleId="Heading2Char">
    <w:name w:val="Heading 2 Char"/>
    <w:basedOn w:val="DefaultParagraphFont"/>
    <w:link w:val="Heading2"/>
    <w:uiPriority w:val="9"/>
    <w:rsid w:val="009C2C1D"/>
    <w:rPr>
      <w:rFonts w:ascii="Arial" w:eastAsia="Times New Roman" w:hAnsi="Arial" w:cs="Times New Roman"/>
      <w:b/>
      <w:color w:val="000000"/>
    </w:rPr>
  </w:style>
  <w:style w:type="character" w:customStyle="1" w:styleId="Heading3Char">
    <w:name w:val="Heading 3 Char"/>
    <w:basedOn w:val="DefaultParagraphFont"/>
    <w:link w:val="Heading3"/>
    <w:uiPriority w:val="9"/>
    <w:semiHidden/>
    <w:rsid w:val="00041E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1E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1E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1E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1E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1E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1E07"/>
    <w:rPr>
      <w:rFonts w:eastAsiaTheme="majorEastAsia" w:cstheme="majorBidi"/>
      <w:color w:val="272727" w:themeColor="text1" w:themeTint="D8"/>
    </w:rPr>
  </w:style>
  <w:style w:type="paragraph" w:styleId="Title">
    <w:name w:val="Title"/>
    <w:basedOn w:val="Normal"/>
    <w:next w:val="Normal"/>
    <w:link w:val="TitleChar"/>
    <w:uiPriority w:val="10"/>
    <w:qFormat/>
    <w:rsid w:val="00041E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1E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1E0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1E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1E07"/>
    <w:pPr>
      <w:spacing w:before="160"/>
      <w:jc w:val="center"/>
    </w:pPr>
    <w:rPr>
      <w:i/>
      <w:iCs/>
      <w:color w:val="404040" w:themeColor="text1" w:themeTint="BF"/>
    </w:rPr>
  </w:style>
  <w:style w:type="character" w:customStyle="1" w:styleId="QuoteChar">
    <w:name w:val="Quote Char"/>
    <w:basedOn w:val="DefaultParagraphFont"/>
    <w:link w:val="Quote"/>
    <w:uiPriority w:val="29"/>
    <w:rsid w:val="00041E07"/>
    <w:rPr>
      <w:i/>
      <w:iCs/>
      <w:color w:val="404040" w:themeColor="text1" w:themeTint="BF"/>
    </w:rPr>
  </w:style>
  <w:style w:type="paragraph" w:styleId="ListParagraph">
    <w:name w:val="List Paragraph"/>
    <w:basedOn w:val="Normal"/>
    <w:uiPriority w:val="34"/>
    <w:qFormat/>
    <w:rsid w:val="00041E07"/>
    <w:pPr>
      <w:ind w:left="720"/>
      <w:contextualSpacing/>
    </w:pPr>
  </w:style>
  <w:style w:type="character" w:styleId="IntenseEmphasis">
    <w:name w:val="Intense Emphasis"/>
    <w:basedOn w:val="DefaultParagraphFont"/>
    <w:uiPriority w:val="21"/>
    <w:qFormat/>
    <w:rsid w:val="00041E07"/>
    <w:rPr>
      <w:i/>
      <w:iCs/>
      <w:color w:val="0F4761" w:themeColor="accent1" w:themeShade="BF"/>
    </w:rPr>
  </w:style>
  <w:style w:type="paragraph" w:styleId="IntenseQuote">
    <w:name w:val="Intense Quote"/>
    <w:basedOn w:val="Normal"/>
    <w:next w:val="Normal"/>
    <w:link w:val="IntenseQuoteChar"/>
    <w:uiPriority w:val="30"/>
    <w:qFormat/>
    <w:rsid w:val="00041E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1E07"/>
    <w:rPr>
      <w:i/>
      <w:iCs/>
      <w:color w:val="0F4761" w:themeColor="accent1" w:themeShade="BF"/>
    </w:rPr>
  </w:style>
  <w:style w:type="character" w:styleId="IntenseReference">
    <w:name w:val="Intense Reference"/>
    <w:basedOn w:val="DefaultParagraphFont"/>
    <w:uiPriority w:val="32"/>
    <w:qFormat/>
    <w:rsid w:val="00041E07"/>
    <w:rPr>
      <w:b/>
      <w:bCs/>
      <w:smallCaps/>
      <w:color w:val="0F4761" w:themeColor="accent1" w:themeShade="BF"/>
      <w:spacing w:val="5"/>
    </w:rPr>
  </w:style>
  <w:style w:type="character" w:styleId="Hyperlink">
    <w:name w:val="Hyperlink"/>
    <w:basedOn w:val="DefaultParagraphFont"/>
    <w:uiPriority w:val="99"/>
    <w:unhideWhenUsed/>
    <w:rsid w:val="000663B8"/>
    <w:rPr>
      <w:color w:val="467886" w:themeColor="hyperlink"/>
      <w:u w:val="single"/>
    </w:rPr>
  </w:style>
  <w:style w:type="character" w:styleId="UnresolvedMention">
    <w:name w:val="Unresolved Mention"/>
    <w:basedOn w:val="DefaultParagraphFont"/>
    <w:uiPriority w:val="99"/>
    <w:semiHidden/>
    <w:unhideWhenUsed/>
    <w:rsid w:val="0038424B"/>
    <w:rPr>
      <w:color w:val="605E5C"/>
      <w:shd w:val="clear" w:color="auto" w:fill="E1DFDD"/>
    </w:rPr>
  </w:style>
  <w:style w:type="paragraph" w:styleId="TOCHeading">
    <w:name w:val="TOC Heading"/>
    <w:basedOn w:val="Heading1"/>
    <w:next w:val="Normal"/>
    <w:uiPriority w:val="39"/>
    <w:unhideWhenUsed/>
    <w:qFormat/>
    <w:rsid w:val="00A16026"/>
    <w:pPr>
      <w:outlineLvl w:val="9"/>
    </w:pPr>
    <w:rPr>
      <w:rFonts w:asciiTheme="majorHAnsi" w:hAnsiTheme="majorHAnsi"/>
      <w:b w:val="0"/>
      <w:color w:val="0F4761" w:themeColor="accent1" w:themeShade="BF"/>
      <w:sz w:val="32"/>
    </w:rPr>
  </w:style>
  <w:style w:type="paragraph" w:styleId="TOC1">
    <w:name w:val="toc 1"/>
    <w:basedOn w:val="Normal"/>
    <w:next w:val="Normal"/>
    <w:autoRedefine/>
    <w:uiPriority w:val="39"/>
    <w:unhideWhenUsed/>
    <w:rsid w:val="00A16026"/>
    <w:pPr>
      <w:spacing w:after="100"/>
    </w:pPr>
  </w:style>
  <w:style w:type="paragraph" w:styleId="TOC2">
    <w:name w:val="toc 2"/>
    <w:basedOn w:val="Normal"/>
    <w:next w:val="Normal"/>
    <w:autoRedefine/>
    <w:uiPriority w:val="39"/>
    <w:unhideWhenUsed/>
    <w:rsid w:val="00A16026"/>
    <w:pPr>
      <w:spacing w:after="100"/>
      <w:ind w:left="240"/>
    </w:pPr>
  </w:style>
  <w:style w:type="paragraph" w:styleId="Header">
    <w:name w:val="header"/>
    <w:basedOn w:val="Normal"/>
    <w:link w:val="HeaderChar"/>
    <w:uiPriority w:val="99"/>
    <w:unhideWhenUsed/>
    <w:rsid w:val="00A160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6026"/>
  </w:style>
  <w:style w:type="paragraph" w:styleId="Footer">
    <w:name w:val="footer"/>
    <w:basedOn w:val="Normal"/>
    <w:link w:val="FooterChar"/>
    <w:uiPriority w:val="99"/>
    <w:unhideWhenUsed/>
    <w:rsid w:val="00A160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6026"/>
  </w:style>
  <w:style w:type="character" w:styleId="FollowedHyperlink">
    <w:name w:val="FollowedHyperlink"/>
    <w:basedOn w:val="DefaultParagraphFont"/>
    <w:uiPriority w:val="99"/>
    <w:semiHidden/>
    <w:unhideWhenUsed/>
    <w:rsid w:val="005B323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mj.com/content/376/bmj.o858.short" TargetMode="External"/><Relationship Id="rId18" Type="http://schemas.openxmlformats.org/officeDocument/2006/relationships/hyperlink" Target="https://www.sciencedirect.com/science/article/pii/S2949856224000254" TargetMode="External"/><Relationship Id="rId26" Type="http://schemas.openxmlformats.org/officeDocument/2006/relationships/hyperlink" Target="https://qualitysafety.bmj.com/content/33/11/704.abstract" TargetMode="External"/><Relationship Id="rId39" Type="http://schemas.openxmlformats.org/officeDocument/2006/relationships/footer" Target="footer1.xml"/><Relationship Id="rId21" Type="http://schemas.openxmlformats.org/officeDocument/2006/relationships/hyperlink" Target="https://qualitysafety.bmj.com/content/30/6/444.abstract" TargetMode="External"/><Relationship Id="rId34" Type="http://schemas.openxmlformats.org/officeDocument/2006/relationships/hyperlink" Target="https://journals.lww.com/journalpatientsafety/fulltext/2023/06000/improving_the_quality_of_maternity_care__learning.3.aspx"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link.springer.com/article/10.1186/s12887-022-03638-y" TargetMode="External"/><Relationship Id="rId20" Type="http://schemas.openxmlformats.org/officeDocument/2006/relationships/hyperlink" Target="https://www.bmj.com/content/377/bmj.o898.full" TargetMode="External"/><Relationship Id="rId29" Type="http://schemas.openxmlformats.org/officeDocument/2006/relationships/hyperlink" Target="https://www.obgyn.theclinics.com/article/S0889-8545(22)00068-7/abstract"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iscovery.ucl.ac.uk/id/eprint/10140780/" TargetMode="External"/><Relationship Id="rId24" Type="http://schemas.openxmlformats.org/officeDocument/2006/relationships/hyperlink" Target="https://onlinelibrary.wiley.com/doi/abs/10.1111/jan.15233" TargetMode="External"/><Relationship Id="rId32" Type="http://schemas.openxmlformats.org/officeDocument/2006/relationships/hyperlink" Target="https://onlinelibrary.wiley.com/doi/abs/10.1111/birt.12914" TargetMode="External"/><Relationship Id="rId37" Type="http://schemas.openxmlformats.org/officeDocument/2006/relationships/hyperlink" Target="https://journals.plos.org/plosone/article?id=10.1371/journal.pone.0250150"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bmjopenquality.bmj.com/content/11/4/e001862" TargetMode="External"/><Relationship Id="rId23" Type="http://schemas.openxmlformats.org/officeDocument/2006/relationships/hyperlink" Target="https://link.springer.com/article/10.1007/s43545-022-00576-5" TargetMode="External"/><Relationship Id="rId28" Type="http://schemas.openxmlformats.org/officeDocument/2006/relationships/hyperlink" Target="https://bmjopenquality.bmj.com/content/11/2/e001483.abstract" TargetMode="External"/><Relationship Id="rId36" Type="http://schemas.openxmlformats.org/officeDocument/2006/relationships/hyperlink" Target="https://academic.oup.com/heapol/article-abstract/37/8/1042/6569159" TargetMode="External"/><Relationship Id="rId10" Type="http://schemas.openxmlformats.org/officeDocument/2006/relationships/hyperlink" Target="https://www.fons.org/wp-content/uploads/2024/02/IPDJ_09_01_08.pdf" TargetMode="External"/><Relationship Id="rId19" Type="http://schemas.openxmlformats.org/officeDocument/2006/relationships/hyperlink" Target="https://books.google.com/books?hl=en&amp;lr=&amp;id=-ST3DwAAQBAJ&amp;oi=fnd&amp;pg=PA119&amp;dq=Donabedian+Modelapply+for+Maternity+Care+Failure++in+UK&amp;ots=A9ZVCqh2dP&amp;sig=gD4DG7HtlYqIdceIplOggoB4mu8" TargetMode="External"/><Relationship Id="rId31" Type="http://schemas.openxmlformats.org/officeDocument/2006/relationships/hyperlink" Target="https://link.springer.com/article/10.1007/s10995-023-03702-8" TargetMode="External"/><Relationship Id="rId4" Type="http://schemas.openxmlformats.org/officeDocument/2006/relationships/webSettings" Target="webSettings.xml"/><Relationship Id="rId9" Type="http://schemas.openxmlformats.org/officeDocument/2006/relationships/hyperlink" Target="https://www.inderscienceonline.com/doi/abs/10.1504/IJSSCA.2024.139599" TargetMode="External"/><Relationship Id="rId14" Type="http://schemas.openxmlformats.org/officeDocument/2006/relationships/hyperlink" Target="https://www.bmj.com/content/377/bmj.o899.abstract" TargetMode="External"/><Relationship Id="rId22" Type="http://schemas.openxmlformats.org/officeDocument/2006/relationships/hyperlink" Target="https://publications.aston.ac.uk/id/eprint/45733/" TargetMode="External"/><Relationship Id="rId27" Type="http://schemas.openxmlformats.org/officeDocument/2006/relationships/hyperlink" Target="https://www.scielo.br/j/rgenf/a/8fZtDGq8LpRj5hKVKzFYBLH/?lang=en" TargetMode="External"/><Relationship Id="rId30" Type="http://schemas.openxmlformats.org/officeDocument/2006/relationships/hyperlink" Target="https://www.bmj.com/content/390/bmj.r1941.short" TargetMode="External"/><Relationship Id="rId35" Type="http://schemas.openxmlformats.org/officeDocument/2006/relationships/hyperlink" Target="https://www.theseus.fi/handle/10024/863438" TargetMode="External"/><Relationship Id="rId8" Type="http://schemas.openxmlformats.org/officeDocument/2006/relationships/hyperlink" Target="https://www.sciencedirect.com/science/article/pii/S0168851020302177" TargetMode="External"/><Relationship Id="rId3" Type="http://schemas.openxmlformats.org/officeDocument/2006/relationships/settings" Target="settings.xml"/><Relationship Id="rId12" Type="http://schemas.openxmlformats.org/officeDocument/2006/relationships/hyperlink" Target="https://academic.oup.com/intqhc/article-abstract/30/9/692/4971551" TargetMode="External"/><Relationship Id="rId17" Type="http://schemas.openxmlformats.org/officeDocument/2006/relationships/hyperlink" Target="https://link.springer.com/article/10.1007/s10551-020-04620-3" TargetMode="External"/><Relationship Id="rId25" Type="http://schemas.openxmlformats.org/officeDocument/2006/relationships/hyperlink" Target="https://journals.plos.org/plosone/article?id=10.1371/journal.pone.0247911" TargetMode="External"/><Relationship Id="rId33" Type="http://schemas.openxmlformats.org/officeDocument/2006/relationships/hyperlink" Target="https://link.springer.com/article/10.1186/s12884-015-0483-6" TargetMode="External"/><Relationship Id="rId38" Type="http://schemas.openxmlformats.org/officeDocument/2006/relationships/hyperlink" Target="https://bmjopenquality.bmj.com/content/11/4/e002003.abstra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5304</Words>
  <Characters>30236</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Isha Patel</dc:creator>
  <cp:keywords/>
  <dc:description/>
  <cp:lastModifiedBy>Isha Patel</cp:lastModifiedBy>
  <cp:revision>2</cp:revision>
  <dcterms:created xsi:type="dcterms:W3CDTF">2025-12-11T19:14:00Z</dcterms:created>
  <dcterms:modified xsi:type="dcterms:W3CDTF">2025-12-11T19:16:00Z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110ecf2e-4b3a-4dc6-aeb8-8891ef4d9a63</vt:lpwstr>
  </property>
</Properties>
</file>