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0A8C8" w14:textId="77777777" w:rsidR="008D210E" w:rsidRDefault="008D210E" w:rsidP="008D210E">
      <w:pPr>
        <w:spacing w:after="220"/>
        <w:ind w:right="1438"/>
        <w:jc w:val="right"/>
      </w:pPr>
      <w:r>
        <w:rPr>
          <w:noProof/>
        </w:rPr>
        <w:drawing>
          <wp:inline distT="0" distB="0" distL="0" distR="0" wp14:anchorId="2945F44E" wp14:editId="7BBA11B3">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6C37ED60" w14:textId="77777777" w:rsidR="008D210E" w:rsidRDefault="008D210E" w:rsidP="008D210E">
      <w:pPr>
        <w:spacing w:after="273"/>
        <w:ind w:right="5"/>
        <w:jc w:val="center"/>
      </w:pPr>
      <w:r>
        <w:rPr>
          <w:rFonts w:ascii="Times New Roman" w:eastAsia="Times New Roman" w:hAnsi="Times New Roman" w:cs="Times New Roman"/>
          <w:b/>
        </w:rPr>
        <w:t xml:space="preserve"> </w:t>
      </w:r>
    </w:p>
    <w:p w14:paraId="389A6B38" w14:textId="77777777" w:rsidR="008D210E" w:rsidRDefault="008D210E" w:rsidP="008D210E">
      <w:pPr>
        <w:spacing w:after="274"/>
      </w:pPr>
      <w:r>
        <w:rPr>
          <w:rFonts w:ascii="Times New Roman" w:eastAsia="Times New Roman" w:hAnsi="Times New Roman" w:cs="Times New Roman"/>
          <w:b/>
        </w:rPr>
        <w:t xml:space="preserve"> </w:t>
      </w:r>
    </w:p>
    <w:p w14:paraId="17101A30" w14:textId="77777777" w:rsidR="008D210E" w:rsidRDefault="008D210E" w:rsidP="008D210E">
      <w:pPr>
        <w:spacing w:after="276"/>
        <w:jc w:val="center"/>
      </w:pPr>
    </w:p>
    <w:p w14:paraId="5FC96AEB" w14:textId="77777777" w:rsidR="008D210E" w:rsidRPr="006D3BC5" w:rsidRDefault="008D210E" w:rsidP="008D210E">
      <w:pPr>
        <w:spacing w:after="274"/>
        <w:ind w:left="2716" w:firstLine="93"/>
        <w:rPr>
          <w:sz w:val="24"/>
          <w:szCs w:val="24"/>
        </w:rPr>
      </w:pPr>
      <w:r w:rsidRPr="006D3BC5">
        <w:rPr>
          <w:rFonts w:ascii="Times New Roman" w:eastAsia="Times New Roman" w:hAnsi="Times New Roman" w:cs="Times New Roman"/>
          <w:b/>
          <w:sz w:val="24"/>
          <w:szCs w:val="24"/>
        </w:rPr>
        <w:t>Programme: Master of Business Administration</w:t>
      </w:r>
    </w:p>
    <w:p w14:paraId="4D179E26" w14:textId="373059EF" w:rsidR="008D210E" w:rsidRPr="006D3BC5" w:rsidRDefault="008D210E" w:rsidP="008D210E">
      <w:pPr>
        <w:spacing w:after="274"/>
        <w:ind w:left="2809"/>
        <w:rPr>
          <w:sz w:val="24"/>
          <w:szCs w:val="24"/>
        </w:rPr>
      </w:pPr>
      <w:r w:rsidRPr="006D3BC5">
        <w:rPr>
          <w:rFonts w:ascii="Times New Roman" w:eastAsia="Times New Roman" w:hAnsi="Times New Roman" w:cs="Times New Roman"/>
          <w:b/>
          <w:sz w:val="24"/>
          <w:szCs w:val="24"/>
        </w:rPr>
        <w:t xml:space="preserve">Module: </w:t>
      </w:r>
      <w:r>
        <w:rPr>
          <w:rFonts w:ascii="Times New Roman" w:eastAsia="Times New Roman" w:hAnsi="Times New Roman" w:cs="Times New Roman"/>
          <w:b/>
          <w:sz w:val="28"/>
        </w:rPr>
        <w:t>Financial</w:t>
      </w:r>
      <w:r w:rsidRPr="00D51540">
        <w:rPr>
          <w:rFonts w:ascii="Times New Roman" w:eastAsia="Times New Roman" w:hAnsi="Times New Roman" w:cs="Times New Roman"/>
          <w:b/>
          <w:sz w:val="28"/>
        </w:rPr>
        <w:t xml:space="preserve"> Management</w:t>
      </w:r>
    </w:p>
    <w:p w14:paraId="1E1AFD69" w14:textId="5A778015" w:rsidR="008D210E" w:rsidRPr="006D3BC5" w:rsidRDefault="008D210E" w:rsidP="008D210E">
      <w:pPr>
        <w:spacing w:after="274"/>
        <w:ind w:left="2099" w:right="66" w:firstLine="710"/>
        <w:rPr>
          <w:sz w:val="24"/>
          <w:szCs w:val="24"/>
        </w:rPr>
      </w:pPr>
      <w:r w:rsidRPr="006D3BC5">
        <w:rPr>
          <w:rFonts w:ascii="Times New Roman" w:eastAsia="Times New Roman" w:hAnsi="Times New Roman" w:cs="Times New Roman"/>
          <w:b/>
          <w:sz w:val="24"/>
          <w:szCs w:val="24"/>
        </w:rPr>
        <w:t xml:space="preserve">Module code: </w:t>
      </w:r>
      <w:r>
        <w:rPr>
          <w:rFonts w:ascii="Arial" w:hAnsi="Arial" w:cs="Arial"/>
          <w:b/>
          <w:szCs w:val="22"/>
        </w:rPr>
        <w:t>LCMB7002</w:t>
      </w:r>
    </w:p>
    <w:p w14:paraId="0C786450" w14:textId="0E0F44BA" w:rsidR="008D210E" w:rsidRPr="006D3BC5" w:rsidRDefault="008D210E" w:rsidP="008D210E">
      <w:pPr>
        <w:spacing w:after="274"/>
        <w:ind w:left="2099" w:right="65" w:firstLine="710"/>
        <w:rPr>
          <w:sz w:val="24"/>
          <w:szCs w:val="24"/>
        </w:rPr>
      </w:pPr>
      <w:r w:rsidRPr="006D3BC5">
        <w:rPr>
          <w:rFonts w:ascii="Times New Roman" w:eastAsia="Times New Roman" w:hAnsi="Times New Roman" w:cs="Times New Roman"/>
          <w:b/>
          <w:sz w:val="24"/>
          <w:szCs w:val="24"/>
        </w:rPr>
        <w:t xml:space="preserve">Title: </w:t>
      </w:r>
      <w:r>
        <w:rPr>
          <w:rFonts w:ascii="Arial" w:hAnsi="Arial" w:cs="Arial"/>
          <w:b/>
          <w:szCs w:val="22"/>
        </w:rPr>
        <w:t>Financial performance and management</w:t>
      </w:r>
    </w:p>
    <w:p w14:paraId="01AD0943" w14:textId="33543EDF" w:rsidR="008D210E" w:rsidRPr="006D3BC5" w:rsidRDefault="008D210E" w:rsidP="008D210E">
      <w:pPr>
        <w:spacing w:after="274"/>
        <w:ind w:left="2099" w:right="62" w:firstLine="710"/>
        <w:rPr>
          <w:sz w:val="24"/>
          <w:szCs w:val="24"/>
        </w:rPr>
      </w:pPr>
      <w:r w:rsidRPr="006D3BC5">
        <w:rPr>
          <w:rFonts w:ascii="Times New Roman" w:eastAsia="Times New Roman" w:hAnsi="Times New Roman" w:cs="Times New Roman"/>
          <w:b/>
          <w:sz w:val="24"/>
          <w:szCs w:val="24"/>
        </w:rPr>
        <w:t xml:space="preserve">Word count: </w:t>
      </w:r>
      <w:r w:rsidR="00407F52">
        <w:rPr>
          <w:rFonts w:ascii="Times New Roman" w:eastAsia="Times New Roman" w:hAnsi="Times New Roman" w:cs="Times New Roman"/>
          <w:b/>
          <w:sz w:val="24"/>
          <w:szCs w:val="24"/>
        </w:rPr>
        <w:t>5</w:t>
      </w:r>
      <w:r>
        <w:rPr>
          <w:rFonts w:ascii="Times New Roman" w:eastAsia="Times New Roman" w:hAnsi="Times New Roman" w:cs="Times New Roman"/>
          <w:b/>
          <w:sz w:val="24"/>
          <w:szCs w:val="24"/>
        </w:rPr>
        <w:t>3</w:t>
      </w:r>
      <w:r w:rsidR="001338CA">
        <w:rPr>
          <w:rFonts w:ascii="Times New Roman" w:eastAsia="Times New Roman" w:hAnsi="Times New Roman" w:cs="Times New Roman"/>
          <w:b/>
          <w:sz w:val="24"/>
          <w:szCs w:val="24"/>
        </w:rPr>
        <w:t>76</w:t>
      </w:r>
      <w:r w:rsidRPr="006D3BC5">
        <w:rPr>
          <w:rFonts w:ascii="Times New Roman" w:eastAsia="Times New Roman" w:hAnsi="Times New Roman" w:cs="Times New Roman"/>
          <w:b/>
          <w:sz w:val="24"/>
          <w:szCs w:val="24"/>
        </w:rPr>
        <w:t xml:space="preserve"> </w:t>
      </w:r>
    </w:p>
    <w:p w14:paraId="66490BA8" w14:textId="3E322659" w:rsidR="008D210E" w:rsidRPr="006D3BC5" w:rsidRDefault="008D210E" w:rsidP="008D210E">
      <w:pPr>
        <w:spacing w:after="165" w:line="352" w:lineRule="auto"/>
        <w:ind w:left="2835" w:right="2836"/>
        <w:rPr>
          <w:rFonts w:ascii="Arial" w:eastAsia="Arial" w:hAnsi="Arial" w:cs="Arial"/>
          <w:b/>
          <w:sz w:val="24"/>
          <w:szCs w:val="24"/>
        </w:rPr>
      </w:pPr>
      <w:r w:rsidRPr="006D3BC5">
        <w:rPr>
          <w:rFonts w:ascii="Arial" w:eastAsia="Arial" w:hAnsi="Arial" w:cs="Arial"/>
          <w:b/>
          <w:sz w:val="24"/>
          <w:szCs w:val="24"/>
        </w:rPr>
        <w:t xml:space="preserve">Lecturer : </w:t>
      </w:r>
      <w:r w:rsidRPr="008D45BE">
        <w:rPr>
          <w:rFonts w:ascii="Arial" w:hAnsi="Arial" w:cs="Arial"/>
          <w:b/>
          <w:szCs w:val="22"/>
        </w:rPr>
        <w:t xml:space="preserve">Patrick Yeboah </w:t>
      </w:r>
      <w:r>
        <w:rPr>
          <w:rFonts w:ascii="Arial" w:hAnsi="Arial" w:cs="Arial"/>
          <w:b/>
          <w:szCs w:val="22"/>
        </w:rPr>
        <w:t>(Birmingham)</w:t>
      </w:r>
    </w:p>
    <w:p w14:paraId="1B510E58" w14:textId="77777777" w:rsidR="008D210E" w:rsidRPr="006D3BC5" w:rsidRDefault="008D210E" w:rsidP="008D210E">
      <w:pPr>
        <w:spacing w:after="165" w:line="352" w:lineRule="auto"/>
        <w:ind w:left="2835" w:right="2836"/>
        <w:rPr>
          <w:sz w:val="24"/>
          <w:szCs w:val="24"/>
        </w:rPr>
      </w:pPr>
      <w:r w:rsidRPr="006D3BC5">
        <w:rPr>
          <w:rFonts w:ascii="Times New Roman" w:eastAsia="Times New Roman" w:hAnsi="Times New Roman" w:cs="Times New Roman"/>
          <w:b/>
          <w:sz w:val="24"/>
          <w:szCs w:val="24"/>
        </w:rPr>
        <w:t>Student Name : Promi Das Gupta</w:t>
      </w:r>
    </w:p>
    <w:p w14:paraId="0F9FF613" w14:textId="77777777" w:rsidR="008D210E" w:rsidRPr="006D3BC5" w:rsidRDefault="008D210E" w:rsidP="008D210E">
      <w:pPr>
        <w:spacing w:after="274"/>
        <w:ind w:left="2125" w:right="62" w:firstLine="710"/>
        <w:rPr>
          <w:sz w:val="24"/>
          <w:szCs w:val="24"/>
        </w:rPr>
      </w:pPr>
      <w:r w:rsidRPr="006D3BC5">
        <w:rPr>
          <w:rFonts w:ascii="Times New Roman" w:eastAsia="Times New Roman" w:hAnsi="Times New Roman" w:cs="Times New Roman"/>
          <w:b/>
          <w:sz w:val="24"/>
          <w:szCs w:val="24"/>
        </w:rPr>
        <w:t>Student ID: 2428537</w:t>
      </w:r>
    </w:p>
    <w:p w14:paraId="1E45486D" w14:textId="1E99D16E" w:rsidR="008D210E" w:rsidRDefault="008D210E" w:rsidP="008D210E">
      <w:pPr>
        <w:ind w:left="2115" w:firstLine="720"/>
        <w:rPr>
          <w:rFonts w:ascii="Arial" w:hAnsi="Arial" w:cs="Arial"/>
          <w:b/>
          <w:bCs/>
          <w:sz w:val="24"/>
          <w:szCs w:val="24"/>
        </w:rPr>
      </w:pPr>
      <w:r w:rsidRPr="006D3BC5">
        <w:rPr>
          <w:rFonts w:ascii="Times New Roman" w:eastAsia="Times New Roman" w:hAnsi="Times New Roman" w:cs="Times New Roman"/>
          <w:b/>
          <w:sz w:val="24"/>
          <w:szCs w:val="24"/>
        </w:rPr>
        <w:t xml:space="preserve">Submission Date- </w:t>
      </w:r>
      <w:r>
        <w:rPr>
          <w:rFonts w:ascii="Times New Roman" w:eastAsia="Times New Roman" w:hAnsi="Times New Roman" w:cs="Times New Roman"/>
          <w:b/>
          <w:sz w:val="24"/>
          <w:szCs w:val="24"/>
        </w:rPr>
        <w:t>24</w:t>
      </w:r>
      <w:r w:rsidRPr="006D3BC5">
        <w:rPr>
          <w:rFonts w:ascii="Times New Roman" w:eastAsia="Times New Roman" w:hAnsi="Times New Roman" w:cs="Times New Roman"/>
          <w:b/>
          <w:sz w:val="24"/>
          <w:szCs w:val="24"/>
          <w:vertAlign w:val="superscript"/>
        </w:rPr>
        <w:t>th</w:t>
      </w:r>
      <w:r w:rsidRPr="006D3BC5">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November</w:t>
      </w:r>
      <w:r w:rsidRPr="006D3BC5">
        <w:rPr>
          <w:rFonts w:ascii="Times New Roman" w:eastAsia="Times New Roman" w:hAnsi="Times New Roman" w:cs="Times New Roman"/>
          <w:b/>
          <w:sz w:val="24"/>
          <w:szCs w:val="24"/>
        </w:rPr>
        <w:t xml:space="preserve"> 2025</w:t>
      </w:r>
      <w:r>
        <w:rPr>
          <w:rFonts w:ascii="Arial" w:hAnsi="Arial" w:cs="Arial"/>
          <w:b/>
          <w:bCs/>
          <w:sz w:val="24"/>
          <w:szCs w:val="24"/>
        </w:rPr>
        <w:br w:type="page"/>
      </w:r>
    </w:p>
    <w:p w14:paraId="1B774AA7" w14:textId="77777777" w:rsidR="008D210E" w:rsidRPr="00EE4574" w:rsidRDefault="008D210E" w:rsidP="008D210E">
      <w:pPr>
        <w:jc w:val="center"/>
        <w:rPr>
          <w:rFonts w:ascii="Arial" w:hAnsi="Arial" w:cs="Arial"/>
          <w:b/>
          <w:bCs/>
          <w:sz w:val="24"/>
          <w:szCs w:val="24"/>
        </w:rPr>
      </w:pPr>
      <w:r w:rsidRPr="00EE4574">
        <w:rPr>
          <w:rFonts w:ascii="Arial" w:hAnsi="Arial" w:cs="Arial"/>
          <w:b/>
          <w:bCs/>
          <w:sz w:val="24"/>
          <w:szCs w:val="24"/>
        </w:rPr>
        <w:lastRenderedPageBreak/>
        <w:t>Table of Contents</w:t>
      </w:r>
    </w:p>
    <w:p w14:paraId="4A779793" w14:textId="77777777" w:rsidR="008D210E" w:rsidRPr="00EE4574" w:rsidRDefault="008D210E" w:rsidP="008D210E">
      <w:pPr>
        <w:pStyle w:val="ListParagraph"/>
        <w:numPr>
          <w:ilvl w:val="0"/>
          <w:numId w:val="90"/>
        </w:numPr>
        <w:spacing w:line="360" w:lineRule="auto"/>
        <w:rPr>
          <w:rFonts w:ascii="Arial" w:hAnsi="Arial" w:cs="Arial"/>
          <w:b/>
          <w:bCs/>
          <w:sz w:val="24"/>
          <w:szCs w:val="24"/>
        </w:rPr>
      </w:pPr>
      <w:r w:rsidRPr="00EE4574">
        <w:rPr>
          <w:rFonts w:ascii="Arial" w:hAnsi="Arial" w:cs="Arial"/>
          <w:b/>
          <w:bCs/>
          <w:sz w:val="24"/>
          <w:szCs w:val="24"/>
        </w:rPr>
        <w:t>Introduction</w:t>
      </w:r>
      <w:r>
        <w:rPr>
          <w:rFonts w:ascii="Arial" w:hAnsi="Arial" w:cs="Arial"/>
          <w:b/>
          <w:bCs/>
          <w:sz w:val="24"/>
          <w:szCs w:val="24"/>
        </w:rPr>
        <w:t>……………………………………………………… 3</w:t>
      </w:r>
    </w:p>
    <w:p w14:paraId="68FEB100" w14:textId="371438BE" w:rsidR="008D210E" w:rsidRPr="00EE4574" w:rsidRDefault="008D210E" w:rsidP="008D210E">
      <w:pPr>
        <w:pStyle w:val="ListParagraph"/>
        <w:numPr>
          <w:ilvl w:val="0"/>
          <w:numId w:val="90"/>
        </w:numPr>
        <w:spacing w:line="360" w:lineRule="auto"/>
        <w:rPr>
          <w:rFonts w:ascii="Arial" w:hAnsi="Arial" w:cs="Arial"/>
          <w:b/>
          <w:bCs/>
          <w:sz w:val="24"/>
          <w:szCs w:val="24"/>
        </w:rPr>
      </w:pPr>
      <w:r w:rsidRPr="00EE4574">
        <w:rPr>
          <w:rFonts w:ascii="Arial" w:hAnsi="Arial" w:cs="Arial"/>
          <w:b/>
          <w:bCs/>
          <w:sz w:val="24"/>
          <w:szCs w:val="24"/>
        </w:rPr>
        <w:t>Financial Health Review</w:t>
      </w:r>
      <w:r>
        <w:rPr>
          <w:rFonts w:ascii="Arial" w:hAnsi="Arial" w:cs="Arial"/>
          <w:b/>
          <w:bCs/>
          <w:sz w:val="24"/>
          <w:szCs w:val="24"/>
        </w:rPr>
        <w:t>………………………………………. 3-</w:t>
      </w:r>
      <w:r w:rsidR="00D2796D">
        <w:rPr>
          <w:rFonts w:ascii="Arial" w:hAnsi="Arial" w:cs="Arial"/>
          <w:b/>
          <w:bCs/>
          <w:sz w:val="24"/>
          <w:szCs w:val="24"/>
        </w:rPr>
        <w:t>10</w:t>
      </w:r>
    </w:p>
    <w:p w14:paraId="0DD93B99" w14:textId="1CEEBC69" w:rsidR="008D210E" w:rsidRPr="00EE4574" w:rsidRDefault="008D210E" w:rsidP="008D210E">
      <w:pPr>
        <w:pStyle w:val="ListParagraph"/>
        <w:numPr>
          <w:ilvl w:val="0"/>
          <w:numId w:val="90"/>
        </w:numPr>
        <w:spacing w:line="360" w:lineRule="auto"/>
        <w:rPr>
          <w:rFonts w:ascii="Arial" w:hAnsi="Arial" w:cs="Arial"/>
          <w:b/>
          <w:bCs/>
          <w:sz w:val="24"/>
          <w:szCs w:val="24"/>
        </w:rPr>
      </w:pPr>
      <w:r w:rsidRPr="00EE4574">
        <w:rPr>
          <w:rFonts w:ascii="Arial" w:hAnsi="Arial" w:cs="Arial"/>
          <w:b/>
          <w:bCs/>
          <w:sz w:val="24"/>
          <w:szCs w:val="24"/>
        </w:rPr>
        <w:t>Working Capital Management Analysis</w:t>
      </w:r>
      <w:r>
        <w:rPr>
          <w:rFonts w:ascii="Arial" w:hAnsi="Arial" w:cs="Arial"/>
          <w:b/>
          <w:bCs/>
          <w:sz w:val="24"/>
          <w:szCs w:val="24"/>
        </w:rPr>
        <w:t xml:space="preserve">……………………. </w:t>
      </w:r>
      <w:r w:rsidR="00D2796D">
        <w:rPr>
          <w:rFonts w:ascii="Arial" w:hAnsi="Arial" w:cs="Arial"/>
          <w:b/>
          <w:bCs/>
          <w:sz w:val="24"/>
          <w:szCs w:val="24"/>
        </w:rPr>
        <w:t>10</w:t>
      </w:r>
      <w:r>
        <w:rPr>
          <w:rFonts w:ascii="Arial" w:hAnsi="Arial" w:cs="Arial"/>
          <w:b/>
          <w:bCs/>
          <w:sz w:val="24"/>
          <w:szCs w:val="24"/>
        </w:rPr>
        <w:t>-1</w:t>
      </w:r>
      <w:r w:rsidR="00D2796D">
        <w:rPr>
          <w:rFonts w:ascii="Arial" w:hAnsi="Arial" w:cs="Arial"/>
          <w:b/>
          <w:bCs/>
          <w:sz w:val="24"/>
          <w:szCs w:val="24"/>
        </w:rPr>
        <w:t>4</w:t>
      </w:r>
    </w:p>
    <w:p w14:paraId="61D013F4" w14:textId="70D28F9F" w:rsidR="008D210E" w:rsidRPr="00EE4574" w:rsidRDefault="008D210E" w:rsidP="008D210E">
      <w:pPr>
        <w:pStyle w:val="ListParagraph"/>
        <w:numPr>
          <w:ilvl w:val="0"/>
          <w:numId w:val="90"/>
        </w:numPr>
        <w:spacing w:line="360" w:lineRule="auto"/>
        <w:rPr>
          <w:rFonts w:ascii="Arial" w:hAnsi="Arial" w:cs="Arial"/>
          <w:b/>
          <w:bCs/>
          <w:sz w:val="24"/>
          <w:szCs w:val="24"/>
        </w:rPr>
      </w:pPr>
      <w:r w:rsidRPr="00EE4574">
        <w:rPr>
          <w:rFonts w:ascii="Arial" w:hAnsi="Arial" w:cs="Arial"/>
          <w:b/>
          <w:bCs/>
          <w:sz w:val="24"/>
          <w:szCs w:val="24"/>
        </w:rPr>
        <w:t>Financial Restructuring Strategy</w:t>
      </w:r>
      <w:r>
        <w:rPr>
          <w:rFonts w:ascii="Arial" w:hAnsi="Arial" w:cs="Arial"/>
          <w:b/>
          <w:bCs/>
          <w:sz w:val="24"/>
          <w:szCs w:val="24"/>
        </w:rPr>
        <w:t>……………………………. 1</w:t>
      </w:r>
      <w:r w:rsidR="00D2796D">
        <w:rPr>
          <w:rFonts w:ascii="Arial" w:hAnsi="Arial" w:cs="Arial"/>
          <w:b/>
          <w:bCs/>
          <w:sz w:val="24"/>
          <w:szCs w:val="24"/>
        </w:rPr>
        <w:t>4</w:t>
      </w:r>
      <w:r>
        <w:rPr>
          <w:rFonts w:ascii="Arial" w:hAnsi="Arial" w:cs="Arial"/>
          <w:b/>
          <w:bCs/>
          <w:sz w:val="24"/>
          <w:szCs w:val="24"/>
        </w:rPr>
        <w:t>-1</w:t>
      </w:r>
      <w:r w:rsidR="00D2796D">
        <w:rPr>
          <w:rFonts w:ascii="Arial" w:hAnsi="Arial" w:cs="Arial"/>
          <w:b/>
          <w:bCs/>
          <w:sz w:val="24"/>
          <w:szCs w:val="24"/>
        </w:rPr>
        <w:t>7</w:t>
      </w:r>
    </w:p>
    <w:p w14:paraId="069A5A66" w14:textId="07BD26CB" w:rsidR="008D210E" w:rsidRPr="00EE4574" w:rsidRDefault="008D210E" w:rsidP="008D210E">
      <w:pPr>
        <w:pStyle w:val="ListParagraph"/>
        <w:numPr>
          <w:ilvl w:val="0"/>
          <w:numId w:val="90"/>
        </w:numPr>
        <w:spacing w:line="360" w:lineRule="auto"/>
        <w:rPr>
          <w:rFonts w:ascii="Arial" w:hAnsi="Arial" w:cs="Arial"/>
          <w:b/>
          <w:bCs/>
          <w:sz w:val="24"/>
          <w:szCs w:val="24"/>
        </w:rPr>
      </w:pPr>
      <w:r w:rsidRPr="00EE4574">
        <w:rPr>
          <w:rFonts w:ascii="Arial" w:hAnsi="Arial" w:cs="Arial"/>
          <w:b/>
          <w:bCs/>
          <w:sz w:val="24"/>
          <w:szCs w:val="24"/>
        </w:rPr>
        <w:t>Investment Appraisal and Decision Making</w:t>
      </w:r>
      <w:r>
        <w:rPr>
          <w:rFonts w:ascii="Arial" w:hAnsi="Arial" w:cs="Arial"/>
          <w:b/>
          <w:bCs/>
          <w:sz w:val="24"/>
          <w:szCs w:val="24"/>
        </w:rPr>
        <w:t>………………. 1</w:t>
      </w:r>
      <w:r w:rsidR="00D2796D">
        <w:rPr>
          <w:rFonts w:ascii="Arial" w:hAnsi="Arial" w:cs="Arial"/>
          <w:b/>
          <w:bCs/>
          <w:sz w:val="24"/>
          <w:szCs w:val="24"/>
        </w:rPr>
        <w:t>8</w:t>
      </w:r>
      <w:r>
        <w:rPr>
          <w:rFonts w:ascii="Arial" w:hAnsi="Arial" w:cs="Arial"/>
          <w:b/>
          <w:bCs/>
          <w:sz w:val="24"/>
          <w:szCs w:val="24"/>
        </w:rPr>
        <w:t>-2</w:t>
      </w:r>
      <w:r w:rsidR="00D2796D">
        <w:rPr>
          <w:rFonts w:ascii="Arial" w:hAnsi="Arial" w:cs="Arial"/>
          <w:b/>
          <w:bCs/>
          <w:sz w:val="24"/>
          <w:szCs w:val="24"/>
        </w:rPr>
        <w:t>3</w:t>
      </w:r>
    </w:p>
    <w:p w14:paraId="6A8ABDF7" w14:textId="481D195F" w:rsidR="008D210E" w:rsidRPr="00EE4574" w:rsidRDefault="008D210E" w:rsidP="008D210E">
      <w:pPr>
        <w:pStyle w:val="ListParagraph"/>
        <w:numPr>
          <w:ilvl w:val="0"/>
          <w:numId w:val="90"/>
        </w:numPr>
        <w:spacing w:line="360" w:lineRule="auto"/>
        <w:rPr>
          <w:rFonts w:ascii="Arial" w:hAnsi="Arial" w:cs="Arial"/>
          <w:b/>
          <w:bCs/>
          <w:sz w:val="24"/>
          <w:szCs w:val="24"/>
        </w:rPr>
      </w:pPr>
      <w:r w:rsidRPr="00EE4574">
        <w:rPr>
          <w:rFonts w:ascii="Arial" w:hAnsi="Arial" w:cs="Arial"/>
          <w:b/>
          <w:bCs/>
          <w:sz w:val="24"/>
          <w:szCs w:val="24"/>
        </w:rPr>
        <w:t>Recommendation</w:t>
      </w:r>
      <w:r>
        <w:rPr>
          <w:rFonts w:ascii="Arial" w:hAnsi="Arial" w:cs="Arial"/>
          <w:b/>
          <w:bCs/>
          <w:sz w:val="24"/>
          <w:szCs w:val="24"/>
        </w:rPr>
        <w:t xml:space="preserve">………………………………………………. </w:t>
      </w:r>
      <w:r w:rsidR="00D2796D">
        <w:rPr>
          <w:rFonts w:ascii="Arial" w:hAnsi="Arial" w:cs="Arial"/>
          <w:b/>
          <w:bCs/>
          <w:sz w:val="24"/>
          <w:szCs w:val="24"/>
        </w:rPr>
        <w:t>23-</w:t>
      </w:r>
      <w:r>
        <w:rPr>
          <w:rFonts w:ascii="Arial" w:hAnsi="Arial" w:cs="Arial"/>
          <w:b/>
          <w:bCs/>
          <w:sz w:val="24"/>
          <w:szCs w:val="24"/>
        </w:rPr>
        <w:t>2</w:t>
      </w:r>
      <w:r w:rsidR="00D2796D">
        <w:rPr>
          <w:rFonts w:ascii="Arial" w:hAnsi="Arial" w:cs="Arial"/>
          <w:b/>
          <w:bCs/>
          <w:sz w:val="24"/>
          <w:szCs w:val="24"/>
        </w:rPr>
        <w:t>4</w:t>
      </w:r>
    </w:p>
    <w:p w14:paraId="67A68E6F" w14:textId="5CA595F0" w:rsidR="008D210E" w:rsidRPr="00EE4574" w:rsidRDefault="008D210E" w:rsidP="008D210E">
      <w:pPr>
        <w:pStyle w:val="ListParagraph"/>
        <w:numPr>
          <w:ilvl w:val="0"/>
          <w:numId w:val="90"/>
        </w:numPr>
        <w:spacing w:line="360" w:lineRule="auto"/>
        <w:rPr>
          <w:rFonts w:ascii="Arial" w:hAnsi="Arial" w:cs="Arial"/>
          <w:b/>
          <w:bCs/>
          <w:sz w:val="24"/>
          <w:szCs w:val="24"/>
        </w:rPr>
      </w:pPr>
      <w:r w:rsidRPr="00EE4574">
        <w:rPr>
          <w:rFonts w:ascii="Arial" w:hAnsi="Arial" w:cs="Arial"/>
          <w:b/>
          <w:bCs/>
          <w:sz w:val="24"/>
          <w:szCs w:val="24"/>
        </w:rPr>
        <w:t>Conclusion</w:t>
      </w:r>
      <w:r>
        <w:rPr>
          <w:rFonts w:ascii="Arial" w:hAnsi="Arial" w:cs="Arial"/>
          <w:b/>
          <w:bCs/>
          <w:sz w:val="24"/>
          <w:szCs w:val="24"/>
        </w:rPr>
        <w:t>………………………………………………………. 2</w:t>
      </w:r>
      <w:r w:rsidR="00D2796D">
        <w:rPr>
          <w:rFonts w:ascii="Arial" w:hAnsi="Arial" w:cs="Arial"/>
          <w:b/>
          <w:bCs/>
          <w:sz w:val="24"/>
          <w:szCs w:val="24"/>
        </w:rPr>
        <w:t>4</w:t>
      </w:r>
    </w:p>
    <w:p w14:paraId="7BB33321" w14:textId="2039056B" w:rsidR="008D210E" w:rsidRPr="00EE4574" w:rsidRDefault="008D210E" w:rsidP="008D210E">
      <w:pPr>
        <w:pStyle w:val="ListParagraph"/>
        <w:numPr>
          <w:ilvl w:val="0"/>
          <w:numId w:val="90"/>
        </w:numPr>
        <w:rPr>
          <w:rFonts w:ascii="Arial" w:hAnsi="Arial" w:cs="Arial"/>
          <w:b/>
          <w:bCs/>
          <w:sz w:val="24"/>
          <w:szCs w:val="24"/>
        </w:rPr>
      </w:pPr>
      <w:r w:rsidRPr="00EE4574">
        <w:rPr>
          <w:rFonts w:ascii="Arial" w:hAnsi="Arial" w:cs="Arial"/>
          <w:b/>
          <w:bCs/>
          <w:sz w:val="24"/>
          <w:szCs w:val="24"/>
        </w:rPr>
        <w:t>References</w:t>
      </w:r>
      <w:r>
        <w:rPr>
          <w:rFonts w:ascii="Arial" w:hAnsi="Arial" w:cs="Arial"/>
          <w:b/>
          <w:bCs/>
          <w:sz w:val="24"/>
          <w:szCs w:val="24"/>
        </w:rPr>
        <w:t>………………………………………………………. 2</w:t>
      </w:r>
      <w:r w:rsidR="00D2796D">
        <w:rPr>
          <w:rFonts w:ascii="Arial" w:hAnsi="Arial" w:cs="Arial"/>
          <w:b/>
          <w:bCs/>
          <w:sz w:val="24"/>
          <w:szCs w:val="24"/>
        </w:rPr>
        <w:t>4</w:t>
      </w:r>
      <w:r>
        <w:rPr>
          <w:rFonts w:ascii="Arial" w:hAnsi="Arial" w:cs="Arial"/>
          <w:b/>
          <w:bCs/>
          <w:sz w:val="24"/>
          <w:szCs w:val="24"/>
        </w:rPr>
        <w:t>-2</w:t>
      </w:r>
      <w:r w:rsidR="00D2796D">
        <w:rPr>
          <w:rFonts w:ascii="Arial" w:hAnsi="Arial" w:cs="Arial"/>
          <w:b/>
          <w:bCs/>
          <w:sz w:val="24"/>
          <w:szCs w:val="24"/>
        </w:rPr>
        <w:t>5</w:t>
      </w:r>
    </w:p>
    <w:p w14:paraId="6AF4A43B" w14:textId="77777777" w:rsidR="008D210E" w:rsidRDefault="008D210E">
      <w:pPr>
        <w:rPr>
          <w:rFonts w:ascii="Arial" w:hAnsi="Arial" w:cs="Arial"/>
          <w:b/>
          <w:bCs/>
          <w:sz w:val="24"/>
          <w:szCs w:val="24"/>
        </w:rPr>
      </w:pPr>
      <w:r>
        <w:rPr>
          <w:rFonts w:ascii="Arial" w:hAnsi="Arial" w:cs="Arial"/>
          <w:b/>
          <w:bCs/>
          <w:sz w:val="24"/>
          <w:szCs w:val="24"/>
        </w:rPr>
        <w:br w:type="page"/>
      </w:r>
    </w:p>
    <w:p w14:paraId="2133F124" w14:textId="62F84ED1" w:rsidR="00421A9E" w:rsidRPr="0092529B" w:rsidRDefault="00421A9E" w:rsidP="0092529B">
      <w:pPr>
        <w:spacing w:line="360" w:lineRule="auto"/>
        <w:rPr>
          <w:rFonts w:ascii="Arial" w:hAnsi="Arial" w:cs="Arial"/>
          <w:sz w:val="24"/>
          <w:szCs w:val="24"/>
        </w:rPr>
      </w:pPr>
      <w:r w:rsidRPr="0092529B">
        <w:rPr>
          <w:rFonts w:ascii="Arial" w:hAnsi="Arial" w:cs="Arial"/>
          <w:b/>
          <w:bCs/>
          <w:sz w:val="24"/>
          <w:szCs w:val="24"/>
        </w:rPr>
        <w:lastRenderedPageBreak/>
        <w:t>1.0 Introduction</w:t>
      </w:r>
    </w:p>
    <w:p w14:paraId="7B3060A5" w14:textId="02583E5C" w:rsidR="007B19CA" w:rsidRPr="007B19CA" w:rsidRDefault="007B19CA" w:rsidP="007B19CA">
      <w:pPr>
        <w:spacing w:line="360" w:lineRule="auto"/>
        <w:rPr>
          <w:rFonts w:ascii="Arial" w:hAnsi="Arial" w:cs="Arial"/>
          <w:sz w:val="24"/>
          <w:szCs w:val="24"/>
        </w:rPr>
      </w:pPr>
      <w:r w:rsidRPr="007B19CA">
        <w:rPr>
          <w:rFonts w:ascii="Arial" w:hAnsi="Arial" w:cs="Arial"/>
          <w:sz w:val="24"/>
          <w:szCs w:val="24"/>
        </w:rPr>
        <w:t xml:space="preserve">The digital innovation-powered transformation is quickly changing the global consumer electronics market due to the change of consumer preference and the growth of rivalry (Deloitte, 2024). Among such volatility, General Electronics (GE) that was once a powerful multinational manufacturer, went into a critical financial deterioration in the last five years. Revenues have shrunk, profitability has fallen into a series of losses and capital structure of the firm is now set to bear the unsustainable leverage. Being the new Chief Financial Officer, I have a mandate to work with a very limited investment budget of </w:t>
      </w:r>
      <w:r>
        <w:rPr>
          <w:rFonts w:ascii="Arial" w:hAnsi="Arial" w:cs="Arial"/>
          <w:sz w:val="24"/>
          <w:szCs w:val="24"/>
        </w:rPr>
        <w:t>£</w:t>
      </w:r>
      <w:r w:rsidRPr="007B19CA">
        <w:rPr>
          <w:rFonts w:ascii="Arial" w:hAnsi="Arial" w:cs="Arial"/>
          <w:sz w:val="24"/>
          <w:szCs w:val="24"/>
        </w:rPr>
        <w:t>60 million and identify the main causes of the financial distress of GE, come up with a plausible recovery strategy, and invest in some of the projects that can restore strategic relevance.</w:t>
      </w:r>
    </w:p>
    <w:p w14:paraId="5FBCA553" w14:textId="79BCD6A2" w:rsidR="00F60B77" w:rsidRPr="00F60B77" w:rsidRDefault="00F60B77" w:rsidP="00F60B77">
      <w:pPr>
        <w:spacing w:line="360" w:lineRule="auto"/>
        <w:rPr>
          <w:rFonts w:ascii="Arial" w:hAnsi="Arial" w:cs="Arial"/>
          <w:sz w:val="24"/>
          <w:szCs w:val="24"/>
        </w:rPr>
      </w:pPr>
      <w:r w:rsidRPr="00F60B77">
        <w:rPr>
          <w:rFonts w:ascii="Arial" w:hAnsi="Arial" w:cs="Arial"/>
          <w:sz w:val="24"/>
          <w:szCs w:val="24"/>
        </w:rPr>
        <w:t>This report takes the forensic and evidence-based directions as the ratio analysis, industry benchmarking, Altman Z-Score insolvency modelling and capital budgeting models such as NPV, PI and Payback. All the financial values are in millions of pounds (PSm). The analysis points out the inherent flaws of GE which include fall in profits, liquidity strain and inefficiency in operations and the possibility of salvaging itself, by working-capital management, capital restructuring and punitive investment.</w:t>
      </w:r>
    </w:p>
    <w:p w14:paraId="56A4577A" w14:textId="77777777" w:rsidR="00F60B77" w:rsidRDefault="00F60B77" w:rsidP="00F60B77">
      <w:pPr>
        <w:spacing w:line="360" w:lineRule="auto"/>
        <w:rPr>
          <w:rFonts w:ascii="Arial" w:hAnsi="Arial" w:cs="Arial"/>
          <w:sz w:val="24"/>
          <w:szCs w:val="24"/>
        </w:rPr>
      </w:pPr>
      <w:r w:rsidRPr="00F60B77">
        <w:rPr>
          <w:rFonts w:ascii="Arial" w:hAnsi="Arial" w:cs="Arial"/>
          <w:sz w:val="24"/>
          <w:szCs w:val="24"/>
        </w:rPr>
        <w:t>The presented strategy is GE-specific, its old systems, and its presence in various countries worldwide, its brand base, and its unexploited cash-generating potential. The plan is not a generic turn around blueprint but rather it is the replication of GE to be competitive on sustainable level in a more digital, agile and stake holder-driven environment.</w:t>
      </w:r>
    </w:p>
    <w:p w14:paraId="33F5AB5B" w14:textId="41438724" w:rsidR="00421A9E" w:rsidRPr="0092529B" w:rsidRDefault="00421A9E" w:rsidP="00F60B77">
      <w:pPr>
        <w:spacing w:line="360" w:lineRule="auto"/>
        <w:rPr>
          <w:rFonts w:ascii="Arial" w:hAnsi="Arial" w:cs="Arial"/>
          <w:b/>
          <w:bCs/>
          <w:sz w:val="24"/>
          <w:szCs w:val="24"/>
        </w:rPr>
      </w:pPr>
      <w:r w:rsidRPr="0092529B">
        <w:rPr>
          <w:rFonts w:ascii="Arial" w:hAnsi="Arial" w:cs="Arial"/>
          <w:b/>
          <w:bCs/>
          <w:sz w:val="24"/>
          <w:szCs w:val="24"/>
        </w:rPr>
        <w:t>2.0 Financial Health Diagnosis</w:t>
      </w:r>
    </w:p>
    <w:p w14:paraId="188DD681" w14:textId="77777777" w:rsidR="00F60B77" w:rsidRDefault="00F60B77" w:rsidP="0092529B">
      <w:pPr>
        <w:spacing w:line="360" w:lineRule="auto"/>
        <w:rPr>
          <w:rFonts w:ascii="Arial" w:hAnsi="Arial" w:cs="Arial"/>
          <w:sz w:val="24"/>
          <w:szCs w:val="24"/>
        </w:rPr>
      </w:pPr>
      <w:r w:rsidRPr="00F60B77">
        <w:rPr>
          <w:rFonts w:ascii="Arial" w:hAnsi="Arial" w:cs="Arial"/>
          <w:sz w:val="24"/>
          <w:szCs w:val="24"/>
        </w:rPr>
        <w:t>As the closer examination of the financial performance of General Electric (GE) during 202024 evidences, the structural weakness is serious rather than the cyclical falls. The highest indicators are profitability, liquidity, operational efficiency, leverage, and solvency which is an indication of a business model that is stretching because of declining sales, misaligned investment and worsened capital discipline. The reasons why GE is losing its brand equity and positive operating cash flows are that its falling margins and increasing debt ratio put the company at the edge of an acute financial distress.</w:t>
      </w:r>
    </w:p>
    <w:p w14:paraId="1CCAEFFB" w14:textId="02E7FAD1"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lastRenderedPageBreak/>
        <w:t>2.1 Profitability Collapse</w:t>
      </w:r>
    </w:p>
    <w:p w14:paraId="0A34178A" w14:textId="77777777" w:rsidR="00DE271E" w:rsidRPr="0092529B" w:rsidRDefault="00DE271E" w:rsidP="0092529B">
      <w:pPr>
        <w:spacing w:line="360" w:lineRule="auto"/>
        <w:rPr>
          <w:rFonts w:ascii="Arial" w:hAnsi="Arial" w:cs="Arial"/>
          <w:sz w:val="24"/>
          <w:szCs w:val="24"/>
        </w:rPr>
      </w:pPr>
      <w:r w:rsidRPr="0092529B">
        <w:rPr>
          <w:rFonts w:ascii="Arial" w:hAnsi="Arial" w:cs="Arial"/>
          <w:sz w:val="24"/>
          <w:szCs w:val="24"/>
        </w:rPr>
        <w:t>The trend in profitability in GE reveals system erosion. Net margins dropped by -6.1 in 2024 with a 2020 level of +6.3, and Return on Equity (ROE) fell by -15.7 to -12.3. This downfall is an indicator of long-term strategic and operational inefficiencies instead of volatility in the market.</w:t>
      </w:r>
    </w:p>
    <w:p w14:paraId="358B5FBF" w14:textId="73C93CF2" w:rsidR="00421A9E" w:rsidRPr="0092529B" w:rsidRDefault="00421A9E" w:rsidP="0092529B">
      <w:pPr>
        <w:spacing w:line="360" w:lineRule="auto"/>
        <w:rPr>
          <w:rFonts w:ascii="Arial" w:hAnsi="Arial" w:cs="Arial"/>
          <w:sz w:val="24"/>
          <w:szCs w:val="24"/>
        </w:rPr>
      </w:pPr>
      <w:r w:rsidRPr="0092529B">
        <w:rPr>
          <w:rFonts w:ascii="Arial" w:hAnsi="Arial" w:cs="Arial"/>
          <w:sz w:val="24"/>
          <w:szCs w:val="24"/>
        </w:rPr>
        <w:t>Table 1: Profitability Trends (2020–2024)</w:t>
      </w:r>
    </w:p>
    <w:tbl>
      <w:tblPr>
        <w:tblStyle w:val="TableGrid"/>
        <w:tblW w:w="0" w:type="auto"/>
        <w:tblLook w:val="04A0" w:firstRow="1" w:lastRow="0" w:firstColumn="1" w:lastColumn="0" w:noHBand="0" w:noVBand="1"/>
      </w:tblPr>
      <w:tblGrid>
        <w:gridCol w:w="751"/>
        <w:gridCol w:w="1702"/>
        <w:gridCol w:w="1847"/>
        <w:gridCol w:w="1107"/>
        <w:gridCol w:w="1917"/>
        <w:gridCol w:w="1692"/>
      </w:tblGrid>
      <w:tr w:rsidR="00421A9E" w:rsidRPr="0092529B" w14:paraId="6E8EFFD6" w14:textId="77777777" w:rsidTr="00786D4B">
        <w:tc>
          <w:tcPr>
            <w:tcW w:w="0" w:type="auto"/>
            <w:hideMark/>
          </w:tcPr>
          <w:p w14:paraId="3EE4E79F"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Year</w:t>
            </w:r>
          </w:p>
        </w:tc>
        <w:tc>
          <w:tcPr>
            <w:tcW w:w="0" w:type="auto"/>
            <w:hideMark/>
          </w:tcPr>
          <w:p w14:paraId="6E96924E"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Net Sales (£m)</w:t>
            </w:r>
          </w:p>
        </w:tc>
        <w:tc>
          <w:tcPr>
            <w:tcW w:w="0" w:type="auto"/>
            <w:hideMark/>
          </w:tcPr>
          <w:p w14:paraId="2177A87C"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Net Income (£m)</w:t>
            </w:r>
          </w:p>
        </w:tc>
        <w:tc>
          <w:tcPr>
            <w:tcW w:w="0" w:type="auto"/>
            <w:hideMark/>
          </w:tcPr>
          <w:p w14:paraId="06875120"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ROE (%)</w:t>
            </w:r>
          </w:p>
        </w:tc>
        <w:tc>
          <w:tcPr>
            <w:tcW w:w="0" w:type="auto"/>
            <w:hideMark/>
          </w:tcPr>
          <w:p w14:paraId="103FF55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Gross Margin (%)</w:t>
            </w:r>
          </w:p>
        </w:tc>
        <w:tc>
          <w:tcPr>
            <w:tcW w:w="0" w:type="auto"/>
            <w:hideMark/>
          </w:tcPr>
          <w:p w14:paraId="00B30337"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Net Margin (%)</w:t>
            </w:r>
          </w:p>
        </w:tc>
      </w:tr>
      <w:tr w:rsidR="00421A9E" w:rsidRPr="0092529B" w14:paraId="2B4B8596" w14:textId="77777777" w:rsidTr="00786D4B">
        <w:tc>
          <w:tcPr>
            <w:tcW w:w="0" w:type="auto"/>
            <w:hideMark/>
          </w:tcPr>
          <w:p w14:paraId="7EF9B10C"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2020</w:t>
            </w:r>
          </w:p>
        </w:tc>
        <w:tc>
          <w:tcPr>
            <w:tcW w:w="0" w:type="auto"/>
            <w:hideMark/>
          </w:tcPr>
          <w:p w14:paraId="4C0A0BED"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614,680</w:t>
            </w:r>
          </w:p>
        </w:tc>
        <w:tc>
          <w:tcPr>
            <w:tcW w:w="0" w:type="auto"/>
            <w:hideMark/>
          </w:tcPr>
          <w:p w14:paraId="38785299"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38,572</w:t>
            </w:r>
          </w:p>
        </w:tc>
        <w:tc>
          <w:tcPr>
            <w:tcW w:w="0" w:type="auto"/>
            <w:hideMark/>
          </w:tcPr>
          <w:p w14:paraId="7B0586B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12.3</w:t>
            </w:r>
          </w:p>
        </w:tc>
        <w:tc>
          <w:tcPr>
            <w:tcW w:w="0" w:type="auto"/>
            <w:hideMark/>
          </w:tcPr>
          <w:p w14:paraId="1E0DA067"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28.7</w:t>
            </w:r>
          </w:p>
        </w:tc>
        <w:tc>
          <w:tcPr>
            <w:tcW w:w="0" w:type="auto"/>
            <w:hideMark/>
          </w:tcPr>
          <w:p w14:paraId="0BCF506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6.3</w:t>
            </w:r>
          </w:p>
        </w:tc>
      </w:tr>
      <w:tr w:rsidR="00421A9E" w:rsidRPr="0092529B" w14:paraId="59C3A20E" w14:textId="77777777" w:rsidTr="00786D4B">
        <w:tc>
          <w:tcPr>
            <w:tcW w:w="0" w:type="auto"/>
            <w:hideMark/>
          </w:tcPr>
          <w:p w14:paraId="0B5097FF"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2021</w:t>
            </w:r>
          </w:p>
        </w:tc>
        <w:tc>
          <w:tcPr>
            <w:tcW w:w="0" w:type="auto"/>
            <w:hideMark/>
          </w:tcPr>
          <w:p w14:paraId="2DE3D69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601,602</w:t>
            </w:r>
          </w:p>
        </w:tc>
        <w:tc>
          <w:tcPr>
            <w:tcW w:w="0" w:type="auto"/>
            <w:hideMark/>
          </w:tcPr>
          <w:p w14:paraId="18AB7D1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5,301</w:t>
            </w:r>
          </w:p>
        </w:tc>
        <w:tc>
          <w:tcPr>
            <w:tcW w:w="0" w:type="auto"/>
            <w:hideMark/>
          </w:tcPr>
          <w:p w14:paraId="05EA1A2C"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1.6</w:t>
            </w:r>
          </w:p>
        </w:tc>
        <w:tc>
          <w:tcPr>
            <w:tcW w:w="0" w:type="auto"/>
            <w:hideMark/>
          </w:tcPr>
          <w:p w14:paraId="00FABC6A"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28.8</w:t>
            </w:r>
          </w:p>
        </w:tc>
        <w:tc>
          <w:tcPr>
            <w:tcW w:w="0" w:type="auto"/>
            <w:hideMark/>
          </w:tcPr>
          <w:p w14:paraId="2E1AEB5A"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0.9</w:t>
            </w:r>
          </w:p>
        </w:tc>
      </w:tr>
      <w:tr w:rsidR="00421A9E" w:rsidRPr="0092529B" w14:paraId="41A21F19" w14:textId="77777777" w:rsidTr="00786D4B">
        <w:tc>
          <w:tcPr>
            <w:tcW w:w="0" w:type="auto"/>
            <w:hideMark/>
          </w:tcPr>
          <w:p w14:paraId="412CC791"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2022</w:t>
            </w:r>
          </w:p>
        </w:tc>
        <w:tc>
          <w:tcPr>
            <w:tcW w:w="0" w:type="auto"/>
            <w:hideMark/>
          </w:tcPr>
          <w:p w14:paraId="6DF0EAFA"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542,751</w:t>
            </w:r>
          </w:p>
        </w:tc>
        <w:tc>
          <w:tcPr>
            <w:tcW w:w="0" w:type="auto"/>
            <w:hideMark/>
          </w:tcPr>
          <w:p w14:paraId="4E7368D6"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407</w:t>
            </w:r>
          </w:p>
        </w:tc>
        <w:tc>
          <w:tcPr>
            <w:tcW w:w="0" w:type="auto"/>
            <w:hideMark/>
          </w:tcPr>
          <w:p w14:paraId="3C89C8DD"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0.1</w:t>
            </w:r>
          </w:p>
        </w:tc>
        <w:tc>
          <w:tcPr>
            <w:tcW w:w="0" w:type="auto"/>
            <w:hideMark/>
          </w:tcPr>
          <w:p w14:paraId="0CEB8813"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28.1</w:t>
            </w:r>
          </w:p>
        </w:tc>
        <w:tc>
          <w:tcPr>
            <w:tcW w:w="0" w:type="auto"/>
            <w:hideMark/>
          </w:tcPr>
          <w:p w14:paraId="42D006D0"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0.07</w:t>
            </w:r>
          </w:p>
        </w:tc>
      </w:tr>
      <w:tr w:rsidR="00421A9E" w:rsidRPr="0092529B" w14:paraId="07031FB3" w14:textId="77777777" w:rsidTr="00786D4B">
        <w:tc>
          <w:tcPr>
            <w:tcW w:w="0" w:type="auto"/>
            <w:hideMark/>
          </w:tcPr>
          <w:p w14:paraId="038FCB2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2023</w:t>
            </w:r>
          </w:p>
        </w:tc>
        <w:tc>
          <w:tcPr>
            <w:tcW w:w="0" w:type="auto"/>
            <w:hideMark/>
          </w:tcPr>
          <w:p w14:paraId="3E70DB60"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420,457</w:t>
            </w:r>
          </w:p>
        </w:tc>
        <w:tc>
          <w:tcPr>
            <w:tcW w:w="0" w:type="auto"/>
            <w:hideMark/>
          </w:tcPr>
          <w:p w14:paraId="0A9CCDAA"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–98,238</w:t>
            </w:r>
          </w:p>
        </w:tc>
        <w:tc>
          <w:tcPr>
            <w:tcW w:w="0" w:type="auto"/>
            <w:hideMark/>
          </w:tcPr>
          <w:p w14:paraId="3C8AB9CA"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–54.9</w:t>
            </w:r>
          </w:p>
        </w:tc>
        <w:tc>
          <w:tcPr>
            <w:tcW w:w="0" w:type="auto"/>
            <w:hideMark/>
          </w:tcPr>
          <w:p w14:paraId="31065BB7"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23.2</w:t>
            </w:r>
          </w:p>
        </w:tc>
        <w:tc>
          <w:tcPr>
            <w:tcW w:w="0" w:type="auto"/>
            <w:hideMark/>
          </w:tcPr>
          <w:p w14:paraId="5BF9537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–23.4</w:t>
            </w:r>
          </w:p>
        </w:tc>
      </w:tr>
      <w:tr w:rsidR="00421A9E" w:rsidRPr="0092529B" w14:paraId="5C462C0C" w14:textId="77777777" w:rsidTr="00786D4B">
        <w:tc>
          <w:tcPr>
            <w:tcW w:w="0" w:type="auto"/>
            <w:hideMark/>
          </w:tcPr>
          <w:p w14:paraId="1DE3BCFE"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2024</w:t>
            </w:r>
          </w:p>
        </w:tc>
        <w:tc>
          <w:tcPr>
            <w:tcW w:w="0" w:type="auto"/>
            <w:hideMark/>
          </w:tcPr>
          <w:p w14:paraId="44D6212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394,879</w:t>
            </w:r>
          </w:p>
        </w:tc>
        <w:tc>
          <w:tcPr>
            <w:tcW w:w="0" w:type="auto"/>
            <w:hideMark/>
          </w:tcPr>
          <w:p w14:paraId="65C1EC6B"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–24,029</w:t>
            </w:r>
          </w:p>
        </w:tc>
        <w:tc>
          <w:tcPr>
            <w:tcW w:w="0" w:type="auto"/>
            <w:hideMark/>
          </w:tcPr>
          <w:p w14:paraId="5B97A14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–15.7</w:t>
            </w:r>
          </w:p>
        </w:tc>
        <w:tc>
          <w:tcPr>
            <w:tcW w:w="0" w:type="auto"/>
            <w:hideMark/>
          </w:tcPr>
          <w:p w14:paraId="6312396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28.9</w:t>
            </w:r>
          </w:p>
        </w:tc>
        <w:tc>
          <w:tcPr>
            <w:tcW w:w="0" w:type="auto"/>
            <w:hideMark/>
          </w:tcPr>
          <w:p w14:paraId="4D30980E"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–6.1</w:t>
            </w:r>
          </w:p>
        </w:tc>
      </w:tr>
    </w:tbl>
    <w:p w14:paraId="2A966E79" w14:textId="77777777" w:rsidR="00DE271E" w:rsidRPr="0092529B" w:rsidRDefault="00DE271E" w:rsidP="0092529B">
      <w:pPr>
        <w:spacing w:line="360" w:lineRule="auto"/>
        <w:rPr>
          <w:rFonts w:ascii="Arial" w:hAnsi="Arial" w:cs="Arial"/>
          <w:sz w:val="24"/>
          <w:szCs w:val="24"/>
        </w:rPr>
      </w:pPr>
    </w:p>
    <w:p w14:paraId="60608236" w14:textId="5BCEB99D" w:rsidR="00DE271E" w:rsidRPr="0092529B" w:rsidRDefault="00DE271E" w:rsidP="0092529B">
      <w:pPr>
        <w:spacing w:line="360" w:lineRule="auto"/>
        <w:rPr>
          <w:rFonts w:ascii="Arial" w:hAnsi="Arial" w:cs="Arial"/>
          <w:sz w:val="24"/>
          <w:szCs w:val="24"/>
        </w:rPr>
      </w:pPr>
      <w:r w:rsidRPr="0092529B">
        <w:rPr>
          <w:rFonts w:ascii="Arial" w:hAnsi="Arial" w:cs="Arial"/>
          <w:sz w:val="24"/>
          <w:szCs w:val="24"/>
        </w:rPr>
        <w:t xml:space="preserve">Although gross margins stayed at 28-29 showing that direct production costs are kept at a relatively low level, increasing operating expenses, especially in the marketing segment, SG&amp;A, and misdirected R&amp;D expenditures, crippled profitability. In 2023, the loss of </w:t>
      </w:r>
      <w:r w:rsidR="007B19CA">
        <w:rPr>
          <w:rFonts w:ascii="Arial" w:hAnsi="Arial" w:cs="Arial"/>
          <w:sz w:val="24"/>
          <w:szCs w:val="24"/>
        </w:rPr>
        <w:t>£</w:t>
      </w:r>
      <w:r w:rsidRPr="0092529B">
        <w:rPr>
          <w:rFonts w:ascii="Arial" w:hAnsi="Arial" w:cs="Arial"/>
          <w:sz w:val="24"/>
          <w:szCs w:val="24"/>
        </w:rPr>
        <w:t>98.2billion was due to massive impairment of assets and product failures, especially in the renewable and digital divisions.</w:t>
      </w:r>
    </w:p>
    <w:p w14:paraId="71704993" w14:textId="77777777" w:rsidR="00DE271E" w:rsidRPr="0092529B" w:rsidRDefault="00DE271E" w:rsidP="0092529B">
      <w:pPr>
        <w:spacing w:line="360" w:lineRule="auto"/>
        <w:rPr>
          <w:rFonts w:ascii="Arial" w:hAnsi="Arial" w:cs="Arial"/>
          <w:sz w:val="24"/>
          <w:szCs w:val="24"/>
        </w:rPr>
      </w:pPr>
    </w:p>
    <w:p w14:paraId="23E4ED46" w14:textId="7BC3852F" w:rsidR="00421A9E" w:rsidRPr="0092529B" w:rsidRDefault="00DE271E" w:rsidP="0092529B">
      <w:pPr>
        <w:spacing w:line="360" w:lineRule="auto"/>
        <w:rPr>
          <w:rFonts w:ascii="Arial" w:hAnsi="Arial" w:cs="Arial"/>
          <w:b/>
          <w:bCs/>
          <w:sz w:val="24"/>
          <w:szCs w:val="24"/>
        </w:rPr>
      </w:pPr>
      <w:r w:rsidRPr="0092529B">
        <w:rPr>
          <w:rFonts w:ascii="Arial" w:hAnsi="Arial" w:cs="Arial"/>
          <w:sz w:val="24"/>
          <w:szCs w:val="24"/>
        </w:rPr>
        <w:t>This is despite the fact that the net loss of as much as 2024 is a smaller figure; this minor gain is however concealing other underlying factors which are more concerning; the profitability measures have been better because of lower sales, as opposed to actual efficiency. In brief, GE is reducing to profitability instead of expanding towards that. Unless it pursues aggressive cost rationalisation, selective divestitures, and re-aligning its R&amp;D, it is certain that it will continue to lose shareholder equity (McKinsey, 2024).</w:t>
      </w:r>
    </w:p>
    <w:p w14:paraId="206F53B9" w14:textId="77777777"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2.2 Liquidity Under Siege</w:t>
      </w:r>
    </w:p>
    <w:p w14:paraId="0BC84508" w14:textId="77777777" w:rsidR="00DE271E" w:rsidRPr="0092529B" w:rsidRDefault="00DE271E" w:rsidP="0092529B">
      <w:pPr>
        <w:spacing w:line="360" w:lineRule="auto"/>
        <w:rPr>
          <w:rFonts w:ascii="Arial" w:hAnsi="Arial" w:cs="Arial"/>
          <w:sz w:val="24"/>
          <w:szCs w:val="24"/>
        </w:rPr>
      </w:pPr>
      <w:r w:rsidRPr="0092529B">
        <w:rPr>
          <w:rFonts w:ascii="Arial" w:hAnsi="Arial" w:cs="Arial"/>
          <w:sz w:val="24"/>
          <w:szCs w:val="24"/>
        </w:rPr>
        <w:lastRenderedPageBreak/>
        <w:t>The liquidity ratios indicate an increasing dependence of GE on external debt and inventory turnover as a means of financing the current liabilities.</w:t>
      </w:r>
    </w:p>
    <w:p w14:paraId="10E60BB6" w14:textId="30321123" w:rsidR="00421A9E" w:rsidRPr="0092529B" w:rsidRDefault="00421A9E" w:rsidP="0092529B">
      <w:pPr>
        <w:spacing w:line="360" w:lineRule="auto"/>
        <w:rPr>
          <w:rFonts w:ascii="Arial" w:hAnsi="Arial" w:cs="Arial"/>
          <w:sz w:val="24"/>
          <w:szCs w:val="24"/>
        </w:rPr>
      </w:pPr>
      <w:r w:rsidRPr="0092529B">
        <w:rPr>
          <w:rFonts w:ascii="Arial" w:hAnsi="Arial" w:cs="Arial"/>
          <w:sz w:val="24"/>
          <w:szCs w:val="24"/>
        </w:rPr>
        <w:t>Table 2: Liquidity Ratios (2020–2024)</w:t>
      </w:r>
    </w:p>
    <w:tbl>
      <w:tblPr>
        <w:tblStyle w:val="TableGrid"/>
        <w:tblW w:w="0" w:type="auto"/>
        <w:tblLook w:val="04A0" w:firstRow="1" w:lastRow="0" w:firstColumn="1" w:lastColumn="0" w:noHBand="0" w:noVBand="1"/>
      </w:tblPr>
      <w:tblGrid>
        <w:gridCol w:w="750"/>
        <w:gridCol w:w="1644"/>
        <w:gridCol w:w="1457"/>
        <w:gridCol w:w="1404"/>
      </w:tblGrid>
      <w:tr w:rsidR="00421A9E" w:rsidRPr="0092529B" w14:paraId="5FE5525D" w14:textId="77777777" w:rsidTr="00786D4B">
        <w:tc>
          <w:tcPr>
            <w:tcW w:w="0" w:type="auto"/>
            <w:hideMark/>
          </w:tcPr>
          <w:p w14:paraId="645BF7B1"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Year</w:t>
            </w:r>
          </w:p>
        </w:tc>
        <w:tc>
          <w:tcPr>
            <w:tcW w:w="0" w:type="auto"/>
            <w:hideMark/>
          </w:tcPr>
          <w:p w14:paraId="373A327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Current Ratio</w:t>
            </w:r>
          </w:p>
        </w:tc>
        <w:tc>
          <w:tcPr>
            <w:tcW w:w="0" w:type="auto"/>
            <w:hideMark/>
          </w:tcPr>
          <w:p w14:paraId="4EADFD87"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Quick Ratio</w:t>
            </w:r>
          </w:p>
        </w:tc>
        <w:tc>
          <w:tcPr>
            <w:tcW w:w="0" w:type="auto"/>
            <w:hideMark/>
          </w:tcPr>
          <w:p w14:paraId="03E4142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Cash Ratio</w:t>
            </w:r>
          </w:p>
        </w:tc>
      </w:tr>
      <w:tr w:rsidR="00421A9E" w:rsidRPr="0092529B" w14:paraId="0321CB16" w14:textId="77777777" w:rsidTr="00786D4B">
        <w:tc>
          <w:tcPr>
            <w:tcW w:w="0" w:type="auto"/>
            <w:hideMark/>
          </w:tcPr>
          <w:p w14:paraId="7B9596D8"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2020</w:t>
            </w:r>
          </w:p>
        </w:tc>
        <w:tc>
          <w:tcPr>
            <w:tcW w:w="0" w:type="auto"/>
            <w:hideMark/>
          </w:tcPr>
          <w:p w14:paraId="34C8CD3D"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1.82</w:t>
            </w:r>
          </w:p>
        </w:tc>
        <w:tc>
          <w:tcPr>
            <w:tcW w:w="0" w:type="auto"/>
            <w:hideMark/>
          </w:tcPr>
          <w:p w14:paraId="16765EE0"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1.15</w:t>
            </w:r>
          </w:p>
        </w:tc>
        <w:tc>
          <w:tcPr>
            <w:tcW w:w="0" w:type="auto"/>
            <w:hideMark/>
          </w:tcPr>
          <w:p w14:paraId="56227650"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0.32</w:t>
            </w:r>
          </w:p>
        </w:tc>
      </w:tr>
      <w:tr w:rsidR="00421A9E" w:rsidRPr="0092529B" w14:paraId="151A6BC1" w14:textId="77777777" w:rsidTr="00786D4B">
        <w:tc>
          <w:tcPr>
            <w:tcW w:w="0" w:type="auto"/>
            <w:hideMark/>
          </w:tcPr>
          <w:p w14:paraId="4278AD4F"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2021</w:t>
            </w:r>
          </w:p>
        </w:tc>
        <w:tc>
          <w:tcPr>
            <w:tcW w:w="0" w:type="auto"/>
            <w:hideMark/>
          </w:tcPr>
          <w:p w14:paraId="2A9D90E3"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1.56</w:t>
            </w:r>
          </w:p>
        </w:tc>
        <w:tc>
          <w:tcPr>
            <w:tcW w:w="0" w:type="auto"/>
            <w:hideMark/>
          </w:tcPr>
          <w:p w14:paraId="79CC0F21"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0.94</w:t>
            </w:r>
          </w:p>
        </w:tc>
        <w:tc>
          <w:tcPr>
            <w:tcW w:w="0" w:type="auto"/>
            <w:hideMark/>
          </w:tcPr>
          <w:p w14:paraId="246D6DCF"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0.18</w:t>
            </w:r>
          </w:p>
        </w:tc>
      </w:tr>
      <w:tr w:rsidR="00421A9E" w:rsidRPr="0092529B" w14:paraId="164D919C" w14:textId="77777777" w:rsidTr="00786D4B">
        <w:tc>
          <w:tcPr>
            <w:tcW w:w="0" w:type="auto"/>
            <w:hideMark/>
          </w:tcPr>
          <w:p w14:paraId="31A47E8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2022</w:t>
            </w:r>
          </w:p>
        </w:tc>
        <w:tc>
          <w:tcPr>
            <w:tcW w:w="0" w:type="auto"/>
            <w:hideMark/>
          </w:tcPr>
          <w:p w14:paraId="0E9658A9"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1.56</w:t>
            </w:r>
          </w:p>
        </w:tc>
        <w:tc>
          <w:tcPr>
            <w:tcW w:w="0" w:type="auto"/>
            <w:hideMark/>
          </w:tcPr>
          <w:p w14:paraId="38D4028B"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0.91</w:t>
            </w:r>
          </w:p>
        </w:tc>
        <w:tc>
          <w:tcPr>
            <w:tcW w:w="0" w:type="auto"/>
            <w:hideMark/>
          </w:tcPr>
          <w:p w14:paraId="38725C59"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0.20</w:t>
            </w:r>
          </w:p>
        </w:tc>
      </w:tr>
      <w:tr w:rsidR="00421A9E" w:rsidRPr="0092529B" w14:paraId="737AFFEE" w14:textId="77777777" w:rsidTr="00786D4B">
        <w:tc>
          <w:tcPr>
            <w:tcW w:w="0" w:type="auto"/>
            <w:hideMark/>
          </w:tcPr>
          <w:p w14:paraId="38D7C7E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2023</w:t>
            </w:r>
          </w:p>
        </w:tc>
        <w:tc>
          <w:tcPr>
            <w:tcW w:w="0" w:type="auto"/>
            <w:hideMark/>
          </w:tcPr>
          <w:p w14:paraId="491C54D6"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1.61</w:t>
            </w:r>
          </w:p>
        </w:tc>
        <w:tc>
          <w:tcPr>
            <w:tcW w:w="0" w:type="auto"/>
            <w:hideMark/>
          </w:tcPr>
          <w:p w14:paraId="5EEF7BDE"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0.91</w:t>
            </w:r>
          </w:p>
        </w:tc>
        <w:tc>
          <w:tcPr>
            <w:tcW w:w="0" w:type="auto"/>
            <w:hideMark/>
          </w:tcPr>
          <w:p w14:paraId="246FE398"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0.26</w:t>
            </w:r>
          </w:p>
        </w:tc>
      </w:tr>
      <w:tr w:rsidR="00421A9E" w:rsidRPr="0092529B" w14:paraId="4493D6C2" w14:textId="77777777" w:rsidTr="00786D4B">
        <w:tc>
          <w:tcPr>
            <w:tcW w:w="0" w:type="auto"/>
            <w:hideMark/>
          </w:tcPr>
          <w:p w14:paraId="50B932C3"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2024</w:t>
            </w:r>
          </w:p>
        </w:tc>
        <w:tc>
          <w:tcPr>
            <w:tcW w:w="0" w:type="auto"/>
            <w:hideMark/>
          </w:tcPr>
          <w:p w14:paraId="6BDD52DB"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1.53</w:t>
            </w:r>
          </w:p>
        </w:tc>
        <w:tc>
          <w:tcPr>
            <w:tcW w:w="0" w:type="auto"/>
            <w:hideMark/>
          </w:tcPr>
          <w:p w14:paraId="24C08A9B"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0.84</w:t>
            </w:r>
          </w:p>
        </w:tc>
        <w:tc>
          <w:tcPr>
            <w:tcW w:w="0" w:type="auto"/>
            <w:hideMark/>
          </w:tcPr>
          <w:p w14:paraId="09921748"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0.17</w:t>
            </w:r>
          </w:p>
        </w:tc>
      </w:tr>
    </w:tbl>
    <w:p w14:paraId="7BBBF70B" w14:textId="77777777" w:rsidR="00DE271E" w:rsidRPr="0092529B" w:rsidRDefault="00DE271E" w:rsidP="0092529B">
      <w:pPr>
        <w:spacing w:line="360" w:lineRule="auto"/>
        <w:rPr>
          <w:rFonts w:ascii="Arial" w:hAnsi="Arial" w:cs="Arial"/>
          <w:sz w:val="24"/>
          <w:szCs w:val="24"/>
        </w:rPr>
      </w:pPr>
    </w:p>
    <w:p w14:paraId="030F12CC" w14:textId="5D074A58" w:rsidR="00DE271E" w:rsidRPr="0092529B" w:rsidRDefault="00DE271E" w:rsidP="0092529B">
      <w:pPr>
        <w:spacing w:line="360" w:lineRule="auto"/>
        <w:rPr>
          <w:rFonts w:ascii="Arial" w:hAnsi="Arial" w:cs="Arial"/>
          <w:sz w:val="24"/>
          <w:szCs w:val="24"/>
        </w:rPr>
      </w:pPr>
      <w:r w:rsidRPr="0092529B">
        <w:rPr>
          <w:rFonts w:ascii="Arial" w:hAnsi="Arial" w:cs="Arial"/>
          <w:sz w:val="24"/>
          <w:szCs w:val="24"/>
        </w:rPr>
        <w:t>The downward movement of the current ratio to 1.82 to 1.53 indicates the fact that the liquidity cushion of GE is being eroded gradually. Worse still there is the quick ratio which has dropped to less than 1.0 since 2021 meaning that the current liabilities are not fully covered using the liquid assets (not including the inventory).</w:t>
      </w:r>
    </w:p>
    <w:p w14:paraId="016131B3" w14:textId="1A978C62" w:rsidR="00421A9E" w:rsidRPr="0092529B" w:rsidRDefault="00DE271E" w:rsidP="0092529B">
      <w:pPr>
        <w:spacing w:line="360" w:lineRule="auto"/>
        <w:rPr>
          <w:rFonts w:ascii="Arial" w:hAnsi="Arial" w:cs="Arial"/>
          <w:b/>
          <w:bCs/>
          <w:sz w:val="24"/>
          <w:szCs w:val="24"/>
        </w:rPr>
      </w:pPr>
      <w:r w:rsidRPr="0092529B">
        <w:rPr>
          <w:rFonts w:ascii="Arial" w:hAnsi="Arial" w:cs="Arial"/>
          <w:sz w:val="24"/>
          <w:szCs w:val="24"/>
        </w:rPr>
        <w:t xml:space="preserve">Despite the company recording </w:t>
      </w:r>
      <w:r w:rsidR="007B19CA">
        <w:rPr>
          <w:rFonts w:ascii="Arial" w:hAnsi="Arial" w:cs="Arial"/>
          <w:sz w:val="24"/>
          <w:szCs w:val="24"/>
        </w:rPr>
        <w:t>£</w:t>
      </w:r>
      <w:r w:rsidRPr="0092529B">
        <w:rPr>
          <w:rFonts w:ascii="Arial" w:hAnsi="Arial" w:cs="Arial"/>
          <w:sz w:val="24"/>
          <w:szCs w:val="24"/>
        </w:rPr>
        <w:t>14.8 billion of operating cash flow in the year 2024, its cash reserves declined by 57 billion to 27 billion in the year 2020 and 2024 respectively. This paradox implies that internally generated capital is being absorbed at an unsustainable rate by ineffective working capital structures, unproductive capital expenditures, and debt repayment instead of invested in activities that create value (Brigham and Ehrhardt, 2022). The liquidity picture of GE thus becomes technically solvent but practically drained, with the company having to resort to revolving credit and asset sales in order to keep afloat.</w:t>
      </w:r>
    </w:p>
    <w:p w14:paraId="512B9100" w14:textId="77777777" w:rsidR="00DE271E" w:rsidRPr="0092529B" w:rsidRDefault="00DE271E" w:rsidP="0092529B">
      <w:pPr>
        <w:spacing w:line="360" w:lineRule="auto"/>
        <w:rPr>
          <w:rFonts w:ascii="Arial" w:hAnsi="Arial" w:cs="Arial"/>
          <w:b/>
          <w:bCs/>
          <w:sz w:val="24"/>
          <w:szCs w:val="24"/>
        </w:rPr>
      </w:pPr>
      <w:r w:rsidRPr="0092529B">
        <w:rPr>
          <w:rFonts w:ascii="Arial" w:hAnsi="Arial" w:cs="Arial"/>
          <w:b/>
          <w:bCs/>
          <w:sz w:val="24"/>
          <w:szCs w:val="24"/>
        </w:rPr>
        <w:br w:type="page"/>
      </w:r>
    </w:p>
    <w:p w14:paraId="08BC50BC" w14:textId="75016278"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lastRenderedPageBreak/>
        <w:t>2.3 Operational Inefficiency</w:t>
      </w:r>
    </w:p>
    <w:p w14:paraId="066A9FB5" w14:textId="77777777" w:rsidR="00DE271E" w:rsidRPr="0092529B" w:rsidRDefault="00DE271E" w:rsidP="0092529B">
      <w:pPr>
        <w:spacing w:line="360" w:lineRule="auto"/>
        <w:rPr>
          <w:rFonts w:ascii="Arial" w:hAnsi="Arial" w:cs="Arial"/>
          <w:sz w:val="24"/>
          <w:szCs w:val="24"/>
        </w:rPr>
      </w:pPr>
      <w:r w:rsidRPr="0092529B">
        <w:rPr>
          <w:rFonts w:ascii="Arial" w:hAnsi="Arial" w:cs="Arial"/>
          <w:sz w:val="24"/>
          <w:szCs w:val="24"/>
        </w:rPr>
        <w:t>Operational measures depict a fall in asset utilisation and low efficiency in cash-conversion.</w:t>
      </w:r>
    </w:p>
    <w:p w14:paraId="1D6A17B5" w14:textId="76C5340C"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Table 3: Efficiency Metrics (2020–2024)</w:t>
      </w:r>
    </w:p>
    <w:tbl>
      <w:tblPr>
        <w:tblStyle w:val="TableGrid"/>
        <w:tblW w:w="0" w:type="auto"/>
        <w:tblLook w:val="04A0" w:firstRow="1" w:lastRow="0" w:firstColumn="1" w:lastColumn="0" w:noHBand="0" w:noVBand="1"/>
      </w:tblPr>
      <w:tblGrid>
        <w:gridCol w:w="750"/>
        <w:gridCol w:w="2040"/>
        <w:gridCol w:w="1901"/>
        <w:gridCol w:w="1554"/>
        <w:gridCol w:w="2771"/>
      </w:tblGrid>
      <w:tr w:rsidR="00421A9E" w:rsidRPr="0092529B" w14:paraId="1D1A004B" w14:textId="77777777" w:rsidTr="00786D4B">
        <w:tc>
          <w:tcPr>
            <w:tcW w:w="0" w:type="auto"/>
            <w:hideMark/>
          </w:tcPr>
          <w:p w14:paraId="0A1C49BB"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Year</w:t>
            </w:r>
          </w:p>
        </w:tc>
        <w:tc>
          <w:tcPr>
            <w:tcW w:w="0" w:type="auto"/>
            <w:hideMark/>
          </w:tcPr>
          <w:p w14:paraId="7A454FA4"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Inventory Turnover</w:t>
            </w:r>
          </w:p>
        </w:tc>
        <w:tc>
          <w:tcPr>
            <w:tcW w:w="0" w:type="auto"/>
            <w:hideMark/>
          </w:tcPr>
          <w:p w14:paraId="500D3612"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Receivable Days</w:t>
            </w:r>
          </w:p>
        </w:tc>
        <w:tc>
          <w:tcPr>
            <w:tcW w:w="0" w:type="auto"/>
            <w:hideMark/>
          </w:tcPr>
          <w:p w14:paraId="25E0352B"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Payable Days</w:t>
            </w:r>
          </w:p>
        </w:tc>
        <w:tc>
          <w:tcPr>
            <w:tcW w:w="0" w:type="auto"/>
            <w:hideMark/>
          </w:tcPr>
          <w:p w14:paraId="25648A4A"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Working Capital Cycle (Days)</w:t>
            </w:r>
          </w:p>
        </w:tc>
      </w:tr>
      <w:tr w:rsidR="00421A9E" w:rsidRPr="0092529B" w14:paraId="12C18652" w14:textId="77777777" w:rsidTr="00786D4B">
        <w:tc>
          <w:tcPr>
            <w:tcW w:w="0" w:type="auto"/>
            <w:hideMark/>
          </w:tcPr>
          <w:p w14:paraId="0989F4B2"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2020</w:t>
            </w:r>
          </w:p>
        </w:tc>
        <w:tc>
          <w:tcPr>
            <w:tcW w:w="0" w:type="auto"/>
            <w:hideMark/>
          </w:tcPr>
          <w:p w14:paraId="0C7D1407"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3.64</w:t>
            </w:r>
          </w:p>
        </w:tc>
        <w:tc>
          <w:tcPr>
            <w:tcW w:w="0" w:type="auto"/>
            <w:hideMark/>
          </w:tcPr>
          <w:p w14:paraId="35760F55"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77</w:t>
            </w:r>
          </w:p>
        </w:tc>
        <w:tc>
          <w:tcPr>
            <w:tcW w:w="0" w:type="auto"/>
            <w:hideMark/>
          </w:tcPr>
          <w:p w14:paraId="0D3711F7"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48</w:t>
            </w:r>
          </w:p>
        </w:tc>
        <w:tc>
          <w:tcPr>
            <w:tcW w:w="0" w:type="auto"/>
            <w:hideMark/>
          </w:tcPr>
          <w:p w14:paraId="14B8DB4B"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+29</w:t>
            </w:r>
          </w:p>
        </w:tc>
      </w:tr>
      <w:tr w:rsidR="00421A9E" w:rsidRPr="0092529B" w14:paraId="4EC0BEC6" w14:textId="77777777" w:rsidTr="00786D4B">
        <w:tc>
          <w:tcPr>
            <w:tcW w:w="0" w:type="auto"/>
            <w:hideMark/>
          </w:tcPr>
          <w:p w14:paraId="254AA280"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2021</w:t>
            </w:r>
          </w:p>
        </w:tc>
        <w:tc>
          <w:tcPr>
            <w:tcW w:w="0" w:type="auto"/>
            <w:hideMark/>
          </w:tcPr>
          <w:p w14:paraId="3B48D082"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3.19</w:t>
            </w:r>
          </w:p>
        </w:tc>
        <w:tc>
          <w:tcPr>
            <w:tcW w:w="0" w:type="auto"/>
            <w:hideMark/>
          </w:tcPr>
          <w:p w14:paraId="7373D40E"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78</w:t>
            </w:r>
          </w:p>
        </w:tc>
        <w:tc>
          <w:tcPr>
            <w:tcW w:w="0" w:type="auto"/>
            <w:hideMark/>
          </w:tcPr>
          <w:p w14:paraId="3D9B0C34"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56</w:t>
            </w:r>
          </w:p>
        </w:tc>
        <w:tc>
          <w:tcPr>
            <w:tcW w:w="0" w:type="auto"/>
            <w:hideMark/>
          </w:tcPr>
          <w:p w14:paraId="00300F1F"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+22</w:t>
            </w:r>
          </w:p>
        </w:tc>
      </w:tr>
      <w:tr w:rsidR="00421A9E" w:rsidRPr="0092529B" w14:paraId="42FD29D4" w14:textId="77777777" w:rsidTr="00786D4B">
        <w:tc>
          <w:tcPr>
            <w:tcW w:w="0" w:type="auto"/>
            <w:hideMark/>
          </w:tcPr>
          <w:p w14:paraId="536399B5"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2022</w:t>
            </w:r>
          </w:p>
        </w:tc>
        <w:tc>
          <w:tcPr>
            <w:tcW w:w="0" w:type="auto"/>
            <w:hideMark/>
          </w:tcPr>
          <w:p w14:paraId="2F0C8C92"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2.79</w:t>
            </w:r>
          </w:p>
        </w:tc>
        <w:tc>
          <w:tcPr>
            <w:tcW w:w="0" w:type="auto"/>
            <w:hideMark/>
          </w:tcPr>
          <w:p w14:paraId="0F799263"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75</w:t>
            </w:r>
          </w:p>
        </w:tc>
        <w:tc>
          <w:tcPr>
            <w:tcW w:w="0" w:type="auto"/>
            <w:hideMark/>
          </w:tcPr>
          <w:p w14:paraId="45F18F2B"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65</w:t>
            </w:r>
          </w:p>
        </w:tc>
        <w:tc>
          <w:tcPr>
            <w:tcW w:w="0" w:type="auto"/>
            <w:hideMark/>
          </w:tcPr>
          <w:p w14:paraId="5F0E4F18"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+10</w:t>
            </w:r>
          </w:p>
        </w:tc>
      </w:tr>
      <w:tr w:rsidR="00421A9E" w:rsidRPr="0092529B" w14:paraId="43F9AC04" w14:textId="77777777" w:rsidTr="00786D4B">
        <w:tc>
          <w:tcPr>
            <w:tcW w:w="0" w:type="auto"/>
            <w:hideMark/>
          </w:tcPr>
          <w:p w14:paraId="053A8941"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2023</w:t>
            </w:r>
          </w:p>
        </w:tc>
        <w:tc>
          <w:tcPr>
            <w:tcW w:w="0" w:type="auto"/>
            <w:hideMark/>
          </w:tcPr>
          <w:p w14:paraId="31B030EC"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3.65</w:t>
            </w:r>
          </w:p>
        </w:tc>
        <w:tc>
          <w:tcPr>
            <w:tcW w:w="0" w:type="auto"/>
            <w:hideMark/>
          </w:tcPr>
          <w:p w14:paraId="4F518AF3"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98</w:t>
            </w:r>
          </w:p>
        </w:tc>
        <w:tc>
          <w:tcPr>
            <w:tcW w:w="0" w:type="auto"/>
            <w:hideMark/>
          </w:tcPr>
          <w:p w14:paraId="064C757B"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61</w:t>
            </w:r>
          </w:p>
        </w:tc>
        <w:tc>
          <w:tcPr>
            <w:tcW w:w="0" w:type="auto"/>
            <w:hideMark/>
          </w:tcPr>
          <w:p w14:paraId="3E43A40F"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+37</w:t>
            </w:r>
          </w:p>
        </w:tc>
      </w:tr>
      <w:tr w:rsidR="00421A9E" w:rsidRPr="0092529B" w14:paraId="6D58BBBC" w14:textId="77777777" w:rsidTr="00786D4B">
        <w:tc>
          <w:tcPr>
            <w:tcW w:w="0" w:type="auto"/>
            <w:hideMark/>
          </w:tcPr>
          <w:p w14:paraId="5C48E3C0"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2024</w:t>
            </w:r>
          </w:p>
        </w:tc>
        <w:tc>
          <w:tcPr>
            <w:tcW w:w="0" w:type="auto"/>
            <w:hideMark/>
          </w:tcPr>
          <w:p w14:paraId="735635D5"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3.54</w:t>
            </w:r>
          </w:p>
        </w:tc>
        <w:tc>
          <w:tcPr>
            <w:tcW w:w="0" w:type="auto"/>
            <w:hideMark/>
          </w:tcPr>
          <w:p w14:paraId="4D5C1A99"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105</w:t>
            </w:r>
          </w:p>
        </w:tc>
        <w:tc>
          <w:tcPr>
            <w:tcW w:w="0" w:type="auto"/>
            <w:hideMark/>
          </w:tcPr>
          <w:p w14:paraId="617540EA"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67</w:t>
            </w:r>
          </w:p>
        </w:tc>
        <w:tc>
          <w:tcPr>
            <w:tcW w:w="0" w:type="auto"/>
            <w:hideMark/>
          </w:tcPr>
          <w:p w14:paraId="6A4828F9" w14:textId="77777777" w:rsidR="00421A9E" w:rsidRPr="0092529B" w:rsidRDefault="00421A9E" w:rsidP="0092529B">
            <w:pPr>
              <w:spacing w:after="160" w:line="360" w:lineRule="auto"/>
              <w:rPr>
                <w:rFonts w:ascii="Arial" w:hAnsi="Arial" w:cs="Arial"/>
                <w:b/>
                <w:bCs/>
                <w:sz w:val="24"/>
                <w:szCs w:val="24"/>
              </w:rPr>
            </w:pPr>
            <w:r w:rsidRPr="0092529B">
              <w:rPr>
                <w:rFonts w:ascii="Arial" w:hAnsi="Arial" w:cs="Arial"/>
                <w:b/>
                <w:bCs/>
                <w:sz w:val="24"/>
                <w:szCs w:val="24"/>
              </w:rPr>
              <w:t>+38</w:t>
            </w:r>
          </w:p>
        </w:tc>
      </w:tr>
    </w:tbl>
    <w:p w14:paraId="1B5C37BD" w14:textId="77777777" w:rsidR="00786D4B" w:rsidRPr="0092529B" w:rsidRDefault="00786D4B" w:rsidP="0092529B">
      <w:pPr>
        <w:spacing w:line="360" w:lineRule="auto"/>
        <w:rPr>
          <w:rFonts w:ascii="Arial" w:hAnsi="Arial" w:cs="Arial"/>
          <w:sz w:val="24"/>
          <w:szCs w:val="24"/>
        </w:rPr>
      </w:pPr>
    </w:p>
    <w:p w14:paraId="3702109E" w14:textId="3DF37E15" w:rsidR="00DE271E" w:rsidRPr="0092529B" w:rsidRDefault="00DE271E" w:rsidP="0092529B">
      <w:pPr>
        <w:spacing w:line="360" w:lineRule="auto"/>
        <w:rPr>
          <w:rFonts w:ascii="Arial" w:hAnsi="Arial" w:cs="Arial"/>
          <w:sz w:val="24"/>
          <w:szCs w:val="24"/>
        </w:rPr>
      </w:pPr>
      <w:r w:rsidRPr="0092529B">
        <w:rPr>
          <w:rFonts w:ascii="Arial" w:hAnsi="Arial" w:cs="Arial"/>
          <w:sz w:val="24"/>
          <w:szCs w:val="24"/>
        </w:rPr>
        <w:t xml:space="preserve">The 105 days of receivable turning into 105 in the year 2024, nearly twice the industry average of 55 (PwC, 2024), is a sign of poor credit enforcement and inefficient debt collection systems. The inventory turnover of 3.54x is also below the industry average of 5.2x indicating a high stockholding, obsolescence, and carrying costs. As a result, the GE working capital cycle of 38 days is holding over </w:t>
      </w:r>
      <w:r w:rsidR="007B19CA">
        <w:rPr>
          <w:rFonts w:ascii="Arial" w:hAnsi="Arial" w:cs="Arial"/>
          <w:sz w:val="24"/>
          <w:szCs w:val="24"/>
        </w:rPr>
        <w:t>£</w:t>
      </w:r>
      <w:r w:rsidRPr="0092529B">
        <w:rPr>
          <w:rFonts w:ascii="Arial" w:hAnsi="Arial" w:cs="Arial"/>
          <w:sz w:val="24"/>
          <w:szCs w:val="24"/>
        </w:rPr>
        <w:t>30 billion worth of idle assets annually - capital which, as an alternative, could be used to service debt or invest in innovations.</w:t>
      </w:r>
    </w:p>
    <w:p w14:paraId="686790A2" w14:textId="6544506B" w:rsidR="00421A9E" w:rsidRPr="0092529B" w:rsidRDefault="00DE271E" w:rsidP="0092529B">
      <w:pPr>
        <w:spacing w:line="360" w:lineRule="auto"/>
        <w:rPr>
          <w:rFonts w:ascii="Arial" w:hAnsi="Arial" w:cs="Arial"/>
          <w:b/>
          <w:bCs/>
          <w:sz w:val="24"/>
          <w:szCs w:val="24"/>
        </w:rPr>
      </w:pPr>
      <w:r w:rsidRPr="0092529B">
        <w:rPr>
          <w:rFonts w:ascii="Arial" w:hAnsi="Arial" w:cs="Arial"/>
          <w:sz w:val="24"/>
          <w:szCs w:val="24"/>
        </w:rPr>
        <w:t>These types of inefficiencies expose shortcomings in the accuracy of the forecasting, supply-chain co-ordination, and digital integration in operations. Liquidity will not be handled properly in its operations unless GE modernises its planning and resource management systems.</w:t>
      </w:r>
    </w:p>
    <w:p w14:paraId="6824819F" w14:textId="77777777"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2.4 Leverage Crisis</w:t>
      </w:r>
    </w:p>
    <w:p w14:paraId="0DDCA01D" w14:textId="77777777" w:rsidR="00DE271E" w:rsidRPr="0092529B" w:rsidRDefault="00DE271E" w:rsidP="0092529B">
      <w:pPr>
        <w:spacing w:line="360" w:lineRule="auto"/>
        <w:rPr>
          <w:rFonts w:ascii="Arial" w:hAnsi="Arial" w:cs="Arial"/>
          <w:sz w:val="24"/>
          <w:szCs w:val="24"/>
        </w:rPr>
      </w:pPr>
      <w:r w:rsidRPr="0092529B">
        <w:rPr>
          <w:rFonts w:ascii="Arial" w:hAnsi="Arial" w:cs="Arial"/>
          <w:sz w:val="24"/>
          <w:szCs w:val="24"/>
        </w:rPr>
        <w:t>The debt structure of GE highlights the unfavorable solvency status, where leverages are close to being unsustainable.</w:t>
      </w:r>
    </w:p>
    <w:p w14:paraId="64DC3022" w14:textId="3AB005D5" w:rsidR="00421A9E" w:rsidRPr="0092529B" w:rsidRDefault="00421A9E" w:rsidP="0092529B">
      <w:pPr>
        <w:spacing w:line="360" w:lineRule="auto"/>
        <w:rPr>
          <w:rFonts w:ascii="Arial" w:hAnsi="Arial" w:cs="Arial"/>
          <w:sz w:val="24"/>
          <w:szCs w:val="24"/>
        </w:rPr>
      </w:pPr>
      <w:r w:rsidRPr="0092529B">
        <w:rPr>
          <w:rFonts w:ascii="Arial" w:hAnsi="Arial" w:cs="Arial"/>
          <w:sz w:val="24"/>
          <w:szCs w:val="24"/>
        </w:rPr>
        <w:t>Table 4: Gearing &amp; Solvency (2020–2024)</w:t>
      </w:r>
    </w:p>
    <w:tbl>
      <w:tblPr>
        <w:tblStyle w:val="TableGrid"/>
        <w:tblW w:w="0" w:type="auto"/>
        <w:tblLook w:val="04A0" w:firstRow="1" w:lastRow="0" w:firstColumn="1" w:lastColumn="0" w:noHBand="0" w:noVBand="1"/>
      </w:tblPr>
      <w:tblGrid>
        <w:gridCol w:w="750"/>
        <w:gridCol w:w="1750"/>
        <w:gridCol w:w="1350"/>
        <w:gridCol w:w="2124"/>
      </w:tblGrid>
      <w:tr w:rsidR="00421A9E" w:rsidRPr="0092529B" w14:paraId="07511D71" w14:textId="77777777" w:rsidTr="00786D4B">
        <w:tc>
          <w:tcPr>
            <w:tcW w:w="0" w:type="auto"/>
            <w:hideMark/>
          </w:tcPr>
          <w:p w14:paraId="6E2F84E1"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lastRenderedPageBreak/>
              <w:t>Year</w:t>
            </w:r>
          </w:p>
        </w:tc>
        <w:tc>
          <w:tcPr>
            <w:tcW w:w="0" w:type="auto"/>
            <w:hideMark/>
          </w:tcPr>
          <w:p w14:paraId="3009A799"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Debt-to-Equity</w:t>
            </w:r>
          </w:p>
        </w:tc>
        <w:tc>
          <w:tcPr>
            <w:tcW w:w="0" w:type="auto"/>
            <w:hideMark/>
          </w:tcPr>
          <w:p w14:paraId="7D6F55CC"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Debt Ratio</w:t>
            </w:r>
          </w:p>
        </w:tc>
        <w:tc>
          <w:tcPr>
            <w:tcW w:w="0" w:type="auto"/>
            <w:hideMark/>
          </w:tcPr>
          <w:p w14:paraId="333B5C4F"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Interest Coverage</w:t>
            </w:r>
          </w:p>
        </w:tc>
      </w:tr>
      <w:tr w:rsidR="00421A9E" w:rsidRPr="0092529B" w14:paraId="08FFDBB8" w14:textId="77777777" w:rsidTr="00786D4B">
        <w:tc>
          <w:tcPr>
            <w:tcW w:w="0" w:type="auto"/>
            <w:hideMark/>
          </w:tcPr>
          <w:p w14:paraId="4DE32A41"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2020</w:t>
            </w:r>
          </w:p>
        </w:tc>
        <w:tc>
          <w:tcPr>
            <w:tcW w:w="0" w:type="auto"/>
            <w:hideMark/>
          </w:tcPr>
          <w:p w14:paraId="1ED8CDEA"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0.63</w:t>
            </w:r>
          </w:p>
        </w:tc>
        <w:tc>
          <w:tcPr>
            <w:tcW w:w="0" w:type="auto"/>
            <w:hideMark/>
          </w:tcPr>
          <w:p w14:paraId="7E605CBA"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0.39</w:t>
            </w:r>
          </w:p>
        </w:tc>
        <w:tc>
          <w:tcPr>
            <w:tcW w:w="0" w:type="auto"/>
            <w:hideMark/>
          </w:tcPr>
          <w:p w14:paraId="51D239CA"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26.2</w:t>
            </w:r>
          </w:p>
        </w:tc>
      </w:tr>
      <w:tr w:rsidR="00421A9E" w:rsidRPr="0092529B" w14:paraId="11BD6C6C" w14:textId="77777777" w:rsidTr="00786D4B">
        <w:tc>
          <w:tcPr>
            <w:tcW w:w="0" w:type="auto"/>
            <w:hideMark/>
          </w:tcPr>
          <w:p w14:paraId="5A9CD37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2021</w:t>
            </w:r>
          </w:p>
        </w:tc>
        <w:tc>
          <w:tcPr>
            <w:tcW w:w="0" w:type="auto"/>
            <w:hideMark/>
          </w:tcPr>
          <w:p w14:paraId="4D689FB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0.71</w:t>
            </w:r>
          </w:p>
        </w:tc>
        <w:tc>
          <w:tcPr>
            <w:tcW w:w="0" w:type="auto"/>
            <w:hideMark/>
          </w:tcPr>
          <w:p w14:paraId="41C33CFE"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0.46</w:t>
            </w:r>
          </w:p>
        </w:tc>
        <w:tc>
          <w:tcPr>
            <w:tcW w:w="0" w:type="auto"/>
            <w:hideMark/>
          </w:tcPr>
          <w:p w14:paraId="7A07A121"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12.1</w:t>
            </w:r>
          </w:p>
        </w:tc>
      </w:tr>
      <w:tr w:rsidR="00421A9E" w:rsidRPr="0092529B" w14:paraId="022BE493" w14:textId="77777777" w:rsidTr="00786D4B">
        <w:tc>
          <w:tcPr>
            <w:tcW w:w="0" w:type="auto"/>
            <w:hideMark/>
          </w:tcPr>
          <w:p w14:paraId="2AF52169"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2022</w:t>
            </w:r>
          </w:p>
        </w:tc>
        <w:tc>
          <w:tcPr>
            <w:tcW w:w="0" w:type="auto"/>
            <w:hideMark/>
          </w:tcPr>
          <w:p w14:paraId="190F7923"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0.88</w:t>
            </w:r>
          </w:p>
        </w:tc>
        <w:tc>
          <w:tcPr>
            <w:tcW w:w="0" w:type="auto"/>
            <w:hideMark/>
          </w:tcPr>
          <w:p w14:paraId="01A6EBD7"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0.47</w:t>
            </w:r>
          </w:p>
        </w:tc>
        <w:tc>
          <w:tcPr>
            <w:tcW w:w="0" w:type="auto"/>
            <w:hideMark/>
          </w:tcPr>
          <w:p w14:paraId="7BB24C73"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6.6</w:t>
            </w:r>
          </w:p>
        </w:tc>
      </w:tr>
      <w:tr w:rsidR="00421A9E" w:rsidRPr="0092529B" w14:paraId="5F188749" w14:textId="77777777" w:rsidTr="00786D4B">
        <w:tc>
          <w:tcPr>
            <w:tcW w:w="0" w:type="auto"/>
            <w:hideMark/>
          </w:tcPr>
          <w:p w14:paraId="68EC7FBE"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2023</w:t>
            </w:r>
          </w:p>
        </w:tc>
        <w:tc>
          <w:tcPr>
            <w:tcW w:w="0" w:type="auto"/>
            <w:hideMark/>
          </w:tcPr>
          <w:p w14:paraId="53ED7989"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0.99</w:t>
            </w:r>
          </w:p>
        </w:tc>
        <w:tc>
          <w:tcPr>
            <w:tcW w:w="0" w:type="auto"/>
            <w:hideMark/>
          </w:tcPr>
          <w:p w14:paraId="585C619F"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0.50</w:t>
            </w:r>
          </w:p>
        </w:tc>
        <w:tc>
          <w:tcPr>
            <w:tcW w:w="0" w:type="auto"/>
            <w:hideMark/>
          </w:tcPr>
          <w:p w14:paraId="6B19FD55"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–0.16</w:t>
            </w:r>
          </w:p>
        </w:tc>
      </w:tr>
      <w:tr w:rsidR="00421A9E" w:rsidRPr="0092529B" w14:paraId="7C4097C4" w14:textId="77777777" w:rsidTr="00786D4B">
        <w:tc>
          <w:tcPr>
            <w:tcW w:w="0" w:type="auto"/>
            <w:hideMark/>
          </w:tcPr>
          <w:p w14:paraId="4B0ADA7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2024</w:t>
            </w:r>
          </w:p>
        </w:tc>
        <w:tc>
          <w:tcPr>
            <w:tcW w:w="0" w:type="auto"/>
            <w:hideMark/>
          </w:tcPr>
          <w:p w14:paraId="7A6B734C"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1.11</w:t>
            </w:r>
          </w:p>
        </w:tc>
        <w:tc>
          <w:tcPr>
            <w:tcW w:w="0" w:type="auto"/>
            <w:hideMark/>
          </w:tcPr>
          <w:p w14:paraId="07331EAD"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0.53</w:t>
            </w:r>
          </w:p>
        </w:tc>
        <w:tc>
          <w:tcPr>
            <w:tcW w:w="0" w:type="auto"/>
            <w:hideMark/>
          </w:tcPr>
          <w:p w14:paraId="4F2C944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–4.6</w:t>
            </w:r>
          </w:p>
        </w:tc>
      </w:tr>
    </w:tbl>
    <w:p w14:paraId="4483F808" w14:textId="77777777" w:rsidR="00C15E6D" w:rsidRPr="0092529B" w:rsidRDefault="00C15E6D" w:rsidP="0092529B">
      <w:pPr>
        <w:spacing w:line="360" w:lineRule="auto"/>
        <w:rPr>
          <w:rFonts w:ascii="Arial" w:hAnsi="Arial" w:cs="Arial"/>
          <w:sz w:val="24"/>
          <w:szCs w:val="24"/>
        </w:rPr>
      </w:pPr>
    </w:p>
    <w:p w14:paraId="7425B887" w14:textId="34BCA7F3" w:rsidR="00C15E6D" w:rsidRPr="0092529B" w:rsidRDefault="00C15E6D" w:rsidP="0092529B">
      <w:pPr>
        <w:spacing w:line="360" w:lineRule="auto"/>
        <w:rPr>
          <w:rFonts w:ascii="Arial" w:hAnsi="Arial" w:cs="Arial"/>
          <w:sz w:val="24"/>
          <w:szCs w:val="24"/>
        </w:rPr>
      </w:pPr>
      <w:r w:rsidRPr="0092529B">
        <w:rPr>
          <w:rFonts w:ascii="Arial" w:hAnsi="Arial" w:cs="Arial"/>
          <w:sz w:val="24"/>
          <w:szCs w:val="24"/>
        </w:rPr>
        <w:t>Within 2020-2024, the debt to equity ratio of GE has increased to 1.11 starting with the 0.63, which implies that now, a larger percentage of the company is funded by creditors rather than shareholders. At the same time, the interest coverage ratio became negative in 2023 and 2024, which proves that GE is no longer able to pay debt using operating earnings.</w:t>
      </w:r>
    </w:p>
    <w:p w14:paraId="3A78B7F7" w14:textId="662501A3" w:rsidR="00421A9E" w:rsidRPr="0092529B" w:rsidRDefault="00C15E6D" w:rsidP="0092529B">
      <w:pPr>
        <w:spacing w:line="360" w:lineRule="auto"/>
        <w:rPr>
          <w:rFonts w:ascii="Arial" w:hAnsi="Arial" w:cs="Arial"/>
          <w:b/>
          <w:bCs/>
          <w:sz w:val="24"/>
          <w:szCs w:val="24"/>
        </w:rPr>
      </w:pPr>
      <w:r w:rsidRPr="0092529B">
        <w:rPr>
          <w:rFonts w:ascii="Arial" w:hAnsi="Arial" w:cs="Arial"/>
          <w:sz w:val="24"/>
          <w:szCs w:val="24"/>
        </w:rPr>
        <w:t>These values are not a fact of growth in leverage only, but rather dependency on debt. The survival of the firm has become reliant on refinancing and monetisation of assets instead of the repayment based on cash generation. GE is automatically downgraded and may be covenant breached without urgent actions to deleverage the company by selling assets, renegotiating debt, or injecting new capital (S&amp;P Global, 2024).</w:t>
      </w:r>
    </w:p>
    <w:p w14:paraId="44364A55" w14:textId="77777777"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2.5 Cash Flow Paradox</w:t>
      </w:r>
    </w:p>
    <w:p w14:paraId="1A392ACA" w14:textId="158AAE0E" w:rsidR="00C15E6D" w:rsidRPr="0092529B" w:rsidRDefault="00C15E6D" w:rsidP="0092529B">
      <w:pPr>
        <w:spacing w:line="360" w:lineRule="auto"/>
        <w:rPr>
          <w:rFonts w:ascii="Arial" w:hAnsi="Arial" w:cs="Arial"/>
          <w:sz w:val="24"/>
          <w:szCs w:val="24"/>
        </w:rPr>
      </w:pPr>
      <w:r w:rsidRPr="0092529B">
        <w:rPr>
          <w:rFonts w:ascii="Arial" w:hAnsi="Arial" w:cs="Arial"/>
          <w:sz w:val="24"/>
          <w:szCs w:val="24"/>
        </w:rPr>
        <w:t xml:space="preserve">GE operations continue to produce positive cash flow despite attributing successive accounting losses, which is a sliver of hope of business survival. In 2024, operating cash flow was </w:t>
      </w:r>
      <w:r w:rsidR="007B19CA">
        <w:rPr>
          <w:rFonts w:ascii="Arial" w:hAnsi="Arial" w:cs="Arial"/>
          <w:sz w:val="24"/>
          <w:szCs w:val="24"/>
        </w:rPr>
        <w:t>£</w:t>
      </w:r>
      <w:r w:rsidRPr="0092529B">
        <w:rPr>
          <w:rFonts w:ascii="Arial" w:hAnsi="Arial" w:cs="Arial"/>
          <w:sz w:val="24"/>
          <w:szCs w:val="24"/>
        </w:rPr>
        <w:t xml:space="preserve">14.8 billion which has been backed by working cash movements as well as depreciation add-backs. The company however incurred </w:t>
      </w:r>
      <w:r w:rsidR="007B19CA">
        <w:rPr>
          <w:rFonts w:ascii="Arial" w:hAnsi="Arial" w:cs="Arial"/>
          <w:sz w:val="24"/>
          <w:szCs w:val="24"/>
        </w:rPr>
        <w:t>£</w:t>
      </w:r>
      <w:r w:rsidRPr="0092529B">
        <w:rPr>
          <w:rFonts w:ascii="Arial" w:hAnsi="Arial" w:cs="Arial"/>
          <w:sz w:val="24"/>
          <w:szCs w:val="24"/>
        </w:rPr>
        <w:t xml:space="preserve">4.6 billion capital expenditure and </w:t>
      </w:r>
      <w:r w:rsidR="007B19CA">
        <w:rPr>
          <w:rFonts w:ascii="Arial" w:hAnsi="Arial" w:cs="Arial"/>
          <w:sz w:val="24"/>
          <w:szCs w:val="24"/>
        </w:rPr>
        <w:t>£</w:t>
      </w:r>
      <w:r w:rsidRPr="0092529B">
        <w:rPr>
          <w:rFonts w:ascii="Arial" w:hAnsi="Arial" w:cs="Arial"/>
          <w:sz w:val="24"/>
          <w:szCs w:val="24"/>
        </w:rPr>
        <w:t>10.2 billion in financing outflows, such as debt repayments and prior to suspension legacy dividend outlays.</w:t>
      </w:r>
    </w:p>
    <w:p w14:paraId="06218001" w14:textId="1E2B4919" w:rsidR="00421A9E" w:rsidRPr="0092529B" w:rsidRDefault="00C15E6D" w:rsidP="0092529B">
      <w:pPr>
        <w:spacing w:line="360" w:lineRule="auto"/>
        <w:rPr>
          <w:rFonts w:ascii="Arial" w:hAnsi="Arial" w:cs="Arial"/>
          <w:b/>
          <w:bCs/>
          <w:sz w:val="24"/>
          <w:szCs w:val="24"/>
        </w:rPr>
      </w:pPr>
      <w:r w:rsidRPr="0092529B">
        <w:rPr>
          <w:rFonts w:ascii="Arial" w:hAnsi="Arial" w:cs="Arial"/>
          <w:sz w:val="24"/>
          <w:szCs w:val="24"/>
        </w:rPr>
        <w:t xml:space="preserve">This situation exemplifies a typical cash flow paradox, that is, profitable activity at the cash level but value-destructive investment. Constant disbursements of funds which are not matched by returns kill the liquidity and limits investment flexibility. Without aligning capital expenditure and its quantifiable returns and while GE is holding on </w:t>
      </w:r>
      <w:r w:rsidRPr="0092529B">
        <w:rPr>
          <w:rFonts w:ascii="Arial" w:hAnsi="Arial" w:cs="Arial"/>
          <w:sz w:val="24"/>
          <w:szCs w:val="24"/>
        </w:rPr>
        <w:lastRenderedPageBreak/>
        <w:t>non-essential financing commitments, its cash reserves will keep on falling regardless of inflows in its operations.</w:t>
      </w:r>
    </w:p>
    <w:p w14:paraId="4E3863A7" w14:textId="46BC0241"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 xml:space="preserve">2.6 SWOT </w:t>
      </w:r>
      <w:r w:rsidR="00C15E6D" w:rsidRPr="0092529B">
        <w:rPr>
          <w:rFonts w:ascii="Arial" w:hAnsi="Arial" w:cs="Arial"/>
          <w:b/>
          <w:bCs/>
          <w:sz w:val="24"/>
          <w:szCs w:val="24"/>
        </w:rPr>
        <w:t>Analysis</w:t>
      </w:r>
    </w:p>
    <w:p w14:paraId="2F8A4D21" w14:textId="77777777" w:rsidR="00C15E6D" w:rsidRPr="0092529B" w:rsidRDefault="00C15E6D" w:rsidP="0092529B">
      <w:pPr>
        <w:spacing w:line="360" w:lineRule="auto"/>
        <w:rPr>
          <w:rFonts w:ascii="Arial" w:hAnsi="Arial" w:cs="Arial"/>
          <w:sz w:val="24"/>
          <w:szCs w:val="24"/>
        </w:rPr>
      </w:pPr>
      <w:r w:rsidRPr="0092529B">
        <w:rPr>
          <w:rFonts w:ascii="Arial" w:hAnsi="Arial" w:cs="Arial"/>
          <w:sz w:val="24"/>
          <w:szCs w:val="24"/>
        </w:rPr>
        <w:t>A brief SWOT evaluation indicates internal and external reality of GE:</w:t>
      </w:r>
    </w:p>
    <w:p w14:paraId="374DC554" w14:textId="77777777" w:rsidR="00C15E6D" w:rsidRPr="0092529B" w:rsidRDefault="00C15E6D" w:rsidP="0092529B">
      <w:pPr>
        <w:spacing w:line="360" w:lineRule="auto"/>
        <w:rPr>
          <w:rFonts w:ascii="Arial" w:hAnsi="Arial" w:cs="Arial"/>
          <w:sz w:val="24"/>
          <w:szCs w:val="24"/>
        </w:rPr>
      </w:pPr>
      <w:r w:rsidRPr="0092529B">
        <w:rPr>
          <w:rFonts w:ascii="Arial" w:hAnsi="Arial" w:cs="Arial"/>
          <w:sz w:val="24"/>
          <w:szCs w:val="24"/>
        </w:rPr>
        <w:t>Strengths:</w:t>
      </w:r>
      <w:r w:rsidRPr="0092529B">
        <w:rPr>
          <w:rFonts w:ascii="Arial" w:hAnsi="Arial" w:cs="Arial"/>
          <w:sz w:val="24"/>
          <w:szCs w:val="24"/>
        </w:rPr>
        <w:t xml:space="preserve"> </w:t>
      </w:r>
    </w:p>
    <w:p w14:paraId="73A8480B" w14:textId="7EDE757A" w:rsidR="00C15E6D" w:rsidRPr="0092529B" w:rsidRDefault="00C15E6D" w:rsidP="0092529B">
      <w:pPr>
        <w:pStyle w:val="ListParagraph"/>
        <w:numPr>
          <w:ilvl w:val="0"/>
          <w:numId w:val="67"/>
        </w:numPr>
        <w:spacing w:line="360" w:lineRule="auto"/>
        <w:rPr>
          <w:rFonts w:ascii="Arial" w:hAnsi="Arial" w:cs="Arial"/>
          <w:sz w:val="24"/>
          <w:szCs w:val="24"/>
        </w:rPr>
      </w:pPr>
      <w:r w:rsidRPr="0092529B">
        <w:rPr>
          <w:rFonts w:ascii="Arial" w:hAnsi="Arial" w:cs="Arial"/>
          <w:sz w:val="24"/>
          <w:szCs w:val="24"/>
        </w:rPr>
        <w:t>International brand name and developed distribution processes.</w:t>
      </w:r>
    </w:p>
    <w:p w14:paraId="19E0B626" w14:textId="77777777" w:rsidR="00C15E6D" w:rsidRPr="0092529B" w:rsidRDefault="00C15E6D" w:rsidP="0092529B">
      <w:pPr>
        <w:pStyle w:val="ListParagraph"/>
        <w:numPr>
          <w:ilvl w:val="0"/>
          <w:numId w:val="67"/>
        </w:numPr>
        <w:spacing w:line="360" w:lineRule="auto"/>
        <w:rPr>
          <w:rFonts w:ascii="Arial" w:hAnsi="Arial" w:cs="Arial"/>
          <w:sz w:val="24"/>
          <w:szCs w:val="24"/>
        </w:rPr>
      </w:pPr>
      <w:r w:rsidRPr="0092529B">
        <w:rPr>
          <w:rFonts w:ascii="Arial" w:hAnsi="Arial" w:cs="Arial"/>
          <w:sz w:val="24"/>
          <w:szCs w:val="24"/>
        </w:rPr>
        <w:t>Constant gross margins which mean steady production cost management.</w:t>
      </w:r>
    </w:p>
    <w:p w14:paraId="5CB895DC" w14:textId="77777777" w:rsidR="00C15E6D" w:rsidRPr="0092529B" w:rsidRDefault="00C15E6D" w:rsidP="0092529B">
      <w:pPr>
        <w:pStyle w:val="ListParagraph"/>
        <w:numPr>
          <w:ilvl w:val="0"/>
          <w:numId w:val="67"/>
        </w:numPr>
        <w:spacing w:line="360" w:lineRule="auto"/>
        <w:rPr>
          <w:rFonts w:ascii="Arial" w:hAnsi="Arial" w:cs="Arial"/>
          <w:sz w:val="24"/>
          <w:szCs w:val="24"/>
        </w:rPr>
      </w:pPr>
      <w:r w:rsidRPr="0092529B">
        <w:rPr>
          <w:rFonts w:ascii="Arial" w:hAnsi="Arial" w:cs="Arial"/>
          <w:sz w:val="24"/>
          <w:szCs w:val="24"/>
        </w:rPr>
        <w:t>Good operating cash flows that affirm minimum business viability.</w:t>
      </w:r>
    </w:p>
    <w:p w14:paraId="305A12C2" w14:textId="77777777" w:rsidR="00C15E6D" w:rsidRPr="0092529B" w:rsidRDefault="00C15E6D" w:rsidP="0092529B">
      <w:pPr>
        <w:spacing w:line="360" w:lineRule="auto"/>
        <w:rPr>
          <w:rFonts w:ascii="Arial" w:hAnsi="Arial" w:cs="Arial"/>
          <w:sz w:val="24"/>
          <w:szCs w:val="24"/>
        </w:rPr>
      </w:pPr>
      <w:r w:rsidRPr="0092529B">
        <w:rPr>
          <w:rFonts w:ascii="Arial" w:hAnsi="Arial" w:cs="Arial"/>
          <w:sz w:val="24"/>
          <w:szCs w:val="24"/>
        </w:rPr>
        <w:t>Weaknesses:</w:t>
      </w:r>
    </w:p>
    <w:p w14:paraId="0A8E5D4B" w14:textId="77777777" w:rsidR="00C15E6D" w:rsidRPr="0092529B" w:rsidRDefault="00C15E6D" w:rsidP="0092529B">
      <w:pPr>
        <w:pStyle w:val="ListParagraph"/>
        <w:numPr>
          <w:ilvl w:val="0"/>
          <w:numId w:val="68"/>
        </w:numPr>
        <w:spacing w:line="360" w:lineRule="auto"/>
        <w:rPr>
          <w:rFonts w:ascii="Arial" w:hAnsi="Arial" w:cs="Arial"/>
          <w:sz w:val="24"/>
          <w:szCs w:val="24"/>
        </w:rPr>
      </w:pPr>
      <w:r w:rsidRPr="0092529B">
        <w:rPr>
          <w:rFonts w:ascii="Arial" w:hAnsi="Arial" w:cs="Arial"/>
          <w:sz w:val="24"/>
          <w:szCs w:val="24"/>
        </w:rPr>
        <w:t>Deteriorated revenue growth (-36% since 2020) caused by misalignment of portfolio.</w:t>
      </w:r>
    </w:p>
    <w:p w14:paraId="129DBE4C" w14:textId="77777777" w:rsidR="00C15E6D" w:rsidRPr="0092529B" w:rsidRDefault="00C15E6D" w:rsidP="0092529B">
      <w:pPr>
        <w:pStyle w:val="ListParagraph"/>
        <w:numPr>
          <w:ilvl w:val="0"/>
          <w:numId w:val="68"/>
        </w:numPr>
        <w:spacing w:line="360" w:lineRule="auto"/>
        <w:rPr>
          <w:rFonts w:ascii="Arial" w:hAnsi="Arial" w:cs="Arial"/>
          <w:sz w:val="24"/>
          <w:szCs w:val="24"/>
        </w:rPr>
      </w:pPr>
      <w:r w:rsidRPr="0092529B">
        <w:rPr>
          <w:rFonts w:ascii="Arial" w:hAnsi="Arial" w:cs="Arial"/>
          <w:sz w:val="24"/>
          <w:szCs w:val="24"/>
        </w:rPr>
        <w:t>Retained earnings and shareholder confidence were lost through accumulated losses.</w:t>
      </w:r>
    </w:p>
    <w:p w14:paraId="489A17FD" w14:textId="77777777" w:rsidR="00C15E6D" w:rsidRPr="0092529B" w:rsidRDefault="00C15E6D" w:rsidP="0092529B">
      <w:pPr>
        <w:pStyle w:val="ListParagraph"/>
        <w:numPr>
          <w:ilvl w:val="0"/>
          <w:numId w:val="68"/>
        </w:numPr>
        <w:spacing w:line="360" w:lineRule="auto"/>
        <w:rPr>
          <w:rFonts w:ascii="Arial" w:hAnsi="Arial" w:cs="Arial"/>
          <w:sz w:val="24"/>
          <w:szCs w:val="24"/>
        </w:rPr>
      </w:pPr>
      <w:r w:rsidRPr="0092529B">
        <w:rPr>
          <w:rFonts w:ascii="Arial" w:hAnsi="Arial" w:cs="Arial"/>
          <w:sz w:val="24"/>
          <w:szCs w:val="24"/>
        </w:rPr>
        <w:t>Too much leverage and negative interest cover ratios.</w:t>
      </w:r>
    </w:p>
    <w:p w14:paraId="5A972F75" w14:textId="77777777" w:rsidR="00C15E6D" w:rsidRPr="0092529B" w:rsidRDefault="00C15E6D" w:rsidP="0092529B">
      <w:pPr>
        <w:pStyle w:val="ListParagraph"/>
        <w:numPr>
          <w:ilvl w:val="0"/>
          <w:numId w:val="68"/>
        </w:numPr>
        <w:spacing w:line="360" w:lineRule="auto"/>
        <w:rPr>
          <w:rFonts w:ascii="Arial" w:hAnsi="Arial" w:cs="Arial"/>
          <w:sz w:val="24"/>
          <w:szCs w:val="24"/>
        </w:rPr>
      </w:pPr>
      <w:r w:rsidRPr="0092529B">
        <w:rPr>
          <w:rFonts w:ascii="Arial" w:hAnsi="Arial" w:cs="Arial"/>
          <w:sz w:val="24"/>
          <w:szCs w:val="24"/>
        </w:rPr>
        <w:t>Weak working capital cycle that is imposing a strain on short-term liquidity.</w:t>
      </w:r>
    </w:p>
    <w:p w14:paraId="75048094" w14:textId="77777777" w:rsidR="00C15E6D" w:rsidRPr="0092529B" w:rsidRDefault="00C15E6D" w:rsidP="0092529B">
      <w:pPr>
        <w:spacing w:line="360" w:lineRule="auto"/>
        <w:rPr>
          <w:rFonts w:ascii="Arial" w:hAnsi="Arial" w:cs="Arial"/>
          <w:sz w:val="24"/>
          <w:szCs w:val="24"/>
        </w:rPr>
      </w:pPr>
      <w:r w:rsidRPr="0092529B">
        <w:rPr>
          <w:rFonts w:ascii="Arial" w:hAnsi="Arial" w:cs="Arial"/>
          <w:sz w:val="24"/>
          <w:szCs w:val="24"/>
        </w:rPr>
        <w:t>Opportunities:</w:t>
      </w:r>
    </w:p>
    <w:p w14:paraId="48C5AF3E" w14:textId="77777777" w:rsidR="00C15E6D" w:rsidRPr="0092529B" w:rsidRDefault="00C15E6D" w:rsidP="0092529B">
      <w:pPr>
        <w:pStyle w:val="ListParagraph"/>
        <w:numPr>
          <w:ilvl w:val="0"/>
          <w:numId w:val="69"/>
        </w:numPr>
        <w:spacing w:line="360" w:lineRule="auto"/>
        <w:rPr>
          <w:rFonts w:ascii="Arial" w:hAnsi="Arial" w:cs="Arial"/>
          <w:sz w:val="24"/>
          <w:szCs w:val="24"/>
        </w:rPr>
      </w:pPr>
      <w:r w:rsidRPr="0092529B">
        <w:rPr>
          <w:rFonts w:ascii="Arial" w:hAnsi="Arial" w:cs="Arial"/>
          <w:sz w:val="24"/>
          <w:szCs w:val="24"/>
        </w:rPr>
        <w:t>Digital transformation with the Internet of things (IoT) and AI-based manufacturing.</w:t>
      </w:r>
    </w:p>
    <w:p w14:paraId="62E0B291" w14:textId="77777777" w:rsidR="00C15E6D" w:rsidRPr="0092529B" w:rsidRDefault="00C15E6D" w:rsidP="0092529B">
      <w:pPr>
        <w:pStyle w:val="ListParagraph"/>
        <w:numPr>
          <w:ilvl w:val="0"/>
          <w:numId w:val="69"/>
        </w:numPr>
        <w:spacing w:line="360" w:lineRule="auto"/>
        <w:rPr>
          <w:rFonts w:ascii="Arial" w:hAnsi="Arial" w:cs="Arial"/>
          <w:sz w:val="24"/>
          <w:szCs w:val="24"/>
        </w:rPr>
      </w:pPr>
      <w:r w:rsidRPr="0092529B">
        <w:rPr>
          <w:rFonts w:ascii="Arial" w:hAnsi="Arial" w:cs="Arial"/>
          <w:sz w:val="24"/>
          <w:szCs w:val="24"/>
        </w:rPr>
        <w:t>Inclusion of the expansion into the products related to ESG, i.e., renewable technologies.</w:t>
      </w:r>
    </w:p>
    <w:p w14:paraId="612F44BB" w14:textId="77777777" w:rsidR="00C15E6D" w:rsidRPr="0092529B" w:rsidRDefault="00C15E6D" w:rsidP="0092529B">
      <w:pPr>
        <w:pStyle w:val="ListParagraph"/>
        <w:numPr>
          <w:ilvl w:val="0"/>
          <w:numId w:val="69"/>
        </w:numPr>
        <w:spacing w:line="360" w:lineRule="auto"/>
        <w:rPr>
          <w:rFonts w:ascii="Arial" w:hAnsi="Arial" w:cs="Arial"/>
          <w:sz w:val="24"/>
          <w:szCs w:val="24"/>
        </w:rPr>
      </w:pPr>
      <w:r w:rsidRPr="0092529B">
        <w:rPr>
          <w:rFonts w:ascii="Arial" w:hAnsi="Arial" w:cs="Arial"/>
          <w:sz w:val="24"/>
          <w:szCs w:val="24"/>
        </w:rPr>
        <w:t>Disposition of poorly performing units in order to unlock trapped capital.</w:t>
      </w:r>
    </w:p>
    <w:p w14:paraId="6D6CB4E3" w14:textId="77777777" w:rsidR="00C15E6D" w:rsidRPr="0092529B" w:rsidRDefault="00C15E6D" w:rsidP="0092529B">
      <w:pPr>
        <w:spacing w:line="360" w:lineRule="auto"/>
        <w:rPr>
          <w:rFonts w:ascii="Arial" w:hAnsi="Arial" w:cs="Arial"/>
          <w:sz w:val="24"/>
          <w:szCs w:val="24"/>
        </w:rPr>
      </w:pPr>
      <w:r w:rsidRPr="0092529B">
        <w:rPr>
          <w:rFonts w:ascii="Arial" w:hAnsi="Arial" w:cs="Arial"/>
          <w:sz w:val="24"/>
          <w:szCs w:val="24"/>
        </w:rPr>
        <w:t>Threats:</w:t>
      </w:r>
    </w:p>
    <w:p w14:paraId="7E646B70" w14:textId="77777777" w:rsidR="00C15E6D" w:rsidRPr="0092529B" w:rsidRDefault="00C15E6D" w:rsidP="0092529B">
      <w:pPr>
        <w:pStyle w:val="ListParagraph"/>
        <w:numPr>
          <w:ilvl w:val="0"/>
          <w:numId w:val="70"/>
        </w:numPr>
        <w:spacing w:line="360" w:lineRule="auto"/>
        <w:rPr>
          <w:rFonts w:ascii="Arial" w:hAnsi="Arial" w:cs="Arial"/>
          <w:sz w:val="24"/>
          <w:szCs w:val="24"/>
        </w:rPr>
      </w:pPr>
      <w:r w:rsidRPr="0092529B">
        <w:rPr>
          <w:rFonts w:ascii="Arial" w:hAnsi="Arial" w:cs="Arial"/>
          <w:sz w:val="24"/>
          <w:szCs w:val="24"/>
        </w:rPr>
        <w:t>Refinancing crises occur because of potential breaches of covenant and credit downgrades.</w:t>
      </w:r>
    </w:p>
    <w:p w14:paraId="6D7A9501" w14:textId="77777777" w:rsidR="00C15E6D" w:rsidRPr="0092529B" w:rsidRDefault="00C15E6D" w:rsidP="0092529B">
      <w:pPr>
        <w:pStyle w:val="ListParagraph"/>
        <w:numPr>
          <w:ilvl w:val="0"/>
          <w:numId w:val="70"/>
        </w:numPr>
        <w:spacing w:line="360" w:lineRule="auto"/>
        <w:rPr>
          <w:rFonts w:ascii="Arial" w:hAnsi="Arial" w:cs="Arial"/>
          <w:sz w:val="24"/>
          <w:szCs w:val="24"/>
        </w:rPr>
      </w:pPr>
      <w:r w:rsidRPr="0092529B">
        <w:rPr>
          <w:rFonts w:ascii="Arial" w:hAnsi="Arial" w:cs="Arial"/>
          <w:sz w:val="24"/>
          <w:szCs w:val="24"/>
        </w:rPr>
        <w:t>Turnover and organisational volatility.</w:t>
      </w:r>
    </w:p>
    <w:p w14:paraId="40F195A7" w14:textId="77777777" w:rsidR="00F60B77" w:rsidRPr="00F60B77" w:rsidRDefault="00F60B77" w:rsidP="00F60B77">
      <w:pPr>
        <w:pStyle w:val="ListParagraph"/>
        <w:numPr>
          <w:ilvl w:val="0"/>
          <w:numId w:val="70"/>
        </w:numPr>
        <w:spacing w:line="360" w:lineRule="auto"/>
        <w:rPr>
          <w:rFonts w:ascii="Arial" w:hAnsi="Arial" w:cs="Arial"/>
          <w:sz w:val="24"/>
          <w:szCs w:val="24"/>
        </w:rPr>
      </w:pPr>
      <w:r w:rsidRPr="00F60B77">
        <w:rPr>
          <w:rFonts w:ascii="Arial" w:hAnsi="Arial" w:cs="Arial"/>
          <w:sz w:val="24"/>
          <w:szCs w:val="24"/>
        </w:rPr>
        <w:t>Agile effects Competitor technological disruption on an innovation basis.</w:t>
      </w:r>
    </w:p>
    <w:p w14:paraId="262E17BE" w14:textId="77777777" w:rsidR="00F60B77" w:rsidRDefault="00F60B77" w:rsidP="0092529B">
      <w:pPr>
        <w:spacing w:line="360" w:lineRule="auto"/>
        <w:rPr>
          <w:rFonts w:ascii="Arial" w:hAnsi="Arial" w:cs="Arial"/>
          <w:sz w:val="24"/>
          <w:szCs w:val="24"/>
        </w:rPr>
      </w:pPr>
      <w:r w:rsidRPr="00F60B77">
        <w:rPr>
          <w:rFonts w:ascii="Arial" w:hAnsi="Arial" w:cs="Arial"/>
          <w:sz w:val="24"/>
          <w:szCs w:val="24"/>
        </w:rPr>
        <w:t>The SWOT analysis validates the fact that despite GE possessing strategic resources, structural inefficiency and financial overextension are devastating competitiveness.</w:t>
      </w:r>
    </w:p>
    <w:p w14:paraId="776F4F30" w14:textId="31DA7E5A"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lastRenderedPageBreak/>
        <w:t>2.7 Altman Z-Score: Distress Zone</w:t>
      </w:r>
    </w:p>
    <w:p w14:paraId="043DDD3A" w14:textId="77777777" w:rsidR="00421A9E" w:rsidRPr="0092529B" w:rsidRDefault="00421A9E" w:rsidP="0092529B">
      <w:pPr>
        <w:spacing w:line="360" w:lineRule="auto"/>
        <w:rPr>
          <w:rFonts w:ascii="Arial" w:hAnsi="Arial" w:cs="Arial"/>
          <w:sz w:val="24"/>
          <w:szCs w:val="24"/>
        </w:rPr>
      </w:pPr>
      <w:r w:rsidRPr="0092529B">
        <w:rPr>
          <w:rFonts w:ascii="Arial" w:hAnsi="Arial" w:cs="Arial"/>
          <w:sz w:val="24"/>
          <w:szCs w:val="24"/>
        </w:rPr>
        <w:t>The Altman Z-Score, a widely used predictor of bankruptcy risk, reinforces GE’s precarious position:</w:t>
      </w:r>
    </w:p>
    <w:p w14:paraId="545CA60D" w14:textId="70FDA7A4" w:rsidR="00421A9E" w:rsidRPr="0092529B" w:rsidRDefault="00E86675" w:rsidP="0092529B">
      <w:pPr>
        <w:spacing w:line="360" w:lineRule="auto"/>
        <w:rPr>
          <w:rFonts w:ascii="Arial" w:hAnsi="Arial" w:cs="Arial"/>
          <w:sz w:val="24"/>
          <w:szCs w:val="24"/>
        </w:rPr>
      </w:pPr>
      <m:oMathPara>
        <m:oMath>
          <m:r>
            <w:rPr>
              <w:rFonts w:ascii="Cambria Math" w:hAnsi="Cambria Math" w:cs="Arial"/>
              <w:sz w:val="24"/>
              <w:szCs w:val="24"/>
            </w:rPr>
            <m:t>Z=1.2</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1</m:t>
              </m:r>
            </m:sub>
          </m:sSub>
          <m:r>
            <w:rPr>
              <w:rFonts w:ascii="Cambria Math" w:hAnsi="Cambria Math" w:cs="Arial"/>
              <w:sz w:val="24"/>
              <w:szCs w:val="24"/>
            </w:rPr>
            <m:t>+1.4</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2</m:t>
              </m:r>
            </m:sub>
          </m:sSub>
          <m:r>
            <w:rPr>
              <w:rFonts w:ascii="Cambria Math" w:hAnsi="Cambria Math" w:cs="Arial"/>
              <w:sz w:val="24"/>
              <w:szCs w:val="24"/>
            </w:rPr>
            <m:t>+3.3</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3</m:t>
              </m:r>
            </m:sub>
          </m:sSub>
          <m:r>
            <w:rPr>
              <w:rFonts w:ascii="Cambria Math" w:hAnsi="Cambria Math" w:cs="Arial"/>
              <w:sz w:val="24"/>
              <w:szCs w:val="24"/>
            </w:rPr>
            <m:t>+0.6</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4</m:t>
              </m:r>
            </m:sub>
          </m:sSub>
          <m:r>
            <w:rPr>
              <w:rFonts w:ascii="Cambria Math" w:hAnsi="Cambria Math" w:cs="Arial"/>
              <w:sz w:val="24"/>
              <w:szCs w:val="24"/>
            </w:rPr>
            <m:t>+1.0</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5</m:t>
              </m:r>
            </m:sub>
          </m:sSub>
          <m:r>
            <m:rPr>
              <m:sty m:val="p"/>
            </m:rPr>
            <w:rPr>
              <w:rFonts w:ascii="Cambria Math" w:hAnsi="Cambria Math" w:cs="Arial"/>
              <w:sz w:val="24"/>
              <w:szCs w:val="24"/>
            </w:rPr>
            <w:br/>
          </m:r>
        </m:oMath>
      </m:oMathPara>
    </w:p>
    <w:p w14:paraId="015B3278" w14:textId="77777777" w:rsidR="00421A9E" w:rsidRPr="0092529B" w:rsidRDefault="00421A9E" w:rsidP="0092529B">
      <w:pPr>
        <w:spacing w:line="360" w:lineRule="auto"/>
        <w:rPr>
          <w:rFonts w:ascii="Arial" w:hAnsi="Arial" w:cs="Arial"/>
          <w:sz w:val="24"/>
          <w:szCs w:val="24"/>
        </w:rPr>
      </w:pPr>
      <w:r w:rsidRPr="0092529B">
        <w:rPr>
          <w:rFonts w:ascii="Arial" w:hAnsi="Arial" w:cs="Arial"/>
          <w:sz w:val="24"/>
          <w:szCs w:val="24"/>
        </w:rPr>
        <w:t>Where:</w:t>
      </w:r>
    </w:p>
    <w:p w14:paraId="22ABCEBB" w14:textId="31FB3D59" w:rsidR="00421A9E" w:rsidRPr="0092529B" w:rsidRDefault="00000000" w:rsidP="0092529B">
      <w:pPr>
        <w:numPr>
          <w:ilvl w:val="0"/>
          <w:numId w:val="36"/>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1</m:t>
            </m:r>
          </m:sub>
        </m:sSub>
        <m:r>
          <w:rPr>
            <w:rFonts w:ascii="Cambria Math" w:hAnsi="Cambria Math" w:cs="Arial"/>
            <w:sz w:val="24"/>
            <w:szCs w:val="24"/>
          </w:rPr>
          <m:t>=</m:t>
        </m:r>
      </m:oMath>
      <w:r w:rsidR="00421A9E" w:rsidRPr="0092529B">
        <w:rPr>
          <w:rFonts w:ascii="Arial" w:hAnsi="Arial" w:cs="Arial"/>
          <w:sz w:val="24"/>
          <w:szCs w:val="24"/>
        </w:rPr>
        <w:t>Working Capital / Total Assets</w:t>
      </w:r>
    </w:p>
    <w:p w14:paraId="3426AB0F" w14:textId="0A587B19" w:rsidR="00421A9E" w:rsidRPr="0092529B" w:rsidRDefault="00000000" w:rsidP="0092529B">
      <w:pPr>
        <w:numPr>
          <w:ilvl w:val="0"/>
          <w:numId w:val="36"/>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2</m:t>
            </m:r>
          </m:sub>
        </m:sSub>
        <m:r>
          <w:rPr>
            <w:rFonts w:ascii="Cambria Math" w:hAnsi="Cambria Math" w:cs="Arial"/>
            <w:sz w:val="24"/>
            <w:szCs w:val="24"/>
          </w:rPr>
          <m:t>=</m:t>
        </m:r>
      </m:oMath>
      <w:r w:rsidR="00421A9E" w:rsidRPr="0092529B">
        <w:rPr>
          <w:rFonts w:ascii="Arial" w:hAnsi="Arial" w:cs="Arial"/>
          <w:sz w:val="24"/>
          <w:szCs w:val="24"/>
        </w:rPr>
        <w:t>Retained Earnings / Total Assets</w:t>
      </w:r>
    </w:p>
    <w:p w14:paraId="4A7D3C99" w14:textId="33BE8F81" w:rsidR="00421A9E" w:rsidRPr="0092529B" w:rsidRDefault="00000000" w:rsidP="0092529B">
      <w:pPr>
        <w:numPr>
          <w:ilvl w:val="0"/>
          <w:numId w:val="36"/>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3</m:t>
            </m:r>
          </m:sub>
        </m:sSub>
        <m:r>
          <w:rPr>
            <w:rFonts w:ascii="Cambria Math" w:hAnsi="Cambria Math" w:cs="Arial"/>
            <w:sz w:val="24"/>
            <w:szCs w:val="24"/>
          </w:rPr>
          <m:t>=</m:t>
        </m:r>
      </m:oMath>
      <w:r w:rsidR="00421A9E" w:rsidRPr="0092529B">
        <w:rPr>
          <w:rFonts w:ascii="Arial" w:hAnsi="Arial" w:cs="Arial"/>
          <w:sz w:val="24"/>
          <w:szCs w:val="24"/>
        </w:rPr>
        <w:t>EBIT / Total Assets</w:t>
      </w:r>
    </w:p>
    <w:p w14:paraId="418A891E" w14:textId="1EBE586A" w:rsidR="00421A9E" w:rsidRPr="0092529B" w:rsidRDefault="00000000" w:rsidP="0092529B">
      <w:pPr>
        <w:numPr>
          <w:ilvl w:val="0"/>
          <w:numId w:val="36"/>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4</m:t>
            </m:r>
          </m:sub>
        </m:sSub>
        <m:r>
          <w:rPr>
            <w:rFonts w:ascii="Cambria Math" w:hAnsi="Cambria Math" w:cs="Arial"/>
            <w:sz w:val="24"/>
            <w:szCs w:val="24"/>
          </w:rPr>
          <m:t>=</m:t>
        </m:r>
      </m:oMath>
      <w:r w:rsidR="00421A9E" w:rsidRPr="0092529B">
        <w:rPr>
          <w:rFonts w:ascii="Arial" w:hAnsi="Arial" w:cs="Arial"/>
          <w:sz w:val="24"/>
          <w:szCs w:val="24"/>
        </w:rPr>
        <w:t>Market Value of Equity / Total Liabilities</w:t>
      </w:r>
    </w:p>
    <w:p w14:paraId="7ABB29A6" w14:textId="549AC25C" w:rsidR="00421A9E" w:rsidRPr="0092529B" w:rsidRDefault="00000000" w:rsidP="0092529B">
      <w:pPr>
        <w:numPr>
          <w:ilvl w:val="0"/>
          <w:numId w:val="36"/>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5</m:t>
            </m:r>
          </m:sub>
        </m:sSub>
        <m:r>
          <w:rPr>
            <w:rFonts w:ascii="Cambria Math" w:hAnsi="Cambria Math" w:cs="Arial"/>
            <w:sz w:val="24"/>
            <w:szCs w:val="24"/>
          </w:rPr>
          <m:t>=</m:t>
        </m:r>
      </m:oMath>
      <w:r w:rsidR="00421A9E" w:rsidRPr="0092529B">
        <w:rPr>
          <w:rFonts w:ascii="Arial" w:hAnsi="Arial" w:cs="Arial"/>
          <w:sz w:val="24"/>
          <w:szCs w:val="24"/>
        </w:rPr>
        <w:t>Sales / Total Assets</w:t>
      </w:r>
    </w:p>
    <w:p w14:paraId="7939B8C4" w14:textId="77777777" w:rsidR="00421A9E" w:rsidRPr="0092529B" w:rsidRDefault="00421A9E" w:rsidP="0092529B">
      <w:pPr>
        <w:spacing w:line="360" w:lineRule="auto"/>
        <w:rPr>
          <w:rFonts w:ascii="Arial" w:hAnsi="Arial" w:cs="Arial"/>
          <w:sz w:val="24"/>
          <w:szCs w:val="24"/>
        </w:rPr>
      </w:pPr>
      <w:r w:rsidRPr="0092529B">
        <w:rPr>
          <w:rFonts w:ascii="Arial" w:hAnsi="Arial" w:cs="Arial"/>
          <w:sz w:val="24"/>
          <w:szCs w:val="24"/>
        </w:rPr>
        <w:t>2024 Inputs:</w:t>
      </w:r>
    </w:p>
    <w:p w14:paraId="367233F6" w14:textId="77777777" w:rsidR="00421A9E" w:rsidRPr="0092529B" w:rsidRDefault="00421A9E" w:rsidP="0092529B">
      <w:pPr>
        <w:numPr>
          <w:ilvl w:val="0"/>
          <w:numId w:val="37"/>
        </w:numPr>
        <w:spacing w:line="360" w:lineRule="auto"/>
        <w:rPr>
          <w:rFonts w:ascii="Arial" w:hAnsi="Arial" w:cs="Arial"/>
          <w:sz w:val="24"/>
          <w:szCs w:val="24"/>
        </w:rPr>
      </w:pPr>
      <w:r w:rsidRPr="0092529B">
        <w:rPr>
          <w:rFonts w:ascii="Arial" w:hAnsi="Arial" w:cs="Arial"/>
          <w:sz w:val="24"/>
          <w:szCs w:val="24"/>
        </w:rPr>
        <w:t>WC = £84,203m; TA = £323,354m → X</w:t>
      </w:r>
      <w:r w:rsidRPr="0092529B">
        <w:rPr>
          <w:rFonts w:ascii="Cambria Math" w:hAnsi="Cambria Math" w:cs="Cambria Math"/>
          <w:sz w:val="24"/>
          <w:szCs w:val="24"/>
        </w:rPr>
        <w:t>₁</w:t>
      </w:r>
      <w:r w:rsidRPr="0092529B">
        <w:rPr>
          <w:rFonts w:ascii="Arial" w:hAnsi="Arial" w:cs="Arial"/>
          <w:sz w:val="24"/>
          <w:szCs w:val="24"/>
        </w:rPr>
        <w:t xml:space="preserve"> = 0.26</w:t>
      </w:r>
    </w:p>
    <w:p w14:paraId="5640287A" w14:textId="77777777" w:rsidR="00421A9E" w:rsidRPr="0092529B" w:rsidRDefault="00421A9E" w:rsidP="0092529B">
      <w:pPr>
        <w:numPr>
          <w:ilvl w:val="0"/>
          <w:numId w:val="37"/>
        </w:numPr>
        <w:spacing w:line="360" w:lineRule="auto"/>
        <w:rPr>
          <w:rFonts w:ascii="Arial" w:hAnsi="Arial" w:cs="Arial"/>
          <w:sz w:val="24"/>
          <w:szCs w:val="24"/>
        </w:rPr>
      </w:pPr>
      <w:r w:rsidRPr="0092529B">
        <w:rPr>
          <w:rFonts w:ascii="Arial" w:hAnsi="Arial" w:cs="Arial"/>
          <w:sz w:val="24"/>
          <w:szCs w:val="24"/>
        </w:rPr>
        <w:t>RE = £208,431m; TA = £323,354m → X</w:t>
      </w:r>
      <w:r w:rsidRPr="0092529B">
        <w:rPr>
          <w:rFonts w:ascii="Cambria Math" w:hAnsi="Cambria Math" w:cs="Cambria Math"/>
          <w:sz w:val="24"/>
          <w:szCs w:val="24"/>
        </w:rPr>
        <w:t>₂</w:t>
      </w:r>
      <w:r w:rsidRPr="0092529B">
        <w:rPr>
          <w:rFonts w:ascii="Arial" w:hAnsi="Arial" w:cs="Arial"/>
          <w:sz w:val="24"/>
          <w:szCs w:val="24"/>
        </w:rPr>
        <w:t xml:space="preserve"> = 0.64</w:t>
      </w:r>
    </w:p>
    <w:p w14:paraId="150A2FE7" w14:textId="77413169" w:rsidR="00F60B77" w:rsidRPr="00734AE4" w:rsidRDefault="00F60B77" w:rsidP="00734AE4">
      <w:pPr>
        <w:pStyle w:val="ListParagraph"/>
        <w:numPr>
          <w:ilvl w:val="0"/>
          <w:numId w:val="37"/>
        </w:numPr>
        <w:spacing w:line="360" w:lineRule="auto"/>
        <w:rPr>
          <w:rFonts w:ascii="Arial" w:hAnsi="Arial" w:cs="Arial"/>
          <w:sz w:val="24"/>
          <w:szCs w:val="24"/>
        </w:rPr>
      </w:pPr>
      <w:r w:rsidRPr="00734AE4">
        <w:rPr>
          <w:rFonts w:ascii="Arial" w:hAnsi="Arial" w:cs="Arial"/>
          <w:sz w:val="24"/>
          <w:szCs w:val="24"/>
        </w:rPr>
        <w:t>EBIT = -£15,297m; TA = £323,354m →</w:t>
      </w:r>
      <w:r w:rsidRPr="00734AE4">
        <w:rPr>
          <w:rFonts w:ascii="Arial" w:hAnsi="Arial" w:cs="Arial"/>
          <w:sz w:val="24"/>
          <w:szCs w:val="24"/>
        </w:rPr>
        <w:t xml:space="preserve"> </w:t>
      </w:r>
      <w:r w:rsidRPr="00734AE4">
        <w:rPr>
          <w:rFonts w:ascii="Arial" w:hAnsi="Arial" w:cs="Arial"/>
          <w:sz w:val="24"/>
          <w:szCs w:val="24"/>
        </w:rPr>
        <w:t>X3 = -0.047</w:t>
      </w:r>
    </w:p>
    <w:p w14:paraId="42DC5B07" w14:textId="778C7DB0" w:rsidR="00F60B77" w:rsidRPr="00734AE4" w:rsidRDefault="00F60B77" w:rsidP="00734AE4">
      <w:pPr>
        <w:pStyle w:val="ListParagraph"/>
        <w:numPr>
          <w:ilvl w:val="0"/>
          <w:numId w:val="37"/>
        </w:numPr>
        <w:spacing w:line="360" w:lineRule="auto"/>
        <w:rPr>
          <w:rFonts w:ascii="Arial" w:hAnsi="Arial" w:cs="Arial"/>
          <w:sz w:val="24"/>
          <w:szCs w:val="24"/>
        </w:rPr>
      </w:pPr>
      <w:r w:rsidRPr="00734AE4">
        <w:rPr>
          <w:rFonts w:ascii="Arial" w:hAnsi="Arial" w:cs="Arial"/>
          <w:sz w:val="24"/>
          <w:szCs w:val="24"/>
        </w:rPr>
        <w:t xml:space="preserve">MVE = </w:t>
      </w:r>
      <w:r w:rsidR="00734AE4" w:rsidRPr="00734AE4">
        <w:rPr>
          <w:rFonts w:ascii="Arial" w:hAnsi="Arial" w:cs="Arial"/>
          <w:sz w:val="24"/>
          <w:szCs w:val="24"/>
        </w:rPr>
        <w:t>£</w:t>
      </w:r>
      <w:r w:rsidRPr="00734AE4">
        <w:rPr>
          <w:rFonts w:ascii="Arial" w:hAnsi="Arial" w:cs="Arial"/>
          <w:sz w:val="24"/>
          <w:szCs w:val="24"/>
        </w:rPr>
        <w:t xml:space="preserve">153,105m; TL = </w:t>
      </w:r>
      <w:r w:rsidR="00734AE4" w:rsidRPr="00734AE4">
        <w:rPr>
          <w:rFonts w:ascii="Arial" w:hAnsi="Arial" w:cs="Arial"/>
          <w:sz w:val="24"/>
          <w:szCs w:val="24"/>
        </w:rPr>
        <w:t>£</w:t>
      </w:r>
      <w:r w:rsidRPr="00734AE4">
        <w:rPr>
          <w:rFonts w:ascii="Arial" w:hAnsi="Arial" w:cs="Arial"/>
          <w:sz w:val="24"/>
          <w:szCs w:val="24"/>
        </w:rPr>
        <w:t>170,249m → X4 = 0.90</w:t>
      </w:r>
    </w:p>
    <w:p w14:paraId="1A9CF888" w14:textId="50111EA6" w:rsidR="00F60B77" w:rsidRPr="00734AE4" w:rsidRDefault="00F60B77" w:rsidP="00734AE4">
      <w:pPr>
        <w:pStyle w:val="ListParagraph"/>
        <w:numPr>
          <w:ilvl w:val="0"/>
          <w:numId w:val="37"/>
        </w:numPr>
        <w:spacing w:line="360" w:lineRule="auto"/>
        <w:rPr>
          <w:rFonts w:ascii="Arial" w:hAnsi="Arial" w:cs="Arial"/>
          <w:sz w:val="24"/>
          <w:szCs w:val="24"/>
        </w:rPr>
      </w:pPr>
      <w:r w:rsidRPr="00734AE4">
        <w:rPr>
          <w:rFonts w:ascii="Arial" w:hAnsi="Arial" w:cs="Arial"/>
          <w:sz w:val="24"/>
          <w:szCs w:val="24"/>
        </w:rPr>
        <w:t xml:space="preserve">Sales = </w:t>
      </w:r>
      <w:r w:rsidR="00734AE4" w:rsidRPr="00734AE4">
        <w:rPr>
          <w:rFonts w:ascii="Arial" w:hAnsi="Arial" w:cs="Arial"/>
          <w:sz w:val="24"/>
          <w:szCs w:val="24"/>
        </w:rPr>
        <w:t>£</w:t>
      </w:r>
      <w:r w:rsidRPr="00734AE4">
        <w:rPr>
          <w:rFonts w:ascii="Arial" w:hAnsi="Arial" w:cs="Arial"/>
          <w:sz w:val="24"/>
          <w:szCs w:val="24"/>
        </w:rPr>
        <w:t xml:space="preserve">394,879m; TA = </w:t>
      </w:r>
      <w:r w:rsidR="00734AE4" w:rsidRPr="00734AE4">
        <w:rPr>
          <w:rFonts w:ascii="Arial" w:hAnsi="Arial" w:cs="Arial"/>
          <w:sz w:val="24"/>
          <w:szCs w:val="24"/>
        </w:rPr>
        <w:t>£</w:t>
      </w:r>
      <w:r w:rsidRPr="00734AE4">
        <w:rPr>
          <w:rFonts w:ascii="Arial" w:hAnsi="Arial" w:cs="Arial"/>
          <w:sz w:val="24"/>
          <w:szCs w:val="24"/>
        </w:rPr>
        <w:t>323,354m → X5 = 1.22</w:t>
      </w:r>
    </w:p>
    <w:p w14:paraId="74DC92E5" w14:textId="77777777" w:rsidR="00734AE4" w:rsidRDefault="00F60B77" w:rsidP="00F60B77">
      <w:pPr>
        <w:spacing w:line="360" w:lineRule="auto"/>
        <w:rPr>
          <w:rFonts w:ascii="Arial" w:hAnsi="Arial" w:cs="Arial"/>
          <w:sz w:val="24"/>
          <w:szCs w:val="24"/>
        </w:rPr>
      </w:pPr>
      <w:r w:rsidRPr="00F60B77">
        <w:rPr>
          <w:rFonts w:ascii="Arial" w:hAnsi="Arial" w:cs="Arial"/>
          <w:sz w:val="24"/>
          <w:szCs w:val="24"/>
        </w:rPr>
        <w:t>Z = 1.2(0.26) + 1.4(0.64) + 3.3(-0.047) + 0.6(0.90) + 1.0(1.22) = 2.19</w:t>
      </w:r>
    </w:p>
    <w:p w14:paraId="71C74FE8" w14:textId="3BB02D13" w:rsidR="00734AE4" w:rsidRPr="00734AE4" w:rsidRDefault="00734AE4" w:rsidP="00F60B77">
      <w:pPr>
        <w:spacing w:line="360" w:lineRule="auto"/>
        <w:rPr>
          <w:rFonts w:ascii="Arial" w:hAnsi="Arial" w:cs="Arial"/>
          <w:sz w:val="24"/>
          <w:szCs w:val="24"/>
        </w:rPr>
      </w:pPr>
      <w:r w:rsidRPr="00734AE4">
        <w:rPr>
          <w:rFonts w:ascii="Arial" w:hAnsi="Arial" w:cs="Arial"/>
          <w:sz w:val="24"/>
          <w:szCs w:val="24"/>
        </w:rPr>
        <w:t>GE scores 2.19 which will result in the so-called Grey Zone</w:t>
      </w:r>
      <w:r w:rsidRPr="00734AE4">
        <w:rPr>
          <w:rFonts w:ascii="Arial" w:hAnsi="Arial" w:cs="Arial"/>
          <w:sz w:val="24"/>
          <w:szCs w:val="24"/>
        </w:rPr>
        <w:t xml:space="preserve">, </w:t>
      </w:r>
      <w:r w:rsidR="00421A9E" w:rsidRPr="00734AE4">
        <w:rPr>
          <w:rFonts w:ascii="Arial" w:hAnsi="Arial" w:cs="Arial"/>
          <w:sz w:val="24"/>
          <w:szCs w:val="24"/>
        </w:rPr>
        <w:t xml:space="preserve">a level reflecting significant distress but not yet certain insolvency. </w:t>
      </w:r>
      <w:r w:rsidRPr="00734AE4">
        <w:rPr>
          <w:rFonts w:ascii="Arial" w:hAnsi="Arial" w:cs="Arial"/>
          <w:sz w:val="24"/>
          <w:szCs w:val="24"/>
        </w:rPr>
        <w:t>A decline in the risk level by 3.0 in 2020 to 2.19 in 2024 indicates faster risk. Immediate reorganization and liquidity defence is important in order to avoid entering the "Distress Zone" (&lt;1.8).</w:t>
      </w:r>
    </w:p>
    <w:p w14:paraId="05276BC4" w14:textId="77777777" w:rsidR="00734AE4" w:rsidRPr="00734AE4" w:rsidRDefault="00734AE4" w:rsidP="00734AE4">
      <w:pPr>
        <w:spacing w:line="360" w:lineRule="auto"/>
        <w:rPr>
          <w:rFonts w:ascii="Arial" w:hAnsi="Arial" w:cs="Arial"/>
          <w:b/>
          <w:bCs/>
          <w:sz w:val="24"/>
          <w:szCs w:val="24"/>
        </w:rPr>
      </w:pPr>
      <w:r w:rsidRPr="00734AE4">
        <w:rPr>
          <w:rFonts w:ascii="Arial" w:hAnsi="Arial" w:cs="Arial"/>
          <w:b/>
          <w:bCs/>
          <w:sz w:val="24"/>
          <w:szCs w:val="24"/>
        </w:rPr>
        <w:t>2.8 Synthesis: A Company on Life Support.</w:t>
      </w:r>
    </w:p>
    <w:p w14:paraId="37CE94D1" w14:textId="77777777" w:rsidR="00734AE4" w:rsidRPr="00734AE4" w:rsidRDefault="00734AE4" w:rsidP="00734AE4">
      <w:pPr>
        <w:spacing w:line="360" w:lineRule="auto"/>
        <w:rPr>
          <w:rFonts w:ascii="Arial" w:hAnsi="Arial" w:cs="Arial"/>
          <w:sz w:val="24"/>
          <w:szCs w:val="24"/>
        </w:rPr>
      </w:pPr>
      <w:r w:rsidRPr="00734AE4">
        <w:rPr>
          <w:rFonts w:ascii="Arial" w:hAnsi="Arial" w:cs="Arial"/>
          <w:sz w:val="24"/>
          <w:szCs w:val="24"/>
        </w:rPr>
        <w:t>GE is in a precarious state and lacks strategic and financial health. Its traditional strength including brand equity, manufacturing capacity and positive operation cash flow are overshadowed by the structural weaknesses including sustained losses, elevated leverage and shrinking liquidity.</w:t>
      </w:r>
    </w:p>
    <w:p w14:paraId="543BAF40" w14:textId="3194E2D3" w:rsidR="00C15E6D" w:rsidRPr="0092529B" w:rsidRDefault="00C15E6D" w:rsidP="00734AE4">
      <w:pPr>
        <w:spacing w:line="360" w:lineRule="auto"/>
        <w:rPr>
          <w:rFonts w:ascii="Arial" w:hAnsi="Arial" w:cs="Arial"/>
          <w:sz w:val="24"/>
          <w:szCs w:val="24"/>
        </w:rPr>
      </w:pPr>
      <w:r w:rsidRPr="0092529B">
        <w:rPr>
          <w:rFonts w:ascii="Arial" w:hAnsi="Arial" w:cs="Arial"/>
          <w:sz w:val="24"/>
          <w:szCs w:val="24"/>
        </w:rPr>
        <w:lastRenderedPageBreak/>
        <w:t>The profitability, efficiency and solvency ratios evidence proves the fact that a company is operating in unsustainable strain. The Altman Z-Score proves the high likelihood of financial failure unless corrective actions are taken within a short period of time.</w:t>
      </w:r>
    </w:p>
    <w:p w14:paraId="10BF0A03" w14:textId="77777777" w:rsidR="00C15E6D" w:rsidRPr="0092529B" w:rsidRDefault="00C15E6D" w:rsidP="0092529B">
      <w:pPr>
        <w:spacing w:line="360" w:lineRule="auto"/>
        <w:rPr>
          <w:rFonts w:ascii="Arial" w:hAnsi="Arial" w:cs="Arial"/>
          <w:sz w:val="24"/>
          <w:szCs w:val="24"/>
        </w:rPr>
      </w:pPr>
      <w:r w:rsidRPr="0092529B">
        <w:rPr>
          <w:rFonts w:ascii="Arial" w:hAnsi="Arial" w:cs="Arial"/>
          <w:sz w:val="24"/>
          <w:szCs w:val="24"/>
        </w:rPr>
        <w:t>It is necessary to have a triage plan:</w:t>
      </w:r>
    </w:p>
    <w:p w14:paraId="0BEFCDD0" w14:textId="77777777" w:rsidR="00C15E6D" w:rsidRPr="0092529B" w:rsidRDefault="00C15E6D" w:rsidP="0092529B">
      <w:pPr>
        <w:pStyle w:val="ListParagraph"/>
        <w:numPr>
          <w:ilvl w:val="0"/>
          <w:numId w:val="71"/>
        </w:numPr>
        <w:spacing w:line="360" w:lineRule="auto"/>
        <w:rPr>
          <w:rFonts w:ascii="Arial" w:hAnsi="Arial" w:cs="Arial"/>
          <w:sz w:val="24"/>
          <w:szCs w:val="24"/>
        </w:rPr>
      </w:pPr>
      <w:r w:rsidRPr="0092529B">
        <w:rPr>
          <w:rFonts w:ascii="Arial" w:hAnsi="Arial" w:cs="Arial"/>
          <w:sz w:val="24"/>
          <w:szCs w:val="24"/>
        </w:rPr>
        <w:t>Short Term Stabilisation: Introduce emergency cost containment, discretionary spending freeze and enhance liquidity by optimising working capital.</w:t>
      </w:r>
    </w:p>
    <w:p w14:paraId="09B76B4C" w14:textId="77777777" w:rsidR="00C15E6D" w:rsidRPr="0092529B" w:rsidRDefault="00C15E6D" w:rsidP="0092529B">
      <w:pPr>
        <w:pStyle w:val="ListParagraph"/>
        <w:numPr>
          <w:ilvl w:val="0"/>
          <w:numId w:val="71"/>
        </w:numPr>
        <w:spacing w:line="360" w:lineRule="auto"/>
        <w:rPr>
          <w:rFonts w:ascii="Arial" w:hAnsi="Arial" w:cs="Arial"/>
          <w:sz w:val="24"/>
          <w:szCs w:val="24"/>
        </w:rPr>
      </w:pPr>
      <w:r w:rsidRPr="0092529B">
        <w:rPr>
          <w:rFonts w:ascii="Arial" w:hAnsi="Arial" w:cs="Arial"/>
          <w:sz w:val="24"/>
          <w:szCs w:val="24"/>
        </w:rPr>
        <w:t>Debt Surgery: Debt restructuring and asset disposals should be pursued in order to deleverage the balance sheet.</w:t>
      </w:r>
    </w:p>
    <w:p w14:paraId="5C9C0811" w14:textId="77777777" w:rsidR="00C15E6D" w:rsidRPr="0092529B" w:rsidRDefault="00C15E6D" w:rsidP="0092529B">
      <w:pPr>
        <w:pStyle w:val="ListParagraph"/>
        <w:numPr>
          <w:ilvl w:val="0"/>
          <w:numId w:val="71"/>
        </w:numPr>
        <w:spacing w:line="360" w:lineRule="auto"/>
        <w:rPr>
          <w:rFonts w:ascii="Arial" w:hAnsi="Arial" w:cs="Arial"/>
          <w:sz w:val="24"/>
          <w:szCs w:val="24"/>
        </w:rPr>
      </w:pPr>
      <w:r w:rsidRPr="0092529B">
        <w:rPr>
          <w:rFonts w:ascii="Arial" w:hAnsi="Arial" w:cs="Arial"/>
          <w:sz w:val="24"/>
          <w:szCs w:val="24"/>
        </w:rPr>
        <w:t>Strategic Rehabilitation: Invest in high margin innovation driven segments to recover sustainable profitability.</w:t>
      </w:r>
    </w:p>
    <w:p w14:paraId="08F5AC2F" w14:textId="68EE5CA0" w:rsidR="00421A9E" w:rsidRPr="0092529B" w:rsidRDefault="00C15E6D" w:rsidP="0092529B">
      <w:pPr>
        <w:spacing w:line="360" w:lineRule="auto"/>
        <w:rPr>
          <w:rFonts w:ascii="Arial" w:hAnsi="Arial" w:cs="Arial"/>
          <w:sz w:val="24"/>
          <w:szCs w:val="24"/>
        </w:rPr>
      </w:pPr>
      <w:r w:rsidRPr="0092529B">
        <w:rPr>
          <w:rFonts w:ascii="Arial" w:hAnsi="Arial" w:cs="Arial"/>
          <w:sz w:val="24"/>
          <w:szCs w:val="24"/>
        </w:rPr>
        <w:t>In short, the financial health diagnosis of GE reveals an image of a firm that is in life or death situation- it is still operating on its leftover operational capabilities but needs bold restructuring to prevent corporate death. Late response would probably turn misery into bankruptcy.</w:t>
      </w:r>
    </w:p>
    <w:p w14:paraId="172DB457" w14:textId="03E3CABD" w:rsidR="00421A9E" w:rsidRPr="0092529B" w:rsidRDefault="00421A9E" w:rsidP="0092529B">
      <w:pPr>
        <w:spacing w:line="360" w:lineRule="auto"/>
        <w:rPr>
          <w:rFonts w:ascii="Arial" w:hAnsi="Arial" w:cs="Arial"/>
          <w:sz w:val="24"/>
          <w:szCs w:val="24"/>
        </w:rPr>
      </w:pPr>
    </w:p>
    <w:p w14:paraId="2414E4AC" w14:textId="77777777"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3.0 Working Capital Rescue Plan</w:t>
      </w:r>
    </w:p>
    <w:p w14:paraId="509558E6" w14:textId="77777777"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3.1 The Liquidity Lifeline</w:t>
      </w:r>
    </w:p>
    <w:p w14:paraId="324FC50F" w14:textId="22431BDD"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 xml:space="preserve">The most pressing issue of the operation of GE is working capital which is computed as the difference between current assets and current liabilities. It was at </w:t>
      </w:r>
      <w:r w:rsidR="007B19CA">
        <w:rPr>
          <w:rFonts w:ascii="Arial" w:hAnsi="Arial" w:cs="Arial"/>
          <w:sz w:val="24"/>
          <w:szCs w:val="24"/>
        </w:rPr>
        <w:t>£</w:t>
      </w:r>
      <w:r w:rsidRPr="0092529B">
        <w:rPr>
          <w:rFonts w:ascii="Arial" w:hAnsi="Arial" w:cs="Arial"/>
          <w:sz w:val="24"/>
          <w:szCs w:val="24"/>
        </w:rPr>
        <w:t xml:space="preserve">84.2 billion in 2024, which is a large amount, but employed inefficiently. The task can be stated in the following way: to transform idle resources into cash without affecting the operations. The cash converted cycle (CCC) releases around </w:t>
      </w:r>
      <w:r w:rsidR="007B19CA">
        <w:rPr>
          <w:rFonts w:ascii="Arial" w:hAnsi="Arial" w:cs="Arial"/>
          <w:sz w:val="24"/>
          <w:szCs w:val="24"/>
        </w:rPr>
        <w:t>£</w:t>
      </w:r>
      <w:r w:rsidRPr="0092529B">
        <w:rPr>
          <w:rFonts w:ascii="Arial" w:hAnsi="Arial" w:cs="Arial"/>
          <w:sz w:val="24"/>
          <w:szCs w:val="24"/>
        </w:rPr>
        <w:t>700 million of cash every day, which is the basis of 2024 sales, and this is why the operational cash flow management is strategic.</w:t>
      </w:r>
    </w:p>
    <w:p w14:paraId="2C70F8FD" w14:textId="31070B0A" w:rsidR="00421A9E" w:rsidRPr="0092529B" w:rsidRDefault="006C6878" w:rsidP="0092529B">
      <w:pPr>
        <w:spacing w:line="360" w:lineRule="auto"/>
        <w:rPr>
          <w:rFonts w:ascii="Arial" w:hAnsi="Arial" w:cs="Arial"/>
          <w:sz w:val="24"/>
          <w:szCs w:val="24"/>
        </w:rPr>
      </w:pPr>
      <w:r w:rsidRPr="0092529B">
        <w:rPr>
          <w:rFonts w:ascii="Arial" w:hAnsi="Arial" w:cs="Arial"/>
          <w:sz w:val="24"/>
          <w:szCs w:val="24"/>
        </w:rPr>
        <w:br w:type="page"/>
      </w:r>
    </w:p>
    <w:p w14:paraId="3947AF02" w14:textId="77777777"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lastRenderedPageBreak/>
        <w:t>3.2 Cash Conversion Cycle Breakdown</w:t>
      </w:r>
    </w:p>
    <w:p w14:paraId="0E11C269" w14:textId="77777777" w:rsidR="00421A9E" w:rsidRPr="0092529B" w:rsidRDefault="00421A9E" w:rsidP="0092529B">
      <w:pPr>
        <w:spacing w:line="360" w:lineRule="auto"/>
        <w:rPr>
          <w:rFonts w:ascii="Arial" w:hAnsi="Arial" w:cs="Arial"/>
          <w:sz w:val="24"/>
          <w:szCs w:val="24"/>
        </w:rPr>
      </w:pPr>
      <w:r w:rsidRPr="0092529B">
        <w:rPr>
          <w:rFonts w:ascii="Arial" w:hAnsi="Arial" w:cs="Arial"/>
          <w:sz w:val="24"/>
          <w:szCs w:val="24"/>
        </w:rPr>
        <w:t>Table 5: CCC Components (2020–2024)</w:t>
      </w:r>
    </w:p>
    <w:tbl>
      <w:tblPr>
        <w:tblStyle w:val="TableGrid"/>
        <w:tblW w:w="0" w:type="auto"/>
        <w:tblLook w:val="04A0" w:firstRow="1" w:lastRow="0" w:firstColumn="1" w:lastColumn="0" w:noHBand="0" w:noVBand="1"/>
      </w:tblPr>
      <w:tblGrid>
        <w:gridCol w:w="750"/>
        <w:gridCol w:w="1416"/>
        <w:gridCol w:w="1510"/>
        <w:gridCol w:w="1510"/>
        <w:gridCol w:w="1510"/>
      </w:tblGrid>
      <w:tr w:rsidR="00421A9E" w:rsidRPr="0092529B" w14:paraId="223989A2" w14:textId="77777777" w:rsidTr="00E86675">
        <w:tc>
          <w:tcPr>
            <w:tcW w:w="0" w:type="auto"/>
            <w:hideMark/>
          </w:tcPr>
          <w:p w14:paraId="5A5BF216"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Year</w:t>
            </w:r>
          </w:p>
        </w:tc>
        <w:tc>
          <w:tcPr>
            <w:tcW w:w="0" w:type="auto"/>
            <w:hideMark/>
          </w:tcPr>
          <w:p w14:paraId="14631BD3"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DIO (Days)</w:t>
            </w:r>
          </w:p>
        </w:tc>
        <w:tc>
          <w:tcPr>
            <w:tcW w:w="0" w:type="auto"/>
            <w:hideMark/>
          </w:tcPr>
          <w:p w14:paraId="392F1B5C"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DSO (Days)</w:t>
            </w:r>
          </w:p>
        </w:tc>
        <w:tc>
          <w:tcPr>
            <w:tcW w:w="0" w:type="auto"/>
            <w:hideMark/>
          </w:tcPr>
          <w:p w14:paraId="5F396A9E"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DPO (Days)</w:t>
            </w:r>
          </w:p>
        </w:tc>
        <w:tc>
          <w:tcPr>
            <w:tcW w:w="0" w:type="auto"/>
            <w:hideMark/>
          </w:tcPr>
          <w:p w14:paraId="38BC133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CCC (Days)</w:t>
            </w:r>
          </w:p>
        </w:tc>
      </w:tr>
      <w:tr w:rsidR="00421A9E" w:rsidRPr="0092529B" w14:paraId="6ADB992E" w14:textId="77777777" w:rsidTr="00E86675">
        <w:tc>
          <w:tcPr>
            <w:tcW w:w="0" w:type="auto"/>
            <w:hideMark/>
          </w:tcPr>
          <w:p w14:paraId="1461DA3B"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2020</w:t>
            </w:r>
          </w:p>
        </w:tc>
        <w:tc>
          <w:tcPr>
            <w:tcW w:w="0" w:type="auto"/>
            <w:hideMark/>
          </w:tcPr>
          <w:p w14:paraId="08FDBCC3"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100</w:t>
            </w:r>
          </w:p>
        </w:tc>
        <w:tc>
          <w:tcPr>
            <w:tcW w:w="0" w:type="auto"/>
            <w:hideMark/>
          </w:tcPr>
          <w:p w14:paraId="093F489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77</w:t>
            </w:r>
          </w:p>
        </w:tc>
        <w:tc>
          <w:tcPr>
            <w:tcW w:w="0" w:type="auto"/>
            <w:hideMark/>
          </w:tcPr>
          <w:p w14:paraId="5BD01108"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48</w:t>
            </w:r>
          </w:p>
        </w:tc>
        <w:tc>
          <w:tcPr>
            <w:tcW w:w="0" w:type="auto"/>
            <w:hideMark/>
          </w:tcPr>
          <w:p w14:paraId="582A53BF"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129</w:t>
            </w:r>
          </w:p>
        </w:tc>
      </w:tr>
      <w:tr w:rsidR="00421A9E" w:rsidRPr="0092529B" w14:paraId="51F83F64" w14:textId="77777777" w:rsidTr="00E86675">
        <w:tc>
          <w:tcPr>
            <w:tcW w:w="0" w:type="auto"/>
            <w:hideMark/>
          </w:tcPr>
          <w:p w14:paraId="05906EE7"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2021</w:t>
            </w:r>
          </w:p>
        </w:tc>
        <w:tc>
          <w:tcPr>
            <w:tcW w:w="0" w:type="auto"/>
            <w:hideMark/>
          </w:tcPr>
          <w:p w14:paraId="10FB4AB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114</w:t>
            </w:r>
          </w:p>
        </w:tc>
        <w:tc>
          <w:tcPr>
            <w:tcW w:w="0" w:type="auto"/>
            <w:hideMark/>
          </w:tcPr>
          <w:p w14:paraId="136D39AD"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78</w:t>
            </w:r>
          </w:p>
        </w:tc>
        <w:tc>
          <w:tcPr>
            <w:tcW w:w="0" w:type="auto"/>
            <w:hideMark/>
          </w:tcPr>
          <w:p w14:paraId="604A5F5D"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56</w:t>
            </w:r>
          </w:p>
        </w:tc>
        <w:tc>
          <w:tcPr>
            <w:tcW w:w="0" w:type="auto"/>
            <w:hideMark/>
          </w:tcPr>
          <w:p w14:paraId="2039517F"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136</w:t>
            </w:r>
          </w:p>
        </w:tc>
      </w:tr>
      <w:tr w:rsidR="00421A9E" w:rsidRPr="0092529B" w14:paraId="2C43BE89" w14:textId="77777777" w:rsidTr="00E86675">
        <w:tc>
          <w:tcPr>
            <w:tcW w:w="0" w:type="auto"/>
            <w:hideMark/>
          </w:tcPr>
          <w:p w14:paraId="3BA4B96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2022</w:t>
            </w:r>
          </w:p>
        </w:tc>
        <w:tc>
          <w:tcPr>
            <w:tcW w:w="0" w:type="auto"/>
            <w:hideMark/>
          </w:tcPr>
          <w:p w14:paraId="396917E8"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131</w:t>
            </w:r>
          </w:p>
        </w:tc>
        <w:tc>
          <w:tcPr>
            <w:tcW w:w="0" w:type="auto"/>
            <w:hideMark/>
          </w:tcPr>
          <w:p w14:paraId="0FC6EC50"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75</w:t>
            </w:r>
          </w:p>
        </w:tc>
        <w:tc>
          <w:tcPr>
            <w:tcW w:w="0" w:type="auto"/>
            <w:hideMark/>
          </w:tcPr>
          <w:p w14:paraId="5D64620C"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65</w:t>
            </w:r>
          </w:p>
        </w:tc>
        <w:tc>
          <w:tcPr>
            <w:tcW w:w="0" w:type="auto"/>
            <w:hideMark/>
          </w:tcPr>
          <w:p w14:paraId="6F124DE8"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141</w:t>
            </w:r>
          </w:p>
        </w:tc>
      </w:tr>
      <w:tr w:rsidR="00421A9E" w:rsidRPr="0092529B" w14:paraId="3BA07877" w14:textId="77777777" w:rsidTr="00E86675">
        <w:tc>
          <w:tcPr>
            <w:tcW w:w="0" w:type="auto"/>
            <w:hideMark/>
          </w:tcPr>
          <w:p w14:paraId="3DF14DFC"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2023</w:t>
            </w:r>
          </w:p>
        </w:tc>
        <w:tc>
          <w:tcPr>
            <w:tcW w:w="0" w:type="auto"/>
            <w:hideMark/>
          </w:tcPr>
          <w:p w14:paraId="6D498992"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100</w:t>
            </w:r>
          </w:p>
        </w:tc>
        <w:tc>
          <w:tcPr>
            <w:tcW w:w="0" w:type="auto"/>
            <w:hideMark/>
          </w:tcPr>
          <w:p w14:paraId="392F9BC1"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98</w:t>
            </w:r>
          </w:p>
        </w:tc>
        <w:tc>
          <w:tcPr>
            <w:tcW w:w="0" w:type="auto"/>
            <w:hideMark/>
          </w:tcPr>
          <w:p w14:paraId="7276FC60"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61</w:t>
            </w:r>
          </w:p>
        </w:tc>
        <w:tc>
          <w:tcPr>
            <w:tcW w:w="0" w:type="auto"/>
            <w:hideMark/>
          </w:tcPr>
          <w:p w14:paraId="59BCD0BB"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137</w:t>
            </w:r>
          </w:p>
        </w:tc>
      </w:tr>
      <w:tr w:rsidR="00421A9E" w:rsidRPr="0092529B" w14:paraId="7893E47F" w14:textId="77777777" w:rsidTr="00E86675">
        <w:tc>
          <w:tcPr>
            <w:tcW w:w="0" w:type="auto"/>
            <w:hideMark/>
          </w:tcPr>
          <w:p w14:paraId="163A419A"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2024</w:t>
            </w:r>
          </w:p>
        </w:tc>
        <w:tc>
          <w:tcPr>
            <w:tcW w:w="0" w:type="auto"/>
            <w:hideMark/>
          </w:tcPr>
          <w:p w14:paraId="53F378A7"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103</w:t>
            </w:r>
          </w:p>
        </w:tc>
        <w:tc>
          <w:tcPr>
            <w:tcW w:w="0" w:type="auto"/>
            <w:hideMark/>
          </w:tcPr>
          <w:p w14:paraId="3E6871FD"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105</w:t>
            </w:r>
          </w:p>
        </w:tc>
        <w:tc>
          <w:tcPr>
            <w:tcW w:w="0" w:type="auto"/>
            <w:hideMark/>
          </w:tcPr>
          <w:p w14:paraId="47E9D026"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67</w:t>
            </w:r>
          </w:p>
        </w:tc>
        <w:tc>
          <w:tcPr>
            <w:tcW w:w="0" w:type="auto"/>
            <w:hideMark/>
          </w:tcPr>
          <w:p w14:paraId="6FE32874" w14:textId="77777777" w:rsidR="00421A9E" w:rsidRPr="0092529B" w:rsidRDefault="00421A9E" w:rsidP="0092529B">
            <w:pPr>
              <w:spacing w:after="160" w:line="360" w:lineRule="auto"/>
              <w:rPr>
                <w:rFonts w:ascii="Arial" w:hAnsi="Arial" w:cs="Arial"/>
                <w:sz w:val="24"/>
                <w:szCs w:val="24"/>
              </w:rPr>
            </w:pPr>
            <w:r w:rsidRPr="0092529B">
              <w:rPr>
                <w:rFonts w:ascii="Arial" w:hAnsi="Arial" w:cs="Arial"/>
                <w:sz w:val="24"/>
                <w:szCs w:val="24"/>
              </w:rPr>
              <w:t>141</w:t>
            </w:r>
          </w:p>
        </w:tc>
      </w:tr>
    </w:tbl>
    <w:p w14:paraId="75717FCD" w14:textId="77777777" w:rsidR="006C6878" w:rsidRPr="0092529B" w:rsidRDefault="006C6878" w:rsidP="0092529B">
      <w:pPr>
        <w:spacing w:line="360" w:lineRule="auto"/>
        <w:rPr>
          <w:rFonts w:ascii="Arial" w:hAnsi="Arial" w:cs="Arial"/>
          <w:sz w:val="24"/>
          <w:szCs w:val="24"/>
        </w:rPr>
      </w:pPr>
    </w:p>
    <w:p w14:paraId="2C312071" w14:textId="5F68F371" w:rsidR="00421A9E" w:rsidRPr="0092529B" w:rsidRDefault="006C6878" w:rsidP="0092529B">
      <w:pPr>
        <w:spacing w:line="360" w:lineRule="auto"/>
        <w:rPr>
          <w:rFonts w:ascii="Arial" w:hAnsi="Arial" w:cs="Arial"/>
          <w:b/>
          <w:bCs/>
          <w:sz w:val="24"/>
          <w:szCs w:val="24"/>
        </w:rPr>
      </w:pPr>
      <w:r w:rsidRPr="0092529B">
        <w:rPr>
          <w:rFonts w:ascii="Arial" w:hAnsi="Arial" w:cs="Arial"/>
          <w:sz w:val="24"/>
          <w:szCs w:val="24"/>
        </w:rPr>
        <w:t>In the course of more than five years the CCC increased 129 days to 141 days, which represents the 12 extra days of cash tied-up in operations. The main ones are an increase in DSO (Days Sales Outstanding) by 28 days and continued high DIO ( Days Inventory Outstanding) of over 100 days. To solve these inefficiencies, there should be a two-fold attention to receivables and inventory.</w:t>
      </w:r>
    </w:p>
    <w:p w14:paraId="73B66943" w14:textId="77777777"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3.3 Receivables Revolution</w:t>
      </w:r>
    </w:p>
    <w:p w14:paraId="78A4F3AA" w14:textId="07A59F1E"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 xml:space="preserve">In 2024, trade receivables were </w:t>
      </w:r>
      <w:r w:rsidR="007B19CA">
        <w:rPr>
          <w:rFonts w:ascii="Arial" w:hAnsi="Arial" w:cs="Arial"/>
          <w:sz w:val="24"/>
          <w:szCs w:val="24"/>
        </w:rPr>
        <w:t>£</w:t>
      </w:r>
      <w:r w:rsidRPr="0092529B">
        <w:rPr>
          <w:rFonts w:ascii="Arial" w:hAnsi="Arial" w:cs="Arial"/>
          <w:sz w:val="24"/>
          <w:szCs w:val="24"/>
        </w:rPr>
        <w:t xml:space="preserve">114.2billion which was 28.9% of the sales compared to </w:t>
      </w:r>
      <w:r w:rsidR="007B19CA">
        <w:rPr>
          <w:rFonts w:ascii="Arial" w:hAnsi="Arial" w:cs="Arial"/>
          <w:sz w:val="24"/>
          <w:szCs w:val="24"/>
        </w:rPr>
        <w:t>£</w:t>
      </w:r>
      <w:r w:rsidRPr="0092529B">
        <w:rPr>
          <w:rFonts w:ascii="Arial" w:hAnsi="Arial" w:cs="Arial"/>
          <w:sz w:val="24"/>
          <w:szCs w:val="24"/>
        </w:rPr>
        <w:t>20.7 in 2020. This is not a growth that is occasioned by the rise in revenue but in the form of lax credit policies which are an indication of credit indiscipline.</w:t>
      </w:r>
    </w:p>
    <w:p w14:paraId="6B24BF76" w14:textId="77777777"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Action Plan:</w:t>
      </w:r>
    </w:p>
    <w:p w14:paraId="7BD1F1B2" w14:textId="6707EBFA" w:rsidR="006C6878" w:rsidRPr="0092529B" w:rsidRDefault="006C6878" w:rsidP="0092529B">
      <w:pPr>
        <w:pStyle w:val="ListParagraph"/>
        <w:numPr>
          <w:ilvl w:val="0"/>
          <w:numId w:val="72"/>
        </w:numPr>
        <w:spacing w:line="360" w:lineRule="auto"/>
        <w:rPr>
          <w:rFonts w:ascii="Arial" w:hAnsi="Arial" w:cs="Arial"/>
          <w:sz w:val="24"/>
          <w:szCs w:val="24"/>
        </w:rPr>
      </w:pPr>
      <w:r w:rsidRPr="0092529B">
        <w:rPr>
          <w:rFonts w:ascii="Arial" w:hAnsi="Arial" w:cs="Arial"/>
          <w:sz w:val="24"/>
          <w:szCs w:val="24"/>
        </w:rPr>
        <w:t xml:space="preserve">Dynamic Discounting: Have a 2 per cent discount on a payment within 15 days. Anticipated result: DSO will be reduced by 25 days, which will release </w:t>
      </w:r>
      <w:r w:rsidR="007B19CA">
        <w:rPr>
          <w:rFonts w:ascii="Arial" w:hAnsi="Arial" w:cs="Arial"/>
          <w:sz w:val="24"/>
          <w:szCs w:val="24"/>
        </w:rPr>
        <w:t>£</w:t>
      </w:r>
      <w:r w:rsidRPr="0092529B">
        <w:rPr>
          <w:rFonts w:ascii="Arial" w:hAnsi="Arial" w:cs="Arial"/>
          <w:sz w:val="24"/>
          <w:szCs w:val="24"/>
        </w:rPr>
        <w:t>22 billion cash (McKinsey, 2024).</w:t>
      </w:r>
    </w:p>
    <w:p w14:paraId="40324628" w14:textId="77777777" w:rsidR="006C6878" w:rsidRPr="0092529B" w:rsidRDefault="006C6878" w:rsidP="0092529B">
      <w:pPr>
        <w:pStyle w:val="ListParagraph"/>
        <w:numPr>
          <w:ilvl w:val="0"/>
          <w:numId w:val="72"/>
        </w:numPr>
        <w:spacing w:line="360" w:lineRule="auto"/>
        <w:rPr>
          <w:rFonts w:ascii="Arial" w:hAnsi="Arial" w:cs="Arial"/>
          <w:sz w:val="24"/>
          <w:szCs w:val="24"/>
        </w:rPr>
      </w:pPr>
      <w:r w:rsidRPr="0092529B">
        <w:rPr>
          <w:rFonts w:ascii="Arial" w:hAnsi="Arial" w:cs="Arial"/>
          <w:sz w:val="24"/>
          <w:szCs w:val="24"/>
        </w:rPr>
        <w:t>AI-Powered Credit Scoring: Introduce machine learning systems to evaluate risk of a client in real time and mark-high risk accounts to prepay or offer more strict terms.</w:t>
      </w:r>
    </w:p>
    <w:p w14:paraId="4A591EA7" w14:textId="63BA362F" w:rsidR="00421A9E" w:rsidRPr="0092529B" w:rsidRDefault="006C6878" w:rsidP="0092529B">
      <w:pPr>
        <w:pStyle w:val="ListParagraph"/>
        <w:numPr>
          <w:ilvl w:val="0"/>
          <w:numId w:val="72"/>
        </w:numPr>
        <w:spacing w:line="360" w:lineRule="auto"/>
        <w:rPr>
          <w:rFonts w:ascii="Arial" w:hAnsi="Arial" w:cs="Arial"/>
          <w:b/>
          <w:bCs/>
          <w:sz w:val="24"/>
          <w:szCs w:val="24"/>
        </w:rPr>
      </w:pPr>
      <w:r w:rsidRPr="0092529B">
        <w:rPr>
          <w:rFonts w:ascii="Arial" w:hAnsi="Arial" w:cs="Arial"/>
          <w:sz w:val="24"/>
          <w:szCs w:val="24"/>
        </w:rPr>
        <w:lastRenderedPageBreak/>
        <w:t>Lockbox Systems/Automated Collections: Collaborate with the banks to fasten the cheque processing and to automated payment collection through API integration to enhance the cash inflows.</w:t>
      </w:r>
    </w:p>
    <w:p w14:paraId="57F9C7A1" w14:textId="77777777"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3.4 Inventory Overhaul</w:t>
      </w:r>
    </w:p>
    <w:p w14:paraId="2DE53EC2" w14:textId="073D357C"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 xml:space="preserve">GE inventory turnover of 3.54x means that it has a stock unsold in 103 days, which is very high compared to the 70-day industry average, and the obsolescence costs of about </w:t>
      </w:r>
      <w:r w:rsidR="007B19CA">
        <w:rPr>
          <w:rFonts w:ascii="Arial" w:hAnsi="Arial" w:cs="Arial"/>
          <w:sz w:val="24"/>
          <w:szCs w:val="24"/>
        </w:rPr>
        <w:t>£</w:t>
      </w:r>
      <w:r w:rsidRPr="0092529B">
        <w:rPr>
          <w:rFonts w:ascii="Arial" w:hAnsi="Arial" w:cs="Arial"/>
          <w:sz w:val="24"/>
          <w:szCs w:val="24"/>
        </w:rPr>
        <w:t>1.2 billion a year.</w:t>
      </w:r>
    </w:p>
    <w:p w14:paraId="4EA56175" w14:textId="77777777"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Action Plan:</w:t>
      </w:r>
    </w:p>
    <w:p w14:paraId="39989C32" w14:textId="77777777" w:rsidR="006C6878" w:rsidRPr="0092529B" w:rsidRDefault="006C6878" w:rsidP="0092529B">
      <w:pPr>
        <w:pStyle w:val="ListParagraph"/>
        <w:numPr>
          <w:ilvl w:val="0"/>
          <w:numId w:val="73"/>
        </w:numPr>
        <w:spacing w:line="360" w:lineRule="auto"/>
        <w:rPr>
          <w:rFonts w:ascii="Arial" w:hAnsi="Arial" w:cs="Arial"/>
          <w:sz w:val="24"/>
          <w:szCs w:val="24"/>
        </w:rPr>
      </w:pPr>
      <w:r w:rsidRPr="0092529B">
        <w:rPr>
          <w:rFonts w:ascii="Arial" w:hAnsi="Arial" w:cs="Arial"/>
          <w:sz w:val="24"/>
          <w:szCs w:val="24"/>
        </w:rPr>
        <w:t>Just-in-Time (JIT) Manufacturing with Buffer Zones: minimize the overstocking, but still have strategic safety stock of important parts.</w:t>
      </w:r>
    </w:p>
    <w:p w14:paraId="2EAD0A13" w14:textId="77777777" w:rsidR="006C6878" w:rsidRPr="0092529B" w:rsidRDefault="006C6878" w:rsidP="0092529B">
      <w:pPr>
        <w:pStyle w:val="ListParagraph"/>
        <w:numPr>
          <w:ilvl w:val="0"/>
          <w:numId w:val="73"/>
        </w:numPr>
        <w:spacing w:line="360" w:lineRule="auto"/>
        <w:rPr>
          <w:rFonts w:ascii="Arial" w:hAnsi="Arial" w:cs="Arial"/>
          <w:sz w:val="24"/>
          <w:szCs w:val="24"/>
        </w:rPr>
      </w:pPr>
      <w:r w:rsidRPr="0092529B">
        <w:rPr>
          <w:rFonts w:ascii="Arial" w:hAnsi="Arial" w:cs="Arial"/>
          <w:sz w:val="24"/>
          <w:szCs w:val="24"/>
        </w:rPr>
        <w:t>Demand Sensing Predictive Analytics: Use AI to predict regional demand spikes, which will reduce the overproduction. It is advisable to use pilot programs that use the Accenture supply chain AI (Accenture, 2024).</w:t>
      </w:r>
    </w:p>
    <w:p w14:paraId="1288B727" w14:textId="3F68418F" w:rsidR="00421A9E" w:rsidRPr="0092529B" w:rsidRDefault="006C6878" w:rsidP="0092529B">
      <w:pPr>
        <w:pStyle w:val="ListParagraph"/>
        <w:numPr>
          <w:ilvl w:val="0"/>
          <w:numId w:val="73"/>
        </w:numPr>
        <w:spacing w:line="360" w:lineRule="auto"/>
        <w:rPr>
          <w:rFonts w:ascii="Arial" w:hAnsi="Arial" w:cs="Arial"/>
          <w:b/>
          <w:bCs/>
          <w:sz w:val="24"/>
          <w:szCs w:val="24"/>
        </w:rPr>
      </w:pPr>
      <w:r w:rsidRPr="0092529B">
        <w:rPr>
          <w:rFonts w:ascii="Arial" w:hAnsi="Arial" w:cs="Arial"/>
          <w:sz w:val="24"/>
          <w:szCs w:val="24"/>
        </w:rPr>
        <w:t>Consignment Warehousing: Move slow moving inventory over to third party logistics partners but pay only upon sale. This saves the carrying costs by about 30%.</w:t>
      </w:r>
    </w:p>
    <w:p w14:paraId="21E7061F" w14:textId="77777777"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3.5 Payables: Ethical Stretching</w:t>
      </w:r>
    </w:p>
    <w:p w14:paraId="364E80EF" w14:textId="77777777"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The contentious nature of Ethical Stretching in Payables.</w:t>
      </w:r>
    </w:p>
    <w:p w14:paraId="7CB52B2F" w14:textId="0371F5F6"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 xml:space="preserve">Accounts payable increased to </w:t>
      </w:r>
      <w:r w:rsidR="007B19CA">
        <w:rPr>
          <w:rFonts w:ascii="Arial" w:hAnsi="Arial" w:cs="Arial"/>
          <w:sz w:val="24"/>
          <w:szCs w:val="24"/>
        </w:rPr>
        <w:t>£</w:t>
      </w:r>
      <w:r w:rsidRPr="0092529B">
        <w:rPr>
          <w:rFonts w:ascii="Arial" w:hAnsi="Arial" w:cs="Arial"/>
          <w:sz w:val="24"/>
          <w:szCs w:val="24"/>
        </w:rPr>
        <w:t>72billion (67 days) which gives short-term liquidity and puts a strain on the suppliers, which may lead to the disruption of the supply chain.</w:t>
      </w:r>
    </w:p>
    <w:p w14:paraId="4D46AC86" w14:textId="77777777"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Action Plan:</w:t>
      </w:r>
    </w:p>
    <w:p w14:paraId="2B5573A9" w14:textId="77777777" w:rsidR="006C6878" w:rsidRPr="0092529B" w:rsidRDefault="006C6878" w:rsidP="0092529B">
      <w:pPr>
        <w:pStyle w:val="ListParagraph"/>
        <w:numPr>
          <w:ilvl w:val="0"/>
          <w:numId w:val="74"/>
        </w:numPr>
        <w:spacing w:line="360" w:lineRule="auto"/>
        <w:rPr>
          <w:rFonts w:ascii="Arial" w:hAnsi="Arial" w:cs="Arial"/>
          <w:sz w:val="24"/>
          <w:szCs w:val="24"/>
        </w:rPr>
      </w:pPr>
      <w:r w:rsidRPr="0092529B">
        <w:rPr>
          <w:rFonts w:ascii="Arial" w:hAnsi="Arial" w:cs="Arial"/>
          <w:sz w:val="24"/>
          <w:szCs w:val="24"/>
        </w:rPr>
        <w:t>Supply Chain Finance (SCF): This involves use of reverse factoring, in which the supplier is paid early by the bank and repaid by GE to the bank later without any negative impact on the supplier (EY, 2024).</w:t>
      </w:r>
    </w:p>
    <w:p w14:paraId="0842F237" w14:textId="77777777" w:rsidR="006C6878" w:rsidRPr="0092529B" w:rsidRDefault="006C6878" w:rsidP="0092529B">
      <w:pPr>
        <w:pStyle w:val="ListParagraph"/>
        <w:numPr>
          <w:ilvl w:val="0"/>
          <w:numId w:val="74"/>
        </w:numPr>
        <w:spacing w:line="360" w:lineRule="auto"/>
        <w:rPr>
          <w:rFonts w:ascii="Arial" w:hAnsi="Arial" w:cs="Arial"/>
          <w:sz w:val="24"/>
          <w:szCs w:val="24"/>
        </w:rPr>
      </w:pPr>
      <w:r w:rsidRPr="0092529B">
        <w:rPr>
          <w:rFonts w:ascii="Arial" w:hAnsi="Arial" w:cs="Arial"/>
          <w:sz w:val="24"/>
          <w:szCs w:val="24"/>
        </w:rPr>
        <w:t>Tiered Payment Terms: Provide early payment discounts to the highest ranked suppliers and postpone the payment terms of commoditised inputs.</w:t>
      </w:r>
    </w:p>
    <w:p w14:paraId="42F07D47" w14:textId="040D70F0" w:rsidR="00421A9E" w:rsidRPr="0092529B" w:rsidRDefault="006C6878" w:rsidP="0092529B">
      <w:pPr>
        <w:pStyle w:val="ListParagraph"/>
        <w:numPr>
          <w:ilvl w:val="0"/>
          <w:numId w:val="74"/>
        </w:numPr>
        <w:spacing w:line="360" w:lineRule="auto"/>
        <w:rPr>
          <w:rFonts w:ascii="Arial" w:hAnsi="Arial" w:cs="Arial"/>
          <w:b/>
          <w:bCs/>
          <w:sz w:val="24"/>
          <w:szCs w:val="24"/>
        </w:rPr>
      </w:pPr>
      <w:r w:rsidRPr="0092529B">
        <w:rPr>
          <w:rFonts w:ascii="Arial" w:hAnsi="Arial" w:cs="Arial"/>
          <w:sz w:val="24"/>
          <w:szCs w:val="24"/>
        </w:rPr>
        <w:t>Blockchain Investigations: Automate invoice authentication and dispute resolution, cutting processing time by up to 40</w:t>
      </w:r>
      <w:r w:rsidRPr="0092529B">
        <w:rPr>
          <w:rFonts w:ascii="Arial" w:hAnsi="Arial" w:cs="Arial"/>
          <w:sz w:val="24"/>
          <w:szCs w:val="24"/>
        </w:rPr>
        <w:t>%</w:t>
      </w:r>
      <w:r w:rsidRPr="0092529B">
        <w:rPr>
          <w:rFonts w:ascii="Arial" w:hAnsi="Arial" w:cs="Arial"/>
          <w:sz w:val="24"/>
          <w:szCs w:val="24"/>
        </w:rPr>
        <w:t>.</w:t>
      </w:r>
    </w:p>
    <w:p w14:paraId="3385B81B" w14:textId="77777777" w:rsidR="006C6878" w:rsidRPr="0092529B" w:rsidRDefault="006C6878" w:rsidP="0092529B">
      <w:pPr>
        <w:spacing w:line="360" w:lineRule="auto"/>
        <w:rPr>
          <w:rFonts w:ascii="Arial" w:hAnsi="Arial" w:cs="Arial"/>
          <w:b/>
          <w:bCs/>
          <w:sz w:val="24"/>
          <w:szCs w:val="24"/>
        </w:rPr>
      </w:pPr>
      <w:r w:rsidRPr="0092529B">
        <w:rPr>
          <w:rFonts w:ascii="Arial" w:hAnsi="Arial" w:cs="Arial"/>
          <w:b/>
          <w:bCs/>
          <w:sz w:val="24"/>
          <w:szCs w:val="24"/>
        </w:rPr>
        <w:br w:type="page"/>
      </w:r>
    </w:p>
    <w:p w14:paraId="1F02E97B" w14:textId="1441988B"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lastRenderedPageBreak/>
        <w:t>3.6 Financing the Transition</w:t>
      </w:r>
    </w:p>
    <w:p w14:paraId="4898BDFC" w14:textId="77777777"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Ethical, low-cost financing: Operational reforms need to have ethical financing to accompany them.</w:t>
      </w:r>
    </w:p>
    <w:p w14:paraId="26BD4D0E" w14:textId="77BDEA96" w:rsidR="006C6878" w:rsidRPr="0092529B" w:rsidRDefault="006C6878" w:rsidP="0092529B">
      <w:pPr>
        <w:pStyle w:val="ListParagraph"/>
        <w:numPr>
          <w:ilvl w:val="0"/>
          <w:numId w:val="75"/>
        </w:numPr>
        <w:spacing w:line="360" w:lineRule="auto"/>
        <w:rPr>
          <w:rFonts w:ascii="Arial" w:hAnsi="Arial" w:cs="Arial"/>
          <w:sz w:val="24"/>
          <w:szCs w:val="24"/>
        </w:rPr>
      </w:pPr>
      <w:r w:rsidRPr="0092529B">
        <w:rPr>
          <w:rFonts w:ascii="Arial" w:hAnsi="Arial" w:cs="Arial"/>
          <w:sz w:val="24"/>
          <w:szCs w:val="24"/>
        </w:rPr>
        <w:t xml:space="preserve">Asset-Backed Lending (ABL): Obtaining a </w:t>
      </w:r>
      <w:r w:rsidR="007B19CA">
        <w:rPr>
          <w:rFonts w:ascii="Arial" w:hAnsi="Arial" w:cs="Arial"/>
          <w:sz w:val="24"/>
          <w:szCs w:val="24"/>
        </w:rPr>
        <w:t>£</w:t>
      </w:r>
      <w:r w:rsidRPr="0092529B">
        <w:rPr>
          <w:rFonts w:ascii="Arial" w:hAnsi="Arial" w:cs="Arial"/>
          <w:sz w:val="24"/>
          <w:szCs w:val="24"/>
        </w:rPr>
        <w:t>10 billion revolving credit, secured by receivables and inventory, will offer cheaper liquidity, compared to an unsecured debt.</w:t>
      </w:r>
    </w:p>
    <w:p w14:paraId="4741EA20" w14:textId="77777777" w:rsidR="006C6878" w:rsidRPr="0092529B" w:rsidRDefault="006C6878" w:rsidP="0092529B">
      <w:pPr>
        <w:pStyle w:val="ListParagraph"/>
        <w:numPr>
          <w:ilvl w:val="0"/>
          <w:numId w:val="75"/>
        </w:numPr>
        <w:spacing w:line="360" w:lineRule="auto"/>
        <w:rPr>
          <w:rFonts w:ascii="Arial" w:hAnsi="Arial" w:cs="Arial"/>
          <w:sz w:val="24"/>
          <w:szCs w:val="24"/>
        </w:rPr>
      </w:pPr>
      <w:r w:rsidRPr="0092529B">
        <w:rPr>
          <w:rFonts w:ascii="Arial" w:hAnsi="Arial" w:cs="Arial"/>
          <w:sz w:val="24"/>
          <w:szCs w:val="24"/>
        </w:rPr>
        <w:t>Invoice Discounting: Sell part of the invoices to fintech companies (e.g. Taulia) at 95% of face value to inject cash.</w:t>
      </w:r>
    </w:p>
    <w:p w14:paraId="57BA1F2B" w14:textId="0BF13FCF" w:rsidR="00421A9E" w:rsidRPr="0092529B" w:rsidRDefault="006C6878" w:rsidP="0092529B">
      <w:pPr>
        <w:pStyle w:val="ListParagraph"/>
        <w:numPr>
          <w:ilvl w:val="0"/>
          <w:numId w:val="75"/>
        </w:numPr>
        <w:spacing w:line="360" w:lineRule="auto"/>
        <w:rPr>
          <w:rFonts w:ascii="Arial" w:hAnsi="Arial" w:cs="Arial"/>
          <w:b/>
          <w:bCs/>
          <w:sz w:val="24"/>
          <w:szCs w:val="24"/>
        </w:rPr>
      </w:pPr>
      <w:r w:rsidRPr="0092529B">
        <w:rPr>
          <w:rFonts w:ascii="Arial" w:hAnsi="Arial" w:cs="Arial"/>
          <w:sz w:val="24"/>
          <w:szCs w:val="24"/>
        </w:rPr>
        <w:t xml:space="preserve">Equity Bridge Loan: Issue </w:t>
      </w:r>
      <w:r w:rsidR="007B19CA">
        <w:rPr>
          <w:rFonts w:ascii="Arial" w:hAnsi="Arial" w:cs="Arial"/>
          <w:sz w:val="24"/>
          <w:szCs w:val="24"/>
        </w:rPr>
        <w:t>£</w:t>
      </w:r>
      <w:r w:rsidRPr="0092529B">
        <w:rPr>
          <w:rFonts w:ascii="Arial" w:hAnsi="Arial" w:cs="Arial"/>
          <w:sz w:val="24"/>
          <w:szCs w:val="24"/>
        </w:rPr>
        <w:t>5 billion by way of convertible notes that would turn into equity after the re- structuring so that the investor incentives would be in agreement with the turnaround success.</w:t>
      </w:r>
    </w:p>
    <w:p w14:paraId="1A4A87DE" w14:textId="77777777"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3.7 Implementation Roadmap</w:t>
      </w:r>
    </w:p>
    <w:p w14:paraId="2C94E3E8" w14:textId="77777777"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Phase 1 (0-3 months):</w:t>
      </w:r>
    </w:p>
    <w:p w14:paraId="66F804A2" w14:textId="77777777" w:rsidR="006C6878" w:rsidRPr="0092529B" w:rsidRDefault="006C6878" w:rsidP="0092529B">
      <w:pPr>
        <w:pStyle w:val="ListParagraph"/>
        <w:numPr>
          <w:ilvl w:val="0"/>
          <w:numId w:val="76"/>
        </w:numPr>
        <w:spacing w:line="360" w:lineRule="auto"/>
        <w:rPr>
          <w:rFonts w:ascii="Arial" w:hAnsi="Arial" w:cs="Arial"/>
          <w:sz w:val="24"/>
          <w:szCs w:val="24"/>
        </w:rPr>
      </w:pPr>
      <w:r w:rsidRPr="0092529B">
        <w:rPr>
          <w:rFonts w:ascii="Arial" w:hAnsi="Arial" w:cs="Arial"/>
          <w:sz w:val="24"/>
          <w:szCs w:val="24"/>
        </w:rPr>
        <w:t>Implement dynamic discounting and artificial intelligence credit score.</w:t>
      </w:r>
    </w:p>
    <w:p w14:paraId="53D6B462" w14:textId="77777777" w:rsidR="006C6878" w:rsidRPr="0092529B" w:rsidRDefault="006C6878" w:rsidP="0092529B">
      <w:pPr>
        <w:pStyle w:val="ListParagraph"/>
        <w:numPr>
          <w:ilvl w:val="0"/>
          <w:numId w:val="76"/>
        </w:numPr>
        <w:spacing w:line="360" w:lineRule="auto"/>
        <w:rPr>
          <w:rFonts w:ascii="Arial" w:hAnsi="Arial" w:cs="Arial"/>
          <w:sz w:val="24"/>
          <w:szCs w:val="24"/>
        </w:rPr>
      </w:pPr>
      <w:r w:rsidRPr="0092529B">
        <w:rPr>
          <w:rFonts w:ascii="Arial" w:hAnsi="Arial" w:cs="Arial"/>
          <w:sz w:val="24"/>
          <w:szCs w:val="24"/>
        </w:rPr>
        <w:t>Enter consignment warehousing of 30% SKUs.</w:t>
      </w:r>
    </w:p>
    <w:p w14:paraId="6ED30544" w14:textId="77777777" w:rsidR="006C6878" w:rsidRPr="0092529B" w:rsidRDefault="006C6878" w:rsidP="0092529B">
      <w:pPr>
        <w:pStyle w:val="ListParagraph"/>
        <w:numPr>
          <w:ilvl w:val="0"/>
          <w:numId w:val="76"/>
        </w:numPr>
        <w:spacing w:line="360" w:lineRule="auto"/>
        <w:rPr>
          <w:rFonts w:ascii="Arial" w:hAnsi="Arial" w:cs="Arial"/>
          <w:sz w:val="24"/>
          <w:szCs w:val="24"/>
        </w:rPr>
      </w:pPr>
      <w:r w:rsidRPr="0092529B">
        <w:rPr>
          <w:rFonts w:ascii="Arial" w:hAnsi="Arial" w:cs="Arial"/>
          <w:sz w:val="24"/>
          <w:szCs w:val="24"/>
        </w:rPr>
        <w:t>Contract SCF facilities with 50 largest suppliers.</w:t>
      </w:r>
    </w:p>
    <w:p w14:paraId="307DF099" w14:textId="77777777"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Phase 2 (3-6 months):</w:t>
      </w:r>
    </w:p>
    <w:p w14:paraId="6A83F0D3" w14:textId="77777777" w:rsidR="006C6878" w:rsidRPr="0092529B" w:rsidRDefault="006C6878" w:rsidP="0092529B">
      <w:pPr>
        <w:pStyle w:val="ListParagraph"/>
        <w:numPr>
          <w:ilvl w:val="0"/>
          <w:numId w:val="77"/>
        </w:numPr>
        <w:spacing w:line="360" w:lineRule="auto"/>
        <w:rPr>
          <w:rFonts w:ascii="Arial" w:hAnsi="Arial" w:cs="Arial"/>
          <w:sz w:val="24"/>
          <w:szCs w:val="24"/>
        </w:rPr>
      </w:pPr>
      <w:r w:rsidRPr="0092529B">
        <w:rPr>
          <w:rFonts w:ascii="Arial" w:hAnsi="Arial" w:cs="Arial"/>
          <w:sz w:val="24"/>
          <w:szCs w:val="24"/>
        </w:rPr>
        <w:t>Deploy predictive demand analytics in all the plants.</w:t>
      </w:r>
    </w:p>
    <w:p w14:paraId="62BAC749" w14:textId="77777777" w:rsidR="006C6878" w:rsidRPr="0092529B" w:rsidRDefault="006C6878" w:rsidP="0092529B">
      <w:pPr>
        <w:pStyle w:val="ListParagraph"/>
        <w:numPr>
          <w:ilvl w:val="0"/>
          <w:numId w:val="77"/>
        </w:numPr>
        <w:spacing w:line="360" w:lineRule="auto"/>
        <w:rPr>
          <w:rFonts w:ascii="Arial" w:hAnsi="Arial" w:cs="Arial"/>
          <w:sz w:val="24"/>
          <w:szCs w:val="24"/>
        </w:rPr>
      </w:pPr>
      <w:r w:rsidRPr="0092529B">
        <w:rPr>
          <w:rFonts w:ascii="Arial" w:hAnsi="Arial" w:cs="Arial"/>
          <w:sz w:val="24"/>
          <w:szCs w:val="24"/>
        </w:rPr>
        <w:t>Introduce invoice management using block chain.</w:t>
      </w:r>
    </w:p>
    <w:p w14:paraId="327C264B" w14:textId="77777777" w:rsidR="006C6878" w:rsidRPr="0092529B" w:rsidRDefault="006C6878" w:rsidP="0092529B">
      <w:pPr>
        <w:pStyle w:val="ListParagraph"/>
        <w:numPr>
          <w:ilvl w:val="0"/>
          <w:numId w:val="77"/>
        </w:numPr>
        <w:spacing w:line="360" w:lineRule="auto"/>
        <w:rPr>
          <w:rFonts w:ascii="Arial" w:hAnsi="Arial" w:cs="Arial"/>
          <w:sz w:val="24"/>
          <w:szCs w:val="24"/>
        </w:rPr>
      </w:pPr>
      <w:r w:rsidRPr="0092529B">
        <w:rPr>
          <w:rFonts w:ascii="Arial" w:hAnsi="Arial" w:cs="Arial"/>
          <w:sz w:val="24"/>
          <w:szCs w:val="24"/>
        </w:rPr>
        <w:t>Easy ABL facility against immediate liquidity.</w:t>
      </w:r>
    </w:p>
    <w:p w14:paraId="5FD5DEDD" w14:textId="77777777"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Phase 3 (6-12 months):</w:t>
      </w:r>
    </w:p>
    <w:p w14:paraId="2AD3B966" w14:textId="77777777" w:rsidR="006C6878" w:rsidRPr="0092529B" w:rsidRDefault="006C6878" w:rsidP="0092529B">
      <w:pPr>
        <w:pStyle w:val="ListParagraph"/>
        <w:numPr>
          <w:ilvl w:val="0"/>
          <w:numId w:val="78"/>
        </w:numPr>
        <w:spacing w:line="360" w:lineRule="auto"/>
        <w:rPr>
          <w:rFonts w:ascii="Arial" w:hAnsi="Arial" w:cs="Arial"/>
          <w:sz w:val="24"/>
          <w:szCs w:val="24"/>
        </w:rPr>
      </w:pPr>
      <w:r w:rsidRPr="0092529B">
        <w:rPr>
          <w:rFonts w:ascii="Arial" w:hAnsi="Arial" w:cs="Arial"/>
          <w:sz w:val="24"/>
          <w:szCs w:val="24"/>
        </w:rPr>
        <w:t>Achieve DSO &lt; 80 days and DIO &lt; 90 days.</w:t>
      </w:r>
    </w:p>
    <w:p w14:paraId="177C543A" w14:textId="7659D597" w:rsidR="006C6878" w:rsidRPr="0092529B" w:rsidRDefault="006C6878" w:rsidP="0092529B">
      <w:pPr>
        <w:pStyle w:val="ListParagraph"/>
        <w:numPr>
          <w:ilvl w:val="0"/>
          <w:numId w:val="78"/>
        </w:numPr>
        <w:spacing w:line="360" w:lineRule="auto"/>
        <w:rPr>
          <w:rFonts w:ascii="Arial" w:hAnsi="Arial" w:cs="Arial"/>
          <w:sz w:val="24"/>
          <w:szCs w:val="24"/>
        </w:rPr>
      </w:pPr>
      <w:r w:rsidRPr="0092529B">
        <w:rPr>
          <w:rFonts w:ascii="Arial" w:hAnsi="Arial" w:cs="Arial"/>
          <w:sz w:val="24"/>
          <w:szCs w:val="24"/>
        </w:rPr>
        <w:t xml:space="preserve">Cut CCC to 110 days, and free more than </w:t>
      </w:r>
      <w:r w:rsidR="007B19CA">
        <w:rPr>
          <w:rFonts w:ascii="Arial" w:hAnsi="Arial" w:cs="Arial"/>
          <w:sz w:val="24"/>
          <w:szCs w:val="24"/>
        </w:rPr>
        <w:t>£</w:t>
      </w:r>
      <w:r w:rsidRPr="0092529B">
        <w:rPr>
          <w:rFonts w:ascii="Arial" w:hAnsi="Arial" w:cs="Arial"/>
          <w:sz w:val="24"/>
          <w:szCs w:val="24"/>
        </w:rPr>
        <w:t>25 billion of cash.</w:t>
      </w:r>
    </w:p>
    <w:p w14:paraId="3AD2CCDC" w14:textId="17B7E434" w:rsidR="00421A9E" w:rsidRPr="0092529B" w:rsidRDefault="006C6878" w:rsidP="0092529B">
      <w:pPr>
        <w:pStyle w:val="ListParagraph"/>
        <w:numPr>
          <w:ilvl w:val="0"/>
          <w:numId w:val="78"/>
        </w:numPr>
        <w:spacing w:line="360" w:lineRule="auto"/>
        <w:rPr>
          <w:rFonts w:ascii="Arial" w:hAnsi="Arial" w:cs="Arial"/>
          <w:b/>
          <w:bCs/>
          <w:sz w:val="24"/>
          <w:szCs w:val="24"/>
        </w:rPr>
      </w:pPr>
      <w:r w:rsidRPr="0092529B">
        <w:rPr>
          <w:rFonts w:ascii="Arial" w:hAnsi="Arial" w:cs="Arial"/>
          <w:sz w:val="24"/>
          <w:szCs w:val="24"/>
        </w:rPr>
        <w:t>Using the freed funds, reinvest in reduction of debts and strategic projects.</w:t>
      </w:r>
    </w:p>
    <w:p w14:paraId="4409E06C" w14:textId="77777777" w:rsidR="00421A9E" w:rsidRPr="0092529B" w:rsidRDefault="00421A9E" w:rsidP="0092529B">
      <w:pPr>
        <w:spacing w:line="360" w:lineRule="auto"/>
        <w:rPr>
          <w:rFonts w:ascii="Arial" w:hAnsi="Arial" w:cs="Arial"/>
          <w:b/>
          <w:bCs/>
          <w:sz w:val="24"/>
          <w:szCs w:val="24"/>
        </w:rPr>
      </w:pPr>
      <w:r w:rsidRPr="0092529B">
        <w:rPr>
          <w:rFonts w:ascii="Arial" w:hAnsi="Arial" w:cs="Arial"/>
          <w:b/>
          <w:bCs/>
          <w:sz w:val="24"/>
          <w:szCs w:val="24"/>
        </w:rPr>
        <w:t>3.8 Strategic Significance</w:t>
      </w:r>
    </w:p>
    <w:p w14:paraId="1D2B79EA" w14:textId="6B5963A3"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 xml:space="preserve">Working capital efficiency does not just pay lip service to accounting, but it is a strategic tool. All </w:t>
      </w:r>
      <w:r w:rsidR="007B19CA">
        <w:rPr>
          <w:rFonts w:ascii="Arial" w:hAnsi="Arial" w:cs="Arial"/>
          <w:sz w:val="24"/>
          <w:szCs w:val="24"/>
        </w:rPr>
        <w:t>£</w:t>
      </w:r>
      <w:r w:rsidRPr="0092529B">
        <w:rPr>
          <w:rFonts w:ascii="Arial" w:hAnsi="Arial" w:cs="Arial"/>
          <w:sz w:val="24"/>
          <w:szCs w:val="24"/>
        </w:rPr>
        <w:t>1 billion released in operations saves on the interest and borrowing requirements, and enhances creditworthiness. It is also an indication of control and financial discipline of operations to both investors and creditors.</w:t>
      </w:r>
    </w:p>
    <w:p w14:paraId="0AD66BFC" w14:textId="4F7478D6" w:rsidR="00421A9E" w:rsidRPr="0092529B" w:rsidRDefault="006C6878" w:rsidP="0092529B">
      <w:pPr>
        <w:spacing w:line="360" w:lineRule="auto"/>
        <w:rPr>
          <w:rFonts w:ascii="Arial" w:hAnsi="Arial" w:cs="Arial"/>
          <w:sz w:val="24"/>
          <w:szCs w:val="24"/>
        </w:rPr>
      </w:pPr>
      <w:r w:rsidRPr="0092529B">
        <w:rPr>
          <w:rFonts w:ascii="Arial" w:hAnsi="Arial" w:cs="Arial"/>
          <w:sz w:val="24"/>
          <w:szCs w:val="24"/>
        </w:rPr>
        <w:lastRenderedPageBreak/>
        <w:t xml:space="preserve">In the case of GE, liquidity control is the initial decisive move towards financial sovereignty, stabilisation and further expansion of operations, and facilitation of further long-term restructuring and growth programs. </w:t>
      </w:r>
      <w:r w:rsidR="00734AE4" w:rsidRPr="00734AE4">
        <w:rPr>
          <w:rFonts w:ascii="Arial" w:hAnsi="Arial" w:cs="Arial"/>
          <w:sz w:val="24"/>
          <w:szCs w:val="24"/>
        </w:rPr>
        <w:t>A working capital bail out plan will be effective in enabling the company to transform its fixed assets into a liquidity engine, which will provide the company with strength and flexibility in a highly competitive environment.</w:t>
      </w:r>
    </w:p>
    <w:p w14:paraId="36007EAE" w14:textId="77777777" w:rsidR="006C6878" w:rsidRPr="0092529B" w:rsidRDefault="006C6878" w:rsidP="0092529B">
      <w:pPr>
        <w:spacing w:line="360" w:lineRule="auto"/>
        <w:rPr>
          <w:rFonts w:ascii="Arial" w:hAnsi="Arial" w:cs="Arial"/>
          <w:sz w:val="24"/>
          <w:szCs w:val="24"/>
        </w:rPr>
      </w:pPr>
    </w:p>
    <w:p w14:paraId="640B0C0B"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4.0 Capital Restructuring: From Distress to Resilience</w:t>
      </w:r>
    </w:p>
    <w:p w14:paraId="16D9FCE2"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4.1 The Imperative for Restructuring</w:t>
      </w:r>
    </w:p>
    <w:p w14:paraId="6593DF24" w14:textId="77777777" w:rsidR="006C6878" w:rsidRPr="0092529B" w:rsidRDefault="006C6878" w:rsidP="0092529B">
      <w:pPr>
        <w:spacing w:line="360" w:lineRule="auto"/>
        <w:rPr>
          <w:rFonts w:ascii="Arial" w:hAnsi="Arial" w:cs="Arial"/>
          <w:sz w:val="24"/>
          <w:szCs w:val="24"/>
        </w:rPr>
      </w:pPr>
      <w:r w:rsidRPr="0092529B">
        <w:rPr>
          <w:rFonts w:ascii="Arial" w:hAnsi="Arial" w:cs="Arial"/>
          <w:sz w:val="24"/>
          <w:szCs w:val="24"/>
        </w:rPr>
        <w:t>The capital structure of GE is of critical concern in 2024. The company has a negative interest coverage, debt-funded 53% of its assets, and covenants, which are approaching violation, which puts them at increasing risk of insolvency. Increasing debt constrains strategic capability especially in initiatives like investing in digital transformation and renewable technologies. The lack of decisive action would be a threat of creditor insubordination, lack of market confidence, and a rapid downward spiral.</w:t>
      </w:r>
    </w:p>
    <w:p w14:paraId="6405E033" w14:textId="74E4510D" w:rsidR="00E86675" w:rsidRPr="0092529B" w:rsidRDefault="006C6878" w:rsidP="0092529B">
      <w:pPr>
        <w:spacing w:line="360" w:lineRule="auto"/>
        <w:rPr>
          <w:rFonts w:ascii="Arial" w:hAnsi="Arial" w:cs="Arial"/>
          <w:b/>
          <w:bCs/>
          <w:sz w:val="24"/>
          <w:szCs w:val="24"/>
        </w:rPr>
      </w:pPr>
      <w:r w:rsidRPr="0092529B">
        <w:rPr>
          <w:rFonts w:ascii="Arial" w:hAnsi="Arial" w:cs="Arial"/>
          <w:sz w:val="24"/>
          <w:szCs w:val="24"/>
        </w:rPr>
        <w:t>Restructuring is not a choice, but an existential reality. These goals are triple and they include: to cut the leverage to sustainable levels, to rebuild the confidence of the lenders and investors, and to create a capital base that would enable the growth initiatives in a decade to come. This will need a mixture of debt repayment, equity injection, asset rationalisation, and strategy alliances, done in a manner that does not harm the liquidity, confidence of stakeholders and long term value.</w:t>
      </w:r>
    </w:p>
    <w:p w14:paraId="5076E423"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4.2 Four-Pillar Restructuring Framework</w:t>
      </w:r>
    </w:p>
    <w:p w14:paraId="140FA80B"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An organized strategy has been a guarantee of financial stability as well as strategic alignment. The four-pillar model of GE is debt, equity, assets, and partnerships.</w:t>
      </w:r>
    </w:p>
    <w:p w14:paraId="37AE78C6" w14:textId="1D995A4D"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 xml:space="preserve">a) Debt </w:t>
      </w:r>
      <w:r w:rsidRPr="0092529B">
        <w:rPr>
          <w:rFonts w:ascii="Arial" w:hAnsi="Arial" w:cs="Arial"/>
          <w:sz w:val="24"/>
          <w:szCs w:val="24"/>
        </w:rPr>
        <w:t>analysis</w:t>
      </w:r>
    </w:p>
    <w:p w14:paraId="0FEF353E" w14:textId="5A174E8E"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GE has the biggest urgent problem as its debt profile. Existing obligations are unsustainable when the negative interest coverage occurs.</w:t>
      </w:r>
      <w:r w:rsidRPr="0092529B">
        <w:rPr>
          <w:rFonts w:ascii="Arial" w:hAnsi="Arial" w:cs="Arial"/>
          <w:sz w:val="24"/>
          <w:szCs w:val="24"/>
        </w:rPr>
        <w:t xml:space="preserve"> </w:t>
      </w:r>
      <w:r w:rsidRPr="0092529B">
        <w:rPr>
          <w:rFonts w:ascii="Arial" w:hAnsi="Arial" w:cs="Arial"/>
          <w:sz w:val="24"/>
          <w:szCs w:val="24"/>
        </w:rPr>
        <w:t xml:space="preserve">Debt-for Equity Swap: Turn </w:t>
      </w:r>
      <w:r w:rsidR="007B19CA">
        <w:rPr>
          <w:rFonts w:ascii="Arial" w:hAnsi="Arial" w:cs="Arial"/>
          <w:sz w:val="24"/>
          <w:szCs w:val="24"/>
        </w:rPr>
        <w:t>£</w:t>
      </w:r>
      <w:r w:rsidRPr="0092529B">
        <w:rPr>
          <w:rFonts w:ascii="Arial" w:hAnsi="Arial" w:cs="Arial"/>
          <w:sz w:val="24"/>
          <w:szCs w:val="24"/>
        </w:rPr>
        <w:t xml:space="preserve">20 billion senior debt to equity. This brings down the debt to equity ratio of 1.11 to 0.85, the creditor and shareholder incentives are matched. The benefit of </w:t>
      </w:r>
      <w:r w:rsidRPr="0092529B">
        <w:rPr>
          <w:rFonts w:ascii="Arial" w:hAnsi="Arial" w:cs="Arial"/>
          <w:sz w:val="24"/>
          <w:szCs w:val="24"/>
        </w:rPr>
        <w:lastRenderedPageBreak/>
        <w:t>lenders in terms of equity increase will facilitate long-term recovery (IMF, 2024).</w:t>
      </w:r>
      <w:r w:rsidRPr="0092529B">
        <w:rPr>
          <w:rFonts w:ascii="Arial" w:hAnsi="Arial" w:cs="Arial"/>
          <w:sz w:val="24"/>
          <w:szCs w:val="24"/>
        </w:rPr>
        <w:t xml:space="preserve"> </w:t>
      </w:r>
      <w:r w:rsidRPr="0092529B">
        <w:rPr>
          <w:rFonts w:ascii="Arial" w:hAnsi="Arial" w:cs="Arial"/>
          <w:sz w:val="24"/>
          <w:szCs w:val="24"/>
        </w:rPr>
        <w:t xml:space="preserve">Maturity Wall Extension: </w:t>
      </w:r>
      <w:r w:rsidR="007B19CA">
        <w:rPr>
          <w:rFonts w:ascii="Arial" w:hAnsi="Arial" w:cs="Arial"/>
          <w:sz w:val="24"/>
          <w:szCs w:val="24"/>
        </w:rPr>
        <w:t>£</w:t>
      </w:r>
      <w:r w:rsidRPr="0092529B">
        <w:rPr>
          <w:rFonts w:ascii="Arial" w:hAnsi="Arial" w:cs="Arial"/>
          <w:sz w:val="24"/>
          <w:szCs w:val="24"/>
        </w:rPr>
        <w:t>15 billion of 2025-2026 maturing debt will be</w:t>
      </w:r>
      <w:r w:rsidRPr="0092529B">
        <w:rPr>
          <w:rFonts w:ascii="Arial" w:hAnsi="Arial" w:cs="Arial"/>
          <w:sz w:val="24"/>
          <w:szCs w:val="24"/>
        </w:rPr>
        <w:t xml:space="preserve"> </w:t>
      </w:r>
      <w:r w:rsidRPr="0092529B">
        <w:rPr>
          <w:rFonts w:ascii="Arial" w:hAnsi="Arial" w:cs="Arial"/>
          <w:sz w:val="24"/>
          <w:szCs w:val="24"/>
        </w:rPr>
        <w:t>renegotiated to be extended to 2030+ to relieve the short-term burden.</w:t>
      </w:r>
      <w:r w:rsidRPr="0092529B">
        <w:rPr>
          <w:rFonts w:ascii="Arial" w:hAnsi="Arial" w:cs="Arial"/>
          <w:sz w:val="24"/>
          <w:szCs w:val="24"/>
        </w:rPr>
        <w:t xml:space="preserve"> </w:t>
      </w:r>
      <w:r w:rsidRPr="0092529B">
        <w:rPr>
          <w:rFonts w:ascii="Arial" w:hAnsi="Arial" w:cs="Arial"/>
          <w:sz w:val="24"/>
          <w:szCs w:val="24"/>
        </w:rPr>
        <w:t xml:space="preserve">Coupon Reset: Cap interest rates on restructured debt of 5 saving around </w:t>
      </w:r>
      <w:r w:rsidR="007B19CA">
        <w:rPr>
          <w:rFonts w:ascii="Arial" w:hAnsi="Arial" w:cs="Arial"/>
          <w:sz w:val="24"/>
          <w:szCs w:val="24"/>
        </w:rPr>
        <w:t>£</w:t>
      </w:r>
      <w:r w:rsidRPr="0092529B">
        <w:rPr>
          <w:rFonts w:ascii="Arial" w:hAnsi="Arial" w:cs="Arial"/>
          <w:sz w:val="24"/>
          <w:szCs w:val="24"/>
        </w:rPr>
        <w:t>800 million per</w:t>
      </w:r>
      <w:r w:rsidRPr="0092529B">
        <w:rPr>
          <w:rFonts w:ascii="Arial" w:hAnsi="Arial" w:cs="Arial"/>
          <w:sz w:val="24"/>
          <w:szCs w:val="24"/>
        </w:rPr>
        <w:t xml:space="preserve"> </w:t>
      </w:r>
      <w:r w:rsidRPr="0092529B">
        <w:rPr>
          <w:rFonts w:ascii="Arial" w:hAnsi="Arial" w:cs="Arial"/>
          <w:sz w:val="24"/>
          <w:szCs w:val="24"/>
        </w:rPr>
        <w:t>year and cash flow.</w:t>
      </w:r>
    </w:p>
    <w:p w14:paraId="66DA55ED"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b) Equity Infusion</w:t>
      </w:r>
    </w:p>
    <w:p w14:paraId="37E054A6" w14:textId="29D14B1E"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Equity base strengthening augments reduction in debt:</w:t>
      </w:r>
      <w:r w:rsidRPr="0092529B">
        <w:rPr>
          <w:rFonts w:ascii="Arial" w:hAnsi="Arial" w:cs="Arial"/>
          <w:sz w:val="24"/>
          <w:szCs w:val="24"/>
        </w:rPr>
        <w:t xml:space="preserve"> </w:t>
      </w:r>
      <w:r w:rsidRPr="0092529B">
        <w:rPr>
          <w:rFonts w:ascii="Arial" w:hAnsi="Arial" w:cs="Arial"/>
          <w:sz w:val="24"/>
          <w:szCs w:val="24"/>
        </w:rPr>
        <w:t xml:space="preserve">Rights Issue: 1.2billion at </w:t>
      </w:r>
      <w:r w:rsidR="007B19CA">
        <w:rPr>
          <w:rFonts w:ascii="Arial" w:hAnsi="Arial" w:cs="Arial"/>
          <w:sz w:val="24"/>
          <w:szCs w:val="24"/>
        </w:rPr>
        <w:t>£</w:t>
      </w:r>
      <w:r w:rsidRPr="0092529B">
        <w:rPr>
          <w:rFonts w:ascii="Arial" w:hAnsi="Arial" w:cs="Arial"/>
          <w:sz w:val="24"/>
          <w:szCs w:val="24"/>
        </w:rPr>
        <w:t xml:space="preserve">8 each, raising </w:t>
      </w:r>
      <w:r w:rsidR="007B19CA">
        <w:rPr>
          <w:rFonts w:ascii="Arial" w:hAnsi="Arial" w:cs="Arial"/>
          <w:sz w:val="24"/>
          <w:szCs w:val="24"/>
        </w:rPr>
        <w:t>£</w:t>
      </w:r>
      <w:r w:rsidRPr="0092529B">
        <w:rPr>
          <w:rFonts w:ascii="Arial" w:hAnsi="Arial" w:cs="Arial"/>
          <w:sz w:val="24"/>
          <w:szCs w:val="24"/>
        </w:rPr>
        <w:t>9.6billion. A 20% cutoff on pricing reduces the backlash of the shareholders and brings committed capital.</w:t>
      </w:r>
      <w:r w:rsidRPr="0092529B">
        <w:rPr>
          <w:rFonts w:ascii="Arial" w:hAnsi="Arial" w:cs="Arial"/>
          <w:sz w:val="24"/>
          <w:szCs w:val="24"/>
        </w:rPr>
        <w:t xml:space="preserve"> </w:t>
      </w:r>
      <w:r w:rsidRPr="0092529B">
        <w:rPr>
          <w:rFonts w:ascii="Arial" w:hAnsi="Arial" w:cs="Arial"/>
          <w:sz w:val="24"/>
          <w:szCs w:val="24"/>
        </w:rPr>
        <w:t xml:space="preserve">Strategic Anchor Investor: Ask a sovereign wealth fund, e.g. GIC of Singapore, to buy 10 per cent at </w:t>
      </w:r>
      <w:r w:rsidR="007B19CA">
        <w:rPr>
          <w:rFonts w:ascii="Arial" w:hAnsi="Arial" w:cs="Arial"/>
          <w:sz w:val="24"/>
          <w:szCs w:val="24"/>
        </w:rPr>
        <w:t>£</w:t>
      </w:r>
      <w:r w:rsidRPr="0092529B">
        <w:rPr>
          <w:rFonts w:ascii="Arial" w:hAnsi="Arial" w:cs="Arial"/>
          <w:sz w:val="24"/>
          <w:szCs w:val="24"/>
        </w:rPr>
        <w:t xml:space="preserve">10/share, which will bring </w:t>
      </w:r>
      <w:r w:rsidR="007B19CA">
        <w:rPr>
          <w:rFonts w:ascii="Arial" w:hAnsi="Arial" w:cs="Arial"/>
          <w:sz w:val="24"/>
          <w:szCs w:val="24"/>
        </w:rPr>
        <w:t>£</w:t>
      </w:r>
      <w:r w:rsidRPr="0092529B">
        <w:rPr>
          <w:rFonts w:ascii="Arial" w:hAnsi="Arial" w:cs="Arial"/>
          <w:sz w:val="24"/>
          <w:szCs w:val="24"/>
        </w:rPr>
        <w:t>3 billion. This is a good indication of confidence and stabilisation of share price.</w:t>
      </w:r>
    </w:p>
    <w:p w14:paraId="341C2C9D"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c) Asset Monetisation</w:t>
      </w:r>
    </w:p>
    <w:p w14:paraId="5C050AE0" w14:textId="588ABB8F"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The liquidation of assets not part of the core or non-performing liberates capital and enhances operational focus:</w:t>
      </w:r>
      <w:r w:rsidRPr="0092529B">
        <w:rPr>
          <w:rFonts w:ascii="Arial" w:hAnsi="Arial" w:cs="Arial"/>
          <w:sz w:val="24"/>
          <w:szCs w:val="24"/>
        </w:rPr>
        <w:t xml:space="preserve"> </w:t>
      </w:r>
      <w:r w:rsidRPr="0092529B">
        <w:rPr>
          <w:rFonts w:ascii="Arial" w:hAnsi="Arial" w:cs="Arial"/>
          <w:sz w:val="24"/>
          <w:szCs w:val="24"/>
        </w:rPr>
        <w:t xml:space="preserve">Divest Legacy Divisions: Sell the home appliances business of GE which has EBITDA of EUR5 billion and drag of </w:t>
      </w:r>
      <w:r w:rsidR="007B19CA">
        <w:rPr>
          <w:rFonts w:ascii="Arial" w:hAnsi="Arial" w:cs="Arial"/>
          <w:sz w:val="24"/>
          <w:szCs w:val="24"/>
        </w:rPr>
        <w:t>£</w:t>
      </w:r>
      <w:r w:rsidRPr="0092529B">
        <w:rPr>
          <w:rFonts w:ascii="Arial" w:hAnsi="Arial" w:cs="Arial"/>
          <w:sz w:val="24"/>
          <w:szCs w:val="24"/>
        </w:rPr>
        <w:t xml:space="preserve">18 billion to </w:t>
      </w:r>
      <w:r w:rsidR="007B19CA">
        <w:rPr>
          <w:rFonts w:ascii="Arial" w:hAnsi="Arial" w:cs="Arial"/>
          <w:sz w:val="24"/>
          <w:szCs w:val="24"/>
        </w:rPr>
        <w:t>£</w:t>
      </w:r>
      <w:r w:rsidRPr="0092529B">
        <w:rPr>
          <w:rFonts w:ascii="Arial" w:hAnsi="Arial" w:cs="Arial"/>
          <w:sz w:val="24"/>
          <w:szCs w:val="24"/>
        </w:rPr>
        <w:t>18 billion to private equity. This simplifies its operations and puts resources to high growth areas like smart technologies and renewables.</w:t>
      </w:r>
      <w:r w:rsidRPr="0092529B">
        <w:rPr>
          <w:rFonts w:ascii="Arial" w:hAnsi="Arial" w:cs="Arial"/>
          <w:sz w:val="24"/>
          <w:szCs w:val="24"/>
        </w:rPr>
        <w:t xml:space="preserve"> </w:t>
      </w:r>
      <w:r w:rsidRPr="0092529B">
        <w:rPr>
          <w:rFonts w:ascii="Arial" w:hAnsi="Arial" w:cs="Arial"/>
          <w:sz w:val="24"/>
          <w:szCs w:val="24"/>
        </w:rPr>
        <w:t xml:space="preserve">Spin-Off Non-Core IP: Put dormant patents on royalty sale to start ups through license and provide </w:t>
      </w:r>
      <w:r w:rsidR="007B19CA">
        <w:rPr>
          <w:rFonts w:ascii="Arial" w:hAnsi="Arial" w:cs="Arial"/>
          <w:sz w:val="24"/>
          <w:szCs w:val="24"/>
        </w:rPr>
        <w:t>£</w:t>
      </w:r>
      <w:r w:rsidRPr="0092529B">
        <w:rPr>
          <w:rFonts w:ascii="Arial" w:hAnsi="Arial" w:cs="Arial"/>
          <w:sz w:val="24"/>
          <w:szCs w:val="24"/>
        </w:rPr>
        <w:t>2 billion upfront and a 5 percent royalty stream. This will turn non-productive intellectual property into a source of revenue in the long-term.</w:t>
      </w:r>
    </w:p>
    <w:p w14:paraId="487F118F"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d) Strategic Alliances</w:t>
      </w:r>
    </w:p>
    <w:p w14:paraId="61F26D45" w14:textId="6460B4C0" w:rsidR="00E86675" w:rsidRPr="0092529B" w:rsidRDefault="009252EF" w:rsidP="0092529B">
      <w:pPr>
        <w:spacing w:line="360" w:lineRule="auto"/>
        <w:rPr>
          <w:rFonts w:ascii="Arial" w:hAnsi="Arial" w:cs="Arial"/>
          <w:sz w:val="24"/>
          <w:szCs w:val="24"/>
        </w:rPr>
      </w:pPr>
      <w:r w:rsidRPr="0092529B">
        <w:rPr>
          <w:rFonts w:ascii="Arial" w:hAnsi="Arial" w:cs="Arial"/>
          <w:sz w:val="24"/>
          <w:szCs w:val="24"/>
        </w:rPr>
        <w:t>Alliances will make it on time and share risks:</w:t>
      </w:r>
      <w:r w:rsidRPr="0092529B">
        <w:rPr>
          <w:rFonts w:ascii="Arial" w:hAnsi="Arial" w:cs="Arial"/>
          <w:sz w:val="24"/>
          <w:szCs w:val="24"/>
        </w:rPr>
        <w:t xml:space="preserve"> </w:t>
      </w:r>
      <w:r w:rsidRPr="0092529B">
        <w:rPr>
          <w:rFonts w:ascii="Arial" w:hAnsi="Arial" w:cs="Arial"/>
          <w:sz w:val="24"/>
          <w:szCs w:val="24"/>
        </w:rPr>
        <w:t>Joint Venture with Technological Powerhouse: Collaborate with Samsung around AI chipsets, where GE supplies manufacturing capacity, and Samsung drives innovation. The joint venture will help them share the fixed cost of capital and speed up innovation.</w:t>
      </w:r>
      <w:r w:rsidRPr="0092529B">
        <w:rPr>
          <w:rFonts w:ascii="Arial" w:hAnsi="Arial" w:cs="Arial"/>
          <w:sz w:val="24"/>
          <w:szCs w:val="24"/>
        </w:rPr>
        <w:t xml:space="preserve"> </w:t>
      </w:r>
      <w:r w:rsidRPr="0092529B">
        <w:rPr>
          <w:rFonts w:ascii="Arial" w:hAnsi="Arial" w:cs="Arial"/>
          <w:sz w:val="24"/>
          <w:szCs w:val="24"/>
        </w:rPr>
        <w:t>ESG Consortium: Co-invest with Siemens in green factories, by exploiting EU subsidies. Conformity to environmental objectives would attract environmentally-conscious investors and improve corporate image.</w:t>
      </w:r>
    </w:p>
    <w:p w14:paraId="75F85233" w14:textId="77777777" w:rsidR="00D2796D" w:rsidRDefault="00D2796D">
      <w:pPr>
        <w:rPr>
          <w:rFonts w:ascii="Arial" w:hAnsi="Arial" w:cs="Arial"/>
          <w:b/>
          <w:bCs/>
          <w:sz w:val="24"/>
          <w:szCs w:val="24"/>
        </w:rPr>
      </w:pPr>
      <w:r>
        <w:rPr>
          <w:rFonts w:ascii="Arial" w:hAnsi="Arial" w:cs="Arial"/>
          <w:b/>
          <w:bCs/>
          <w:sz w:val="24"/>
          <w:szCs w:val="24"/>
        </w:rPr>
        <w:br w:type="page"/>
      </w:r>
    </w:p>
    <w:p w14:paraId="2C56E482" w14:textId="7E860199"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lastRenderedPageBreak/>
        <w:t>4.3 Ethical Guardrails</w:t>
      </w:r>
    </w:p>
    <w:p w14:paraId="79F589B4"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The restructuring should be socially responsible and sustainable. The immediate reduction of costs or unilateral measures can lead to damage to the image and stakeholder resistance.</w:t>
      </w:r>
    </w:p>
    <w:p w14:paraId="5BB0B959" w14:textId="05AE57D5"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 xml:space="preserve">No Mass Layoffs: Mass voluntary redundancies and workforce reskilling in digital manufacturing and AI. Estimated budget: </w:t>
      </w:r>
      <w:r w:rsidR="007B19CA">
        <w:rPr>
          <w:rFonts w:ascii="Arial" w:hAnsi="Arial" w:cs="Arial"/>
          <w:sz w:val="24"/>
          <w:szCs w:val="24"/>
        </w:rPr>
        <w:t>£</w:t>
      </w:r>
      <w:r w:rsidRPr="0092529B">
        <w:rPr>
          <w:rFonts w:ascii="Arial" w:hAnsi="Arial" w:cs="Arial"/>
          <w:sz w:val="24"/>
          <w:szCs w:val="24"/>
        </w:rPr>
        <w:t>500 million. Holding talent will maintain continuity of knowledge and productivity within the institutions.</w:t>
      </w:r>
    </w:p>
    <w:p w14:paraId="25C36805"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Transparency of Taxation: Adhere to the OECD Pillar Two provisions, without the use of aggressive offshore tax reduction policies.</w:t>
      </w:r>
    </w:p>
    <w:p w14:paraId="547A55BE"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Supplier Fairness: Respect SCF-agreements and do not extend on one hand. Supplies Ethical supplier management maintains reliability of supply chain.</w:t>
      </w:r>
    </w:p>
    <w:p w14:paraId="77A7B6BB" w14:textId="74383043" w:rsidR="00E86675" w:rsidRPr="0092529B" w:rsidRDefault="009252EF" w:rsidP="0092529B">
      <w:pPr>
        <w:spacing w:line="360" w:lineRule="auto"/>
        <w:rPr>
          <w:rFonts w:ascii="Arial" w:hAnsi="Arial" w:cs="Arial"/>
          <w:b/>
          <w:bCs/>
          <w:sz w:val="24"/>
          <w:szCs w:val="24"/>
        </w:rPr>
      </w:pPr>
      <w:r w:rsidRPr="0092529B">
        <w:rPr>
          <w:rFonts w:ascii="Arial" w:hAnsi="Arial" w:cs="Arial"/>
          <w:sz w:val="24"/>
          <w:szCs w:val="24"/>
        </w:rPr>
        <w:t>ESG Integration: Dedicate 30 per cent of the liberated capital towards decarbonisation, renewable energy and sustainable production projects. This enhances support and attractiveness of the investors.</w:t>
      </w:r>
    </w:p>
    <w:p w14:paraId="781A2123"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4.4 Shareholder Value Considerations</w:t>
      </w:r>
    </w:p>
    <w:p w14:paraId="59CFF846" w14:textId="0B80C8EF"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Shareholder value is yet another area of corporate governance that other companies should take into consideration.</w:t>
      </w:r>
      <w:r w:rsidRPr="0092529B">
        <w:rPr>
          <w:rFonts w:ascii="Arial" w:hAnsi="Arial" w:cs="Arial"/>
          <w:sz w:val="24"/>
          <w:szCs w:val="24"/>
        </w:rPr>
        <w:t xml:space="preserve"> </w:t>
      </w:r>
      <w:r w:rsidRPr="0092529B">
        <w:rPr>
          <w:rFonts w:ascii="Arial" w:hAnsi="Arial" w:cs="Arial"/>
          <w:sz w:val="24"/>
          <w:szCs w:val="24"/>
        </w:rPr>
        <w:t>Equity issue and debt conversion dilute the existing stockholders in the short run but in the long run value is created considerably:</w:t>
      </w:r>
    </w:p>
    <w:p w14:paraId="1A7486F3" w14:textId="77777777" w:rsidR="009252EF" w:rsidRPr="0092529B" w:rsidRDefault="009252EF" w:rsidP="0092529B">
      <w:pPr>
        <w:pStyle w:val="ListParagraph"/>
        <w:numPr>
          <w:ilvl w:val="0"/>
          <w:numId w:val="79"/>
        </w:numPr>
        <w:spacing w:line="360" w:lineRule="auto"/>
        <w:rPr>
          <w:rFonts w:ascii="Arial" w:hAnsi="Arial" w:cs="Arial"/>
          <w:sz w:val="24"/>
          <w:szCs w:val="24"/>
        </w:rPr>
      </w:pPr>
      <w:r w:rsidRPr="0092529B">
        <w:rPr>
          <w:rFonts w:ascii="Arial" w:hAnsi="Arial" w:cs="Arial"/>
          <w:sz w:val="24"/>
          <w:szCs w:val="24"/>
        </w:rPr>
        <w:t>Debt-to-Equity Ratio: The financial risk was minimized as a lower Debt-to-Equity Ratio was noted as 1.11 to 0.85.</w:t>
      </w:r>
    </w:p>
    <w:p w14:paraId="0369D2E0" w14:textId="77777777" w:rsidR="009252EF" w:rsidRPr="0092529B" w:rsidRDefault="009252EF" w:rsidP="0092529B">
      <w:pPr>
        <w:pStyle w:val="ListParagraph"/>
        <w:numPr>
          <w:ilvl w:val="0"/>
          <w:numId w:val="79"/>
        </w:numPr>
        <w:spacing w:line="360" w:lineRule="auto"/>
        <w:rPr>
          <w:rFonts w:ascii="Arial" w:hAnsi="Arial" w:cs="Arial"/>
          <w:sz w:val="24"/>
          <w:szCs w:val="24"/>
        </w:rPr>
      </w:pPr>
      <w:r w:rsidRPr="0092529B">
        <w:rPr>
          <w:rFonts w:ascii="Arial" w:hAnsi="Arial" w:cs="Arial"/>
          <w:sz w:val="24"/>
          <w:szCs w:val="24"/>
        </w:rPr>
        <w:t>Interest Coverage: It moves to +3.5x with an initial level of -4.6x, which is an indicator of debt serviceability.</w:t>
      </w:r>
    </w:p>
    <w:p w14:paraId="0DCB9081" w14:textId="77777777" w:rsidR="009252EF" w:rsidRPr="0092529B" w:rsidRDefault="009252EF" w:rsidP="0092529B">
      <w:pPr>
        <w:pStyle w:val="ListParagraph"/>
        <w:numPr>
          <w:ilvl w:val="0"/>
          <w:numId w:val="79"/>
        </w:numPr>
        <w:spacing w:line="360" w:lineRule="auto"/>
        <w:rPr>
          <w:rFonts w:ascii="Arial" w:hAnsi="Arial" w:cs="Arial"/>
          <w:sz w:val="24"/>
          <w:szCs w:val="24"/>
        </w:rPr>
      </w:pPr>
      <w:r w:rsidRPr="0092529B">
        <w:rPr>
          <w:rFonts w:ascii="Arial" w:hAnsi="Arial" w:cs="Arial"/>
          <w:sz w:val="24"/>
          <w:szCs w:val="24"/>
        </w:rPr>
        <w:t>Weighted Average Cost of Capital (WACC): It decreases by 11.2 to 9.8, which lowers the financing costs.</w:t>
      </w:r>
    </w:p>
    <w:p w14:paraId="55735005" w14:textId="77777777" w:rsidR="009252EF" w:rsidRPr="0092529B" w:rsidRDefault="009252EF" w:rsidP="0092529B">
      <w:pPr>
        <w:pStyle w:val="ListParagraph"/>
        <w:numPr>
          <w:ilvl w:val="0"/>
          <w:numId w:val="79"/>
        </w:numPr>
        <w:spacing w:line="360" w:lineRule="auto"/>
        <w:rPr>
          <w:rFonts w:ascii="Arial" w:hAnsi="Arial" w:cs="Arial"/>
          <w:sz w:val="24"/>
          <w:szCs w:val="24"/>
        </w:rPr>
      </w:pPr>
      <w:r w:rsidRPr="0092529B">
        <w:rPr>
          <w:rFonts w:ascii="Arial" w:hAnsi="Arial" w:cs="Arial"/>
          <w:sz w:val="24"/>
          <w:szCs w:val="24"/>
        </w:rPr>
        <w:t>Enterprise Value: 22 percent increase in the value expected because of reduced risk and increased growth opportunities (Brigham &amp; Ehrhardt, 2022).</w:t>
      </w:r>
    </w:p>
    <w:p w14:paraId="690D393F" w14:textId="43D1C1A2" w:rsidR="00E86675" w:rsidRPr="0092529B" w:rsidRDefault="009252EF" w:rsidP="0092529B">
      <w:pPr>
        <w:spacing w:line="360" w:lineRule="auto"/>
        <w:rPr>
          <w:rFonts w:ascii="Arial" w:hAnsi="Arial" w:cs="Arial"/>
          <w:b/>
          <w:bCs/>
          <w:sz w:val="24"/>
          <w:szCs w:val="24"/>
        </w:rPr>
      </w:pPr>
      <w:r w:rsidRPr="0092529B">
        <w:rPr>
          <w:rFonts w:ascii="Arial" w:hAnsi="Arial" w:cs="Arial"/>
          <w:sz w:val="24"/>
          <w:szCs w:val="24"/>
        </w:rPr>
        <w:t>The stability in the long run overshadows short term pain. De-leveraging will lower the risk of bankruptcy and improve its creditworthiness and GE will be in a position to finance growth on a sustainable basis.</w:t>
      </w:r>
    </w:p>
    <w:p w14:paraId="3B5A2591"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4.5 Phased Execution</w:t>
      </w:r>
    </w:p>
    <w:p w14:paraId="603E3ECC"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lastRenderedPageBreak/>
        <w:t>Phased implementation with a structured implementation mitigates implementation risk:</w:t>
      </w:r>
    </w:p>
    <w:p w14:paraId="4EFC1251"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Phase 1 Phase 1: Emergency Stabilisation (0-6 months)</w:t>
      </w:r>
    </w:p>
    <w:p w14:paraId="37579115" w14:textId="77777777" w:rsidR="009252EF" w:rsidRPr="0092529B" w:rsidRDefault="009252EF" w:rsidP="0092529B">
      <w:pPr>
        <w:pStyle w:val="ListParagraph"/>
        <w:numPr>
          <w:ilvl w:val="0"/>
          <w:numId w:val="82"/>
        </w:numPr>
        <w:spacing w:line="360" w:lineRule="auto"/>
        <w:rPr>
          <w:rFonts w:ascii="Arial" w:hAnsi="Arial" w:cs="Arial"/>
          <w:sz w:val="24"/>
          <w:szCs w:val="24"/>
        </w:rPr>
      </w:pPr>
      <w:r w:rsidRPr="0092529B">
        <w:rPr>
          <w:rFonts w:ascii="Arial" w:hAnsi="Arial" w:cs="Arial"/>
          <w:sz w:val="24"/>
          <w:szCs w:val="24"/>
        </w:rPr>
        <w:t>Hold back unnecessary capital expenditure.</w:t>
      </w:r>
    </w:p>
    <w:p w14:paraId="35659C6F" w14:textId="77777777" w:rsidR="009252EF" w:rsidRPr="0092529B" w:rsidRDefault="009252EF" w:rsidP="0092529B">
      <w:pPr>
        <w:pStyle w:val="ListParagraph"/>
        <w:numPr>
          <w:ilvl w:val="0"/>
          <w:numId w:val="82"/>
        </w:numPr>
        <w:spacing w:line="360" w:lineRule="auto"/>
        <w:rPr>
          <w:rFonts w:ascii="Arial" w:hAnsi="Arial" w:cs="Arial"/>
          <w:sz w:val="24"/>
          <w:szCs w:val="24"/>
        </w:rPr>
      </w:pPr>
      <w:r w:rsidRPr="0092529B">
        <w:rPr>
          <w:rFonts w:ascii="Arial" w:hAnsi="Arial" w:cs="Arial"/>
          <w:sz w:val="24"/>
          <w:szCs w:val="24"/>
        </w:rPr>
        <w:t>Issue secured debtor-in-possession (DIP) financing, where necessary.</w:t>
      </w:r>
    </w:p>
    <w:p w14:paraId="162F24F2" w14:textId="77777777" w:rsidR="009252EF" w:rsidRPr="0092529B" w:rsidRDefault="009252EF" w:rsidP="0092529B">
      <w:pPr>
        <w:pStyle w:val="ListParagraph"/>
        <w:numPr>
          <w:ilvl w:val="0"/>
          <w:numId w:val="82"/>
        </w:numPr>
        <w:spacing w:line="360" w:lineRule="auto"/>
        <w:rPr>
          <w:rFonts w:ascii="Arial" w:hAnsi="Arial" w:cs="Arial"/>
          <w:sz w:val="24"/>
          <w:szCs w:val="24"/>
        </w:rPr>
      </w:pPr>
      <w:r w:rsidRPr="0092529B">
        <w:rPr>
          <w:rFonts w:ascii="Arial" w:hAnsi="Arial" w:cs="Arial"/>
          <w:sz w:val="24"/>
          <w:szCs w:val="24"/>
        </w:rPr>
        <w:t>Issue rights issue as a means of equity buttress.</w:t>
      </w:r>
    </w:p>
    <w:p w14:paraId="29A90A7E"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Phase 2: Repair of Phase 1(6-18 months)</w:t>
      </w:r>
    </w:p>
    <w:p w14:paraId="55044E8D" w14:textId="77777777" w:rsidR="009252EF" w:rsidRPr="0092529B" w:rsidRDefault="009252EF" w:rsidP="0092529B">
      <w:pPr>
        <w:pStyle w:val="ListParagraph"/>
        <w:numPr>
          <w:ilvl w:val="0"/>
          <w:numId w:val="81"/>
        </w:numPr>
        <w:spacing w:line="360" w:lineRule="auto"/>
        <w:rPr>
          <w:rFonts w:ascii="Arial" w:hAnsi="Arial" w:cs="Arial"/>
          <w:sz w:val="24"/>
          <w:szCs w:val="24"/>
        </w:rPr>
      </w:pPr>
      <w:r w:rsidRPr="0092529B">
        <w:rPr>
          <w:rFonts w:ascii="Arial" w:hAnsi="Arial" w:cs="Arial"/>
          <w:sz w:val="24"/>
          <w:szCs w:val="24"/>
        </w:rPr>
        <w:t>Total debt-to-equity swaps and asset divestitures.</w:t>
      </w:r>
    </w:p>
    <w:p w14:paraId="21465BB4" w14:textId="77777777" w:rsidR="009252EF" w:rsidRPr="0092529B" w:rsidRDefault="009252EF" w:rsidP="0092529B">
      <w:pPr>
        <w:pStyle w:val="ListParagraph"/>
        <w:numPr>
          <w:ilvl w:val="0"/>
          <w:numId w:val="81"/>
        </w:numPr>
        <w:spacing w:line="360" w:lineRule="auto"/>
        <w:rPr>
          <w:rFonts w:ascii="Arial" w:hAnsi="Arial" w:cs="Arial"/>
          <w:sz w:val="24"/>
          <w:szCs w:val="24"/>
        </w:rPr>
      </w:pPr>
      <w:r w:rsidRPr="0092529B">
        <w:rPr>
          <w:rFonts w:ascii="Arial" w:hAnsi="Arial" w:cs="Arial"/>
          <w:sz w:val="24"/>
          <w:szCs w:val="24"/>
        </w:rPr>
        <w:t>Intimate joint venture with Samsung.</w:t>
      </w:r>
    </w:p>
    <w:p w14:paraId="2338D21F" w14:textId="77777777" w:rsidR="009252EF" w:rsidRPr="0092529B" w:rsidRDefault="009252EF" w:rsidP="0092529B">
      <w:pPr>
        <w:pStyle w:val="ListParagraph"/>
        <w:numPr>
          <w:ilvl w:val="0"/>
          <w:numId w:val="81"/>
        </w:numPr>
        <w:spacing w:line="360" w:lineRule="auto"/>
        <w:rPr>
          <w:rFonts w:ascii="Arial" w:hAnsi="Arial" w:cs="Arial"/>
          <w:sz w:val="24"/>
          <w:szCs w:val="24"/>
        </w:rPr>
      </w:pPr>
      <w:r w:rsidRPr="0092529B">
        <w:rPr>
          <w:rFonts w:ascii="Arial" w:hAnsi="Arial" w:cs="Arial"/>
          <w:sz w:val="24"/>
          <w:szCs w:val="24"/>
        </w:rPr>
        <w:t>Institute reskilling of workforce and ESG capital investment.</w:t>
      </w:r>
    </w:p>
    <w:p w14:paraId="55E1BEE9" w14:textId="2847255D"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Phase 3: Growth Rei</w:t>
      </w:r>
      <w:r w:rsidRPr="0092529B">
        <w:rPr>
          <w:rFonts w:ascii="Arial" w:hAnsi="Arial" w:cs="Arial"/>
          <w:sz w:val="24"/>
          <w:szCs w:val="24"/>
        </w:rPr>
        <w:t>ntroduc</w:t>
      </w:r>
      <w:r w:rsidRPr="0092529B">
        <w:rPr>
          <w:rFonts w:ascii="Arial" w:hAnsi="Arial" w:cs="Arial"/>
          <w:sz w:val="24"/>
          <w:szCs w:val="24"/>
        </w:rPr>
        <w:t>tion (18-36 months)</w:t>
      </w:r>
    </w:p>
    <w:p w14:paraId="5065CDB4" w14:textId="77777777" w:rsidR="009252EF" w:rsidRPr="0092529B" w:rsidRDefault="009252EF" w:rsidP="0092529B">
      <w:pPr>
        <w:pStyle w:val="ListParagraph"/>
        <w:numPr>
          <w:ilvl w:val="0"/>
          <w:numId w:val="80"/>
        </w:numPr>
        <w:spacing w:line="360" w:lineRule="auto"/>
        <w:rPr>
          <w:rFonts w:ascii="Arial" w:hAnsi="Arial" w:cs="Arial"/>
          <w:sz w:val="24"/>
          <w:szCs w:val="24"/>
        </w:rPr>
      </w:pPr>
      <w:r w:rsidRPr="0092529B">
        <w:rPr>
          <w:rFonts w:ascii="Arial" w:hAnsi="Arial" w:cs="Arial"/>
          <w:sz w:val="24"/>
          <w:szCs w:val="24"/>
        </w:rPr>
        <w:t>Invest once again in automation, AI-based production, and digital.</w:t>
      </w:r>
    </w:p>
    <w:p w14:paraId="6C916328" w14:textId="77777777" w:rsidR="009252EF" w:rsidRPr="0092529B" w:rsidRDefault="009252EF" w:rsidP="0092529B">
      <w:pPr>
        <w:pStyle w:val="ListParagraph"/>
        <w:numPr>
          <w:ilvl w:val="0"/>
          <w:numId w:val="80"/>
        </w:numPr>
        <w:spacing w:line="360" w:lineRule="auto"/>
        <w:rPr>
          <w:rFonts w:ascii="Arial" w:hAnsi="Arial" w:cs="Arial"/>
          <w:sz w:val="24"/>
          <w:szCs w:val="24"/>
        </w:rPr>
      </w:pPr>
      <w:r w:rsidRPr="0092529B">
        <w:rPr>
          <w:rFonts w:ascii="Arial" w:hAnsi="Arial" w:cs="Arial"/>
          <w:sz w:val="24"/>
          <w:szCs w:val="24"/>
        </w:rPr>
        <w:t>Pay dividends of 20% payout.</w:t>
      </w:r>
    </w:p>
    <w:p w14:paraId="65D4394F" w14:textId="2095DD89" w:rsidR="00E86675" w:rsidRPr="0092529B" w:rsidRDefault="009252EF" w:rsidP="0092529B">
      <w:pPr>
        <w:pStyle w:val="ListParagraph"/>
        <w:numPr>
          <w:ilvl w:val="0"/>
          <w:numId w:val="80"/>
        </w:numPr>
        <w:spacing w:line="360" w:lineRule="auto"/>
        <w:rPr>
          <w:rFonts w:ascii="Arial" w:hAnsi="Arial" w:cs="Arial"/>
          <w:b/>
          <w:bCs/>
          <w:sz w:val="24"/>
          <w:szCs w:val="24"/>
        </w:rPr>
      </w:pPr>
      <w:r w:rsidRPr="0092529B">
        <w:rPr>
          <w:rFonts w:ascii="Arial" w:hAnsi="Arial" w:cs="Arial"/>
          <w:sz w:val="24"/>
          <w:szCs w:val="24"/>
        </w:rPr>
        <w:t>Aim at having a BBB credit rating so that it can tap international capital markets.</w:t>
      </w:r>
    </w:p>
    <w:p w14:paraId="19A77427"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4.6 Strategic Implications</w:t>
      </w:r>
    </w:p>
    <w:p w14:paraId="2CDB9DE2"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This rearranging is no financial engineering, but corporate reinvention. GE is transforming into a narrow-minded and nimble competitor by eliminating the burdens of legacy and adopting a style of innovation that is focused on collaboration. Consideration of ethics would provide social license to operate and protect the reputation and trust of stakeholders.</w:t>
      </w:r>
    </w:p>
    <w:p w14:paraId="5DEB6D7B" w14:textId="0044C0DF" w:rsidR="00421A9E" w:rsidRPr="0092529B" w:rsidRDefault="009252EF" w:rsidP="0092529B">
      <w:pPr>
        <w:spacing w:line="360" w:lineRule="auto"/>
        <w:rPr>
          <w:rFonts w:ascii="Arial" w:hAnsi="Arial" w:cs="Arial"/>
          <w:sz w:val="24"/>
          <w:szCs w:val="24"/>
        </w:rPr>
      </w:pPr>
      <w:r w:rsidRPr="0092529B">
        <w:rPr>
          <w:rFonts w:ascii="Arial" w:hAnsi="Arial" w:cs="Arial"/>
          <w:sz w:val="24"/>
          <w:szCs w:val="24"/>
        </w:rPr>
        <w:t>Today, the prize is to survive and tomorrow, it will be leadership. Decreased debt, enhanced cash flow, and focused investments in technologies and ESG projects will make GE sustainable in its profits. Investors, creditors and employees can develop a new confidence concerning the way of the company. The gradual and ethically sound strategy would not only result in the restructuring adding value to the long-term enterprise, the interests of all the stakeholders would be balanced, and it would establish the basis of a digitally empowered and resilient GE.</w:t>
      </w:r>
    </w:p>
    <w:p w14:paraId="08CA8D36" w14:textId="77777777" w:rsidR="009252EF" w:rsidRPr="0092529B" w:rsidRDefault="009252EF" w:rsidP="0092529B">
      <w:pPr>
        <w:spacing w:line="360" w:lineRule="auto"/>
        <w:rPr>
          <w:rFonts w:ascii="Arial" w:hAnsi="Arial" w:cs="Arial"/>
          <w:sz w:val="24"/>
          <w:szCs w:val="24"/>
        </w:rPr>
      </w:pPr>
    </w:p>
    <w:p w14:paraId="190F127E"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lastRenderedPageBreak/>
        <w:t>5.0 Investment Prioritisation: Doing More With Less</w:t>
      </w:r>
    </w:p>
    <w:p w14:paraId="724535BA"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5.1 The £60 Million Constraint</w:t>
      </w:r>
    </w:p>
    <w:p w14:paraId="6413DD8C" w14:textId="2D4AEB5F"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 xml:space="preserve">GE has a problem of capital shortage: they have only </w:t>
      </w:r>
      <w:r w:rsidR="007B19CA">
        <w:rPr>
          <w:rFonts w:ascii="Arial" w:hAnsi="Arial" w:cs="Arial"/>
          <w:sz w:val="24"/>
          <w:szCs w:val="24"/>
        </w:rPr>
        <w:t>£</w:t>
      </w:r>
      <w:r w:rsidRPr="0092529B">
        <w:rPr>
          <w:rFonts w:ascii="Arial" w:hAnsi="Arial" w:cs="Arial"/>
          <w:sz w:val="24"/>
          <w:szCs w:val="24"/>
        </w:rPr>
        <w:t>60 million to engage in strategic investment. In this regard, every pound should provide maximum value and at the same time concur with the long-term corporate priorities. The company is unable to finance all the initiatives and has to follow the high returns, low risks, and strategically pertinent projects, similar to the approach of venture capital.</w:t>
      </w:r>
    </w:p>
    <w:p w14:paraId="692739DF" w14:textId="77777777"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There are three major projects that compete in terms of allocation:</w:t>
      </w:r>
    </w:p>
    <w:p w14:paraId="20E4088A" w14:textId="2CE016DF"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Project A: Artificial Intelligence based Predictive Maintenance System (</w:t>
      </w:r>
      <w:r w:rsidR="007B19CA">
        <w:rPr>
          <w:rFonts w:ascii="Arial" w:hAnsi="Arial" w:cs="Arial"/>
          <w:sz w:val="24"/>
          <w:szCs w:val="24"/>
        </w:rPr>
        <w:t>£</w:t>
      </w:r>
      <w:r w:rsidRPr="0092529B">
        <w:rPr>
          <w:rFonts w:ascii="Arial" w:hAnsi="Arial" w:cs="Arial"/>
          <w:sz w:val="24"/>
          <w:szCs w:val="24"/>
        </w:rPr>
        <w:t>25 million)</w:t>
      </w:r>
    </w:p>
    <w:p w14:paraId="67285884" w14:textId="6AC5AA98"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Project B: Smart Home Hub, which is solar-powered (</w:t>
      </w:r>
      <w:r w:rsidR="007B19CA">
        <w:rPr>
          <w:rFonts w:ascii="Arial" w:hAnsi="Arial" w:cs="Arial"/>
          <w:sz w:val="24"/>
          <w:szCs w:val="24"/>
        </w:rPr>
        <w:t>£</w:t>
      </w:r>
      <w:r w:rsidRPr="0092529B">
        <w:rPr>
          <w:rFonts w:ascii="Arial" w:hAnsi="Arial" w:cs="Arial"/>
          <w:sz w:val="24"/>
          <w:szCs w:val="24"/>
        </w:rPr>
        <w:t>30 million).</w:t>
      </w:r>
    </w:p>
    <w:p w14:paraId="11D8BD9C" w14:textId="601B88D3" w:rsidR="009252EF" w:rsidRPr="0092529B" w:rsidRDefault="009252EF" w:rsidP="0092529B">
      <w:pPr>
        <w:spacing w:line="360" w:lineRule="auto"/>
        <w:rPr>
          <w:rFonts w:ascii="Arial" w:hAnsi="Arial" w:cs="Arial"/>
          <w:sz w:val="24"/>
          <w:szCs w:val="24"/>
        </w:rPr>
      </w:pPr>
      <w:r w:rsidRPr="0092529B">
        <w:rPr>
          <w:rFonts w:ascii="Arial" w:hAnsi="Arial" w:cs="Arial"/>
          <w:sz w:val="24"/>
          <w:szCs w:val="24"/>
        </w:rPr>
        <w:t>Project C: Supply Chain Tracker (Using blockchain) (</w:t>
      </w:r>
      <w:r w:rsidR="007B19CA">
        <w:rPr>
          <w:rFonts w:ascii="Arial" w:hAnsi="Arial" w:cs="Arial"/>
          <w:sz w:val="24"/>
          <w:szCs w:val="24"/>
        </w:rPr>
        <w:t>£</w:t>
      </w:r>
      <w:r w:rsidRPr="0092529B">
        <w:rPr>
          <w:rFonts w:ascii="Arial" w:hAnsi="Arial" w:cs="Arial"/>
          <w:sz w:val="24"/>
          <w:szCs w:val="24"/>
        </w:rPr>
        <w:t>20 million)</w:t>
      </w:r>
    </w:p>
    <w:p w14:paraId="756BA866" w14:textId="42EED49A" w:rsidR="00E86675" w:rsidRPr="0092529B" w:rsidRDefault="009252EF" w:rsidP="0092529B">
      <w:pPr>
        <w:spacing w:line="360" w:lineRule="auto"/>
        <w:rPr>
          <w:rFonts w:ascii="Arial" w:hAnsi="Arial" w:cs="Arial"/>
          <w:b/>
          <w:bCs/>
          <w:sz w:val="24"/>
          <w:szCs w:val="24"/>
        </w:rPr>
      </w:pPr>
      <w:r w:rsidRPr="0092529B">
        <w:rPr>
          <w:rFonts w:ascii="Arial" w:hAnsi="Arial" w:cs="Arial"/>
          <w:sz w:val="24"/>
          <w:szCs w:val="24"/>
        </w:rPr>
        <w:t>Every project is digital transformation, a more efficient operation, and ESG-compatibility. It is not just a financial decision, but has to be based on strategic fit, risk mitigation, and scalability.</w:t>
      </w:r>
    </w:p>
    <w:p w14:paraId="3E283755"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5.2 Financial Appraisal</w:t>
      </w:r>
    </w:p>
    <w:p w14:paraId="27DF8F79" w14:textId="38311435" w:rsidR="00E86675" w:rsidRPr="0092529B" w:rsidRDefault="009252EF" w:rsidP="0092529B">
      <w:pPr>
        <w:spacing w:line="360" w:lineRule="auto"/>
        <w:rPr>
          <w:rFonts w:ascii="Arial" w:hAnsi="Arial" w:cs="Arial"/>
          <w:sz w:val="24"/>
          <w:szCs w:val="24"/>
        </w:rPr>
      </w:pPr>
      <w:r w:rsidRPr="0092529B">
        <w:rPr>
          <w:rFonts w:ascii="Arial" w:hAnsi="Arial" w:cs="Arial"/>
          <w:sz w:val="24"/>
          <w:szCs w:val="24"/>
        </w:rPr>
        <w:t>In order to determine value, discounted cash flow (DCF) method is implemented. A 10 percent discount rate and a 7 years period of evaluation are some of the assumptions. The estimated cash flows, residual values and initial costs are summarised as below:</w:t>
      </w:r>
    </w:p>
    <w:tbl>
      <w:tblPr>
        <w:tblStyle w:val="TableGrid"/>
        <w:tblW w:w="0" w:type="auto"/>
        <w:tblLook w:val="04A0" w:firstRow="1" w:lastRow="0" w:firstColumn="1" w:lastColumn="0" w:noHBand="0" w:noVBand="1"/>
      </w:tblPr>
      <w:tblGrid>
        <w:gridCol w:w="1030"/>
        <w:gridCol w:w="2017"/>
        <w:gridCol w:w="2870"/>
        <w:gridCol w:w="1257"/>
        <w:gridCol w:w="1790"/>
      </w:tblGrid>
      <w:tr w:rsidR="00E86675" w:rsidRPr="0092529B" w14:paraId="1F373E95" w14:textId="77777777" w:rsidTr="00E86675">
        <w:tc>
          <w:tcPr>
            <w:tcW w:w="0" w:type="auto"/>
            <w:hideMark/>
          </w:tcPr>
          <w:p w14:paraId="468FD565"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Project</w:t>
            </w:r>
          </w:p>
        </w:tc>
        <w:tc>
          <w:tcPr>
            <w:tcW w:w="0" w:type="auto"/>
            <w:hideMark/>
          </w:tcPr>
          <w:p w14:paraId="16FA65A0"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Initial Cost (£m)</w:t>
            </w:r>
          </w:p>
        </w:tc>
        <w:tc>
          <w:tcPr>
            <w:tcW w:w="0" w:type="auto"/>
            <w:hideMark/>
          </w:tcPr>
          <w:p w14:paraId="1F196E1D"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Annual Cash Flow (£m)</w:t>
            </w:r>
          </w:p>
        </w:tc>
        <w:tc>
          <w:tcPr>
            <w:tcW w:w="0" w:type="auto"/>
            <w:hideMark/>
          </w:tcPr>
          <w:p w14:paraId="2DA210D9"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Life (Yrs)</w:t>
            </w:r>
          </w:p>
        </w:tc>
        <w:tc>
          <w:tcPr>
            <w:tcW w:w="0" w:type="auto"/>
            <w:hideMark/>
          </w:tcPr>
          <w:p w14:paraId="3D6D2528"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Residual (£m)</w:t>
            </w:r>
          </w:p>
        </w:tc>
      </w:tr>
      <w:tr w:rsidR="00E86675" w:rsidRPr="0092529B" w14:paraId="3A854C48" w14:textId="77777777" w:rsidTr="00E86675">
        <w:tc>
          <w:tcPr>
            <w:tcW w:w="0" w:type="auto"/>
            <w:hideMark/>
          </w:tcPr>
          <w:p w14:paraId="2568A5CF" w14:textId="5A52542E" w:rsidR="00E86675" w:rsidRPr="0092529B" w:rsidRDefault="003C3DE4" w:rsidP="0092529B">
            <w:pPr>
              <w:spacing w:after="160" w:line="360" w:lineRule="auto"/>
              <w:rPr>
                <w:rFonts w:ascii="Arial" w:hAnsi="Arial" w:cs="Arial"/>
                <w:b/>
                <w:bCs/>
                <w:sz w:val="24"/>
                <w:szCs w:val="24"/>
              </w:rPr>
            </w:pPr>
            <w:r w:rsidRPr="0092529B">
              <w:rPr>
                <w:rFonts w:ascii="Arial" w:hAnsi="Arial" w:cs="Arial"/>
                <w:b/>
                <w:bCs/>
                <w:sz w:val="24"/>
                <w:szCs w:val="24"/>
              </w:rPr>
              <w:t>A</w:t>
            </w:r>
          </w:p>
        </w:tc>
        <w:tc>
          <w:tcPr>
            <w:tcW w:w="0" w:type="auto"/>
            <w:hideMark/>
          </w:tcPr>
          <w:p w14:paraId="3AADBB35"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25</w:t>
            </w:r>
          </w:p>
        </w:tc>
        <w:tc>
          <w:tcPr>
            <w:tcW w:w="0" w:type="auto"/>
            <w:hideMark/>
          </w:tcPr>
          <w:p w14:paraId="35F3C542"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8</w:t>
            </w:r>
          </w:p>
        </w:tc>
        <w:tc>
          <w:tcPr>
            <w:tcW w:w="0" w:type="auto"/>
            <w:hideMark/>
          </w:tcPr>
          <w:p w14:paraId="63E3491F"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6</w:t>
            </w:r>
          </w:p>
        </w:tc>
        <w:tc>
          <w:tcPr>
            <w:tcW w:w="0" w:type="auto"/>
            <w:hideMark/>
          </w:tcPr>
          <w:p w14:paraId="2179036E"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2</w:t>
            </w:r>
          </w:p>
        </w:tc>
      </w:tr>
      <w:tr w:rsidR="00E86675" w:rsidRPr="0092529B" w14:paraId="0494753C" w14:textId="77777777" w:rsidTr="00E86675">
        <w:tc>
          <w:tcPr>
            <w:tcW w:w="0" w:type="auto"/>
            <w:hideMark/>
          </w:tcPr>
          <w:p w14:paraId="26CC3E46" w14:textId="6910B1D5" w:rsidR="00E86675" w:rsidRPr="0092529B" w:rsidRDefault="003C3DE4" w:rsidP="0092529B">
            <w:pPr>
              <w:spacing w:after="160" w:line="360" w:lineRule="auto"/>
              <w:rPr>
                <w:rFonts w:ascii="Arial" w:hAnsi="Arial" w:cs="Arial"/>
                <w:b/>
                <w:bCs/>
                <w:sz w:val="24"/>
                <w:szCs w:val="24"/>
              </w:rPr>
            </w:pPr>
            <w:r w:rsidRPr="0092529B">
              <w:rPr>
                <w:rFonts w:ascii="Arial" w:hAnsi="Arial" w:cs="Arial"/>
                <w:b/>
                <w:bCs/>
                <w:sz w:val="24"/>
                <w:szCs w:val="24"/>
              </w:rPr>
              <w:t>B</w:t>
            </w:r>
          </w:p>
        </w:tc>
        <w:tc>
          <w:tcPr>
            <w:tcW w:w="0" w:type="auto"/>
            <w:hideMark/>
          </w:tcPr>
          <w:p w14:paraId="047DCE49"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30</w:t>
            </w:r>
          </w:p>
        </w:tc>
        <w:tc>
          <w:tcPr>
            <w:tcW w:w="0" w:type="auto"/>
            <w:hideMark/>
          </w:tcPr>
          <w:p w14:paraId="695F8B9A"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10</w:t>
            </w:r>
          </w:p>
        </w:tc>
        <w:tc>
          <w:tcPr>
            <w:tcW w:w="0" w:type="auto"/>
            <w:hideMark/>
          </w:tcPr>
          <w:p w14:paraId="117B7EEC"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5</w:t>
            </w:r>
          </w:p>
        </w:tc>
        <w:tc>
          <w:tcPr>
            <w:tcW w:w="0" w:type="auto"/>
            <w:hideMark/>
          </w:tcPr>
          <w:p w14:paraId="49C0CD65"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3</w:t>
            </w:r>
          </w:p>
        </w:tc>
      </w:tr>
      <w:tr w:rsidR="00E86675" w:rsidRPr="0092529B" w14:paraId="412601E9" w14:textId="77777777" w:rsidTr="00E86675">
        <w:tc>
          <w:tcPr>
            <w:tcW w:w="0" w:type="auto"/>
            <w:hideMark/>
          </w:tcPr>
          <w:p w14:paraId="4E623498" w14:textId="399B74DC" w:rsidR="00E86675" w:rsidRPr="0092529B" w:rsidRDefault="003C3DE4" w:rsidP="0092529B">
            <w:pPr>
              <w:spacing w:after="160" w:line="360" w:lineRule="auto"/>
              <w:rPr>
                <w:rFonts w:ascii="Arial" w:hAnsi="Arial" w:cs="Arial"/>
                <w:b/>
                <w:bCs/>
                <w:sz w:val="24"/>
                <w:szCs w:val="24"/>
              </w:rPr>
            </w:pPr>
            <w:r w:rsidRPr="0092529B">
              <w:rPr>
                <w:rFonts w:ascii="Arial" w:hAnsi="Arial" w:cs="Arial"/>
                <w:b/>
                <w:bCs/>
                <w:sz w:val="24"/>
                <w:szCs w:val="24"/>
              </w:rPr>
              <w:t>C</w:t>
            </w:r>
          </w:p>
        </w:tc>
        <w:tc>
          <w:tcPr>
            <w:tcW w:w="0" w:type="auto"/>
            <w:hideMark/>
          </w:tcPr>
          <w:p w14:paraId="28889518"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20</w:t>
            </w:r>
          </w:p>
        </w:tc>
        <w:tc>
          <w:tcPr>
            <w:tcW w:w="0" w:type="auto"/>
            <w:hideMark/>
          </w:tcPr>
          <w:p w14:paraId="1ACC8673"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6</w:t>
            </w:r>
          </w:p>
        </w:tc>
        <w:tc>
          <w:tcPr>
            <w:tcW w:w="0" w:type="auto"/>
            <w:hideMark/>
          </w:tcPr>
          <w:p w14:paraId="334E9D41"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7</w:t>
            </w:r>
          </w:p>
        </w:tc>
        <w:tc>
          <w:tcPr>
            <w:tcW w:w="0" w:type="auto"/>
            <w:hideMark/>
          </w:tcPr>
          <w:p w14:paraId="69F39848" w14:textId="77777777" w:rsidR="00E86675" w:rsidRPr="0092529B" w:rsidRDefault="00E86675" w:rsidP="0092529B">
            <w:pPr>
              <w:spacing w:after="160" w:line="360" w:lineRule="auto"/>
              <w:rPr>
                <w:rFonts w:ascii="Arial" w:hAnsi="Arial" w:cs="Arial"/>
                <w:b/>
                <w:bCs/>
                <w:sz w:val="24"/>
                <w:szCs w:val="24"/>
              </w:rPr>
            </w:pPr>
            <w:r w:rsidRPr="0092529B">
              <w:rPr>
                <w:rFonts w:ascii="Arial" w:hAnsi="Arial" w:cs="Arial"/>
                <w:b/>
                <w:bCs/>
                <w:sz w:val="24"/>
                <w:szCs w:val="24"/>
              </w:rPr>
              <w:t>1</w:t>
            </w:r>
          </w:p>
        </w:tc>
      </w:tr>
    </w:tbl>
    <w:p w14:paraId="001CD5EE" w14:textId="77777777" w:rsidR="00246B1B" w:rsidRPr="0092529B" w:rsidRDefault="00246B1B" w:rsidP="0092529B">
      <w:pPr>
        <w:spacing w:line="360" w:lineRule="auto"/>
        <w:rPr>
          <w:rFonts w:ascii="Arial" w:hAnsi="Arial" w:cs="Arial"/>
          <w:b/>
          <w:bCs/>
          <w:sz w:val="24"/>
          <w:szCs w:val="24"/>
        </w:rPr>
      </w:pPr>
    </w:p>
    <w:p w14:paraId="6A2415DE" w14:textId="2DC1D533"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The NPV formula is:</w:t>
      </w:r>
    </w:p>
    <w:p w14:paraId="0567D7C5" w14:textId="527EDC5B" w:rsidR="00E86675" w:rsidRPr="0092529B" w:rsidRDefault="00E86675" w:rsidP="0092529B">
      <w:pPr>
        <w:spacing w:line="360" w:lineRule="auto"/>
        <w:rPr>
          <w:rFonts w:ascii="Arial" w:hAnsi="Arial" w:cs="Arial"/>
          <w:b/>
          <w:bCs/>
          <w:sz w:val="24"/>
          <w:szCs w:val="24"/>
        </w:rPr>
      </w:pPr>
      <m:oMathPara>
        <m:oMath>
          <m:r>
            <m:rPr>
              <m:sty m:val="bi"/>
            </m:rPr>
            <w:rPr>
              <w:rFonts w:ascii="Cambria Math" w:hAnsi="Cambria Math" w:cs="Arial"/>
              <w:sz w:val="24"/>
              <w:szCs w:val="24"/>
            </w:rPr>
            <w:lastRenderedPageBreak/>
            <m:t>NPV=∑</m:t>
          </m:r>
          <m:f>
            <m:fPr>
              <m:ctrlPr>
                <w:rPr>
                  <w:rFonts w:ascii="Cambria Math" w:hAnsi="Cambria Math" w:cs="Arial"/>
                  <w:b/>
                  <w:bCs/>
                  <w:sz w:val="24"/>
                  <w:szCs w:val="24"/>
                </w:rPr>
              </m:ctrlPr>
            </m:fPr>
            <m:num>
              <m:r>
                <m:rPr>
                  <m:sty m:val="bi"/>
                </m:rPr>
                <w:rPr>
                  <w:rFonts w:ascii="Cambria Math" w:hAnsi="Cambria Math" w:cs="Arial"/>
                  <w:sz w:val="24"/>
                  <w:szCs w:val="24"/>
                </w:rPr>
                <m:t>C</m:t>
              </m:r>
              <m:sSub>
                <m:sSubPr>
                  <m:ctrlPr>
                    <w:rPr>
                      <w:rFonts w:ascii="Cambria Math" w:hAnsi="Cambria Math" w:cs="Arial"/>
                      <w:b/>
                      <w:bCs/>
                      <w:sz w:val="24"/>
                      <w:szCs w:val="24"/>
                    </w:rPr>
                  </m:ctrlPr>
                </m:sSubPr>
                <m:e>
                  <m:r>
                    <m:rPr>
                      <m:sty m:val="bi"/>
                    </m:rPr>
                    <w:rPr>
                      <w:rFonts w:ascii="Cambria Math" w:hAnsi="Cambria Math" w:cs="Arial"/>
                      <w:sz w:val="24"/>
                      <w:szCs w:val="24"/>
                    </w:rPr>
                    <m:t>F</m:t>
                  </m:r>
                </m:e>
                <m:sub>
                  <m:r>
                    <m:rPr>
                      <m:sty m:val="bi"/>
                    </m:rPr>
                    <w:rPr>
                      <w:rFonts w:ascii="Cambria Math" w:hAnsi="Cambria Math" w:cs="Arial"/>
                      <w:sz w:val="24"/>
                      <w:szCs w:val="24"/>
                    </w:rPr>
                    <m:t>t</m:t>
                  </m:r>
                </m:sub>
              </m:sSub>
            </m:num>
            <m:den>
              <m:r>
                <m:rPr>
                  <m:sty m:val="bi"/>
                </m:rPr>
                <w:rPr>
                  <w:rFonts w:ascii="Cambria Math" w:hAnsi="Cambria Math" w:cs="Arial"/>
                  <w:sz w:val="24"/>
                  <w:szCs w:val="24"/>
                </w:rPr>
                <m:t>(1+r</m:t>
              </m:r>
              <m:sSup>
                <m:sSupPr>
                  <m:ctrlPr>
                    <w:rPr>
                      <w:rFonts w:ascii="Cambria Math" w:hAnsi="Cambria Math" w:cs="Arial"/>
                      <w:b/>
                      <w:bCs/>
                      <w:sz w:val="24"/>
                      <w:szCs w:val="24"/>
                    </w:rPr>
                  </m:ctrlPr>
                </m:sSupPr>
                <m:e>
                  <m:r>
                    <m:rPr>
                      <m:sty m:val="bi"/>
                    </m:rPr>
                    <w:rPr>
                      <w:rFonts w:ascii="Cambria Math" w:hAnsi="Cambria Math" w:cs="Arial"/>
                      <w:sz w:val="24"/>
                      <w:szCs w:val="24"/>
                    </w:rPr>
                    <m:t>)</m:t>
                  </m:r>
                </m:e>
                <m:sup>
                  <m:r>
                    <m:rPr>
                      <m:sty m:val="bi"/>
                    </m:rPr>
                    <w:rPr>
                      <w:rFonts w:ascii="Cambria Math" w:hAnsi="Cambria Math" w:cs="Arial"/>
                      <w:sz w:val="24"/>
                      <w:szCs w:val="24"/>
                    </w:rPr>
                    <m:t>t</m:t>
                  </m:r>
                </m:sup>
              </m:sSup>
            </m:den>
          </m:f>
          <m:r>
            <m:rPr>
              <m:sty m:val="bi"/>
            </m:rPr>
            <w:rPr>
              <w:rFonts w:ascii="Cambria Math" w:hAnsi="Cambria Math" w:cs="Arial"/>
              <w:sz w:val="24"/>
              <w:szCs w:val="24"/>
            </w:rPr>
            <m:t>+</m:t>
          </m:r>
          <m:f>
            <m:fPr>
              <m:ctrlPr>
                <w:rPr>
                  <w:rFonts w:ascii="Cambria Math" w:hAnsi="Cambria Math" w:cs="Arial"/>
                  <w:b/>
                  <w:bCs/>
                  <w:sz w:val="24"/>
                  <w:szCs w:val="24"/>
                </w:rPr>
              </m:ctrlPr>
            </m:fPr>
            <m:num>
              <m:r>
                <m:rPr>
                  <m:sty m:val="bi"/>
                </m:rPr>
                <w:rPr>
                  <w:rFonts w:ascii="Cambria Math" w:hAnsi="Cambria Math" w:cs="Arial"/>
                  <w:sz w:val="24"/>
                  <w:szCs w:val="24"/>
                </w:rPr>
                <m:t>Residual</m:t>
              </m:r>
            </m:num>
            <m:den>
              <m:r>
                <m:rPr>
                  <m:sty m:val="bi"/>
                </m:rPr>
                <w:rPr>
                  <w:rFonts w:ascii="Cambria Math" w:hAnsi="Cambria Math" w:cs="Arial"/>
                  <w:sz w:val="24"/>
                  <w:szCs w:val="24"/>
                </w:rPr>
                <m:t>(1+r</m:t>
              </m:r>
              <m:sSup>
                <m:sSupPr>
                  <m:ctrlPr>
                    <w:rPr>
                      <w:rFonts w:ascii="Cambria Math" w:hAnsi="Cambria Math" w:cs="Arial"/>
                      <w:b/>
                      <w:bCs/>
                      <w:sz w:val="24"/>
                      <w:szCs w:val="24"/>
                    </w:rPr>
                  </m:ctrlPr>
                </m:sSupPr>
                <m:e>
                  <m:r>
                    <m:rPr>
                      <m:sty m:val="bi"/>
                    </m:rPr>
                    <w:rPr>
                      <w:rFonts w:ascii="Cambria Math" w:hAnsi="Cambria Math" w:cs="Arial"/>
                      <w:sz w:val="24"/>
                      <w:szCs w:val="24"/>
                    </w:rPr>
                    <m:t>)</m:t>
                  </m:r>
                </m:e>
                <m:sup>
                  <m:r>
                    <m:rPr>
                      <m:sty m:val="bi"/>
                    </m:rPr>
                    <w:rPr>
                      <w:rFonts w:ascii="Cambria Math" w:hAnsi="Cambria Math" w:cs="Arial"/>
                      <w:sz w:val="24"/>
                      <w:szCs w:val="24"/>
                    </w:rPr>
                    <m:t>n</m:t>
                  </m:r>
                </m:sup>
              </m:sSup>
            </m:den>
          </m:f>
          <m:r>
            <m:rPr>
              <m:sty m:val="bi"/>
            </m:rPr>
            <w:rPr>
              <w:rFonts w:ascii="Cambria Math" w:hAnsi="Cambria Math" w:cs="Arial"/>
              <w:sz w:val="24"/>
              <w:szCs w:val="24"/>
            </w:rPr>
            <m:t>-Initial</m:t>
          </m:r>
          <m:r>
            <m:rPr>
              <m:nor/>
            </m:rPr>
            <w:rPr>
              <w:rFonts w:ascii="Arial" w:hAnsi="Arial" w:cs="Arial"/>
              <w:b/>
              <w:bCs/>
              <w:sz w:val="24"/>
              <w:szCs w:val="24"/>
            </w:rPr>
            <m:t xml:space="preserve"> </m:t>
          </m:r>
          <m:r>
            <m:rPr>
              <m:sty m:val="bi"/>
            </m:rPr>
            <w:rPr>
              <w:rFonts w:ascii="Cambria Math" w:hAnsi="Cambria Math" w:cs="Arial"/>
              <w:sz w:val="24"/>
              <w:szCs w:val="24"/>
            </w:rPr>
            <m:t>Cost</m:t>
          </m:r>
          <m:r>
            <m:rPr>
              <m:sty m:val="bi"/>
            </m:rPr>
            <w:rPr>
              <w:rFonts w:ascii="Cambria Math" w:hAnsi="Cambria Math" w:cs="Arial"/>
              <w:sz w:val="24"/>
              <w:szCs w:val="24"/>
            </w:rPr>
            <w:br/>
          </m:r>
        </m:oMath>
      </m:oMathPara>
    </w:p>
    <w:p w14:paraId="7BCD462D" w14:textId="77777777" w:rsidR="00E86675" w:rsidRPr="0092529B" w:rsidRDefault="00E86675" w:rsidP="0092529B">
      <w:pPr>
        <w:spacing w:line="360" w:lineRule="auto"/>
        <w:rPr>
          <w:rFonts w:ascii="Arial" w:hAnsi="Arial" w:cs="Arial"/>
          <w:sz w:val="24"/>
          <w:szCs w:val="24"/>
        </w:rPr>
      </w:pPr>
      <w:r w:rsidRPr="0092529B">
        <w:rPr>
          <w:rFonts w:ascii="Arial" w:hAnsi="Arial" w:cs="Arial"/>
          <w:sz w:val="24"/>
          <w:szCs w:val="24"/>
        </w:rPr>
        <w:t>Calculations:</w:t>
      </w:r>
    </w:p>
    <w:p w14:paraId="0D0A3399" w14:textId="42B338A6" w:rsidR="00E86675" w:rsidRPr="0092529B" w:rsidRDefault="003C3DE4" w:rsidP="007B19CA">
      <w:pPr>
        <w:spacing w:line="360" w:lineRule="auto"/>
        <w:ind w:left="720"/>
        <w:rPr>
          <w:rFonts w:ascii="Arial" w:hAnsi="Arial" w:cs="Arial"/>
          <w:sz w:val="24"/>
          <w:szCs w:val="24"/>
        </w:rPr>
      </w:pPr>
      <w:r w:rsidRPr="0092529B">
        <w:rPr>
          <w:rFonts w:ascii="Arial" w:hAnsi="Arial" w:cs="Arial"/>
          <w:sz w:val="24"/>
          <w:szCs w:val="24"/>
        </w:rPr>
        <w:t>A</w:t>
      </w:r>
      <w:r w:rsidR="00E86675" w:rsidRPr="0092529B">
        <w:rPr>
          <w:rFonts w:ascii="Arial" w:hAnsi="Arial" w:cs="Arial"/>
          <w:sz w:val="24"/>
          <w:szCs w:val="24"/>
        </w:rPr>
        <w:t>:</w:t>
      </w:r>
    </w:p>
    <w:p w14:paraId="5B6A22D0" w14:textId="77777777" w:rsidR="00E86675" w:rsidRPr="0092529B" w:rsidRDefault="00E86675" w:rsidP="007B19CA">
      <w:pPr>
        <w:spacing w:line="360" w:lineRule="auto"/>
        <w:ind w:left="1440"/>
        <w:rPr>
          <w:rFonts w:ascii="Arial" w:hAnsi="Arial" w:cs="Arial"/>
          <w:sz w:val="24"/>
          <w:szCs w:val="24"/>
        </w:rPr>
      </w:pPr>
      <w:r w:rsidRPr="0092529B">
        <w:rPr>
          <w:rFonts w:ascii="Arial" w:hAnsi="Arial" w:cs="Arial"/>
          <w:sz w:val="24"/>
          <w:szCs w:val="24"/>
        </w:rPr>
        <w:t>PV Cash Flows = 8 × 4.355 = £34.84m</w:t>
      </w:r>
    </w:p>
    <w:p w14:paraId="11C6622D" w14:textId="77777777" w:rsidR="00E86675" w:rsidRPr="0092529B" w:rsidRDefault="00E86675" w:rsidP="007B19CA">
      <w:pPr>
        <w:spacing w:line="360" w:lineRule="auto"/>
        <w:ind w:left="1440"/>
        <w:rPr>
          <w:rFonts w:ascii="Arial" w:hAnsi="Arial" w:cs="Arial"/>
          <w:sz w:val="24"/>
          <w:szCs w:val="24"/>
        </w:rPr>
      </w:pPr>
      <w:r w:rsidRPr="0092529B">
        <w:rPr>
          <w:rFonts w:ascii="Arial" w:hAnsi="Arial" w:cs="Arial"/>
          <w:sz w:val="24"/>
          <w:szCs w:val="24"/>
        </w:rPr>
        <w:t>PV Residual = 2 × 0.564 = £1.13m</w:t>
      </w:r>
    </w:p>
    <w:p w14:paraId="02B11F4F" w14:textId="77777777" w:rsidR="00E86675" w:rsidRPr="0092529B" w:rsidRDefault="00E86675" w:rsidP="007B19CA">
      <w:pPr>
        <w:spacing w:line="360" w:lineRule="auto"/>
        <w:ind w:left="1440"/>
        <w:rPr>
          <w:rFonts w:ascii="Arial" w:hAnsi="Arial" w:cs="Arial"/>
          <w:sz w:val="24"/>
          <w:szCs w:val="24"/>
        </w:rPr>
      </w:pPr>
      <w:r w:rsidRPr="0092529B">
        <w:rPr>
          <w:rFonts w:ascii="Arial" w:hAnsi="Arial" w:cs="Arial"/>
          <w:sz w:val="24"/>
          <w:szCs w:val="24"/>
        </w:rPr>
        <w:t>NPV = 34.84 + 1.13 – 25 = £10.97m</w:t>
      </w:r>
    </w:p>
    <w:p w14:paraId="600ACDB3" w14:textId="01671413" w:rsidR="00E86675" w:rsidRPr="0092529B" w:rsidRDefault="003C3DE4" w:rsidP="007B19CA">
      <w:pPr>
        <w:spacing w:line="360" w:lineRule="auto"/>
        <w:ind w:left="720"/>
        <w:rPr>
          <w:rFonts w:ascii="Arial" w:hAnsi="Arial" w:cs="Arial"/>
          <w:sz w:val="24"/>
          <w:szCs w:val="24"/>
        </w:rPr>
      </w:pPr>
      <w:r w:rsidRPr="0092529B">
        <w:rPr>
          <w:rFonts w:ascii="Arial" w:hAnsi="Arial" w:cs="Arial"/>
          <w:sz w:val="24"/>
          <w:szCs w:val="24"/>
        </w:rPr>
        <w:t>B</w:t>
      </w:r>
      <w:r w:rsidR="00E86675" w:rsidRPr="0092529B">
        <w:rPr>
          <w:rFonts w:ascii="Arial" w:hAnsi="Arial" w:cs="Arial"/>
          <w:sz w:val="24"/>
          <w:szCs w:val="24"/>
        </w:rPr>
        <w:t>:</w:t>
      </w:r>
    </w:p>
    <w:p w14:paraId="1982281F" w14:textId="77777777" w:rsidR="00E86675" w:rsidRPr="0092529B" w:rsidRDefault="00E86675" w:rsidP="007B19CA">
      <w:pPr>
        <w:spacing w:line="360" w:lineRule="auto"/>
        <w:ind w:left="1440"/>
        <w:rPr>
          <w:rFonts w:ascii="Arial" w:hAnsi="Arial" w:cs="Arial"/>
          <w:sz w:val="24"/>
          <w:szCs w:val="24"/>
        </w:rPr>
      </w:pPr>
      <w:r w:rsidRPr="0092529B">
        <w:rPr>
          <w:rFonts w:ascii="Arial" w:hAnsi="Arial" w:cs="Arial"/>
          <w:sz w:val="24"/>
          <w:szCs w:val="24"/>
        </w:rPr>
        <w:t>PV Cash Flows = 10 × 3.791 = £37.91m</w:t>
      </w:r>
    </w:p>
    <w:p w14:paraId="3149DA72" w14:textId="77777777" w:rsidR="00E86675" w:rsidRPr="0092529B" w:rsidRDefault="00E86675" w:rsidP="007B19CA">
      <w:pPr>
        <w:spacing w:line="360" w:lineRule="auto"/>
        <w:ind w:left="1440"/>
        <w:rPr>
          <w:rFonts w:ascii="Arial" w:hAnsi="Arial" w:cs="Arial"/>
          <w:sz w:val="24"/>
          <w:szCs w:val="24"/>
        </w:rPr>
      </w:pPr>
      <w:r w:rsidRPr="0092529B">
        <w:rPr>
          <w:rFonts w:ascii="Arial" w:hAnsi="Arial" w:cs="Arial"/>
          <w:sz w:val="24"/>
          <w:szCs w:val="24"/>
        </w:rPr>
        <w:t>PV Residual = 3 × 0.621 = £1.86m</w:t>
      </w:r>
    </w:p>
    <w:p w14:paraId="794E0F31" w14:textId="77777777" w:rsidR="00E86675" w:rsidRPr="0092529B" w:rsidRDefault="00E86675" w:rsidP="007B19CA">
      <w:pPr>
        <w:spacing w:line="360" w:lineRule="auto"/>
        <w:ind w:left="1440"/>
        <w:rPr>
          <w:rFonts w:ascii="Arial" w:hAnsi="Arial" w:cs="Arial"/>
          <w:sz w:val="24"/>
          <w:szCs w:val="24"/>
        </w:rPr>
      </w:pPr>
      <w:r w:rsidRPr="0092529B">
        <w:rPr>
          <w:rFonts w:ascii="Arial" w:hAnsi="Arial" w:cs="Arial"/>
          <w:sz w:val="24"/>
          <w:szCs w:val="24"/>
        </w:rPr>
        <w:t>NPV = 37.91 + 1.86 – 30 = £9.77m</w:t>
      </w:r>
    </w:p>
    <w:p w14:paraId="42A9CB74" w14:textId="4FBB7739" w:rsidR="00E86675" w:rsidRPr="0092529B" w:rsidRDefault="003C3DE4" w:rsidP="007B19CA">
      <w:pPr>
        <w:spacing w:line="360" w:lineRule="auto"/>
        <w:ind w:left="720"/>
        <w:rPr>
          <w:rFonts w:ascii="Arial" w:hAnsi="Arial" w:cs="Arial"/>
          <w:sz w:val="24"/>
          <w:szCs w:val="24"/>
        </w:rPr>
      </w:pPr>
      <w:r w:rsidRPr="0092529B">
        <w:rPr>
          <w:rFonts w:ascii="Arial" w:hAnsi="Arial" w:cs="Arial"/>
          <w:sz w:val="24"/>
          <w:szCs w:val="24"/>
        </w:rPr>
        <w:t>C</w:t>
      </w:r>
      <w:r w:rsidR="00E86675" w:rsidRPr="0092529B">
        <w:rPr>
          <w:rFonts w:ascii="Arial" w:hAnsi="Arial" w:cs="Arial"/>
          <w:sz w:val="24"/>
          <w:szCs w:val="24"/>
        </w:rPr>
        <w:t>:</w:t>
      </w:r>
    </w:p>
    <w:p w14:paraId="06EEF657" w14:textId="77777777" w:rsidR="00E86675" w:rsidRPr="0092529B" w:rsidRDefault="00E86675" w:rsidP="007B19CA">
      <w:pPr>
        <w:spacing w:line="360" w:lineRule="auto"/>
        <w:ind w:left="1440"/>
        <w:rPr>
          <w:rFonts w:ascii="Arial" w:hAnsi="Arial" w:cs="Arial"/>
          <w:sz w:val="24"/>
          <w:szCs w:val="24"/>
        </w:rPr>
      </w:pPr>
      <w:r w:rsidRPr="0092529B">
        <w:rPr>
          <w:rFonts w:ascii="Arial" w:hAnsi="Arial" w:cs="Arial"/>
          <w:sz w:val="24"/>
          <w:szCs w:val="24"/>
        </w:rPr>
        <w:t>PV Cash Flows = 6 × 4.868 = £29.21m</w:t>
      </w:r>
    </w:p>
    <w:p w14:paraId="186D08E0" w14:textId="77777777" w:rsidR="00E86675" w:rsidRPr="0092529B" w:rsidRDefault="00E86675" w:rsidP="007B19CA">
      <w:pPr>
        <w:spacing w:line="360" w:lineRule="auto"/>
        <w:ind w:left="1440"/>
        <w:rPr>
          <w:rFonts w:ascii="Arial" w:hAnsi="Arial" w:cs="Arial"/>
          <w:sz w:val="24"/>
          <w:szCs w:val="24"/>
        </w:rPr>
      </w:pPr>
      <w:r w:rsidRPr="0092529B">
        <w:rPr>
          <w:rFonts w:ascii="Arial" w:hAnsi="Arial" w:cs="Arial"/>
          <w:sz w:val="24"/>
          <w:szCs w:val="24"/>
        </w:rPr>
        <w:t>PV Residual = 1 × 0.513 = £0.51m</w:t>
      </w:r>
    </w:p>
    <w:p w14:paraId="29FA45BB" w14:textId="77777777" w:rsidR="00E86675" w:rsidRPr="0092529B" w:rsidRDefault="00E86675" w:rsidP="007B19CA">
      <w:pPr>
        <w:spacing w:line="360" w:lineRule="auto"/>
        <w:ind w:left="1440"/>
        <w:rPr>
          <w:rFonts w:ascii="Arial" w:hAnsi="Arial" w:cs="Arial"/>
          <w:sz w:val="24"/>
          <w:szCs w:val="24"/>
        </w:rPr>
      </w:pPr>
      <w:r w:rsidRPr="0092529B">
        <w:rPr>
          <w:rFonts w:ascii="Arial" w:hAnsi="Arial" w:cs="Arial"/>
          <w:sz w:val="24"/>
          <w:szCs w:val="24"/>
        </w:rPr>
        <w:t>NPV = 29.21 + 0.51 – 20 = £9.72m</w:t>
      </w:r>
    </w:p>
    <w:p w14:paraId="63299AB9" w14:textId="77777777" w:rsidR="00786D4B" w:rsidRPr="0092529B" w:rsidRDefault="00786D4B" w:rsidP="0092529B">
      <w:pPr>
        <w:spacing w:line="360" w:lineRule="auto"/>
        <w:rPr>
          <w:rFonts w:ascii="Arial" w:hAnsi="Arial" w:cs="Arial"/>
          <w:sz w:val="24"/>
          <w:szCs w:val="24"/>
        </w:rPr>
      </w:pPr>
    </w:p>
    <w:p w14:paraId="5DDF304F" w14:textId="77777777" w:rsidR="00786D4B" w:rsidRPr="0092529B" w:rsidRDefault="00786D4B" w:rsidP="0092529B">
      <w:pPr>
        <w:spacing w:line="360" w:lineRule="auto"/>
        <w:rPr>
          <w:rFonts w:ascii="Arial" w:hAnsi="Arial" w:cs="Arial"/>
          <w:sz w:val="24"/>
          <w:szCs w:val="24"/>
        </w:rPr>
      </w:pPr>
    </w:p>
    <w:p w14:paraId="6C4CED1B" w14:textId="77777777" w:rsidR="00786D4B" w:rsidRPr="0092529B" w:rsidRDefault="00786D4B" w:rsidP="0092529B">
      <w:pPr>
        <w:spacing w:line="360" w:lineRule="auto"/>
        <w:rPr>
          <w:rFonts w:ascii="Arial" w:hAnsi="Arial" w:cs="Arial"/>
          <w:sz w:val="24"/>
          <w:szCs w:val="24"/>
        </w:rPr>
      </w:pPr>
    </w:p>
    <w:p w14:paraId="0151CDEF" w14:textId="564D3DE9" w:rsidR="00E86675" w:rsidRPr="0092529B" w:rsidRDefault="00E86675" w:rsidP="0092529B">
      <w:pPr>
        <w:spacing w:line="360" w:lineRule="auto"/>
        <w:rPr>
          <w:rFonts w:ascii="Arial" w:hAnsi="Arial" w:cs="Arial"/>
          <w:sz w:val="24"/>
          <w:szCs w:val="24"/>
        </w:rPr>
      </w:pPr>
      <w:r w:rsidRPr="0092529B">
        <w:rPr>
          <w:rFonts w:ascii="Arial" w:hAnsi="Arial" w:cs="Arial"/>
          <w:sz w:val="24"/>
          <w:szCs w:val="24"/>
        </w:rPr>
        <w:t>Profitability Index (PI) evaluates capital efficiency:</w:t>
      </w:r>
    </w:p>
    <w:p w14:paraId="5FCE621C" w14:textId="6C0337C1" w:rsidR="00786D4B" w:rsidRPr="0092529B" w:rsidRDefault="00786D4B" w:rsidP="0092529B">
      <w:pPr>
        <w:spacing w:line="360" w:lineRule="auto"/>
        <w:rPr>
          <w:rFonts w:ascii="Arial" w:hAnsi="Arial" w:cs="Arial"/>
          <w:sz w:val="24"/>
          <w:szCs w:val="24"/>
        </w:rPr>
      </w:pPr>
    </w:p>
    <w:p w14:paraId="3A5609BD" w14:textId="69E7BC2D" w:rsidR="00E86675" w:rsidRPr="0092529B" w:rsidRDefault="00786D4B" w:rsidP="0092529B">
      <w:pPr>
        <w:spacing w:line="360" w:lineRule="auto"/>
        <w:rPr>
          <w:rFonts w:ascii="Arial" w:hAnsi="Arial" w:cs="Arial"/>
          <w:sz w:val="24"/>
          <w:szCs w:val="24"/>
        </w:rPr>
      </w:pPr>
      <m:oMathPara>
        <m:oMath>
          <m:r>
            <w:rPr>
              <w:rFonts w:ascii="Cambria Math" w:hAnsi="Cambria Math" w:cs="Arial"/>
              <w:sz w:val="24"/>
              <w:szCs w:val="24"/>
            </w:rPr>
            <m:t>PI</m:t>
          </m:r>
          <m:r>
            <m:rPr>
              <m:sty m:val="p"/>
            </m:rP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PV Cash Flows</m:t>
              </m:r>
              <m:r>
                <m:rPr>
                  <m:sty m:val="p"/>
                </m:rPr>
                <w:rPr>
                  <w:rFonts w:ascii="Cambria Math" w:hAnsi="Cambria Math" w:cs="Arial"/>
                  <w:sz w:val="24"/>
                  <w:szCs w:val="24"/>
                </w:rPr>
                <m:t>+</m:t>
              </m:r>
              <m:r>
                <w:rPr>
                  <w:rFonts w:ascii="Cambria Math" w:hAnsi="Cambria Math" w:cs="Arial"/>
                  <w:sz w:val="24"/>
                  <w:szCs w:val="24"/>
                </w:rPr>
                <m:t>PV Residual</m:t>
              </m:r>
            </m:num>
            <m:den>
              <m:r>
                <w:rPr>
                  <w:rFonts w:ascii="Cambria Math" w:hAnsi="Cambria Math" w:cs="Arial"/>
                  <w:sz w:val="24"/>
                  <w:szCs w:val="24"/>
                </w:rPr>
                <m:t>Initial Cost</m:t>
              </m:r>
            </m:den>
          </m:f>
          <m:r>
            <m:rPr>
              <m:sty m:val="p"/>
            </m:rPr>
            <w:rPr>
              <w:rFonts w:ascii="Cambria Math" w:hAnsi="Cambria Math" w:cs="Arial"/>
              <w:sz w:val="24"/>
              <w:szCs w:val="24"/>
            </w:rPr>
            <w:br/>
          </m:r>
        </m:oMath>
      </m:oMathPara>
    </w:p>
    <w:p w14:paraId="11C06F2E" w14:textId="06164247" w:rsidR="00E86675" w:rsidRPr="0092529B" w:rsidRDefault="003C3DE4" w:rsidP="0092529B">
      <w:pPr>
        <w:numPr>
          <w:ilvl w:val="0"/>
          <w:numId w:val="57"/>
        </w:numPr>
        <w:spacing w:line="360" w:lineRule="auto"/>
        <w:rPr>
          <w:rFonts w:ascii="Arial" w:hAnsi="Arial" w:cs="Arial"/>
          <w:sz w:val="24"/>
          <w:szCs w:val="24"/>
        </w:rPr>
      </w:pPr>
      <w:r w:rsidRPr="0092529B">
        <w:rPr>
          <w:rFonts w:ascii="Arial" w:hAnsi="Arial" w:cs="Arial"/>
          <w:sz w:val="24"/>
          <w:szCs w:val="24"/>
        </w:rPr>
        <w:t>A</w:t>
      </w:r>
      <w:r w:rsidR="00E86675" w:rsidRPr="0092529B">
        <w:rPr>
          <w:rFonts w:ascii="Arial" w:hAnsi="Arial" w:cs="Arial"/>
          <w:sz w:val="24"/>
          <w:szCs w:val="24"/>
        </w:rPr>
        <w:t>: 35.97 / 25 = 1.44</w:t>
      </w:r>
    </w:p>
    <w:p w14:paraId="1E75FCA6" w14:textId="602A54AA" w:rsidR="00E86675" w:rsidRPr="0092529B" w:rsidRDefault="003C3DE4" w:rsidP="0092529B">
      <w:pPr>
        <w:numPr>
          <w:ilvl w:val="0"/>
          <w:numId w:val="57"/>
        </w:numPr>
        <w:spacing w:line="360" w:lineRule="auto"/>
        <w:rPr>
          <w:rFonts w:ascii="Arial" w:hAnsi="Arial" w:cs="Arial"/>
          <w:sz w:val="24"/>
          <w:szCs w:val="24"/>
        </w:rPr>
      </w:pPr>
      <w:r w:rsidRPr="0092529B">
        <w:rPr>
          <w:rFonts w:ascii="Arial" w:hAnsi="Arial" w:cs="Arial"/>
          <w:sz w:val="24"/>
          <w:szCs w:val="24"/>
        </w:rPr>
        <w:t>B</w:t>
      </w:r>
      <w:r w:rsidR="00E86675" w:rsidRPr="0092529B">
        <w:rPr>
          <w:rFonts w:ascii="Arial" w:hAnsi="Arial" w:cs="Arial"/>
          <w:sz w:val="24"/>
          <w:szCs w:val="24"/>
        </w:rPr>
        <w:t>: 39.77 / 30 = 1.33</w:t>
      </w:r>
    </w:p>
    <w:p w14:paraId="2F6A23FA" w14:textId="6A7F7BDF" w:rsidR="00E86675" w:rsidRPr="0092529B" w:rsidRDefault="003C3DE4" w:rsidP="0092529B">
      <w:pPr>
        <w:numPr>
          <w:ilvl w:val="0"/>
          <w:numId w:val="57"/>
        </w:numPr>
        <w:spacing w:line="360" w:lineRule="auto"/>
        <w:rPr>
          <w:rFonts w:ascii="Arial" w:hAnsi="Arial" w:cs="Arial"/>
          <w:sz w:val="24"/>
          <w:szCs w:val="24"/>
        </w:rPr>
      </w:pPr>
      <w:r w:rsidRPr="0092529B">
        <w:rPr>
          <w:rFonts w:ascii="Arial" w:hAnsi="Arial" w:cs="Arial"/>
          <w:sz w:val="24"/>
          <w:szCs w:val="24"/>
        </w:rPr>
        <w:t>C</w:t>
      </w:r>
      <w:r w:rsidR="00E86675" w:rsidRPr="0092529B">
        <w:rPr>
          <w:rFonts w:ascii="Arial" w:hAnsi="Arial" w:cs="Arial"/>
          <w:sz w:val="24"/>
          <w:szCs w:val="24"/>
        </w:rPr>
        <w:t>: 29.72 / 20 = 1.49</w:t>
      </w:r>
    </w:p>
    <w:p w14:paraId="15F30617" w14:textId="77777777" w:rsidR="00E86675" w:rsidRPr="0092529B" w:rsidRDefault="00E86675" w:rsidP="0092529B">
      <w:pPr>
        <w:spacing w:line="360" w:lineRule="auto"/>
        <w:rPr>
          <w:rFonts w:ascii="Arial" w:hAnsi="Arial" w:cs="Arial"/>
          <w:sz w:val="24"/>
          <w:szCs w:val="24"/>
        </w:rPr>
      </w:pPr>
      <w:r w:rsidRPr="0092529B">
        <w:rPr>
          <w:rFonts w:ascii="Arial" w:hAnsi="Arial" w:cs="Arial"/>
          <w:sz w:val="24"/>
          <w:szCs w:val="24"/>
        </w:rPr>
        <w:lastRenderedPageBreak/>
        <w:t>Payback periods indicate liquidity recovery speed:</w:t>
      </w:r>
    </w:p>
    <w:p w14:paraId="273D52C9" w14:textId="5B14B3BE" w:rsidR="00E86675" w:rsidRPr="0092529B" w:rsidRDefault="003C3DE4" w:rsidP="0092529B">
      <w:pPr>
        <w:numPr>
          <w:ilvl w:val="0"/>
          <w:numId w:val="58"/>
        </w:numPr>
        <w:spacing w:line="360" w:lineRule="auto"/>
        <w:rPr>
          <w:rFonts w:ascii="Arial" w:hAnsi="Arial" w:cs="Arial"/>
          <w:sz w:val="24"/>
          <w:szCs w:val="24"/>
        </w:rPr>
      </w:pPr>
      <w:r w:rsidRPr="0092529B">
        <w:rPr>
          <w:rFonts w:ascii="Arial" w:hAnsi="Arial" w:cs="Arial"/>
          <w:sz w:val="24"/>
          <w:szCs w:val="24"/>
        </w:rPr>
        <w:t>A</w:t>
      </w:r>
      <w:r w:rsidR="00E86675" w:rsidRPr="0092529B">
        <w:rPr>
          <w:rFonts w:ascii="Arial" w:hAnsi="Arial" w:cs="Arial"/>
          <w:sz w:val="24"/>
          <w:szCs w:val="24"/>
        </w:rPr>
        <w:t>: 25 / 8 = 3.13 years</w:t>
      </w:r>
    </w:p>
    <w:p w14:paraId="769DA5DC" w14:textId="1A4AC496" w:rsidR="00E86675" w:rsidRPr="0092529B" w:rsidRDefault="003C3DE4" w:rsidP="0092529B">
      <w:pPr>
        <w:numPr>
          <w:ilvl w:val="0"/>
          <w:numId w:val="58"/>
        </w:numPr>
        <w:spacing w:line="360" w:lineRule="auto"/>
        <w:rPr>
          <w:rFonts w:ascii="Arial" w:hAnsi="Arial" w:cs="Arial"/>
          <w:sz w:val="24"/>
          <w:szCs w:val="24"/>
        </w:rPr>
      </w:pPr>
      <w:r w:rsidRPr="0092529B">
        <w:rPr>
          <w:rFonts w:ascii="Arial" w:hAnsi="Arial" w:cs="Arial"/>
          <w:sz w:val="24"/>
          <w:szCs w:val="24"/>
        </w:rPr>
        <w:t>B</w:t>
      </w:r>
      <w:r w:rsidR="00E86675" w:rsidRPr="0092529B">
        <w:rPr>
          <w:rFonts w:ascii="Arial" w:hAnsi="Arial" w:cs="Arial"/>
          <w:sz w:val="24"/>
          <w:szCs w:val="24"/>
        </w:rPr>
        <w:t>: 30 / 10 = 3.00 years</w:t>
      </w:r>
    </w:p>
    <w:p w14:paraId="18F0D5A5" w14:textId="5DC65827" w:rsidR="00E86675" w:rsidRPr="0092529B" w:rsidRDefault="003C3DE4" w:rsidP="0092529B">
      <w:pPr>
        <w:numPr>
          <w:ilvl w:val="0"/>
          <w:numId w:val="58"/>
        </w:numPr>
        <w:spacing w:line="360" w:lineRule="auto"/>
        <w:rPr>
          <w:rFonts w:ascii="Arial" w:hAnsi="Arial" w:cs="Arial"/>
          <w:sz w:val="24"/>
          <w:szCs w:val="24"/>
        </w:rPr>
      </w:pPr>
      <w:r w:rsidRPr="0092529B">
        <w:rPr>
          <w:rFonts w:ascii="Arial" w:hAnsi="Arial" w:cs="Arial"/>
          <w:sz w:val="24"/>
          <w:szCs w:val="24"/>
        </w:rPr>
        <w:t>C</w:t>
      </w:r>
      <w:r w:rsidR="00E86675" w:rsidRPr="0092529B">
        <w:rPr>
          <w:rFonts w:ascii="Arial" w:hAnsi="Arial" w:cs="Arial"/>
          <w:sz w:val="24"/>
          <w:szCs w:val="24"/>
        </w:rPr>
        <w:t>: 20 / 6 = 3.33 years</w:t>
      </w:r>
    </w:p>
    <w:p w14:paraId="56778B4C" w14:textId="5757D5EE" w:rsidR="00E86675" w:rsidRPr="0092529B" w:rsidRDefault="00E86675" w:rsidP="0092529B">
      <w:pPr>
        <w:spacing w:line="360" w:lineRule="auto"/>
        <w:rPr>
          <w:rFonts w:ascii="Arial" w:hAnsi="Arial" w:cs="Arial"/>
          <w:sz w:val="24"/>
          <w:szCs w:val="24"/>
        </w:rPr>
      </w:pPr>
      <w:r w:rsidRPr="0092529B">
        <w:rPr>
          <w:rFonts w:ascii="Arial" w:hAnsi="Arial" w:cs="Arial"/>
          <w:sz w:val="24"/>
          <w:szCs w:val="24"/>
        </w:rPr>
        <w:t xml:space="preserve">While </w:t>
      </w:r>
      <w:r w:rsidR="003C3DE4" w:rsidRPr="0092529B">
        <w:rPr>
          <w:rFonts w:ascii="Arial" w:hAnsi="Arial" w:cs="Arial"/>
          <w:sz w:val="24"/>
          <w:szCs w:val="24"/>
        </w:rPr>
        <w:t>B</w:t>
      </w:r>
      <w:r w:rsidRPr="0092529B">
        <w:rPr>
          <w:rFonts w:ascii="Arial" w:hAnsi="Arial" w:cs="Arial"/>
          <w:sz w:val="24"/>
          <w:szCs w:val="24"/>
        </w:rPr>
        <w:t xml:space="preserve"> has the fastest payback, </w:t>
      </w:r>
      <w:r w:rsidR="003C3DE4" w:rsidRPr="0092529B">
        <w:rPr>
          <w:rFonts w:ascii="Arial" w:hAnsi="Arial" w:cs="Arial"/>
          <w:sz w:val="24"/>
          <w:szCs w:val="24"/>
        </w:rPr>
        <w:t>C</w:t>
      </w:r>
      <w:r w:rsidRPr="0092529B">
        <w:rPr>
          <w:rFonts w:ascii="Arial" w:hAnsi="Arial" w:cs="Arial"/>
          <w:sz w:val="24"/>
          <w:szCs w:val="24"/>
        </w:rPr>
        <w:t xml:space="preserve"> and </w:t>
      </w:r>
      <w:r w:rsidR="003C3DE4" w:rsidRPr="0092529B">
        <w:rPr>
          <w:rFonts w:ascii="Arial" w:hAnsi="Arial" w:cs="Arial"/>
          <w:sz w:val="24"/>
          <w:szCs w:val="24"/>
        </w:rPr>
        <w:t>A</w:t>
      </w:r>
      <w:r w:rsidRPr="0092529B">
        <w:rPr>
          <w:rFonts w:ascii="Arial" w:hAnsi="Arial" w:cs="Arial"/>
          <w:sz w:val="24"/>
          <w:szCs w:val="24"/>
        </w:rPr>
        <w:t xml:space="preserve"> demonstrate stronger capital efficiency and risk-adjusted returns.</w:t>
      </w:r>
    </w:p>
    <w:p w14:paraId="4327BE66"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5.3 Portfolio Optimisation</w:t>
      </w:r>
    </w:p>
    <w:p w14:paraId="64D580A4" w14:textId="448BDB28" w:rsidR="00D2751F" w:rsidRPr="0092529B" w:rsidRDefault="00D2751F" w:rsidP="007B19CA">
      <w:pPr>
        <w:spacing w:line="360" w:lineRule="auto"/>
        <w:rPr>
          <w:rFonts w:ascii="Arial" w:hAnsi="Arial" w:cs="Arial"/>
          <w:sz w:val="24"/>
          <w:szCs w:val="24"/>
        </w:rPr>
      </w:pPr>
      <w:r w:rsidRPr="0092529B">
        <w:rPr>
          <w:rFonts w:ascii="Arial" w:hAnsi="Arial" w:cs="Arial"/>
          <w:sz w:val="24"/>
          <w:szCs w:val="24"/>
        </w:rPr>
        <w:t xml:space="preserve">The capital limit of </w:t>
      </w:r>
      <w:r w:rsidR="007B19CA">
        <w:rPr>
          <w:rFonts w:ascii="Arial" w:hAnsi="Arial" w:cs="Arial"/>
          <w:sz w:val="24"/>
          <w:szCs w:val="24"/>
        </w:rPr>
        <w:t>£</w:t>
      </w:r>
      <w:r w:rsidRPr="0092529B">
        <w:rPr>
          <w:rFonts w:ascii="Arial" w:hAnsi="Arial" w:cs="Arial"/>
          <w:sz w:val="24"/>
          <w:szCs w:val="24"/>
        </w:rPr>
        <w:t>60 million capital should be combined analyzed. Possible combinations and results:</w:t>
      </w:r>
    </w:p>
    <w:p w14:paraId="721C2B52" w14:textId="5A896ADD" w:rsidR="00E86675" w:rsidRPr="0092529B" w:rsidRDefault="003C3DE4" w:rsidP="0092529B">
      <w:pPr>
        <w:numPr>
          <w:ilvl w:val="0"/>
          <w:numId w:val="59"/>
        </w:numPr>
        <w:spacing w:line="360" w:lineRule="auto"/>
        <w:rPr>
          <w:rFonts w:ascii="Arial" w:hAnsi="Arial" w:cs="Arial"/>
          <w:sz w:val="24"/>
          <w:szCs w:val="24"/>
        </w:rPr>
      </w:pPr>
      <w:r w:rsidRPr="0092529B">
        <w:rPr>
          <w:rFonts w:ascii="Arial" w:hAnsi="Arial" w:cs="Arial"/>
          <w:sz w:val="24"/>
          <w:szCs w:val="24"/>
        </w:rPr>
        <w:t>A</w:t>
      </w:r>
      <w:r w:rsidR="00E86675" w:rsidRPr="0092529B">
        <w:rPr>
          <w:rFonts w:ascii="Arial" w:hAnsi="Arial" w:cs="Arial"/>
          <w:sz w:val="24"/>
          <w:szCs w:val="24"/>
        </w:rPr>
        <w:t xml:space="preserve"> + </w:t>
      </w:r>
      <w:r w:rsidRPr="0092529B">
        <w:rPr>
          <w:rFonts w:ascii="Arial" w:hAnsi="Arial" w:cs="Arial"/>
          <w:sz w:val="24"/>
          <w:szCs w:val="24"/>
        </w:rPr>
        <w:t>C</w:t>
      </w:r>
      <w:r w:rsidR="00E86675" w:rsidRPr="0092529B">
        <w:rPr>
          <w:rFonts w:ascii="Arial" w:hAnsi="Arial" w:cs="Arial"/>
          <w:sz w:val="24"/>
          <w:szCs w:val="24"/>
        </w:rPr>
        <w:t>: £45m → Total NPV = £20.69m, Average PI = 1.46</w:t>
      </w:r>
    </w:p>
    <w:p w14:paraId="3DB6E71E" w14:textId="08EB0E10" w:rsidR="00E86675" w:rsidRPr="0092529B" w:rsidRDefault="003C3DE4" w:rsidP="0092529B">
      <w:pPr>
        <w:numPr>
          <w:ilvl w:val="0"/>
          <w:numId w:val="59"/>
        </w:numPr>
        <w:spacing w:line="360" w:lineRule="auto"/>
        <w:rPr>
          <w:rFonts w:ascii="Arial" w:hAnsi="Arial" w:cs="Arial"/>
          <w:sz w:val="24"/>
          <w:szCs w:val="24"/>
        </w:rPr>
      </w:pPr>
      <w:r w:rsidRPr="0092529B">
        <w:rPr>
          <w:rFonts w:ascii="Arial" w:hAnsi="Arial" w:cs="Arial"/>
          <w:sz w:val="24"/>
          <w:szCs w:val="24"/>
        </w:rPr>
        <w:t>B</w:t>
      </w:r>
      <w:r w:rsidR="00E86675" w:rsidRPr="0092529B">
        <w:rPr>
          <w:rFonts w:ascii="Arial" w:hAnsi="Arial" w:cs="Arial"/>
          <w:sz w:val="24"/>
          <w:szCs w:val="24"/>
        </w:rPr>
        <w:t xml:space="preserve"> + </w:t>
      </w:r>
      <w:r w:rsidRPr="0092529B">
        <w:rPr>
          <w:rFonts w:ascii="Arial" w:hAnsi="Arial" w:cs="Arial"/>
          <w:sz w:val="24"/>
          <w:szCs w:val="24"/>
        </w:rPr>
        <w:t>C</w:t>
      </w:r>
      <w:r w:rsidR="00E86675" w:rsidRPr="0092529B">
        <w:rPr>
          <w:rFonts w:ascii="Arial" w:hAnsi="Arial" w:cs="Arial"/>
          <w:sz w:val="24"/>
          <w:szCs w:val="24"/>
        </w:rPr>
        <w:t>: £50m → Total NPV = £19.49m, Average PI = 1.39</w:t>
      </w:r>
    </w:p>
    <w:p w14:paraId="2CCD4D54" w14:textId="4949670B" w:rsidR="00E86675" w:rsidRPr="0092529B" w:rsidRDefault="003C3DE4" w:rsidP="0092529B">
      <w:pPr>
        <w:numPr>
          <w:ilvl w:val="0"/>
          <w:numId w:val="59"/>
        </w:numPr>
        <w:spacing w:line="360" w:lineRule="auto"/>
        <w:rPr>
          <w:rFonts w:ascii="Arial" w:hAnsi="Arial" w:cs="Arial"/>
          <w:sz w:val="24"/>
          <w:szCs w:val="24"/>
        </w:rPr>
      </w:pPr>
      <w:r w:rsidRPr="0092529B">
        <w:rPr>
          <w:rFonts w:ascii="Arial" w:hAnsi="Arial" w:cs="Arial"/>
          <w:sz w:val="24"/>
          <w:szCs w:val="24"/>
        </w:rPr>
        <w:t>A</w:t>
      </w:r>
      <w:r w:rsidR="00E86675" w:rsidRPr="0092529B">
        <w:rPr>
          <w:rFonts w:ascii="Arial" w:hAnsi="Arial" w:cs="Arial"/>
          <w:sz w:val="24"/>
          <w:szCs w:val="24"/>
        </w:rPr>
        <w:t xml:space="preserve"> + </w:t>
      </w:r>
      <w:r w:rsidRPr="0092529B">
        <w:rPr>
          <w:rFonts w:ascii="Arial" w:hAnsi="Arial" w:cs="Arial"/>
          <w:sz w:val="24"/>
          <w:szCs w:val="24"/>
        </w:rPr>
        <w:t>B</w:t>
      </w:r>
      <w:r w:rsidR="00E86675" w:rsidRPr="0092529B">
        <w:rPr>
          <w:rFonts w:ascii="Arial" w:hAnsi="Arial" w:cs="Arial"/>
          <w:sz w:val="24"/>
          <w:szCs w:val="24"/>
        </w:rPr>
        <w:t>: £55m → Total NPV = £20.74m, Average PI = 1.38</w:t>
      </w:r>
    </w:p>
    <w:p w14:paraId="6C393745" w14:textId="341945E4" w:rsidR="00E86675" w:rsidRPr="0092529B" w:rsidRDefault="003C1732" w:rsidP="0092529B">
      <w:pPr>
        <w:spacing w:line="360" w:lineRule="auto"/>
        <w:rPr>
          <w:rFonts w:ascii="Arial" w:hAnsi="Arial" w:cs="Arial"/>
          <w:b/>
          <w:bCs/>
          <w:sz w:val="24"/>
          <w:szCs w:val="24"/>
        </w:rPr>
      </w:pPr>
      <w:r w:rsidRPr="0092529B">
        <w:rPr>
          <w:rFonts w:ascii="Arial" w:hAnsi="Arial" w:cs="Arial"/>
          <w:sz w:val="24"/>
          <w:szCs w:val="24"/>
        </w:rPr>
        <w:t xml:space="preserve">Whereas A + B provides the best absolute NPV, A + C provides a better capital efficiency (greater PI) and provides a </w:t>
      </w:r>
      <w:r w:rsidR="007B19CA">
        <w:rPr>
          <w:rFonts w:ascii="Arial" w:hAnsi="Arial" w:cs="Arial"/>
          <w:sz w:val="24"/>
          <w:szCs w:val="24"/>
        </w:rPr>
        <w:t>£</w:t>
      </w:r>
      <w:r w:rsidRPr="0092529B">
        <w:rPr>
          <w:rFonts w:ascii="Arial" w:hAnsi="Arial" w:cs="Arial"/>
          <w:sz w:val="24"/>
          <w:szCs w:val="24"/>
        </w:rPr>
        <w:t>15 million contingency or future investment buffer. This is essential in a restructuring process where there is constraint in liquidity.</w:t>
      </w:r>
    </w:p>
    <w:p w14:paraId="6A0A503E"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5.4 Risk Stress Test</w:t>
      </w:r>
    </w:p>
    <w:p w14:paraId="28B5563B" w14:textId="748C1F89" w:rsidR="00E86675" w:rsidRPr="0092529B" w:rsidRDefault="003C1732" w:rsidP="0092529B">
      <w:pPr>
        <w:spacing w:line="360" w:lineRule="auto"/>
        <w:rPr>
          <w:rFonts w:ascii="Arial" w:hAnsi="Arial" w:cs="Arial"/>
          <w:sz w:val="24"/>
          <w:szCs w:val="24"/>
        </w:rPr>
      </w:pPr>
      <w:r w:rsidRPr="0092529B">
        <w:rPr>
          <w:rFonts w:ascii="Arial" w:hAnsi="Arial" w:cs="Arial"/>
          <w:sz w:val="24"/>
          <w:szCs w:val="24"/>
        </w:rPr>
        <w:t>A sensitivity analysis assesses the robustness with negative conditions (10 percent negative shock to the cash flows, cost or discount rate):</w:t>
      </w:r>
    </w:p>
    <w:tbl>
      <w:tblPr>
        <w:tblStyle w:val="TableGrid"/>
        <w:tblW w:w="0" w:type="auto"/>
        <w:tblLook w:val="04A0" w:firstRow="1" w:lastRow="0" w:firstColumn="1" w:lastColumn="0" w:noHBand="0" w:noVBand="1"/>
      </w:tblPr>
      <w:tblGrid>
        <w:gridCol w:w="2271"/>
        <w:gridCol w:w="937"/>
        <w:gridCol w:w="937"/>
        <w:gridCol w:w="950"/>
      </w:tblGrid>
      <w:tr w:rsidR="00E86675" w:rsidRPr="0092529B" w14:paraId="2855DCD1" w14:textId="77777777" w:rsidTr="00E86675">
        <w:tc>
          <w:tcPr>
            <w:tcW w:w="0" w:type="auto"/>
            <w:hideMark/>
          </w:tcPr>
          <w:p w14:paraId="4FB9EB00"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Scenario</w:t>
            </w:r>
          </w:p>
        </w:tc>
        <w:tc>
          <w:tcPr>
            <w:tcW w:w="0" w:type="auto"/>
            <w:hideMark/>
          </w:tcPr>
          <w:p w14:paraId="2A79497A" w14:textId="755A9F12" w:rsidR="00E86675" w:rsidRPr="0092529B" w:rsidRDefault="003C3DE4" w:rsidP="0092529B">
            <w:pPr>
              <w:spacing w:after="160" w:line="360" w:lineRule="auto"/>
              <w:rPr>
                <w:rFonts w:ascii="Arial" w:hAnsi="Arial" w:cs="Arial"/>
                <w:sz w:val="24"/>
                <w:szCs w:val="24"/>
              </w:rPr>
            </w:pPr>
            <w:r w:rsidRPr="0092529B">
              <w:rPr>
                <w:rFonts w:ascii="Arial" w:hAnsi="Arial" w:cs="Arial"/>
                <w:sz w:val="24"/>
                <w:szCs w:val="24"/>
              </w:rPr>
              <w:t>A</w:t>
            </w:r>
            <w:r w:rsidR="00E86675" w:rsidRPr="0092529B">
              <w:rPr>
                <w:rFonts w:ascii="Arial" w:hAnsi="Arial" w:cs="Arial"/>
                <w:sz w:val="24"/>
                <w:szCs w:val="24"/>
              </w:rPr>
              <w:t xml:space="preserve"> NPV</w:t>
            </w:r>
          </w:p>
        </w:tc>
        <w:tc>
          <w:tcPr>
            <w:tcW w:w="0" w:type="auto"/>
            <w:hideMark/>
          </w:tcPr>
          <w:p w14:paraId="0A048512" w14:textId="64675A21" w:rsidR="00E86675" w:rsidRPr="0092529B" w:rsidRDefault="003C3DE4" w:rsidP="0092529B">
            <w:pPr>
              <w:spacing w:after="160" w:line="360" w:lineRule="auto"/>
              <w:rPr>
                <w:rFonts w:ascii="Arial" w:hAnsi="Arial" w:cs="Arial"/>
                <w:sz w:val="24"/>
                <w:szCs w:val="24"/>
              </w:rPr>
            </w:pPr>
            <w:r w:rsidRPr="0092529B">
              <w:rPr>
                <w:rFonts w:ascii="Arial" w:hAnsi="Arial" w:cs="Arial"/>
                <w:sz w:val="24"/>
                <w:szCs w:val="24"/>
              </w:rPr>
              <w:t>B</w:t>
            </w:r>
            <w:r w:rsidR="00E86675" w:rsidRPr="0092529B">
              <w:rPr>
                <w:rFonts w:ascii="Arial" w:hAnsi="Arial" w:cs="Arial"/>
                <w:sz w:val="24"/>
                <w:szCs w:val="24"/>
              </w:rPr>
              <w:t xml:space="preserve"> NPV</w:t>
            </w:r>
          </w:p>
        </w:tc>
        <w:tc>
          <w:tcPr>
            <w:tcW w:w="0" w:type="auto"/>
            <w:hideMark/>
          </w:tcPr>
          <w:p w14:paraId="6A71BC68" w14:textId="17AD8029" w:rsidR="00E86675" w:rsidRPr="0092529B" w:rsidRDefault="003C3DE4" w:rsidP="0092529B">
            <w:pPr>
              <w:spacing w:after="160" w:line="360" w:lineRule="auto"/>
              <w:rPr>
                <w:rFonts w:ascii="Arial" w:hAnsi="Arial" w:cs="Arial"/>
                <w:sz w:val="24"/>
                <w:szCs w:val="24"/>
              </w:rPr>
            </w:pPr>
            <w:r w:rsidRPr="0092529B">
              <w:rPr>
                <w:rFonts w:ascii="Arial" w:hAnsi="Arial" w:cs="Arial"/>
                <w:sz w:val="24"/>
                <w:szCs w:val="24"/>
              </w:rPr>
              <w:t>C</w:t>
            </w:r>
            <w:r w:rsidR="00E86675" w:rsidRPr="0092529B">
              <w:rPr>
                <w:rFonts w:ascii="Arial" w:hAnsi="Arial" w:cs="Arial"/>
                <w:sz w:val="24"/>
                <w:szCs w:val="24"/>
              </w:rPr>
              <w:t xml:space="preserve"> NPV</w:t>
            </w:r>
          </w:p>
        </w:tc>
      </w:tr>
      <w:tr w:rsidR="00E86675" w:rsidRPr="0092529B" w14:paraId="5A42FEF8" w14:textId="77777777" w:rsidTr="00E86675">
        <w:tc>
          <w:tcPr>
            <w:tcW w:w="0" w:type="auto"/>
            <w:hideMark/>
          </w:tcPr>
          <w:p w14:paraId="0104FB25"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Base Case</w:t>
            </w:r>
          </w:p>
        </w:tc>
        <w:tc>
          <w:tcPr>
            <w:tcW w:w="0" w:type="auto"/>
            <w:hideMark/>
          </w:tcPr>
          <w:p w14:paraId="37237D47"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10.97</w:t>
            </w:r>
          </w:p>
        </w:tc>
        <w:tc>
          <w:tcPr>
            <w:tcW w:w="0" w:type="auto"/>
            <w:hideMark/>
          </w:tcPr>
          <w:p w14:paraId="6789E788"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9.77</w:t>
            </w:r>
          </w:p>
        </w:tc>
        <w:tc>
          <w:tcPr>
            <w:tcW w:w="0" w:type="auto"/>
            <w:hideMark/>
          </w:tcPr>
          <w:p w14:paraId="30843070"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9.72</w:t>
            </w:r>
          </w:p>
        </w:tc>
      </w:tr>
      <w:tr w:rsidR="00E86675" w:rsidRPr="0092529B" w14:paraId="3D8F0968" w14:textId="77777777" w:rsidTr="00E86675">
        <w:tc>
          <w:tcPr>
            <w:tcW w:w="0" w:type="auto"/>
            <w:hideMark/>
          </w:tcPr>
          <w:p w14:paraId="573C5878"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Cash Flow -10%</w:t>
            </w:r>
          </w:p>
        </w:tc>
        <w:tc>
          <w:tcPr>
            <w:tcW w:w="0" w:type="auto"/>
            <w:hideMark/>
          </w:tcPr>
          <w:p w14:paraId="411ACE68"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7.48</w:t>
            </w:r>
          </w:p>
        </w:tc>
        <w:tc>
          <w:tcPr>
            <w:tcW w:w="0" w:type="auto"/>
            <w:hideMark/>
          </w:tcPr>
          <w:p w14:paraId="3C6D4B51"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6.58</w:t>
            </w:r>
          </w:p>
        </w:tc>
        <w:tc>
          <w:tcPr>
            <w:tcW w:w="0" w:type="auto"/>
            <w:hideMark/>
          </w:tcPr>
          <w:p w14:paraId="47EF2C9B"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6.75</w:t>
            </w:r>
          </w:p>
        </w:tc>
      </w:tr>
      <w:tr w:rsidR="00E86675" w:rsidRPr="0092529B" w14:paraId="168A4A9C" w14:textId="77777777" w:rsidTr="00E86675">
        <w:tc>
          <w:tcPr>
            <w:tcW w:w="0" w:type="auto"/>
            <w:hideMark/>
          </w:tcPr>
          <w:p w14:paraId="33689F1E"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Cost +10%</w:t>
            </w:r>
          </w:p>
        </w:tc>
        <w:tc>
          <w:tcPr>
            <w:tcW w:w="0" w:type="auto"/>
            <w:hideMark/>
          </w:tcPr>
          <w:p w14:paraId="4FAD0E8D"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8.47</w:t>
            </w:r>
          </w:p>
        </w:tc>
        <w:tc>
          <w:tcPr>
            <w:tcW w:w="0" w:type="auto"/>
            <w:hideMark/>
          </w:tcPr>
          <w:p w14:paraId="3D140A18"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6.77</w:t>
            </w:r>
          </w:p>
        </w:tc>
        <w:tc>
          <w:tcPr>
            <w:tcW w:w="0" w:type="auto"/>
            <w:hideMark/>
          </w:tcPr>
          <w:p w14:paraId="44D41083"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7.72</w:t>
            </w:r>
          </w:p>
        </w:tc>
      </w:tr>
      <w:tr w:rsidR="00E86675" w:rsidRPr="0092529B" w14:paraId="6127B1DF" w14:textId="77777777" w:rsidTr="00E86675">
        <w:tc>
          <w:tcPr>
            <w:tcW w:w="0" w:type="auto"/>
            <w:hideMark/>
          </w:tcPr>
          <w:p w14:paraId="525CEE0E"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Discount Rate 12%</w:t>
            </w:r>
          </w:p>
        </w:tc>
        <w:tc>
          <w:tcPr>
            <w:tcW w:w="0" w:type="auto"/>
            <w:hideMark/>
          </w:tcPr>
          <w:p w14:paraId="52256F71"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9.01</w:t>
            </w:r>
          </w:p>
        </w:tc>
        <w:tc>
          <w:tcPr>
            <w:tcW w:w="0" w:type="auto"/>
            <w:hideMark/>
          </w:tcPr>
          <w:p w14:paraId="01313286"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7.81</w:t>
            </w:r>
          </w:p>
        </w:tc>
        <w:tc>
          <w:tcPr>
            <w:tcW w:w="0" w:type="auto"/>
            <w:hideMark/>
          </w:tcPr>
          <w:p w14:paraId="576BE471" w14:textId="77777777" w:rsidR="00E86675" w:rsidRPr="0092529B" w:rsidRDefault="00E86675" w:rsidP="0092529B">
            <w:pPr>
              <w:spacing w:after="160" w:line="360" w:lineRule="auto"/>
              <w:rPr>
                <w:rFonts w:ascii="Arial" w:hAnsi="Arial" w:cs="Arial"/>
                <w:sz w:val="24"/>
                <w:szCs w:val="24"/>
              </w:rPr>
            </w:pPr>
            <w:r w:rsidRPr="0092529B">
              <w:rPr>
                <w:rFonts w:ascii="Arial" w:hAnsi="Arial" w:cs="Arial"/>
                <w:sz w:val="24"/>
                <w:szCs w:val="24"/>
              </w:rPr>
              <w:t>8.20</w:t>
            </w:r>
          </w:p>
        </w:tc>
      </w:tr>
    </w:tbl>
    <w:p w14:paraId="31D710A1" w14:textId="77777777" w:rsidR="009252EF" w:rsidRPr="0092529B" w:rsidRDefault="009252EF" w:rsidP="0092529B">
      <w:pPr>
        <w:spacing w:line="360" w:lineRule="auto"/>
        <w:rPr>
          <w:rFonts w:ascii="Arial" w:hAnsi="Arial" w:cs="Arial"/>
          <w:sz w:val="24"/>
          <w:szCs w:val="24"/>
        </w:rPr>
      </w:pPr>
    </w:p>
    <w:p w14:paraId="06749C59" w14:textId="5327AF1C" w:rsidR="003C1732" w:rsidRPr="0092529B" w:rsidRDefault="00E86675" w:rsidP="0092529B">
      <w:pPr>
        <w:spacing w:line="360" w:lineRule="auto"/>
        <w:rPr>
          <w:rFonts w:ascii="Arial" w:hAnsi="Arial" w:cs="Arial"/>
          <w:sz w:val="24"/>
          <w:szCs w:val="24"/>
        </w:rPr>
      </w:pPr>
      <w:r w:rsidRPr="0092529B">
        <w:rPr>
          <w:rFonts w:ascii="Arial" w:hAnsi="Arial" w:cs="Arial"/>
          <w:sz w:val="24"/>
          <w:szCs w:val="24"/>
        </w:rPr>
        <w:lastRenderedPageBreak/>
        <w:t>Findings:</w:t>
      </w:r>
      <w:r w:rsidR="003C1732" w:rsidRPr="0092529B">
        <w:rPr>
          <w:rFonts w:ascii="Arial" w:hAnsi="Arial" w:cs="Arial"/>
          <w:sz w:val="24"/>
          <w:szCs w:val="24"/>
        </w:rPr>
        <w:t xml:space="preserve"> </w:t>
      </w:r>
      <w:r w:rsidR="003C1732" w:rsidRPr="0092529B">
        <w:rPr>
          <w:rFonts w:ascii="Arial" w:hAnsi="Arial" w:cs="Arial"/>
          <w:sz w:val="24"/>
          <w:szCs w:val="24"/>
        </w:rPr>
        <w:t>A is the most resilient, with a high value of NPV even when the conditions are not favorable.</w:t>
      </w:r>
      <w:r w:rsidR="003C1732" w:rsidRPr="0092529B">
        <w:rPr>
          <w:rFonts w:ascii="Arial" w:hAnsi="Arial" w:cs="Arial"/>
          <w:sz w:val="24"/>
          <w:szCs w:val="24"/>
        </w:rPr>
        <w:t xml:space="preserve"> </w:t>
      </w:r>
      <w:r w:rsidR="003C1732" w:rsidRPr="0092529B">
        <w:rPr>
          <w:rFonts w:ascii="Arial" w:hAnsi="Arial" w:cs="Arial"/>
          <w:sz w:val="24"/>
          <w:szCs w:val="24"/>
        </w:rPr>
        <w:t>B is the most cost sensitive to price increases and discount rate changes.</w:t>
      </w:r>
      <w:r w:rsidR="003C1732" w:rsidRPr="0092529B">
        <w:rPr>
          <w:rFonts w:ascii="Arial" w:hAnsi="Arial" w:cs="Arial"/>
          <w:sz w:val="24"/>
          <w:szCs w:val="24"/>
        </w:rPr>
        <w:t xml:space="preserve"> </w:t>
      </w:r>
      <w:r w:rsidR="003C1732" w:rsidRPr="0092529B">
        <w:rPr>
          <w:rFonts w:ascii="Arial" w:hAnsi="Arial" w:cs="Arial"/>
          <w:sz w:val="24"/>
          <w:szCs w:val="24"/>
        </w:rPr>
        <w:t>C is moderate risk, but is well-aligned strategically.</w:t>
      </w:r>
    </w:p>
    <w:p w14:paraId="5CB52C55" w14:textId="429EB0CA" w:rsidR="00E86675" w:rsidRPr="0092529B" w:rsidRDefault="003C1732" w:rsidP="0092529B">
      <w:pPr>
        <w:spacing w:line="360" w:lineRule="auto"/>
        <w:rPr>
          <w:rFonts w:ascii="Arial" w:hAnsi="Arial" w:cs="Arial"/>
          <w:b/>
          <w:bCs/>
          <w:sz w:val="24"/>
          <w:szCs w:val="24"/>
        </w:rPr>
      </w:pPr>
      <w:r w:rsidRPr="0092529B">
        <w:rPr>
          <w:rFonts w:ascii="Arial" w:hAnsi="Arial" w:cs="Arial"/>
          <w:sz w:val="24"/>
          <w:szCs w:val="24"/>
        </w:rPr>
        <w:t>The fact that a balanced and diversified investment portfolio is necessary is affirmed by stress testing since it minimizes the risks posed by failure in one project.</w:t>
      </w:r>
    </w:p>
    <w:p w14:paraId="2D72B26A"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5.5 Strategic &amp; Ethical Alignment</w:t>
      </w:r>
    </w:p>
    <w:p w14:paraId="18E7ED7D" w14:textId="77777777" w:rsidR="003C1732" w:rsidRPr="0092529B" w:rsidRDefault="003C1732" w:rsidP="0092529B">
      <w:pPr>
        <w:spacing w:line="360" w:lineRule="auto"/>
        <w:rPr>
          <w:rFonts w:ascii="Arial" w:hAnsi="Arial" w:cs="Arial"/>
          <w:sz w:val="24"/>
          <w:szCs w:val="24"/>
        </w:rPr>
      </w:pPr>
      <w:r w:rsidRPr="0092529B">
        <w:rPr>
          <w:rFonts w:ascii="Arial" w:hAnsi="Arial" w:cs="Arial"/>
          <w:sz w:val="24"/>
          <w:szCs w:val="24"/>
        </w:rPr>
        <w:t>Strategic success is not ensured by financial measures only. Projects are evaluated in terms of operational usefulness, ESG implication, and labor implication:</w:t>
      </w:r>
    </w:p>
    <w:p w14:paraId="148E80B2" w14:textId="77777777" w:rsidR="003C1732" w:rsidRPr="0092529B" w:rsidRDefault="003C1732" w:rsidP="0092529B">
      <w:pPr>
        <w:spacing w:line="360" w:lineRule="auto"/>
        <w:rPr>
          <w:rFonts w:ascii="Arial" w:hAnsi="Arial" w:cs="Arial"/>
          <w:sz w:val="24"/>
          <w:szCs w:val="24"/>
        </w:rPr>
      </w:pPr>
      <w:r w:rsidRPr="0092529B">
        <w:rPr>
          <w:rFonts w:ascii="Arial" w:hAnsi="Arial" w:cs="Arial"/>
          <w:sz w:val="24"/>
          <w:szCs w:val="24"/>
        </w:rPr>
        <w:t>A (Predictive Maintenance):</w:t>
      </w:r>
    </w:p>
    <w:p w14:paraId="39EBED8D" w14:textId="01E6A4C4" w:rsidR="003C1732" w:rsidRPr="0092529B" w:rsidRDefault="003C1732" w:rsidP="0092529B">
      <w:pPr>
        <w:pStyle w:val="ListParagraph"/>
        <w:numPr>
          <w:ilvl w:val="0"/>
          <w:numId w:val="83"/>
        </w:numPr>
        <w:spacing w:line="360" w:lineRule="auto"/>
        <w:rPr>
          <w:rFonts w:ascii="Arial" w:hAnsi="Arial" w:cs="Arial"/>
          <w:sz w:val="24"/>
          <w:szCs w:val="24"/>
        </w:rPr>
      </w:pPr>
      <w:r w:rsidRPr="0092529B">
        <w:rPr>
          <w:rFonts w:ascii="Arial" w:hAnsi="Arial" w:cs="Arial"/>
          <w:sz w:val="24"/>
          <w:szCs w:val="24"/>
        </w:rPr>
        <w:t>Strategic fit: Gives operational efficiency, 30-percent downtime reduction.</w:t>
      </w:r>
    </w:p>
    <w:p w14:paraId="2B051F9A" w14:textId="5A48E73F" w:rsidR="003C1732" w:rsidRPr="0092529B" w:rsidRDefault="003C1732" w:rsidP="0092529B">
      <w:pPr>
        <w:pStyle w:val="ListParagraph"/>
        <w:numPr>
          <w:ilvl w:val="0"/>
          <w:numId w:val="83"/>
        </w:numPr>
        <w:spacing w:line="360" w:lineRule="auto"/>
        <w:rPr>
          <w:rFonts w:ascii="Arial" w:hAnsi="Arial" w:cs="Arial"/>
          <w:sz w:val="24"/>
          <w:szCs w:val="24"/>
        </w:rPr>
      </w:pPr>
      <w:r w:rsidRPr="0092529B">
        <w:rPr>
          <w:rFonts w:ascii="Arial" w:hAnsi="Arial" w:cs="Arial"/>
          <w:sz w:val="24"/>
          <w:szCs w:val="24"/>
        </w:rPr>
        <w:t>Ethics: Trains staff maintenance personnel as an analyst of data; no retrenchment.</w:t>
      </w:r>
    </w:p>
    <w:p w14:paraId="7E9A2791" w14:textId="77777777" w:rsidR="003C1732" w:rsidRPr="0092529B" w:rsidRDefault="003C1732" w:rsidP="0092529B">
      <w:pPr>
        <w:spacing w:line="360" w:lineRule="auto"/>
        <w:rPr>
          <w:rFonts w:ascii="Arial" w:hAnsi="Arial" w:cs="Arial"/>
          <w:sz w:val="24"/>
          <w:szCs w:val="24"/>
        </w:rPr>
      </w:pPr>
      <w:r w:rsidRPr="0092529B">
        <w:rPr>
          <w:rFonts w:ascii="Arial" w:hAnsi="Arial" w:cs="Arial"/>
          <w:sz w:val="24"/>
          <w:szCs w:val="24"/>
        </w:rPr>
        <w:t>B (Solar Hub):</w:t>
      </w:r>
    </w:p>
    <w:p w14:paraId="7AECD098" w14:textId="4F8FBB88" w:rsidR="003C1732" w:rsidRPr="0092529B" w:rsidRDefault="003C1732" w:rsidP="0092529B">
      <w:pPr>
        <w:pStyle w:val="ListParagraph"/>
        <w:numPr>
          <w:ilvl w:val="0"/>
          <w:numId w:val="84"/>
        </w:numPr>
        <w:spacing w:line="360" w:lineRule="auto"/>
        <w:rPr>
          <w:rFonts w:ascii="Arial" w:hAnsi="Arial" w:cs="Arial"/>
          <w:sz w:val="24"/>
          <w:szCs w:val="24"/>
        </w:rPr>
      </w:pPr>
      <w:r w:rsidRPr="0092529B">
        <w:rPr>
          <w:rFonts w:ascii="Arial" w:hAnsi="Arial" w:cs="Arial"/>
          <w:sz w:val="24"/>
          <w:szCs w:val="24"/>
        </w:rPr>
        <w:t>Strategic fit: ESG-centric, ensures that it uses renewable incentives.</w:t>
      </w:r>
    </w:p>
    <w:p w14:paraId="6A0B5F36" w14:textId="00C4CE30" w:rsidR="003C1732" w:rsidRPr="0092529B" w:rsidRDefault="003C1732" w:rsidP="0092529B">
      <w:pPr>
        <w:pStyle w:val="ListParagraph"/>
        <w:numPr>
          <w:ilvl w:val="0"/>
          <w:numId w:val="84"/>
        </w:numPr>
        <w:spacing w:line="360" w:lineRule="auto"/>
        <w:rPr>
          <w:rFonts w:ascii="Arial" w:hAnsi="Arial" w:cs="Arial"/>
          <w:sz w:val="24"/>
          <w:szCs w:val="24"/>
        </w:rPr>
      </w:pPr>
      <w:r w:rsidRPr="0092529B">
        <w:rPr>
          <w:rFonts w:ascii="Arial" w:hAnsi="Arial" w:cs="Arial"/>
          <w:sz w:val="24"/>
          <w:szCs w:val="24"/>
        </w:rPr>
        <w:t>Risk: High rate of technology obsolescence; the global solar market volatility.</w:t>
      </w:r>
    </w:p>
    <w:p w14:paraId="51508E88" w14:textId="77777777" w:rsidR="003C1732" w:rsidRPr="0092529B" w:rsidRDefault="003C1732" w:rsidP="0092529B">
      <w:pPr>
        <w:spacing w:line="360" w:lineRule="auto"/>
        <w:rPr>
          <w:rFonts w:ascii="Arial" w:hAnsi="Arial" w:cs="Arial"/>
          <w:sz w:val="24"/>
          <w:szCs w:val="24"/>
        </w:rPr>
      </w:pPr>
      <w:r w:rsidRPr="0092529B">
        <w:rPr>
          <w:rFonts w:ascii="Arial" w:hAnsi="Arial" w:cs="Arial"/>
          <w:sz w:val="24"/>
          <w:szCs w:val="24"/>
        </w:rPr>
        <w:t>C (Blockchain Tracker):</w:t>
      </w:r>
    </w:p>
    <w:p w14:paraId="1A78D12C" w14:textId="1062B865" w:rsidR="003C1732" w:rsidRPr="0092529B" w:rsidRDefault="003C1732" w:rsidP="0092529B">
      <w:pPr>
        <w:pStyle w:val="ListParagraph"/>
        <w:numPr>
          <w:ilvl w:val="0"/>
          <w:numId w:val="85"/>
        </w:numPr>
        <w:spacing w:line="360" w:lineRule="auto"/>
        <w:rPr>
          <w:rFonts w:ascii="Arial" w:hAnsi="Arial" w:cs="Arial"/>
          <w:sz w:val="24"/>
          <w:szCs w:val="24"/>
        </w:rPr>
      </w:pPr>
      <w:r w:rsidRPr="0092529B">
        <w:rPr>
          <w:rFonts w:ascii="Arial" w:hAnsi="Arial" w:cs="Arial"/>
          <w:sz w:val="24"/>
          <w:szCs w:val="24"/>
        </w:rPr>
        <w:t>Strategic fit: Improves the supply chain transparency and ESG reporting.</w:t>
      </w:r>
    </w:p>
    <w:p w14:paraId="27FD4FB1" w14:textId="1F62415F" w:rsidR="003C1732" w:rsidRPr="0092529B" w:rsidRDefault="003C1732" w:rsidP="0092529B">
      <w:pPr>
        <w:pStyle w:val="ListParagraph"/>
        <w:numPr>
          <w:ilvl w:val="0"/>
          <w:numId w:val="85"/>
        </w:numPr>
        <w:spacing w:line="360" w:lineRule="auto"/>
        <w:rPr>
          <w:rFonts w:ascii="Arial" w:hAnsi="Arial" w:cs="Arial"/>
          <w:sz w:val="24"/>
          <w:szCs w:val="24"/>
        </w:rPr>
      </w:pPr>
      <w:r w:rsidRPr="0092529B">
        <w:rPr>
          <w:rFonts w:ascii="Arial" w:hAnsi="Arial" w:cs="Arial"/>
          <w:sz w:val="24"/>
          <w:szCs w:val="24"/>
        </w:rPr>
        <w:t>Ethics: Enhances sourcing without conflict and develops consumer trust.</w:t>
      </w:r>
    </w:p>
    <w:p w14:paraId="1BB940E8" w14:textId="3BE6F073" w:rsidR="00E86675" w:rsidRPr="0092529B" w:rsidRDefault="003C1732" w:rsidP="0092529B">
      <w:pPr>
        <w:spacing w:line="360" w:lineRule="auto"/>
        <w:rPr>
          <w:rFonts w:ascii="Arial" w:hAnsi="Arial" w:cs="Arial"/>
          <w:b/>
          <w:bCs/>
          <w:sz w:val="24"/>
          <w:szCs w:val="24"/>
        </w:rPr>
      </w:pPr>
      <w:r w:rsidRPr="0092529B">
        <w:rPr>
          <w:rFonts w:ascii="Arial" w:hAnsi="Arial" w:cs="Arial"/>
          <w:sz w:val="24"/>
          <w:szCs w:val="24"/>
        </w:rPr>
        <w:t>Alignment Alignment will guarantee that the projects support the agenda of digital transformation and sustainability of GE without reputational or ethical risks.</w:t>
      </w:r>
    </w:p>
    <w:p w14:paraId="2CFBC3BF"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5.6 Final Recommendation</w:t>
      </w:r>
    </w:p>
    <w:p w14:paraId="5EC001EF" w14:textId="77777777" w:rsidR="003C1732" w:rsidRPr="0092529B" w:rsidRDefault="003C1732" w:rsidP="0092529B">
      <w:pPr>
        <w:spacing w:line="360" w:lineRule="auto"/>
        <w:rPr>
          <w:rFonts w:ascii="Arial" w:hAnsi="Arial" w:cs="Arial"/>
          <w:sz w:val="24"/>
          <w:szCs w:val="24"/>
        </w:rPr>
      </w:pPr>
      <w:r w:rsidRPr="0092529B">
        <w:rPr>
          <w:rFonts w:ascii="Arial" w:hAnsi="Arial" w:cs="Arial"/>
          <w:sz w:val="24"/>
          <w:szCs w:val="24"/>
        </w:rPr>
        <w:t>The best investment portfolio with the current restrictions is:</w:t>
      </w:r>
    </w:p>
    <w:p w14:paraId="0717050B" w14:textId="0030B795" w:rsidR="003C1732" w:rsidRPr="0092529B" w:rsidRDefault="003C1732" w:rsidP="0092529B">
      <w:pPr>
        <w:spacing w:line="360" w:lineRule="auto"/>
        <w:rPr>
          <w:rFonts w:ascii="Arial" w:hAnsi="Arial" w:cs="Arial"/>
          <w:sz w:val="24"/>
          <w:szCs w:val="24"/>
        </w:rPr>
      </w:pPr>
      <w:r w:rsidRPr="0092529B">
        <w:rPr>
          <w:rFonts w:ascii="Arial" w:hAnsi="Arial" w:cs="Arial"/>
          <w:sz w:val="24"/>
          <w:szCs w:val="24"/>
        </w:rPr>
        <w:t>Project A and Project C (</w:t>
      </w:r>
      <w:r w:rsidR="007B19CA">
        <w:rPr>
          <w:rFonts w:ascii="Arial" w:hAnsi="Arial" w:cs="Arial"/>
          <w:sz w:val="24"/>
          <w:szCs w:val="24"/>
        </w:rPr>
        <w:t>£</w:t>
      </w:r>
      <w:r w:rsidRPr="0092529B">
        <w:rPr>
          <w:rFonts w:ascii="Arial" w:hAnsi="Arial" w:cs="Arial"/>
          <w:sz w:val="24"/>
          <w:szCs w:val="24"/>
        </w:rPr>
        <w:t>45 million all)</w:t>
      </w:r>
    </w:p>
    <w:p w14:paraId="19293AF5" w14:textId="77777777" w:rsidR="003C1732" w:rsidRPr="0092529B" w:rsidRDefault="003C1732" w:rsidP="0092529B">
      <w:pPr>
        <w:spacing w:line="360" w:lineRule="auto"/>
        <w:rPr>
          <w:rFonts w:ascii="Arial" w:hAnsi="Arial" w:cs="Arial"/>
          <w:sz w:val="24"/>
          <w:szCs w:val="24"/>
        </w:rPr>
      </w:pPr>
      <w:r w:rsidRPr="0092529B">
        <w:rPr>
          <w:rFonts w:ascii="Arial" w:hAnsi="Arial" w:cs="Arial"/>
          <w:sz w:val="24"/>
          <w:szCs w:val="24"/>
        </w:rPr>
        <w:t>Rationale:</w:t>
      </w:r>
    </w:p>
    <w:p w14:paraId="379D5E04" w14:textId="128A4748" w:rsidR="00734AE4" w:rsidRPr="00734AE4" w:rsidRDefault="00734AE4" w:rsidP="00734AE4">
      <w:pPr>
        <w:pStyle w:val="ListParagraph"/>
        <w:numPr>
          <w:ilvl w:val="0"/>
          <w:numId w:val="91"/>
        </w:numPr>
        <w:spacing w:line="360" w:lineRule="auto"/>
        <w:rPr>
          <w:rFonts w:ascii="Arial" w:hAnsi="Arial" w:cs="Arial"/>
          <w:sz w:val="24"/>
          <w:szCs w:val="24"/>
        </w:rPr>
      </w:pPr>
      <w:r w:rsidRPr="00734AE4">
        <w:rPr>
          <w:rFonts w:ascii="Arial" w:hAnsi="Arial" w:cs="Arial"/>
          <w:sz w:val="24"/>
          <w:szCs w:val="24"/>
        </w:rPr>
        <w:t>Optimal capital efficiency: PI of 1.46 on the average will give optimal value per £.</w:t>
      </w:r>
    </w:p>
    <w:p w14:paraId="2B2C9566" w14:textId="77777777" w:rsidR="00734AE4" w:rsidRPr="00734AE4" w:rsidRDefault="00734AE4" w:rsidP="00734AE4">
      <w:pPr>
        <w:pStyle w:val="ListParagraph"/>
        <w:numPr>
          <w:ilvl w:val="0"/>
          <w:numId w:val="91"/>
        </w:numPr>
        <w:spacing w:line="360" w:lineRule="auto"/>
        <w:rPr>
          <w:rFonts w:ascii="Arial" w:hAnsi="Arial" w:cs="Arial"/>
          <w:sz w:val="24"/>
          <w:szCs w:val="24"/>
        </w:rPr>
      </w:pPr>
      <w:r w:rsidRPr="00734AE4">
        <w:rPr>
          <w:rFonts w:ascii="Arial" w:hAnsi="Arial" w:cs="Arial"/>
          <w:sz w:val="24"/>
          <w:szCs w:val="24"/>
        </w:rPr>
        <w:t>Balanced risk profile: A scalable, synergistic and robust C.</w:t>
      </w:r>
    </w:p>
    <w:p w14:paraId="686C2AA4" w14:textId="77777777" w:rsidR="00734AE4" w:rsidRPr="00734AE4" w:rsidRDefault="00734AE4" w:rsidP="00734AE4">
      <w:pPr>
        <w:pStyle w:val="ListParagraph"/>
        <w:numPr>
          <w:ilvl w:val="0"/>
          <w:numId w:val="91"/>
        </w:numPr>
        <w:spacing w:line="360" w:lineRule="auto"/>
        <w:rPr>
          <w:rFonts w:ascii="Arial" w:hAnsi="Arial" w:cs="Arial"/>
          <w:sz w:val="24"/>
          <w:szCs w:val="24"/>
        </w:rPr>
      </w:pPr>
      <w:r w:rsidRPr="00734AE4">
        <w:rPr>
          <w:rFonts w:ascii="Arial" w:hAnsi="Arial" w:cs="Arial"/>
          <w:sz w:val="24"/>
          <w:szCs w:val="24"/>
        </w:rPr>
        <w:lastRenderedPageBreak/>
        <w:t>Strategic synergy: Predictive maintenance feeds the data in the blockchain tracker, which result in connected insights.</w:t>
      </w:r>
    </w:p>
    <w:p w14:paraId="18ACC573" w14:textId="77777777" w:rsidR="00734AE4" w:rsidRPr="00734AE4" w:rsidRDefault="00734AE4" w:rsidP="00734AE4">
      <w:pPr>
        <w:pStyle w:val="ListParagraph"/>
        <w:numPr>
          <w:ilvl w:val="0"/>
          <w:numId w:val="91"/>
        </w:numPr>
        <w:spacing w:line="360" w:lineRule="auto"/>
        <w:rPr>
          <w:rFonts w:ascii="Arial" w:hAnsi="Arial" w:cs="Arial"/>
          <w:sz w:val="24"/>
          <w:szCs w:val="24"/>
        </w:rPr>
      </w:pPr>
      <w:r w:rsidRPr="00734AE4">
        <w:rPr>
          <w:rFonts w:ascii="Arial" w:hAnsi="Arial" w:cs="Arial"/>
          <w:sz w:val="24"/>
          <w:szCs w:val="24"/>
        </w:rPr>
        <w:t>Liquidity buffer: There will be PS15 million remaining to invest in B after the re-structuring.</w:t>
      </w:r>
    </w:p>
    <w:p w14:paraId="1D6D5C4E" w14:textId="77777777" w:rsidR="00734AE4" w:rsidRDefault="00734AE4" w:rsidP="00734AE4">
      <w:pPr>
        <w:spacing w:line="360" w:lineRule="auto"/>
        <w:rPr>
          <w:rFonts w:ascii="Arial" w:hAnsi="Arial" w:cs="Arial"/>
          <w:sz w:val="24"/>
          <w:szCs w:val="24"/>
        </w:rPr>
      </w:pPr>
      <w:r w:rsidRPr="00734AE4">
        <w:rPr>
          <w:rFonts w:ascii="Arial" w:hAnsi="Arial" w:cs="Arial"/>
          <w:sz w:val="24"/>
          <w:szCs w:val="24"/>
        </w:rPr>
        <w:t>Project B will not be implemented until the leverage of GE has decreased and stability of the operations is ensured. This is a progressive plan that would bring about recovery and strategic planning.</w:t>
      </w:r>
    </w:p>
    <w:p w14:paraId="0FFDD26B" w14:textId="77777777" w:rsidR="00734AE4" w:rsidRPr="00734AE4" w:rsidRDefault="00734AE4" w:rsidP="00734AE4">
      <w:pPr>
        <w:spacing w:line="360" w:lineRule="auto"/>
        <w:rPr>
          <w:rFonts w:ascii="Arial" w:hAnsi="Arial" w:cs="Arial"/>
          <w:b/>
          <w:bCs/>
          <w:sz w:val="24"/>
          <w:szCs w:val="24"/>
        </w:rPr>
      </w:pPr>
      <w:r w:rsidRPr="00734AE4">
        <w:rPr>
          <w:rFonts w:ascii="Arial" w:hAnsi="Arial" w:cs="Arial"/>
          <w:b/>
          <w:bCs/>
          <w:sz w:val="24"/>
          <w:szCs w:val="24"/>
        </w:rPr>
        <w:t>5.7 Governance Framework</w:t>
      </w:r>
    </w:p>
    <w:p w14:paraId="19B6FCC8" w14:textId="177E1243" w:rsidR="00734AE4" w:rsidRPr="00734AE4" w:rsidRDefault="00734AE4" w:rsidP="00734AE4">
      <w:pPr>
        <w:spacing w:line="360" w:lineRule="auto"/>
        <w:rPr>
          <w:rFonts w:ascii="Arial" w:hAnsi="Arial" w:cs="Arial"/>
          <w:sz w:val="24"/>
          <w:szCs w:val="24"/>
        </w:rPr>
      </w:pPr>
      <w:r w:rsidRPr="00734AE4">
        <w:rPr>
          <w:rFonts w:ascii="Arial" w:hAnsi="Arial" w:cs="Arial"/>
          <w:sz w:val="24"/>
          <w:szCs w:val="24"/>
        </w:rPr>
        <w:t>So as to maintain discipline, investments are governed by the systematic governing framework:</w:t>
      </w:r>
    </w:p>
    <w:p w14:paraId="0E5A9DAF" w14:textId="77777777" w:rsidR="003C1732" w:rsidRPr="0092529B" w:rsidRDefault="003C1732" w:rsidP="0092529B">
      <w:pPr>
        <w:pStyle w:val="ListParagraph"/>
        <w:numPr>
          <w:ilvl w:val="0"/>
          <w:numId w:val="87"/>
        </w:numPr>
        <w:spacing w:line="360" w:lineRule="auto"/>
        <w:rPr>
          <w:rFonts w:ascii="Arial" w:hAnsi="Arial" w:cs="Arial"/>
          <w:sz w:val="24"/>
          <w:szCs w:val="24"/>
        </w:rPr>
      </w:pPr>
      <w:r w:rsidRPr="0092529B">
        <w:rPr>
          <w:rFonts w:ascii="Arial" w:hAnsi="Arial" w:cs="Arial"/>
          <w:sz w:val="24"/>
          <w:szCs w:val="24"/>
        </w:rPr>
        <w:t>Financial Viability Gate: NPV is more than 0 and PI is more than 1.3 as required levels.</w:t>
      </w:r>
    </w:p>
    <w:p w14:paraId="455FFF0B" w14:textId="77777777" w:rsidR="003C1732" w:rsidRPr="0092529B" w:rsidRDefault="003C1732" w:rsidP="0092529B">
      <w:pPr>
        <w:pStyle w:val="ListParagraph"/>
        <w:numPr>
          <w:ilvl w:val="0"/>
          <w:numId w:val="87"/>
        </w:numPr>
        <w:spacing w:line="360" w:lineRule="auto"/>
        <w:rPr>
          <w:rFonts w:ascii="Arial" w:hAnsi="Arial" w:cs="Arial"/>
          <w:sz w:val="24"/>
          <w:szCs w:val="24"/>
        </w:rPr>
      </w:pPr>
      <w:r w:rsidRPr="0092529B">
        <w:rPr>
          <w:rFonts w:ascii="Arial" w:hAnsi="Arial" w:cs="Arial"/>
          <w:sz w:val="24"/>
          <w:szCs w:val="24"/>
        </w:rPr>
        <w:t>Strategic Fit Scorecard: Weighted (automated 40%), ESG impact (30%), and scalability (30%).</w:t>
      </w:r>
    </w:p>
    <w:p w14:paraId="0EC812E1" w14:textId="77777777" w:rsidR="003C1732" w:rsidRPr="0092529B" w:rsidRDefault="003C1732" w:rsidP="0092529B">
      <w:pPr>
        <w:pStyle w:val="ListParagraph"/>
        <w:numPr>
          <w:ilvl w:val="0"/>
          <w:numId w:val="87"/>
        </w:numPr>
        <w:spacing w:line="360" w:lineRule="auto"/>
        <w:rPr>
          <w:rFonts w:ascii="Arial" w:hAnsi="Arial" w:cs="Arial"/>
          <w:sz w:val="24"/>
          <w:szCs w:val="24"/>
        </w:rPr>
      </w:pPr>
      <w:r w:rsidRPr="0092529B">
        <w:rPr>
          <w:rFonts w:ascii="Arial" w:hAnsi="Arial" w:cs="Arial"/>
          <w:sz w:val="24"/>
          <w:szCs w:val="24"/>
        </w:rPr>
        <w:t>Ethical Audit: ESG due diligence is a compulsory requirement before a project is launched.</w:t>
      </w:r>
    </w:p>
    <w:p w14:paraId="2C88F8F6" w14:textId="77777777" w:rsidR="003C1732" w:rsidRPr="0092529B" w:rsidRDefault="003C1732" w:rsidP="0092529B">
      <w:pPr>
        <w:pStyle w:val="ListParagraph"/>
        <w:numPr>
          <w:ilvl w:val="0"/>
          <w:numId w:val="87"/>
        </w:numPr>
        <w:spacing w:line="360" w:lineRule="auto"/>
        <w:rPr>
          <w:rFonts w:ascii="Arial" w:hAnsi="Arial" w:cs="Arial"/>
          <w:sz w:val="24"/>
          <w:szCs w:val="24"/>
        </w:rPr>
      </w:pPr>
      <w:r w:rsidRPr="0092529B">
        <w:rPr>
          <w:rFonts w:ascii="Arial" w:hAnsi="Arial" w:cs="Arial"/>
          <w:sz w:val="24"/>
          <w:szCs w:val="24"/>
        </w:rPr>
        <w:t>Real-Time Monitoring: Dashboard observes the real and planned KPIs, and corrective action can be taken quickly.</w:t>
      </w:r>
    </w:p>
    <w:p w14:paraId="021DF4D1" w14:textId="1DC3CA30" w:rsidR="00E86675" w:rsidRPr="0092529B" w:rsidRDefault="003C1732" w:rsidP="0092529B">
      <w:pPr>
        <w:spacing w:line="360" w:lineRule="auto"/>
        <w:rPr>
          <w:rFonts w:ascii="Arial" w:hAnsi="Arial" w:cs="Arial"/>
          <w:b/>
          <w:bCs/>
          <w:sz w:val="24"/>
          <w:szCs w:val="24"/>
        </w:rPr>
      </w:pPr>
      <w:r w:rsidRPr="0092529B">
        <w:rPr>
          <w:rFonts w:ascii="Arial" w:hAnsi="Arial" w:cs="Arial"/>
          <w:sz w:val="24"/>
          <w:szCs w:val="24"/>
        </w:rPr>
        <w:t>This model guarantees that the allocation of capital is rational, accountable and strategically oriented which is vital in a firm that has come out of financial restructuring.</w:t>
      </w:r>
    </w:p>
    <w:p w14:paraId="5245A2F5" w14:textId="77777777" w:rsidR="00E86675" w:rsidRPr="0092529B" w:rsidRDefault="00E86675" w:rsidP="0092529B">
      <w:pPr>
        <w:spacing w:line="360" w:lineRule="auto"/>
        <w:rPr>
          <w:rFonts w:ascii="Arial" w:hAnsi="Arial" w:cs="Arial"/>
          <w:b/>
          <w:bCs/>
          <w:sz w:val="24"/>
          <w:szCs w:val="24"/>
        </w:rPr>
      </w:pPr>
      <w:r w:rsidRPr="0092529B">
        <w:rPr>
          <w:rFonts w:ascii="Arial" w:hAnsi="Arial" w:cs="Arial"/>
          <w:b/>
          <w:bCs/>
          <w:sz w:val="24"/>
          <w:szCs w:val="24"/>
        </w:rPr>
        <w:t>5.8 Strategic Implications</w:t>
      </w:r>
    </w:p>
    <w:p w14:paraId="068833AD" w14:textId="77777777" w:rsidR="003C1732" w:rsidRPr="0092529B" w:rsidRDefault="003C1732" w:rsidP="0092529B">
      <w:pPr>
        <w:spacing w:line="360" w:lineRule="auto"/>
        <w:rPr>
          <w:rFonts w:ascii="Arial" w:hAnsi="Arial" w:cs="Arial"/>
          <w:sz w:val="24"/>
          <w:szCs w:val="24"/>
        </w:rPr>
      </w:pPr>
      <w:r w:rsidRPr="0092529B">
        <w:rPr>
          <w:rFonts w:ascii="Arial" w:hAnsi="Arial" w:cs="Arial"/>
          <w:sz w:val="24"/>
          <w:szCs w:val="24"/>
        </w:rPr>
        <w:t>This type of investment is an indicator of the capital discipline of GE after the restructuring:</w:t>
      </w:r>
    </w:p>
    <w:p w14:paraId="32331E7C" w14:textId="77777777" w:rsidR="003C1732" w:rsidRPr="0092529B" w:rsidRDefault="003C1732" w:rsidP="0092529B">
      <w:pPr>
        <w:pStyle w:val="ListParagraph"/>
        <w:numPr>
          <w:ilvl w:val="0"/>
          <w:numId w:val="88"/>
        </w:numPr>
        <w:spacing w:line="360" w:lineRule="auto"/>
        <w:rPr>
          <w:rFonts w:ascii="Arial" w:hAnsi="Arial" w:cs="Arial"/>
          <w:sz w:val="24"/>
          <w:szCs w:val="24"/>
        </w:rPr>
      </w:pPr>
      <w:r w:rsidRPr="0092529B">
        <w:rPr>
          <w:rFonts w:ascii="Arial" w:hAnsi="Arial" w:cs="Arial"/>
          <w:sz w:val="24"/>
          <w:szCs w:val="24"/>
        </w:rPr>
        <w:t>Prioritisation and not proliferation: The resources are focused on high value and scalable initiatives as opposed to being scattered in marginal projects.</w:t>
      </w:r>
    </w:p>
    <w:p w14:paraId="6E253C15" w14:textId="77777777" w:rsidR="003C1732" w:rsidRPr="0092529B" w:rsidRDefault="003C1732" w:rsidP="0092529B">
      <w:pPr>
        <w:pStyle w:val="ListParagraph"/>
        <w:numPr>
          <w:ilvl w:val="0"/>
          <w:numId w:val="88"/>
        </w:numPr>
        <w:spacing w:line="360" w:lineRule="auto"/>
        <w:rPr>
          <w:rFonts w:ascii="Arial" w:hAnsi="Arial" w:cs="Arial"/>
          <w:sz w:val="24"/>
          <w:szCs w:val="24"/>
        </w:rPr>
      </w:pPr>
      <w:r w:rsidRPr="0092529B">
        <w:rPr>
          <w:rFonts w:ascii="Arial" w:hAnsi="Arial" w:cs="Arial"/>
          <w:sz w:val="24"/>
          <w:szCs w:val="24"/>
        </w:rPr>
        <w:t>Co-integration with digital strategy A and C are mutually supportive of operational intelligence, predictive analytics and supply chain visibility.</w:t>
      </w:r>
    </w:p>
    <w:p w14:paraId="257EE4F2" w14:textId="77777777" w:rsidR="003C1732" w:rsidRPr="0092529B" w:rsidRDefault="003C1732" w:rsidP="0092529B">
      <w:pPr>
        <w:pStyle w:val="ListParagraph"/>
        <w:numPr>
          <w:ilvl w:val="0"/>
          <w:numId w:val="88"/>
        </w:numPr>
        <w:spacing w:line="360" w:lineRule="auto"/>
        <w:rPr>
          <w:rFonts w:ascii="Arial" w:hAnsi="Arial" w:cs="Arial"/>
          <w:sz w:val="24"/>
          <w:szCs w:val="24"/>
        </w:rPr>
      </w:pPr>
      <w:r w:rsidRPr="0092529B">
        <w:rPr>
          <w:rFonts w:ascii="Arial" w:hAnsi="Arial" w:cs="Arial"/>
          <w:sz w:val="24"/>
          <w:szCs w:val="24"/>
        </w:rPr>
        <w:lastRenderedPageBreak/>
        <w:t>ESG and ethics compliance: The two projects strengthen corporate responsibility, which can increase stakeholder trust and regulatory friendliness.</w:t>
      </w:r>
    </w:p>
    <w:p w14:paraId="1021E05F" w14:textId="02D0E237" w:rsidR="003C1732" w:rsidRPr="0092529B" w:rsidRDefault="003C1732" w:rsidP="0092529B">
      <w:pPr>
        <w:pStyle w:val="ListParagraph"/>
        <w:numPr>
          <w:ilvl w:val="0"/>
          <w:numId w:val="88"/>
        </w:numPr>
        <w:spacing w:line="360" w:lineRule="auto"/>
        <w:rPr>
          <w:rFonts w:ascii="Arial" w:hAnsi="Arial" w:cs="Arial"/>
          <w:sz w:val="24"/>
          <w:szCs w:val="24"/>
        </w:rPr>
      </w:pPr>
      <w:r w:rsidRPr="0092529B">
        <w:rPr>
          <w:rFonts w:ascii="Arial" w:hAnsi="Arial" w:cs="Arial"/>
          <w:sz w:val="24"/>
          <w:szCs w:val="24"/>
        </w:rPr>
        <w:t xml:space="preserve">Flexibility: </w:t>
      </w:r>
      <w:r w:rsidR="007B19CA">
        <w:rPr>
          <w:rFonts w:ascii="Arial" w:hAnsi="Arial" w:cs="Arial"/>
          <w:sz w:val="24"/>
          <w:szCs w:val="24"/>
        </w:rPr>
        <w:t>£</w:t>
      </w:r>
      <w:r w:rsidRPr="0092529B">
        <w:rPr>
          <w:rFonts w:ascii="Arial" w:hAnsi="Arial" w:cs="Arial"/>
          <w:sz w:val="24"/>
          <w:szCs w:val="24"/>
        </w:rPr>
        <w:t>15 million contingency will guarantee adaptive capacity to changing market conditions.</w:t>
      </w:r>
    </w:p>
    <w:p w14:paraId="2E80C6DB" w14:textId="7EA968C9" w:rsidR="00421A9E" w:rsidRPr="0092529B" w:rsidRDefault="003C1732" w:rsidP="0092529B">
      <w:pPr>
        <w:spacing w:line="360" w:lineRule="auto"/>
        <w:rPr>
          <w:rFonts w:ascii="Arial" w:hAnsi="Arial" w:cs="Arial"/>
          <w:sz w:val="24"/>
          <w:szCs w:val="24"/>
        </w:rPr>
      </w:pPr>
      <w:r w:rsidRPr="0092529B">
        <w:rPr>
          <w:rFonts w:ascii="Arial" w:hAnsi="Arial" w:cs="Arial"/>
          <w:sz w:val="24"/>
          <w:szCs w:val="24"/>
        </w:rPr>
        <w:t>Strategic portfolio selection is also as important as project execution in a capital constrained environment. With a focus on A and C, GE will maximize ROI, enhance its technological foundation, and have a platform to grow in the future through ESG-driven growth.</w:t>
      </w:r>
    </w:p>
    <w:p w14:paraId="01571A38" w14:textId="77777777" w:rsidR="003C1732" w:rsidRPr="0092529B" w:rsidRDefault="003C1732" w:rsidP="0092529B">
      <w:pPr>
        <w:spacing w:line="360" w:lineRule="auto"/>
        <w:rPr>
          <w:rFonts w:ascii="Arial" w:hAnsi="Arial" w:cs="Arial"/>
          <w:b/>
          <w:bCs/>
          <w:sz w:val="24"/>
          <w:szCs w:val="24"/>
        </w:rPr>
      </w:pPr>
    </w:p>
    <w:p w14:paraId="520F0EE8" w14:textId="337CB7AF" w:rsidR="003C1732" w:rsidRPr="0092529B" w:rsidRDefault="0092529B" w:rsidP="0092529B">
      <w:pPr>
        <w:spacing w:line="360" w:lineRule="auto"/>
        <w:rPr>
          <w:rFonts w:ascii="Arial" w:hAnsi="Arial" w:cs="Arial"/>
          <w:b/>
          <w:bCs/>
          <w:sz w:val="24"/>
          <w:szCs w:val="24"/>
        </w:rPr>
      </w:pPr>
      <w:r w:rsidRPr="0092529B">
        <w:rPr>
          <w:rFonts w:ascii="Arial" w:hAnsi="Arial" w:cs="Arial"/>
          <w:b/>
          <w:bCs/>
          <w:sz w:val="24"/>
          <w:szCs w:val="24"/>
        </w:rPr>
        <w:t>6.0 Recommendation</w:t>
      </w:r>
    </w:p>
    <w:p w14:paraId="295748DA" w14:textId="12CC98C0"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General Electronics (GE) ought to pursue a narrowed recovery plan with the core aim of liquidity improvement, stabilisation of the capital structure and the selective investment. To begin with, GE should work towards enhancing its working-capital performance because the increasing number of days to collect receivables and the poor stock management is limiting liquidity. The use of predictive credit-analytics, increased credit controls, and dynamic discounting would hasten the cash inflows (Deloitte, 2023). By incorporating AI-driven predictions into the production planning process, the quantity of stock would decrease, and the cash-conversion cycle would be decreased (Accenture, 2024). Collectively, these reforms might free up a huge amount of operating cash and alleviate the dependence of GE on short-term borrowing (Grant Thornton, 2023).</w:t>
      </w:r>
    </w:p>
    <w:p w14:paraId="574D633D" w14:textId="4E0CAEC1"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Second, GE needs to reorganize its capital base to deal with over leverage. An interest-free debt-to-equity swap of maturities plus recalibrated maturities would take the pressure off of interest payments as well as solvency risk (IMF, 2024). After initial stabilisation, we should undertake a rights issue in order to raise new equity to liquidate the old expensive debt and restore financial strength (EY, 2024). It is also advisable to selectively dispose of the non-core legacy operations in order to simplify the business and release capital to invest in new areas of growth (BCG, 2023).</w:t>
      </w:r>
    </w:p>
    <w:p w14:paraId="4080D3B5" w14:textId="653A1EDC"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Third, GE needs to focus on the Projects A and C within the </w:t>
      </w:r>
      <w:r w:rsidR="007B19CA">
        <w:rPr>
          <w:rFonts w:ascii="Arial" w:hAnsi="Arial" w:cs="Arial"/>
          <w:sz w:val="24"/>
          <w:szCs w:val="24"/>
        </w:rPr>
        <w:t>£</w:t>
      </w:r>
      <w:r w:rsidRPr="0092529B">
        <w:rPr>
          <w:rFonts w:ascii="Arial" w:hAnsi="Arial" w:cs="Arial"/>
          <w:sz w:val="24"/>
          <w:szCs w:val="24"/>
        </w:rPr>
        <w:t xml:space="preserve">60m investment limit since they offer a high level of strategic alignment and an aggregate NPV of about </w:t>
      </w:r>
      <w:r w:rsidR="007B19CA">
        <w:rPr>
          <w:rFonts w:ascii="Arial" w:hAnsi="Arial" w:cs="Arial"/>
          <w:sz w:val="24"/>
          <w:szCs w:val="24"/>
        </w:rPr>
        <w:lastRenderedPageBreak/>
        <w:t>£</w:t>
      </w:r>
      <w:r w:rsidRPr="0092529B">
        <w:rPr>
          <w:rFonts w:ascii="Arial" w:hAnsi="Arial" w:cs="Arial"/>
          <w:sz w:val="24"/>
          <w:szCs w:val="24"/>
        </w:rPr>
        <w:t>20.7m. Project A allows increasing the efficiency of production by automation, whereas Project C reinforces the digital capabilities and customer lifetime value. Project B, though ESG-appealing, will have to wait until the liquidity increases or external funding sources are found (McKinsey, 2024).</w:t>
      </w:r>
    </w:p>
    <w:p w14:paraId="4AA67287" w14:textId="29469AC0"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Incorporating ethics (e.g., reskilling the workforce, transparent governance, responsible sourcing etc.) will underpin a plausible and sustainable recovery (Carroll, 2016; OECD, 2023).</w:t>
      </w:r>
    </w:p>
    <w:p w14:paraId="1D598984" w14:textId="0086FB0A" w:rsidR="00421A9E" w:rsidRPr="0092529B" w:rsidRDefault="0092529B" w:rsidP="0092529B">
      <w:pPr>
        <w:spacing w:line="360" w:lineRule="auto"/>
        <w:rPr>
          <w:rFonts w:ascii="Arial" w:hAnsi="Arial" w:cs="Arial"/>
          <w:sz w:val="24"/>
          <w:szCs w:val="24"/>
        </w:rPr>
      </w:pPr>
      <w:r w:rsidRPr="0092529B">
        <w:rPr>
          <w:rFonts w:ascii="Arial" w:hAnsi="Arial" w:cs="Arial"/>
          <w:b/>
          <w:bCs/>
          <w:sz w:val="24"/>
          <w:szCs w:val="24"/>
        </w:rPr>
        <w:t>7</w:t>
      </w:r>
      <w:r w:rsidR="00421A9E" w:rsidRPr="0092529B">
        <w:rPr>
          <w:rFonts w:ascii="Arial" w:hAnsi="Arial" w:cs="Arial"/>
          <w:b/>
          <w:bCs/>
          <w:sz w:val="24"/>
          <w:szCs w:val="24"/>
        </w:rPr>
        <w:t>.0 Conclusion</w:t>
      </w:r>
    </w:p>
    <w:p w14:paraId="2AEEAD44" w14:textId="2CBE3468" w:rsidR="007B19CA" w:rsidRDefault="007B19CA" w:rsidP="0092529B">
      <w:pPr>
        <w:spacing w:line="360" w:lineRule="auto"/>
        <w:rPr>
          <w:rFonts w:ascii="Arial" w:hAnsi="Arial" w:cs="Arial"/>
          <w:sz w:val="24"/>
          <w:szCs w:val="24"/>
        </w:rPr>
      </w:pPr>
      <w:r w:rsidRPr="007B19CA">
        <w:rPr>
          <w:rFonts w:ascii="Arial" w:hAnsi="Arial" w:cs="Arial"/>
          <w:sz w:val="24"/>
          <w:szCs w:val="24"/>
        </w:rPr>
        <w:t>General Electronics is at a crossroad: either maintain a controlled decline - asset sales and irrelevance or undertake a disciplined revival to bring about liquidity, less leverage and rejuvenate innovation. The company has been plagued by operational bloat, mismanagement of working-capital has caused liquidity and extreme leverage puts the company at risk of solvency, but stable gross-margins, positive cash flow, and brand strength give it a recovery platform. The 3 prong prescription is: (1) Liquidity first - reduce cash-conversion cycle by 30 days through receivables discipline, AI-based inventory and ethical payable stretching to debt repayment c.</w:t>
      </w:r>
      <w:r>
        <w:rPr>
          <w:rFonts w:ascii="Arial" w:hAnsi="Arial" w:cs="Arial"/>
          <w:sz w:val="24"/>
          <w:szCs w:val="24"/>
        </w:rPr>
        <w:t>£</w:t>
      </w:r>
      <w:r w:rsidRPr="007B19CA">
        <w:rPr>
          <w:rFonts w:ascii="Arial" w:hAnsi="Arial" w:cs="Arial"/>
          <w:sz w:val="24"/>
          <w:szCs w:val="24"/>
        </w:rPr>
        <w:t xml:space="preserve">25bn. (2) Downsize brutally - turn </w:t>
      </w:r>
      <w:r>
        <w:rPr>
          <w:rFonts w:ascii="Arial" w:hAnsi="Arial" w:cs="Arial"/>
          <w:sz w:val="24"/>
          <w:szCs w:val="24"/>
        </w:rPr>
        <w:t>£</w:t>
      </w:r>
      <w:r w:rsidRPr="007B19CA">
        <w:rPr>
          <w:rFonts w:ascii="Arial" w:hAnsi="Arial" w:cs="Arial"/>
          <w:sz w:val="24"/>
          <w:szCs w:val="24"/>
        </w:rPr>
        <w:t xml:space="preserve">20bn debt to equity, a </w:t>
      </w:r>
      <w:r>
        <w:rPr>
          <w:rFonts w:ascii="Arial" w:hAnsi="Arial" w:cs="Arial"/>
          <w:sz w:val="24"/>
          <w:szCs w:val="24"/>
        </w:rPr>
        <w:t>£</w:t>
      </w:r>
      <w:r w:rsidRPr="007B19CA">
        <w:rPr>
          <w:rFonts w:ascii="Arial" w:hAnsi="Arial" w:cs="Arial"/>
          <w:sz w:val="24"/>
          <w:szCs w:val="24"/>
        </w:rPr>
        <w:t xml:space="preserve">10bn rights issue, sell non-core business and make risk-sharing JVs to achieve sub-1.0 D/E. (3) Invest intelligently - invest </w:t>
      </w:r>
      <w:r>
        <w:rPr>
          <w:rFonts w:ascii="Arial" w:hAnsi="Arial" w:cs="Arial"/>
          <w:sz w:val="24"/>
          <w:szCs w:val="24"/>
        </w:rPr>
        <w:t>£</w:t>
      </w:r>
      <w:r w:rsidRPr="007B19CA">
        <w:rPr>
          <w:rFonts w:ascii="Arial" w:hAnsi="Arial" w:cs="Arial"/>
          <w:sz w:val="24"/>
          <w:szCs w:val="24"/>
        </w:rPr>
        <w:t>45m in predictive maintenance (A) and blockchain supply tracker (C). Install ethics: reskill employees, respect suppliers and prioritise ESG. The phased implementation of stabilise, repair, grow allows GE to be leaner, greener and future-ready. The future of GE depends on timely action taken.</w:t>
      </w:r>
    </w:p>
    <w:p w14:paraId="2FAF9993" w14:textId="629C8D89" w:rsidR="00421A9E" w:rsidRPr="0092529B" w:rsidRDefault="00421A9E" w:rsidP="0092529B">
      <w:pPr>
        <w:spacing w:line="360" w:lineRule="auto"/>
        <w:rPr>
          <w:rFonts w:ascii="Arial" w:hAnsi="Arial" w:cs="Arial"/>
          <w:sz w:val="24"/>
          <w:szCs w:val="24"/>
        </w:rPr>
      </w:pPr>
      <w:r w:rsidRPr="0092529B">
        <w:rPr>
          <w:rFonts w:ascii="Arial" w:hAnsi="Arial" w:cs="Arial"/>
          <w:b/>
          <w:bCs/>
          <w:sz w:val="24"/>
          <w:szCs w:val="24"/>
        </w:rPr>
        <w:t>References</w:t>
      </w:r>
    </w:p>
    <w:p w14:paraId="14307F48"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Accenture (2024) </w:t>
      </w:r>
      <w:r w:rsidRPr="0092529B">
        <w:rPr>
          <w:rFonts w:ascii="Arial" w:hAnsi="Arial" w:cs="Arial"/>
          <w:i/>
          <w:iCs/>
          <w:sz w:val="24"/>
          <w:szCs w:val="24"/>
        </w:rPr>
        <w:t>AI-Driven Supply Chain Transformation</w:t>
      </w:r>
      <w:r w:rsidRPr="0092529B">
        <w:rPr>
          <w:rFonts w:ascii="Arial" w:hAnsi="Arial" w:cs="Arial"/>
          <w:sz w:val="24"/>
          <w:szCs w:val="24"/>
        </w:rPr>
        <w:t>. Accenture Research Report.</w:t>
      </w:r>
    </w:p>
    <w:p w14:paraId="238F9971"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BCG (2023) </w:t>
      </w:r>
      <w:r w:rsidRPr="0092529B">
        <w:rPr>
          <w:rFonts w:ascii="Arial" w:hAnsi="Arial" w:cs="Arial"/>
          <w:i/>
          <w:iCs/>
          <w:sz w:val="24"/>
          <w:szCs w:val="24"/>
        </w:rPr>
        <w:t>Restructuring Strategies for Industrial Conglomerates</w:t>
      </w:r>
      <w:r w:rsidRPr="0092529B">
        <w:rPr>
          <w:rFonts w:ascii="Arial" w:hAnsi="Arial" w:cs="Arial"/>
          <w:sz w:val="24"/>
          <w:szCs w:val="24"/>
        </w:rPr>
        <w:t>. Boston Consulting Group.</w:t>
      </w:r>
    </w:p>
    <w:p w14:paraId="56FE44F0"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Brigham, E.F. &amp; Ehrhardt, M.C. (2022) </w:t>
      </w:r>
      <w:r w:rsidRPr="0092529B">
        <w:rPr>
          <w:rFonts w:ascii="Arial" w:hAnsi="Arial" w:cs="Arial"/>
          <w:i/>
          <w:iCs/>
          <w:sz w:val="24"/>
          <w:szCs w:val="24"/>
        </w:rPr>
        <w:t>Financial Management: Theory and Practice</w:t>
      </w:r>
      <w:r w:rsidRPr="0092529B">
        <w:rPr>
          <w:rFonts w:ascii="Arial" w:hAnsi="Arial" w:cs="Arial"/>
          <w:sz w:val="24"/>
          <w:szCs w:val="24"/>
        </w:rPr>
        <w:t>. 16th ed. Cengage Learning.</w:t>
      </w:r>
    </w:p>
    <w:p w14:paraId="73A79090"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lastRenderedPageBreak/>
        <w:t xml:space="preserve">Carroll, A.B. (2016) </w:t>
      </w:r>
      <w:r w:rsidRPr="0092529B">
        <w:rPr>
          <w:rFonts w:ascii="Arial" w:hAnsi="Arial" w:cs="Arial"/>
          <w:i/>
          <w:iCs/>
          <w:sz w:val="24"/>
          <w:szCs w:val="24"/>
        </w:rPr>
        <w:t>Corporate Social Responsibility: Theoretical Perspectives</w:t>
      </w:r>
      <w:r w:rsidRPr="0092529B">
        <w:rPr>
          <w:rFonts w:ascii="Arial" w:hAnsi="Arial" w:cs="Arial"/>
          <w:sz w:val="24"/>
          <w:szCs w:val="24"/>
        </w:rPr>
        <w:t>. Oxford University Press.</w:t>
      </w:r>
    </w:p>
    <w:p w14:paraId="7E61DB4C"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Deloitte (2024) </w:t>
      </w:r>
      <w:r w:rsidRPr="0092529B">
        <w:rPr>
          <w:rFonts w:ascii="Arial" w:hAnsi="Arial" w:cs="Arial"/>
          <w:i/>
          <w:iCs/>
          <w:sz w:val="24"/>
          <w:szCs w:val="24"/>
        </w:rPr>
        <w:t>Global Consumer Electronics Outlook 2024</w:t>
      </w:r>
      <w:r w:rsidRPr="0092529B">
        <w:rPr>
          <w:rFonts w:ascii="Arial" w:hAnsi="Arial" w:cs="Arial"/>
          <w:sz w:val="24"/>
          <w:szCs w:val="24"/>
        </w:rPr>
        <w:t>. Deloitte Insights.</w:t>
      </w:r>
    </w:p>
    <w:p w14:paraId="0B26DD89"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EY (2024) </w:t>
      </w:r>
      <w:r w:rsidRPr="0092529B">
        <w:rPr>
          <w:rFonts w:ascii="Arial" w:hAnsi="Arial" w:cs="Arial"/>
          <w:i/>
          <w:iCs/>
          <w:sz w:val="24"/>
          <w:szCs w:val="24"/>
        </w:rPr>
        <w:t>Capital Structuring and Rights-Issue Trends</w:t>
      </w:r>
      <w:r w:rsidRPr="0092529B">
        <w:rPr>
          <w:rFonts w:ascii="Arial" w:hAnsi="Arial" w:cs="Arial"/>
          <w:sz w:val="24"/>
          <w:szCs w:val="24"/>
        </w:rPr>
        <w:t>. Ernst &amp; Young Global.</w:t>
      </w:r>
    </w:p>
    <w:p w14:paraId="6D0D8C09"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Grant Thornton (2023) </w:t>
      </w:r>
      <w:r w:rsidRPr="0092529B">
        <w:rPr>
          <w:rFonts w:ascii="Arial" w:hAnsi="Arial" w:cs="Arial"/>
          <w:i/>
          <w:iCs/>
          <w:sz w:val="24"/>
          <w:szCs w:val="24"/>
        </w:rPr>
        <w:t>Working Capital Management Report 2023</w:t>
      </w:r>
      <w:r w:rsidRPr="0092529B">
        <w:rPr>
          <w:rFonts w:ascii="Arial" w:hAnsi="Arial" w:cs="Arial"/>
          <w:sz w:val="24"/>
          <w:szCs w:val="24"/>
        </w:rPr>
        <w:t>. Grant Thornton UK LLP.</w:t>
      </w:r>
    </w:p>
    <w:p w14:paraId="3BC2291C"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IMF (2024) </w:t>
      </w:r>
      <w:r w:rsidRPr="0092529B">
        <w:rPr>
          <w:rFonts w:ascii="Arial" w:hAnsi="Arial" w:cs="Arial"/>
          <w:i/>
          <w:iCs/>
          <w:sz w:val="24"/>
          <w:szCs w:val="24"/>
        </w:rPr>
        <w:t>Corporate Debt Restructuring Frameworks: Global Stability Review</w:t>
      </w:r>
      <w:r w:rsidRPr="0092529B">
        <w:rPr>
          <w:rFonts w:ascii="Arial" w:hAnsi="Arial" w:cs="Arial"/>
          <w:sz w:val="24"/>
          <w:szCs w:val="24"/>
        </w:rPr>
        <w:t>. International Monetary Fund.</w:t>
      </w:r>
    </w:p>
    <w:p w14:paraId="22AFEA1F"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McKinsey &amp; Company (2024) </w:t>
      </w:r>
      <w:r w:rsidRPr="0092529B">
        <w:rPr>
          <w:rFonts w:ascii="Arial" w:hAnsi="Arial" w:cs="Arial"/>
          <w:i/>
          <w:iCs/>
          <w:sz w:val="24"/>
          <w:szCs w:val="24"/>
        </w:rPr>
        <w:t>Electronics Value Chain Disruption Report</w:t>
      </w:r>
      <w:r w:rsidRPr="0092529B">
        <w:rPr>
          <w:rFonts w:ascii="Arial" w:hAnsi="Arial" w:cs="Arial"/>
          <w:sz w:val="24"/>
          <w:szCs w:val="24"/>
        </w:rPr>
        <w:t>. McKinsey Global Institute.</w:t>
      </w:r>
    </w:p>
    <w:p w14:paraId="51B55DA9"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OECD (2023) </w:t>
      </w:r>
      <w:r w:rsidRPr="0092529B">
        <w:rPr>
          <w:rFonts w:ascii="Arial" w:hAnsi="Arial" w:cs="Arial"/>
          <w:i/>
          <w:iCs/>
          <w:sz w:val="24"/>
          <w:szCs w:val="24"/>
        </w:rPr>
        <w:t>Responsible Business Conduct Guidelines</w:t>
      </w:r>
      <w:r w:rsidRPr="0092529B">
        <w:rPr>
          <w:rFonts w:ascii="Arial" w:hAnsi="Arial" w:cs="Arial"/>
          <w:sz w:val="24"/>
          <w:szCs w:val="24"/>
        </w:rPr>
        <w:t>. Organisation for Economic Co-operation and Development.</w:t>
      </w:r>
    </w:p>
    <w:p w14:paraId="35D6F14A"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PwC (2024) </w:t>
      </w:r>
      <w:r w:rsidRPr="0092529B">
        <w:rPr>
          <w:rFonts w:ascii="Arial" w:hAnsi="Arial" w:cs="Arial"/>
          <w:i/>
          <w:iCs/>
          <w:sz w:val="24"/>
          <w:szCs w:val="24"/>
        </w:rPr>
        <w:t>Global Working Capital Benchmarking Report</w:t>
      </w:r>
      <w:r w:rsidRPr="0092529B">
        <w:rPr>
          <w:rFonts w:ascii="Arial" w:hAnsi="Arial" w:cs="Arial"/>
          <w:sz w:val="24"/>
          <w:szCs w:val="24"/>
        </w:rPr>
        <w:t>. PricewaterhouseCoopers.</w:t>
      </w:r>
    </w:p>
    <w:p w14:paraId="11F37602" w14:textId="77777777" w:rsidR="0092529B" w:rsidRPr="0092529B" w:rsidRDefault="0092529B" w:rsidP="0092529B">
      <w:pPr>
        <w:spacing w:line="360" w:lineRule="auto"/>
        <w:rPr>
          <w:rFonts w:ascii="Arial" w:hAnsi="Arial" w:cs="Arial"/>
          <w:sz w:val="24"/>
          <w:szCs w:val="24"/>
        </w:rPr>
      </w:pPr>
      <w:r w:rsidRPr="0092529B">
        <w:rPr>
          <w:rFonts w:ascii="Arial" w:hAnsi="Arial" w:cs="Arial"/>
          <w:sz w:val="24"/>
          <w:szCs w:val="24"/>
        </w:rPr>
        <w:t xml:space="preserve">S&amp;P Global (2024) </w:t>
      </w:r>
      <w:r w:rsidRPr="0092529B">
        <w:rPr>
          <w:rFonts w:ascii="Arial" w:hAnsi="Arial" w:cs="Arial"/>
          <w:i/>
          <w:iCs/>
          <w:sz w:val="24"/>
          <w:szCs w:val="24"/>
        </w:rPr>
        <w:t>Corporate Credit Outlook and Risk Metrics 2024</w:t>
      </w:r>
      <w:r w:rsidRPr="0092529B">
        <w:rPr>
          <w:rFonts w:ascii="Arial" w:hAnsi="Arial" w:cs="Arial"/>
          <w:sz w:val="24"/>
          <w:szCs w:val="24"/>
        </w:rPr>
        <w:t>. S&amp;P Global Ratings.</w:t>
      </w:r>
    </w:p>
    <w:p w14:paraId="4890E2A0" w14:textId="77777777" w:rsidR="002A5174" w:rsidRPr="0092529B" w:rsidRDefault="002A5174" w:rsidP="0092529B">
      <w:pPr>
        <w:spacing w:line="360" w:lineRule="auto"/>
        <w:rPr>
          <w:rFonts w:ascii="Arial" w:hAnsi="Arial" w:cs="Arial"/>
          <w:sz w:val="24"/>
          <w:szCs w:val="24"/>
        </w:rPr>
      </w:pPr>
    </w:p>
    <w:sectPr w:rsidR="002A5174" w:rsidRPr="0092529B" w:rsidSect="00954CC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F4DDBB" w14:textId="77777777" w:rsidR="000A7C74" w:rsidRDefault="000A7C74" w:rsidP="00747D87">
      <w:pPr>
        <w:spacing w:after="0" w:line="240" w:lineRule="auto"/>
      </w:pPr>
      <w:r>
        <w:separator/>
      </w:r>
    </w:p>
  </w:endnote>
  <w:endnote w:type="continuationSeparator" w:id="0">
    <w:p w14:paraId="6BACB5E1" w14:textId="77777777" w:rsidR="000A7C74" w:rsidRDefault="000A7C74" w:rsidP="00747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7497821"/>
      <w:docPartObj>
        <w:docPartGallery w:val="Page Numbers (Bottom of Page)"/>
        <w:docPartUnique/>
      </w:docPartObj>
    </w:sdtPr>
    <w:sdtEndPr>
      <w:rPr>
        <w:noProof/>
      </w:rPr>
    </w:sdtEndPr>
    <w:sdtContent>
      <w:p w14:paraId="7CC26158" w14:textId="52FE9055" w:rsidR="00747D87" w:rsidRDefault="00747D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524F9B" w14:textId="77777777" w:rsidR="00747D87" w:rsidRDefault="00747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3F5E80" w14:textId="77777777" w:rsidR="000A7C74" w:rsidRDefault="000A7C74" w:rsidP="00747D87">
      <w:pPr>
        <w:spacing w:after="0" w:line="240" w:lineRule="auto"/>
      </w:pPr>
      <w:r>
        <w:separator/>
      </w:r>
    </w:p>
  </w:footnote>
  <w:footnote w:type="continuationSeparator" w:id="0">
    <w:p w14:paraId="6BA9B897" w14:textId="77777777" w:rsidR="000A7C74" w:rsidRDefault="000A7C74" w:rsidP="00747D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569E"/>
    <w:multiLevelType w:val="multilevel"/>
    <w:tmpl w:val="41605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31740"/>
    <w:multiLevelType w:val="multilevel"/>
    <w:tmpl w:val="6F185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95DA4"/>
    <w:multiLevelType w:val="multilevel"/>
    <w:tmpl w:val="3DFC5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654CF"/>
    <w:multiLevelType w:val="multilevel"/>
    <w:tmpl w:val="98A69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1F199D"/>
    <w:multiLevelType w:val="multilevel"/>
    <w:tmpl w:val="A59A9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A1F02B9"/>
    <w:multiLevelType w:val="multilevel"/>
    <w:tmpl w:val="368C2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A614E70"/>
    <w:multiLevelType w:val="hybridMultilevel"/>
    <w:tmpl w:val="0D408E4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0E807CFB"/>
    <w:multiLevelType w:val="hybridMultilevel"/>
    <w:tmpl w:val="0E481C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36F3994"/>
    <w:multiLevelType w:val="hybridMultilevel"/>
    <w:tmpl w:val="40BA8B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3857708"/>
    <w:multiLevelType w:val="multilevel"/>
    <w:tmpl w:val="662AD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3BE0640"/>
    <w:multiLevelType w:val="multilevel"/>
    <w:tmpl w:val="F894D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4971D85"/>
    <w:multiLevelType w:val="multilevel"/>
    <w:tmpl w:val="4DE60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7B9517E"/>
    <w:multiLevelType w:val="hybridMultilevel"/>
    <w:tmpl w:val="2126F9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9725C85"/>
    <w:multiLevelType w:val="hybridMultilevel"/>
    <w:tmpl w:val="4BC086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B640DC5"/>
    <w:multiLevelType w:val="hybridMultilevel"/>
    <w:tmpl w:val="EE3061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C9A0301"/>
    <w:multiLevelType w:val="multilevel"/>
    <w:tmpl w:val="DE562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43741D"/>
    <w:multiLevelType w:val="multilevel"/>
    <w:tmpl w:val="C0200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05E778B"/>
    <w:multiLevelType w:val="multilevel"/>
    <w:tmpl w:val="D7543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07850B9"/>
    <w:multiLevelType w:val="multilevel"/>
    <w:tmpl w:val="2C0E8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206705A"/>
    <w:multiLevelType w:val="multilevel"/>
    <w:tmpl w:val="E48A2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2804B68"/>
    <w:multiLevelType w:val="hybridMultilevel"/>
    <w:tmpl w:val="3B28D1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243133F3"/>
    <w:multiLevelType w:val="multilevel"/>
    <w:tmpl w:val="3BE09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5E75119"/>
    <w:multiLevelType w:val="multilevel"/>
    <w:tmpl w:val="FCB8C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63E5B01"/>
    <w:multiLevelType w:val="multilevel"/>
    <w:tmpl w:val="17E88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8016160"/>
    <w:multiLevelType w:val="multilevel"/>
    <w:tmpl w:val="FCE6B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891006D"/>
    <w:multiLevelType w:val="multilevel"/>
    <w:tmpl w:val="0630A0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E147E4D"/>
    <w:multiLevelType w:val="hybridMultilevel"/>
    <w:tmpl w:val="50EE54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2E4010F4"/>
    <w:multiLevelType w:val="multilevel"/>
    <w:tmpl w:val="33442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25061EE"/>
    <w:multiLevelType w:val="multilevel"/>
    <w:tmpl w:val="7996F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5320904"/>
    <w:multiLevelType w:val="multilevel"/>
    <w:tmpl w:val="FE84A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75A34F5"/>
    <w:multiLevelType w:val="hybridMultilevel"/>
    <w:tmpl w:val="98A6BF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39524AB3"/>
    <w:multiLevelType w:val="multilevel"/>
    <w:tmpl w:val="E46EC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996667A"/>
    <w:multiLevelType w:val="multilevel"/>
    <w:tmpl w:val="4C3AD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A6F01AF"/>
    <w:multiLevelType w:val="multilevel"/>
    <w:tmpl w:val="72884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A7E3117"/>
    <w:multiLevelType w:val="hybridMultilevel"/>
    <w:tmpl w:val="F7CC0D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3B0164F4"/>
    <w:multiLevelType w:val="hybridMultilevel"/>
    <w:tmpl w:val="4C62B1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3BA56424"/>
    <w:multiLevelType w:val="hybridMultilevel"/>
    <w:tmpl w:val="FFC251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3CFE257B"/>
    <w:multiLevelType w:val="multilevel"/>
    <w:tmpl w:val="509E1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E15753A"/>
    <w:multiLevelType w:val="multilevel"/>
    <w:tmpl w:val="0D10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E6A1E34"/>
    <w:multiLevelType w:val="multilevel"/>
    <w:tmpl w:val="CDD4E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F670543"/>
    <w:multiLevelType w:val="multilevel"/>
    <w:tmpl w:val="F2A2B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FA02632"/>
    <w:multiLevelType w:val="hybridMultilevel"/>
    <w:tmpl w:val="E77AF7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40BE790C"/>
    <w:multiLevelType w:val="multilevel"/>
    <w:tmpl w:val="1B9CB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2016347"/>
    <w:multiLevelType w:val="multilevel"/>
    <w:tmpl w:val="C74E9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2B730AC"/>
    <w:multiLevelType w:val="multilevel"/>
    <w:tmpl w:val="EBBE9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2EA5C23"/>
    <w:multiLevelType w:val="hybridMultilevel"/>
    <w:tmpl w:val="DAC2EF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456C79FD"/>
    <w:multiLevelType w:val="multilevel"/>
    <w:tmpl w:val="4626B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5B2713E"/>
    <w:multiLevelType w:val="multilevel"/>
    <w:tmpl w:val="6E005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6B258D1"/>
    <w:multiLevelType w:val="multilevel"/>
    <w:tmpl w:val="0A887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46F020AF"/>
    <w:multiLevelType w:val="multilevel"/>
    <w:tmpl w:val="060A1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6F73486"/>
    <w:multiLevelType w:val="hybridMultilevel"/>
    <w:tmpl w:val="90C082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1" w15:restartNumberingAfterBreak="0">
    <w:nsid w:val="4706781B"/>
    <w:multiLevelType w:val="hybridMultilevel"/>
    <w:tmpl w:val="E78450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2" w15:restartNumberingAfterBreak="0">
    <w:nsid w:val="4726428D"/>
    <w:multiLevelType w:val="multilevel"/>
    <w:tmpl w:val="D0C24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DB5B3B"/>
    <w:multiLevelType w:val="multilevel"/>
    <w:tmpl w:val="587A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7ED1EB6"/>
    <w:multiLevelType w:val="multilevel"/>
    <w:tmpl w:val="A42A6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84D72E1"/>
    <w:multiLevelType w:val="multilevel"/>
    <w:tmpl w:val="F7028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8CB5069"/>
    <w:multiLevelType w:val="multilevel"/>
    <w:tmpl w:val="38A47A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B6C3CE0"/>
    <w:multiLevelType w:val="multilevel"/>
    <w:tmpl w:val="5A6AF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D5D2032"/>
    <w:multiLevelType w:val="multilevel"/>
    <w:tmpl w:val="A378C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4E45729E"/>
    <w:multiLevelType w:val="multilevel"/>
    <w:tmpl w:val="D570D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4F0F2D44"/>
    <w:multiLevelType w:val="hybridMultilevel"/>
    <w:tmpl w:val="929C08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1" w15:restartNumberingAfterBreak="0">
    <w:nsid w:val="5277544F"/>
    <w:multiLevelType w:val="multilevel"/>
    <w:tmpl w:val="206AF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47A0741"/>
    <w:multiLevelType w:val="multilevel"/>
    <w:tmpl w:val="D034E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48541E7"/>
    <w:multiLevelType w:val="multilevel"/>
    <w:tmpl w:val="0F86C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549286B"/>
    <w:multiLevelType w:val="multilevel"/>
    <w:tmpl w:val="750CC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55584FC9"/>
    <w:multiLevelType w:val="hybridMultilevel"/>
    <w:tmpl w:val="484E55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6" w15:restartNumberingAfterBreak="0">
    <w:nsid w:val="559A29E4"/>
    <w:multiLevelType w:val="multilevel"/>
    <w:tmpl w:val="A282C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73A153D"/>
    <w:multiLevelType w:val="hybridMultilevel"/>
    <w:tmpl w:val="FF7845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8" w15:restartNumberingAfterBreak="0">
    <w:nsid w:val="581451D4"/>
    <w:multiLevelType w:val="multilevel"/>
    <w:tmpl w:val="E514B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8D22BE9"/>
    <w:multiLevelType w:val="multilevel"/>
    <w:tmpl w:val="6E02D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97A5ADD"/>
    <w:multiLevelType w:val="multilevel"/>
    <w:tmpl w:val="21FAE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5B8A1131"/>
    <w:multiLevelType w:val="multilevel"/>
    <w:tmpl w:val="64AA4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E7D2CDD"/>
    <w:multiLevelType w:val="multilevel"/>
    <w:tmpl w:val="A0489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F2A1022"/>
    <w:multiLevelType w:val="hybridMultilevel"/>
    <w:tmpl w:val="153C0E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4" w15:restartNumberingAfterBreak="0">
    <w:nsid w:val="608A5BD9"/>
    <w:multiLevelType w:val="multilevel"/>
    <w:tmpl w:val="B32AE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5F360F2"/>
    <w:multiLevelType w:val="multilevel"/>
    <w:tmpl w:val="CD586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6593678"/>
    <w:multiLevelType w:val="hybridMultilevel"/>
    <w:tmpl w:val="BA90C9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7" w15:restartNumberingAfterBreak="0">
    <w:nsid w:val="676E3C82"/>
    <w:multiLevelType w:val="multilevel"/>
    <w:tmpl w:val="0434A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67E501FA"/>
    <w:multiLevelType w:val="multilevel"/>
    <w:tmpl w:val="F9AA9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8392D96"/>
    <w:multiLevelType w:val="multilevel"/>
    <w:tmpl w:val="25C0A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9A125CC"/>
    <w:multiLevelType w:val="hybridMultilevel"/>
    <w:tmpl w:val="8C5C34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1" w15:restartNumberingAfterBreak="0">
    <w:nsid w:val="6A1F7580"/>
    <w:multiLevelType w:val="multilevel"/>
    <w:tmpl w:val="DFE4B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A867192"/>
    <w:multiLevelType w:val="multilevel"/>
    <w:tmpl w:val="8D44D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F804913"/>
    <w:multiLevelType w:val="hybridMultilevel"/>
    <w:tmpl w:val="4484FD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4" w15:restartNumberingAfterBreak="0">
    <w:nsid w:val="6FAF6559"/>
    <w:multiLevelType w:val="multilevel"/>
    <w:tmpl w:val="CC5EA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710463A4"/>
    <w:multiLevelType w:val="multilevel"/>
    <w:tmpl w:val="C0B44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715C2AEB"/>
    <w:multiLevelType w:val="hybridMultilevel"/>
    <w:tmpl w:val="465241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7" w15:restartNumberingAfterBreak="0">
    <w:nsid w:val="71B4511D"/>
    <w:multiLevelType w:val="hybridMultilevel"/>
    <w:tmpl w:val="18084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8" w15:restartNumberingAfterBreak="0">
    <w:nsid w:val="74D3136C"/>
    <w:multiLevelType w:val="multilevel"/>
    <w:tmpl w:val="91DAC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4E26192"/>
    <w:multiLevelType w:val="multilevel"/>
    <w:tmpl w:val="C854D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8A80E56"/>
    <w:multiLevelType w:val="multilevel"/>
    <w:tmpl w:val="6164D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15589834">
    <w:abstractNumId w:val="77"/>
  </w:num>
  <w:num w:numId="2" w16cid:durableId="1749620965">
    <w:abstractNumId w:val="44"/>
  </w:num>
  <w:num w:numId="3" w16cid:durableId="1961061505">
    <w:abstractNumId w:val="59"/>
  </w:num>
  <w:num w:numId="4" w16cid:durableId="1473057187">
    <w:abstractNumId w:val="58"/>
  </w:num>
  <w:num w:numId="5" w16cid:durableId="564998877">
    <w:abstractNumId w:val="49"/>
  </w:num>
  <w:num w:numId="6" w16cid:durableId="799880268">
    <w:abstractNumId w:val="9"/>
  </w:num>
  <w:num w:numId="7" w16cid:durableId="1068386837">
    <w:abstractNumId w:val="70"/>
  </w:num>
  <w:num w:numId="8" w16cid:durableId="816383880">
    <w:abstractNumId w:val="69"/>
  </w:num>
  <w:num w:numId="9" w16cid:durableId="720979086">
    <w:abstractNumId w:val="10"/>
  </w:num>
  <w:num w:numId="10" w16cid:durableId="1201170118">
    <w:abstractNumId w:val="43"/>
  </w:num>
  <w:num w:numId="11" w16cid:durableId="690296927">
    <w:abstractNumId w:val="5"/>
  </w:num>
  <w:num w:numId="12" w16cid:durableId="403990086">
    <w:abstractNumId w:val="19"/>
  </w:num>
  <w:num w:numId="13" w16cid:durableId="2049060441">
    <w:abstractNumId w:val="81"/>
  </w:num>
  <w:num w:numId="14" w16cid:durableId="76876371">
    <w:abstractNumId w:val="42"/>
  </w:num>
  <w:num w:numId="15" w16cid:durableId="759914311">
    <w:abstractNumId w:val="37"/>
  </w:num>
  <w:num w:numId="16" w16cid:durableId="1873570657">
    <w:abstractNumId w:val="90"/>
  </w:num>
  <w:num w:numId="17" w16cid:durableId="358509499">
    <w:abstractNumId w:val="53"/>
  </w:num>
  <w:num w:numId="18" w16cid:durableId="314185888">
    <w:abstractNumId w:val="38"/>
  </w:num>
  <w:num w:numId="19" w16cid:durableId="928735395">
    <w:abstractNumId w:val="72"/>
  </w:num>
  <w:num w:numId="20" w16cid:durableId="790510995">
    <w:abstractNumId w:val="11"/>
  </w:num>
  <w:num w:numId="21" w16cid:durableId="318046802">
    <w:abstractNumId w:val="85"/>
  </w:num>
  <w:num w:numId="22" w16cid:durableId="2046130771">
    <w:abstractNumId w:val="47"/>
  </w:num>
  <w:num w:numId="23" w16cid:durableId="1810005821">
    <w:abstractNumId w:val="3"/>
  </w:num>
  <w:num w:numId="24" w16cid:durableId="157037666">
    <w:abstractNumId w:val="22"/>
  </w:num>
  <w:num w:numId="25" w16cid:durableId="1615602117">
    <w:abstractNumId w:val="62"/>
  </w:num>
  <w:num w:numId="26" w16cid:durableId="1737896168">
    <w:abstractNumId w:val="48"/>
  </w:num>
  <w:num w:numId="27" w16cid:durableId="1807619460">
    <w:abstractNumId w:val="84"/>
  </w:num>
  <w:num w:numId="28" w16cid:durableId="1351755987">
    <w:abstractNumId w:val="4"/>
  </w:num>
  <w:num w:numId="29" w16cid:durableId="1397779350">
    <w:abstractNumId w:val="64"/>
  </w:num>
  <w:num w:numId="30" w16cid:durableId="748162812">
    <w:abstractNumId w:val="27"/>
  </w:num>
  <w:num w:numId="31" w16cid:durableId="2020496472">
    <w:abstractNumId w:val="16"/>
  </w:num>
  <w:num w:numId="32" w16cid:durableId="1887719554">
    <w:abstractNumId w:val="31"/>
  </w:num>
  <w:num w:numId="33" w16cid:durableId="208032035">
    <w:abstractNumId w:val="74"/>
  </w:num>
  <w:num w:numId="34" w16cid:durableId="745079791">
    <w:abstractNumId w:val="82"/>
  </w:num>
  <w:num w:numId="35" w16cid:durableId="219637368">
    <w:abstractNumId w:val="23"/>
  </w:num>
  <w:num w:numId="36" w16cid:durableId="339310437">
    <w:abstractNumId w:val="28"/>
  </w:num>
  <w:num w:numId="37" w16cid:durableId="525757328">
    <w:abstractNumId w:val="40"/>
  </w:num>
  <w:num w:numId="38" w16cid:durableId="842281212">
    <w:abstractNumId w:val="61"/>
  </w:num>
  <w:num w:numId="39" w16cid:durableId="1374235322">
    <w:abstractNumId w:val="24"/>
  </w:num>
  <w:num w:numId="40" w16cid:durableId="911433626">
    <w:abstractNumId w:val="78"/>
  </w:num>
  <w:num w:numId="41" w16cid:durableId="1907758272">
    <w:abstractNumId w:val="66"/>
  </w:num>
  <w:num w:numId="42" w16cid:durableId="1163159889">
    <w:abstractNumId w:val="57"/>
  </w:num>
  <w:num w:numId="43" w16cid:durableId="1621718692">
    <w:abstractNumId w:val="17"/>
  </w:num>
  <w:num w:numId="44" w16cid:durableId="1864434111">
    <w:abstractNumId w:val="52"/>
  </w:num>
  <w:num w:numId="45" w16cid:durableId="314258931">
    <w:abstractNumId w:val="21"/>
  </w:num>
  <w:num w:numId="46" w16cid:durableId="1105274776">
    <w:abstractNumId w:val="2"/>
  </w:num>
  <w:num w:numId="47" w16cid:durableId="1060791857">
    <w:abstractNumId w:val="18"/>
  </w:num>
  <w:num w:numId="48" w16cid:durableId="801725907">
    <w:abstractNumId w:val="32"/>
  </w:num>
  <w:num w:numId="49" w16cid:durableId="1400790263">
    <w:abstractNumId w:val="33"/>
  </w:num>
  <w:num w:numId="50" w16cid:durableId="1335572222">
    <w:abstractNumId w:val="29"/>
  </w:num>
  <w:num w:numId="51" w16cid:durableId="1562981469">
    <w:abstractNumId w:val="71"/>
  </w:num>
  <w:num w:numId="52" w16cid:durableId="1595169863">
    <w:abstractNumId w:val="1"/>
  </w:num>
  <w:num w:numId="53" w16cid:durableId="1271159725">
    <w:abstractNumId w:val="75"/>
  </w:num>
  <w:num w:numId="54" w16cid:durableId="1620642332">
    <w:abstractNumId w:val="63"/>
  </w:num>
  <w:num w:numId="55" w16cid:durableId="967274232">
    <w:abstractNumId w:val="68"/>
  </w:num>
  <w:num w:numId="56" w16cid:durableId="882712117">
    <w:abstractNumId w:val="56"/>
  </w:num>
  <w:num w:numId="57" w16cid:durableId="2068675603">
    <w:abstractNumId w:val="0"/>
  </w:num>
  <w:num w:numId="58" w16cid:durableId="1943099483">
    <w:abstractNumId w:val="54"/>
  </w:num>
  <w:num w:numId="59" w16cid:durableId="1456362038">
    <w:abstractNumId w:val="79"/>
  </w:num>
  <w:num w:numId="60" w16cid:durableId="2050951642">
    <w:abstractNumId w:val="46"/>
  </w:num>
  <w:num w:numId="61" w16cid:durableId="1797526830">
    <w:abstractNumId w:val="25"/>
  </w:num>
  <w:num w:numId="62" w16cid:durableId="1249189726">
    <w:abstractNumId w:val="55"/>
  </w:num>
  <w:num w:numId="63" w16cid:durableId="2019430960">
    <w:abstractNumId w:val="15"/>
  </w:num>
  <w:num w:numId="64" w16cid:durableId="274750574">
    <w:abstractNumId w:val="88"/>
  </w:num>
  <w:num w:numId="65" w16cid:durableId="1440955194">
    <w:abstractNumId w:val="39"/>
  </w:num>
  <w:num w:numId="66" w16cid:durableId="336346788">
    <w:abstractNumId w:val="89"/>
  </w:num>
  <w:num w:numId="67" w16cid:durableId="1664774681">
    <w:abstractNumId w:val="87"/>
  </w:num>
  <w:num w:numId="68" w16cid:durableId="1039476826">
    <w:abstractNumId w:val="35"/>
  </w:num>
  <w:num w:numId="69" w16cid:durableId="1530991174">
    <w:abstractNumId w:val="30"/>
  </w:num>
  <w:num w:numId="70" w16cid:durableId="1141002348">
    <w:abstractNumId w:val="8"/>
  </w:num>
  <w:num w:numId="71" w16cid:durableId="1661038444">
    <w:abstractNumId w:val="51"/>
  </w:num>
  <w:num w:numId="72" w16cid:durableId="1228877144">
    <w:abstractNumId w:val="45"/>
  </w:num>
  <w:num w:numId="73" w16cid:durableId="230896238">
    <w:abstractNumId w:val="86"/>
  </w:num>
  <w:num w:numId="74" w16cid:durableId="2001231405">
    <w:abstractNumId w:val="36"/>
  </w:num>
  <w:num w:numId="75" w16cid:durableId="22169106">
    <w:abstractNumId w:val="76"/>
  </w:num>
  <w:num w:numId="76" w16cid:durableId="1851799019">
    <w:abstractNumId w:val="26"/>
  </w:num>
  <w:num w:numId="77" w16cid:durableId="1892497975">
    <w:abstractNumId w:val="14"/>
  </w:num>
  <w:num w:numId="78" w16cid:durableId="1333222309">
    <w:abstractNumId w:val="20"/>
  </w:num>
  <w:num w:numId="79" w16cid:durableId="1549413360">
    <w:abstractNumId w:val="41"/>
  </w:num>
  <w:num w:numId="80" w16cid:durableId="1709407352">
    <w:abstractNumId w:val="65"/>
  </w:num>
  <w:num w:numId="81" w16cid:durableId="1927879753">
    <w:abstractNumId w:val="67"/>
  </w:num>
  <w:num w:numId="82" w16cid:durableId="1353727026">
    <w:abstractNumId w:val="7"/>
  </w:num>
  <w:num w:numId="83" w16cid:durableId="1155607043">
    <w:abstractNumId w:val="73"/>
  </w:num>
  <w:num w:numId="84" w16cid:durableId="1792213000">
    <w:abstractNumId w:val="60"/>
  </w:num>
  <w:num w:numId="85" w16cid:durableId="1917128640">
    <w:abstractNumId w:val="83"/>
  </w:num>
  <w:num w:numId="86" w16cid:durableId="1679961966">
    <w:abstractNumId w:val="50"/>
  </w:num>
  <w:num w:numId="87" w16cid:durableId="1075274994">
    <w:abstractNumId w:val="80"/>
  </w:num>
  <w:num w:numId="88" w16cid:durableId="54395086">
    <w:abstractNumId w:val="12"/>
  </w:num>
  <w:num w:numId="89" w16cid:durableId="887957504">
    <w:abstractNumId w:val="34"/>
  </w:num>
  <w:num w:numId="90" w16cid:durableId="775174154">
    <w:abstractNumId w:val="6"/>
  </w:num>
  <w:num w:numId="91" w16cid:durableId="3748158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908"/>
    <w:rsid w:val="000A7C74"/>
    <w:rsid w:val="001338CA"/>
    <w:rsid w:val="00154908"/>
    <w:rsid w:val="00157522"/>
    <w:rsid w:val="00246B1B"/>
    <w:rsid w:val="002A5174"/>
    <w:rsid w:val="002B0FCC"/>
    <w:rsid w:val="00350C0E"/>
    <w:rsid w:val="003C1732"/>
    <w:rsid w:val="003C3DE4"/>
    <w:rsid w:val="00407F52"/>
    <w:rsid w:val="00421A9E"/>
    <w:rsid w:val="0051447E"/>
    <w:rsid w:val="006C6878"/>
    <w:rsid w:val="00734AE4"/>
    <w:rsid w:val="00747D87"/>
    <w:rsid w:val="00786D4B"/>
    <w:rsid w:val="007B19CA"/>
    <w:rsid w:val="00871B2E"/>
    <w:rsid w:val="008D210E"/>
    <w:rsid w:val="0092529B"/>
    <w:rsid w:val="009252EF"/>
    <w:rsid w:val="00954CC6"/>
    <w:rsid w:val="009621BC"/>
    <w:rsid w:val="00965D31"/>
    <w:rsid w:val="00A72A50"/>
    <w:rsid w:val="00C15E6D"/>
    <w:rsid w:val="00D2751F"/>
    <w:rsid w:val="00D2796D"/>
    <w:rsid w:val="00DE271E"/>
    <w:rsid w:val="00E86675"/>
    <w:rsid w:val="00F60B7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5A852"/>
  <w15:chartTrackingRefBased/>
  <w15:docId w15:val="{71F4D9D5-5042-4D57-8B67-1B6F661C8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154908"/>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154908"/>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154908"/>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1549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9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9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9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9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9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908"/>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154908"/>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154908"/>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1549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9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9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9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9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908"/>
    <w:rPr>
      <w:rFonts w:eastAsiaTheme="majorEastAsia" w:cstheme="majorBidi"/>
      <w:color w:val="272727" w:themeColor="text1" w:themeTint="D8"/>
    </w:rPr>
  </w:style>
  <w:style w:type="paragraph" w:styleId="Title">
    <w:name w:val="Title"/>
    <w:basedOn w:val="Normal"/>
    <w:next w:val="Normal"/>
    <w:link w:val="TitleChar"/>
    <w:uiPriority w:val="10"/>
    <w:qFormat/>
    <w:rsid w:val="00154908"/>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54908"/>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154908"/>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54908"/>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154908"/>
    <w:pPr>
      <w:spacing w:before="160"/>
      <w:jc w:val="center"/>
    </w:pPr>
    <w:rPr>
      <w:i/>
      <w:iCs/>
      <w:color w:val="404040" w:themeColor="text1" w:themeTint="BF"/>
    </w:rPr>
  </w:style>
  <w:style w:type="character" w:customStyle="1" w:styleId="QuoteChar">
    <w:name w:val="Quote Char"/>
    <w:basedOn w:val="DefaultParagraphFont"/>
    <w:link w:val="Quote"/>
    <w:uiPriority w:val="29"/>
    <w:rsid w:val="00154908"/>
    <w:rPr>
      <w:rFonts w:cs="Vrinda"/>
      <w:i/>
      <w:iCs/>
      <w:color w:val="404040" w:themeColor="text1" w:themeTint="BF"/>
    </w:rPr>
  </w:style>
  <w:style w:type="paragraph" w:styleId="ListParagraph">
    <w:name w:val="List Paragraph"/>
    <w:basedOn w:val="Normal"/>
    <w:uiPriority w:val="34"/>
    <w:qFormat/>
    <w:rsid w:val="00154908"/>
    <w:pPr>
      <w:ind w:left="720"/>
      <w:contextualSpacing/>
    </w:pPr>
  </w:style>
  <w:style w:type="character" w:styleId="IntenseEmphasis">
    <w:name w:val="Intense Emphasis"/>
    <w:basedOn w:val="DefaultParagraphFont"/>
    <w:uiPriority w:val="21"/>
    <w:qFormat/>
    <w:rsid w:val="00154908"/>
    <w:rPr>
      <w:i/>
      <w:iCs/>
      <w:color w:val="0F4761" w:themeColor="accent1" w:themeShade="BF"/>
    </w:rPr>
  </w:style>
  <w:style w:type="paragraph" w:styleId="IntenseQuote">
    <w:name w:val="Intense Quote"/>
    <w:basedOn w:val="Normal"/>
    <w:next w:val="Normal"/>
    <w:link w:val="IntenseQuoteChar"/>
    <w:uiPriority w:val="30"/>
    <w:qFormat/>
    <w:rsid w:val="001549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908"/>
    <w:rPr>
      <w:rFonts w:cs="Vrinda"/>
      <w:i/>
      <w:iCs/>
      <w:color w:val="0F4761" w:themeColor="accent1" w:themeShade="BF"/>
    </w:rPr>
  </w:style>
  <w:style w:type="character" w:styleId="IntenseReference">
    <w:name w:val="Intense Reference"/>
    <w:basedOn w:val="DefaultParagraphFont"/>
    <w:uiPriority w:val="32"/>
    <w:qFormat/>
    <w:rsid w:val="00154908"/>
    <w:rPr>
      <w:b/>
      <w:bCs/>
      <w:smallCaps/>
      <w:color w:val="0F4761" w:themeColor="accent1" w:themeShade="BF"/>
      <w:spacing w:val="5"/>
    </w:rPr>
  </w:style>
  <w:style w:type="table" w:styleId="TableGrid">
    <w:name w:val="Table Grid"/>
    <w:basedOn w:val="TableNormal"/>
    <w:uiPriority w:val="39"/>
    <w:rsid w:val="00E86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47D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7D87"/>
    <w:rPr>
      <w:rFonts w:cs="Vrinda"/>
    </w:rPr>
  </w:style>
  <w:style w:type="paragraph" w:styleId="Footer">
    <w:name w:val="footer"/>
    <w:basedOn w:val="Normal"/>
    <w:link w:val="FooterChar"/>
    <w:uiPriority w:val="99"/>
    <w:unhideWhenUsed/>
    <w:rsid w:val="00747D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7D87"/>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25</Pages>
  <Words>5443</Words>
  <Characters>31026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Promi</dc:creator>
  <cp:keywords/>
  <dc:description/>
  <cp:lastModifiedBy>Sykat Sen</cp:lastModifiedBy>
  <cp:revision>8</cp:revision>
  <dcterms:created xsi:type="dcterms:W3CDTF">2025-11-11T19:55:00Z</dcterms:created>
  <dcterms:modified xsi:type="dcterms:W3CDTF">2025-11-23T18:28:00Z</dcterms:modified>
</cp:coreProperties>
</file>