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8A5EB0" w14:textId="77777777" w:rsidR="00DC67AF" w:rsidRPr="00DC67AF" w:rsidRDefault="00DC67AF" w:rsidP="0001443F">
      <w:pPr>
        <w:spacing w:line="360" w:lineRule="auto"/>
        <w:rPr>
          <w:rFonts w:ascii="Arial" w:hAnsi="Arial" w:cs="Arial"/>
          <w:sz w:val="24"/>
          <w:szCs w:val="24"/>
          <w:u w:val="single"/>
          <w:lang w:val="en-US"/>
        </w:rPr>
      </w:pPr>
      <w:r w:rsidRPr="00DC67AF">
        <w:rPr>
          <w:rFonts w:ascii="Arial" w:hAnsi="Arial" w:cs="Arial"/>
          <w:sz w:val="24"/>
          <w:szCs w:val="24"/>
          <w:u w:val="single"/>
          <w:lang w:val="en-US"/>
        </w:rPr>
        <w:t>Critical response to an article that provides evidence of sound knowledge and understanding of themes related to the teaching of Welsh in the English-medium sector.</w:t>
      </w:r>
    </w:p>
    <w:p w14:paraId="242B71C0" w14:textId="5C4D81E9" w:rsidR="00DC67AF" w:rsidRDefault="26FB5A29" w:rsidP="0001443F">
      <w:pPr>
        <w:spacing w:line="360" w:lineRule="auto"/>
        <w:rPr>
          <w:rFonts w:ascii="Arial" w:hAnsi="Arial" w:cs="Arial"/>
          <w:sz w:val="24"/>
          <w:szCs w:val="24"/>
        </w:rPr>
      </w:pPr>
      <w:r w:rsidRPr="26FB5A29">
        <w:rPr>
          <w:rFonts w:ascii="Arial" w:hAnsi="Arial" w:cs="Arial"/>
          <w:sz w:val="24"/>
          <w:szCs w:val="24"/>
        </w:rPr>
        <w:t>The purpose of this assignment will be to critically analyse and evaluate the findings from Bernardo and Gaerlan (2011) article on ‘Non-native English Students Learning in English’. The articles main purposes are, to evaluate and find the best possible way of teaching English to Filipino learners. These purposes will then be critically analysed, in a way in which they could possibly be used in the teaching of Welsh in the English-medium sector, to enhance learning further.</w:t>
      </w:r>
    </w:p>
    <w:p w14:paraId="5E9129C6" w14:textId="74651CE7" w:rsidR="00015727" w:rsidRDefault="26FB5A29" w:rsidP="0001443F">
      <w:pPr>
        <w:spacing w:line="360" w:lineRule="auto"/>
        <w:rPr>
          <w:rFonts w:ascii="Arial" w:hAnsi="Arial" w:cs="Arial"/>
          <w:sz w:val="24"/>
          <w:szCs w:val="24"/>
        </w:rPr>
      </w:pPr>
      <w:r w:rsidRPr="26FB5A29">
        <w:rPr>
          <w:rFonts w:ascii="Arial" w:hAnsi="Arial" w:cs="Arial"/>
          <w:sz w:val="24"/>
          <w:szCs w:val="24"/>
        </w:rPr>
        <w:t xml:space="preserve">Bernardo and Gaerlan have relevant knowledge and authority within this field, both having relevant studies previously on acquisition of language (Bernardo, 2004; Gaerlan, 2009). The articles main discussions come from two ways of learning a second language. Those being; a psycholinguistic way of teaching language, this involves learners learning through subjects such as, science, mathematics and history through the means of the second language in hand (Trinca, 2014). The second way of teaching is through a sociolinguistic manner, this process believes that learners will develop their second language better when they use it freely in their social environment (Farrell, 2017). When evaluating these two discussions; I will suggest the benefits and limitations that might occur if these two methods were implemented into the teaching of Welsh in the English-medium Education sector. </w:t>
      </w:r>
    </w:p>
    <w:p w14:paraId="57369F0B" w14:textId="2D474404" w:rsidR="00FD6182" w:rsidRPr="0033647E" w:rsidRDefault="26FB5A29" w:rsidP="0001443F">
      <w:pPr>
        <w:spacing w:line="360" w:lineRule="auto"/>
        <w:rPr>
          <w:rFonts w:ascii="Arial" w:hAnsi="Arial" w:cs="Arial"/>
          <w:sz w:val="24"/>
          <w:szCs w:val="24"/>
        </w:rPr>
      </w:pPr>
      <w:r w:rsidRPr="26FB5A29">
        <w:rPr>
          <w:rFonts w:ascii="Arial" w:hAnsi="Arial" w:cs="Arial"/>
          <w:sz w:val="24"/>
          <w:szCs w:val="24"/>
        </w:rPr>
        <w:t xml:space="preserve">The first focus point of discussion will be using the psycholinguistic way of teaching to benefit learners. Bernardo and Gaerlan (2011, p.2) state in the article that we must, “not see learning as a process that merely involves memory-based processes”. They recommend that we need to view learning as a whole, where learners need to make connections between old and new information to fully understand and develop their learning. This is supported by Donaldson (2015, p.35) who suggests we need to; “Promote coherence and encourage children and young people to make connections across different aspects of their learning”. Therefore, it is clear to see that this is something that could be introduced within the curriculum. As Donaldson (2015) suggests above, there needs to be connections made within learning. This could be achieved in schools by, teaching for example, a science or Mathematics lesson through the medium of Welsh. Rose (2009) and Barnes (2015), </w:t>
      </w:r>
      <w:r w:rsidRPr="26FB5A29">
        <w:rPr>
          <w:rFonts w:ascii="Arial" w:hAnsi="Arial" w:cs="Arial"/>
          <w:sz w:val="24"/>
          <w:szCs w:val="24"/>
        </w:rPr>
        <w:lastRenderedPageBreak/>
        <w:t xml:space="preserve">would suggest this could help improve standards because they believe teaching using this, almost cross-curricular approach, can help the learners make connections in their learning thereby improving the individual's capabilities. </w:t>
      </w:r>
    </w:p>
    <w:p w14:paraId="2E956B97" w14:textId="2EE0F83A" w:rsidR="459331D8" w:rsidRDefault="26FB5A29" w:rsidP="0001443F">
      <w:pPr>
        <w:spacing w:line="360" w:lineRule="auto"/>
        <w:rPr>
          <w:rFonts w:ascii="Arial" w:hAnsi="Arial" w:cs="Arial"/>
          <w:sz w:val="24"/>
          <w:szCs w:val="24"/>
        </w:rPr>
      </w:pPr>
      <w:r w:rsidRPr="26FB5A29">
        <w:rPr>
          <w:rFonts w:ascii="Arial" w:hAnsi="Arial" w:cs="Arial"/>
          <w:sz w:val="24"/>
          <w:szCs w:val="24"/>
        </w:rPr>
        <w:t>In the article, there is a specific review upon Filipino bilinguals and their learning of mathematics through their second language, using a psycholinguistic approach. Although this article is related to the Philippines, we can relate it to Wales and the ways in which we teach learners Welsh in the English-medium sector. Just over 92% of the Filipino population can speak English as a second language (</w:t>
      </w:r>
      <w:r w:rsidRPr="26FB5A29">
        <w:rPr>
          <w:rFonts w:ascii="Arial" w:eastAsia="Arial" w:hAnsi="Arial" w:cs="Arial"/>
          <w:sz w:val="24"/>
          <w:szCs w:val="24"/>
        </w:rPr>
        <w:t>Kroulek, 2017)</w:t>
      </w:r>
      <w:r w:rsidRPr="26FB5A29">
        <w:rPr>
          <w:rFonts w:ascii="Arial" w:hAnsi="Arial" w:cs="Arial"/>
          <w:sz w:val="24"/>
          <w:szCs w:val="24"/>
        </w:rPr>
        <w:t>. Thus, showing that their educational system is doing something right; for them to attain the skills to learn a second language at such a high rate. This is important because of the Welsh Government’s (2017) 2050 vision of having over one million people being able to speak Welsh in Wales. The most recent figures from the Welsh Government (2014a), show that just over 550,000, which is around 20% of the population, can speak Welsh. This suggest that for the 2050 goal to be met, they need to look at examples of good practice from outside Wales, such as the Philippines, that can allow this goal to be met.</w:t>
      </w:r>
    </w:p>
    <w:p w14:paraId="6FE5099E" w14:textId="3E5FE8C6" w:rsidR="459331D8" w:rsidRDefault="26FB5A29" w:rsidP="0001443F">
      <w:pPr>
        <w:spacing w:line="360" w:lineRule="auto"/>
        <w:rPr>
          <w:rFonts w:ascii="Arial" w:eastAsia="Arial" w:hAnsi="Arial" w:cs="Arial"/>
          <w:sz w:val="24"/>
          <w:szCs w:val="24"/>
        </w:rPr>
      </w:pPr>
      <w:r w:rsidRPr="26FB5A29">
        <w:rPr>
          <w:rFonts w:ascii="Arial" w:hAnsi="Arial" w:cs="Arial"/>
          <w:sz w:val="24"/>
          <w:szCs w:val="24"/>
        </w:rPr>
        <w:t xml:space="preserve">Referring back to the article and the way of learning mathematics, </w:t>
      </w:r>
      <w:r w:rsidRPr="26FB5A29">
        <w:rPr>
          <w:rFonts w:ascii="Arial" w:eastAsia="Arial" w:hAnsi="Arial" w:cs="Arial"/>
          <w:sz w:val="24"/>
          <w:szCs w:val="24"/>
        </w:rPr>
        <w:t>Bernardo and Gaerlan (2011) concluded that the teaching of Mathematics using the second language benefited most when the learners were required to attain that knowledge from memory. This is because, “They are better able to do so when the language used during learning and the language during retrieval are consistent”. Therefore, showing the impact of learning through making connection. Furthermore, it will be important to look at this way of teaching mathematics as it could be introduced in lessons in Wales in the English-medium sector. By teaching mathematics in Welsh and allowing the pupils to make connections, this could be a valuable way for schools and the Government to attain more Welsh speakers.</w:t>
      </w:r>
    </w:p>
    <w:p w14:paraId="42E659F0" w14:textId="31079E08" w:rsidR="004E0105" w:rsidRDefault="26FB5A29" w:rsidP="0001443F">
      <w:pPr>
        <w:spacing w:line="360" w:lineRule="auto"/>
        <w:rPr>
          <w:rFonts w:ascii="Arial" w:eastAsia="Arial" w:hAnsi="Arial" w:cs="Arial"/>
          <w:sz w:val="24"/>
          <w:szCs w:val="24"/>
        </w:rPr>
      </w:pPr>
      <w:r w:rsidRPr="26FB5A29">
        <w:rPr>
          <w:rFonts w:ascii="Arial" w:eastAsia="Arial" w:hAnsi="Arial" w:cs="Arial"/>
          <w:sz w:val="24"/>
          <w:szCs w:val="24"/>
        </w:rPr>
        <w:t>However, there is need to be cautious in this way of teaching in Wales. In the article it suggests that, this approach is affected by teachers and their understanding of the second language</w:t>
      </w:r>
      <w:r w:rsidRPr="26FB5A29">
        <w:rPr>
          <w:rFonts w:ascii="Arial" w:hAnsi="Arial" w:cs="Arial"/>
          <w:sz w:val="24"/>
          <w:szCs w:val="24"/>
        </w:rPr>
        <w:t xml:space="preserve"> (</w:t>
      </w:r>
      <w:r w:rsidRPr="26FB5A29">
        <w:rPr>
          <w:rFonts w:ascii="Arial" w:eastAsia="Arial" w:hAnsi="Arial" w:cs="Arial"/>
          <w:sz w:val="24"/>
          <w:szCs w:val="24"/>
        </w:rPr>
        <w:t xml:space="preserve">Bernardo and Gaerlan, 2011). For this way of teaching to be successful in Wales, the teacher would need a high level of competence in Welsh. The Welsh Government (2013, p.3) state that teachers in the Primary English-medium sector “are not confident enough and lack the knowledge to teach Welsh to </w:t>
      </w:r>
      <w:r w:rsidRPr="26FB5A29">
        <w:rPr>
          <w:rFonts w:ascii="Arial" w:eastAsia="Arial" w:hAnsi="Arial" w:cs="Arial"/>
          <w:sz w:val="24"/>
          <w:szCs w:val="24"/>
        </w:rPr>
        <w:lastRenderedPageBreak/>
        <w:t>an appropriate level.” Therefore, if they are not confident and lack knowledge, teachers cannot be expected to teach using this approach. To deal with this lack of confidence and knowledge, the Welsh Government (2014b) has discussed the introduction of further teacher training of Welsh. Through this, teachers can hopefully gain confidence and knowledge to possibly attempt to teach using this approach.</w:t>
      </w:r>
    </w:p>
    <w:p w14:paraId="7B7DBC22" w14:textId="08B066BA" w:rsidR="0071567D" w:rsidRDefault="26FB5A29" w:rsidP="0001443F">
      <w:pPr>
        <w:spacing w:line="360" w:lineRule="auto"/>
        <w:rPr>
          <w:rFonts w:ascii="Arial" w:hAnsi="Arial" w:cs="Arial"/>
          <w:sz w:val="24"/>
          <w:szCs w:val="24"/>
        </w:rPr>
      </w:pPr>
      <w:r w:rsidRPr="26FB5A29">
        <w:rPr>
          <w:rFonts w:ascii="Arial" w:eastAsia="Arial" w:hAnsi="Arial" w:cs="Arial"/>
          <w:sz w:val="24"/>
          <w:szCs w:val="24"/>
        </w:rPr>
        <w:t xml:space="preserve">Although the article does support the teaching and learning through another subject, there needs to be caution when doing this as it can arise some limitations. In Richards and Rodgers (2001) and Stryker and Leaver’s (1993) works, they discuss the teaching of a second language through a subject/content, similarly to that in the article. However, they find limitations to the approach stating that; “All participating instructors comment on the large amounts of time and energy involved in Content Based Instruction” (Richards and Rodgers, 2001, p.215). Teacher work load is already at a high, with research from Scott and </w:t>
      </w:r>
      <w:r w:rsidRPr="26FB5A29">
        <w:rPr>
          <w:rFonts w:ascii="Arial" w:hAnsi="Arial" w:cs="Arial"/>
          <w:sz w:val="24"/>
          <w:szCs w:val="24"/>
        </w:rPr>
        <w:t>Vidakovic (2018) showing that work load was the main concern for over 80% of teachers and 65% of teachers saying that it was a big problem in their school. It could be argued that by introducing this approach, workload will be increased even further having a negative effect upon the teaching and the teacher’s well-being (Department for Education, 2018).</w:t>
      </w:r>
    </w:p>
    <w:p w14:paraId="0819C8EB" w14:textId="6AB78D7A" w:rsidR="00275000" w:rsidRDefault="26FB5A29" w:rsidP="0001443F">
      <w:pPr>
        <w:spacing w:line="360" w:lineRule="auto"/>
        <w:rPr>
          <w:rFonts w:ascii="Arial" w:hAnsi="Arial" w:cs="Arial"/>
          <w:sz w:val="24"/>
          <w:szCs w:val="24"/>
        </w:rPr>
      </w:pPr>
      <w:r w:rsidRPr="26FB5A29">
        <w:rPr>
          <w:rFonts w:ascii="Arial" w:hAnsi="Arial" w:cs="Arial"/>
          <w:sz w:val="24"/>
          <w:szCs w:val="24"/>
        </w:rPr>
        <w:t>Overall, this approach of teaching a second language through a different subject clearly works. As shown above and in the article, this approach can be positive in acquiring and taking part in the learning of a second language. However, although this approach is beneficial in the Philippines, it does not necessarily mean it will be in the teaching of Welsh as a second language in the English-medium sector. The writer believes, this approach could possibly be achieved in the future. However, teacher’s subject knowledge in the Welsh language is not at a high enough level and the extra work load that teachers are currently coping with in Wales would make this approach less feasible.</w:t>
      </w:r>
    </w:p>
    <w:p w14:paraId="2C05F2D4" w14:textId="1B286F2A" w:rsidR="00E54491" w:rsidRDefault="26FB5A29" w:rsidP="0001443F">
      <w:pPr>
        <w:spacing w:line="360" w:lineRule="auto"/>
        <w:rPr>
          <w:rFonts w:ascii="Arial" w:eastAsia="Arial" w:hAnsi="Arial" w:cs="Arial"/>
          <w:sz w:val="24"/>
          <w:szCs w:val="24"/>
        </w:rPr>
      </w:pPr>
      <w:r w:rsidRPr="26FB5A29">
        <w:rPr>
          <w:rFonts w:ascii="Arial" w:hAnsi="Arial" w:cs="Arial"/>
          <w:sz w:val="24"/>
          <w:szCs w:val="24"/>
        </w:rPr>
        <w:t>Although this approach might not be the best way forward for Wales, it is important that we strive to find a solution because the benefits to having competence in a second language are impressive. With the article stating that “bilinguals tend to perform better compared to their monolingual counterparts in various learning tasks” (</w:t>
      </w:r>
      <w:r w:rsidRPr="26FB5A29">
        <w:rPr>
          <w:rFonts w:ascii="Arial" w:eastAsia="Arial" w:hAnsi="Arial" w:cs="Arial"/>
          <w:sz w:val="24"/>
          <w:szCs w:val="24"/>
        </w:rPr>
        <w:t xml:space="preserve">Bernardo and Gaerlan, 2011, p.4). This is further supported by Baker (2011) who suggests that being bilingual can increase achievement in education and the </w:t>
      </w:r>
      <w:r w:rsidRPr="26FB5A29">
        <w:rPr>
          <w:rFonts w:ascii="Arial" w:eastAsia="Arial" w:hAnsi="Arial" w:cs="Arial"/>
          <w:sz w:val="24"/>
          <w:szCs w:val="24"/>
        </w:rPr>
        <w:lastRenderedPageBreak/>
        <w:t>individual’s intellectual skills. Therefore, showing the benefits of being bilingual, it is important to look at the other approach mentioned in the article, which could work in Wales.</w:t>
      </w:r>
    </w:p>
    <w:p w14:paraId="1A0FE148" w14:textId="2F13E9B5" w:rsidR="00216123" w:rsidRDefault="26FB5A29" w:rsidP="0001443F">
      <w:pPr>
        <w:spacing w:line="360" w:lineRule="auto"/>
        <w:rPr>
          <w:rFonts w:ascii="Arial" w:eastAsia="Arial" w:hAnsi="Arial" w:cs="Arial"/>
          <w:sz w:val="24"/>
          <w:szCs w:val="24"/>
        </w:rPr>
      </w:pPr>
      <w:r w:rsidRPr="26FB5A29">
        <w:rPr>
          <w:rFonts w:ascii="Arial" w:eastAsia="Arial" w:hAnsi="Arial" w:cs="Arial"/>
          <w:sz w:val="24"/>
          <w:szCs w:val="24"/>
        </w:rPr>
        <w:t xml:space="preserve">The Sociolinguistic approaches; “can provide insights related to other important aspects of the learning experiences of bilingual students, such as how language relates to their identity, affective experiences, relationships, among others” </w:t>
      </w:r>
      <w:r w:rsidRPr="26FB5A29">
        <w:rPr>
          <w:rFonts w:ascii="Arial" w:hAnsi="Arial" w:cs="Arial"/>
          <w:sz w:val="24"/>
          <w:szCs w:val="24"/>
        </w:rPr>
        <w:t>(</w:t>
      </w:r>
      <w:r w:rsidRPr="26FB5A29">
        <w:rPr>
          <w:rFonts w:ascii="Arial" w:eastAsia="Arial" w:hAnsi="Arial" w:cs="Arial"/>
          <w:sz w:val="24"/>
          <w:szCs w:val="24"/>
        </w:rPr>
        <w:t>Bernardo and Gaerlan, 2011, p.4). This specific approach that the writer will critically evaluate will focus upon the social factors that can influence the learning of a second language.</w:t>
      </w:r>
    </w:p>
    <w:p w14:paraId="24428AC2" w14:textId="25657E2E" w:rsidR="00E17961" w:rsidRDefault="26FB5A29" w:rsidP="0001443F">
      <w:pPr>
        <w:spacing w:line="360" w:lineRule="auto"/>
        <w:rPr>
          <w:rFonts w:ascii="Arial" w:eastAsia="Arial" w:hAnsi="Arial" w:cs="Arial"/>
          <w:sz w:val="24"/>
          <w:szCs w:val="24"/>
        </w:rPr>
      </w:pPr>
      <w:r w:rsidRPr="26FB5A29">
        <w:rPr>
          <w:rFonts w:ascii="Arial" w:eastAsia="Arial" w:hAnsi="Arial" w:cs="Arial"/>
          <w:sz w:val="24"/>
          <w:szCs w:val="24"/>
        </w:rPr>
        <w:t>The article discusses Gaerlan’s (2009) research in the Philippines, which found several themes that have a positive impact upon individual’s acquisition of a second language, through social situations. The first point suggesting that their family have a positive impact upon their use of English, as at home they can switch between speaking Filipino and English as they wished. Li (2007), would agree with this statement suggesting in her work, that being able to talk to your family in the second language, completing homework with them, and their parents allowing them to experience different social context, can help them develop in their acquisition of a second language.</w:t>
      </w:r>
    </w:p>
    <w:p w14:paraId="67839C5B" w14:textId="02249F25" w:rsidR="00645E4E" w:rsidRDefault="26FB5A29" w:rsidP="0001443F">
      <w:pPr>
        <w:spacing w:line="360" w:lineRule="auto"/>
        <w:rPr>
          <w:rFonts w:ascii="Arial" w:eastAsia="Arial" w:hAnsi="Arial" w:cs="Arial"/>
          <w:sz w:val="24"/>
          <w:szCs w:val="24"/>
        </w:rPr>
      </w:pPr>
      <w:r w:rsidRPr="26FB5A29">
        <w:rPr>
          <w:rFonts w:ascii="Arial" w:eastAsia="Arial" w:hAnsi="Arial" w:cs="Arial"/>
          <w:sz w:val="24"/>
          <w:szCs w:val="24"/>
        </w:rPr>
        <w:t xml:space="preserve">In the </w:t>
      </w:r>
      <w:r w:rsidRPr="26FB5A29">
        <w:rPr>
          <w:rFonts w:ascii="Arial" w:hAnsi="Arial" w:cs="Arial"/>
          <w:sz w:val="24"/>
          <w:szCs w:val="24"/>
        </w:rPr>
        <w:t>Philippines, this is achievable because over 90% of the population are competent in speaking English (</w:t>
      </w:r>
      <w:r w:rsidRPr="26FB5A29">
        <w:rPr>
          <w:rFonts w:ascii="Arial" w:eastAsia="Arial" w:hAnsi="Arial" w:cs="Arial"/>
          <w:sz w:val="24"/>
          <w:szCs w:val="24"/>
        </w:rPr>
        <w:t xml:space="preserve">Kroulek, 2017). However, this will be less achievable in Wales. This is shown in the Welsh Government’s (2015) Language survey which showed that of the 20% of the population that can speak Welsh; only 53% speak Welsh on a daily basis. This shows that, Welsh is not spoken enough in the community or at home because only a small number of individuals are speaking it on a daily basis. For there to be more individuals that can speak Welsh, the writer recommends that the Welsh Government (2018) carries on with their plans to invest more money for resources into English-medium schools. This will enhance teacher and students abilities in Welsh because they will have better resources that are currently on offer. Baker (2011) suggests that if this financial support is not apparent, it is difficult to ensure an effective teaching of the secondary language. With the hope that this will raise standards, this next generation will hopefully gain the competence </w:t>
      </w:r>
      <w:r w:rsidRPr="26FB5A29">
        <w:rPr>
          <w:rFonts w:ascii="Arial" w:eastAsia="Arial" w:hAnsi="Arial" w:cs="Arial"/>
          <w:sz w:val="24"/>
          <w:szCs w:val="24"/>
        </w:rPr>
        <w:lastRenderedPageBreak/>
        <w:t xml:space="preserve">to speak Welsh to their children and increase the number of Welsh speakers in Wales. </w:t>
      </w:r>
    </w:p>
    <w:p w14:paraId="62471B41" w14:textId="3DA9E163" w:rsidR="00C31EB1" w:rsidRDefault="26FB5A29" w:rsidP="0001443F">
      <w:pPr>
        <w:spacing w:line="360" w:lineRule="auto"/>
        <w:rPr>
          <w:rFonts w:ascii="Arial" w:eastAsia="Arial" w:hAnsi="Arial" w:cs="Arial"/>
          <w:sz w:val="24"/>
          <w:szCs w:val="24"/>
        </w:rPr>
      </w:pPr>
      <w:r w:rsidRPr="26FB5A29">
        <w:rPr>
          <w:rFonts w:ascii="Arial" w:eastAsia="Arial" w:hAnsi="Arial" w:cs="Arial"/>
          <w:sz w:val="24"/>
          <w:szCs w:val="24"/>
        </w:rPr>
        <w:t>The point above can also relate to the article and Gaerlan’s (2009) research. It, suggests that the social factors of schools and in particular teachers being a ‘model’ of good language also have a positive impact. Therefore, using the information above, providing better access to resources in English-medium schools and allowing some teachers to undertake the WJEC (2017) Sabbatical Scheme for English-medium teachers, this can improve the learners Welsh. The teachers and individuals can be further equipped and gain confidence to teach and speak Welsh in their school.</w:t>
      </w:r>
    </w:p>
    <w:p w14:paraId="12A390E5" w14:textId="21017A07" w:rsidR="00A37CF5" w:rsidRDefault="26FB5A29" w:rsidP="0001443F">
      <w:pPr>
        <w:spacing w:line="360" w:lineRule="auto"/>
        <w:rPr>
          <w:rFonts w:ascii="Arial" w:eastAsia="Arial" w:hAnsi="Arial" w:cs="Arial"/>
          <w:sz w:val="24"/>
          <w:szCs w:val="24"/>
        </w:rPr>
      </w:pPr>
      <w:r w:rsidRPr="26FB5A29">
        <w:rPr>
          <w:rFonts w:ascii="Arial" w:eastAsia="Arial" w:hAnsi="Arial" w:cs="Arial"/>
          <w:sz w:val="24"/>
          <w:szCs w:val="24"/>
        </w:rPr>
        <w:t>The article also suggests that there are social factors in the media that have a positive effect upon how Filipinos learn English. With Bernardo and Gaerlan, (2011, p.5) stating that; “Successful learners in English seem to draw from their experiences with popular media”. This comes from sources such as film, television, online and social media. This way of learning a language is supported by Williams (2016) who sees media as a resource, which can enhance the learning of a second language. She suggests, everyone is surrounded by media whether it be on your phone, television or computer. Therefore, if the learners are immersed in the second language, they are more inclined to find out what, for example, the article or TV show is about.</w:t>
      </w:r>
    </w:p>
    <w:p w14:paraId="0E1EE140" w14:textId="50470143" w:rsidR="00CF57BA" w:rsidRDefault="26FB5A29" w:rsidP="0001443F">
      <w:pPr>
        <w:spacing w:line="360" w:lineRule="auto"/>
        <w:rPr>
          <w:rFonts w:ascii="Arial" w:eastAsia="Arial" w:hAnsi="Arial" w:cs="Arial"/>
          <w:sz w:val="24"/>
          <w:szCs w:val="24"/>
        </w:rPr>
      </w:pPr>
      <w:r w:rsidRPr="26FB5A29">
        <w:rPr>
          <w:rFonts w:ascii="Arial" w:eastAsia="Arial" w:hAnsi="Arial" w:cs="Arial"/>
          <w:sz w:val="24"/>
          <w:szCs w:val="24"/>
        </w:rPr>
        <w:t xml:space="preserve">In Wales however, the amount of Welsh language media is limited. This is due to Welsh being a minority language, with only a small amount of people that can speak Welsh (StatsWales, 2012). Therefore, there is little need for Welsh language media as only a small proportion of the population would be able to use it. However, Thomas (2016) shows that there has been an increase in online users of the Welsh Channel S4C. This suggests that there is a rising demand for Welsh Language media. The writer would recommend that online media should be made more accessible and inclusive for second language learners, to help develop their Welsh language ability outside of educational contexts. </w:t>
      </w:r>
    </w:p>
    <w:p w14:paraId="6CC49FBF" w14:textId="2BBD5CF2" w:rsidR="00CF57BA" w:rsidRDefault="26FB5A29" w:rsidP="0001443F">
      <w:pPr>
        <w:spacing w:line="360" w:lineRule="auto"/>
        <w:rPr>
          <w:rFonts w:ascii="Arial" w:eastAsia="Arial" w:hAnsi="Arial" w:cs="Arial"/>
          <w:sz w:val="24"/>
          <w:szCs w:val="24"/>
        </w:rPr>
      </w:pPr>
      <w:r w:rsidRPr="26FB5A29">
        <w:rPr>
          <w:rFonts w:ascii="Arial" w:eastAsia="Arial" w:hAnsi="Arial" w:cs="Arial"/>
          <w:sz w:val="24"/>
          <w:szCs w:val="24"/>
        </w:rPr>
        <w:t xml:space="preserve">The article also suggests that Filipino learners have a greater motivation to learn English as a second language, compared to English speakers learning Welsh as a second language. Bernardo and Gaerlan, (2011, p.1) states that; “The students’ </w:t>
      </w:r>
      <w:r w:rsidRPr="26FB5A29">
        <w:rPr>
          <w:rFonts w:ascii="Arial" w:eastAsia="Arial" w:hAnsi="Arial" w:cs="Arial"/>
          <w:sz w:val="24"/>
          <w:szCs w:val="24"/>
        </w:rPr>
        <w:lastRenderedPageBreak/>
        <w:t>goals may relate to personal dreams of traveling to English speaking countries and experiencing these other cultures.” Cook (2008) suggests if the second language has little effect upon the learner, for example, in their job aspirations, then the learners will have little motivation to learn the language. In Donaldson (2015), the Welsh Language Commissioner suggests that in Wales, there is no demand for a high language level of Welsh to attain a job. This show that that learners might have little motivation to learn the language as it is not a requirement in most employment areas.</w:t>
      </w:r>
    </w:p>
    <w:p w14:paraId="54BD291F" w14:textId="639B7F3D" w:rsidR="00E95380" w:rsidRPr="00E54491" w:rsidRDefault="26FB5A29" w:rsidP="0001443F">
      <w:pPr>
        <w:spacing w:line="360" w:lineRule="auto"/>
        <w:rPr>
          <w:rFonts w:ascii="Arial" w:eastAsia="Arial" w:hAnsi="Arial" w:cs="Arial"/>
          <w:sz w:val="24"/>
          <w:szCs w:val="24"/>
        </w:rPr>
      </w:pPr>
      <w:r w:rsidRPr="26FB5A29">
        <w:rPr>
          <w:rFonts w:ascii="Arial" w:eastAsia="Arial" w:hAnsi="Arial" w:cs="Arial"/>
          <w:sz w:val="24"/>
          <w:szCs w:val="24"/>
        </w:rPr>
        <w:t>In conclusion, the two approaches to learning a language can have an impact upon the leaner's attainment and achievement when learning the language. Although, the first approach by teaching the second language through a subject, such as, mathematics, had a positive impact. The writer believes that teachers in English-medium schools are perhaps not ready or confident enough to teach in this way. However, the writer would recommend this approach is used in the future when the number of Welsh speakers increases. The second approach, with the students attaining learning of the second language through their social environment, did again have its benefits. It allows the learners to learn through their school environment, home environment and through the media. Although this approach worked in the Philippines, it became apparent that in Wales there are not enough Welsh speakers to positively impact the learning of Welsh.</w:t>
      </w:r>
    </w:p>
    <w:p w14:paraId="540BF2BC" w14:textId="2C6160CA" w:rsidR="00E95380" w:rsidRPr="00E54491" w:rsidRDefault="00E95380" w:rsidP="26FB5A29">
      <w:pPr>
        <w:rPr>
          <w:rFonts w:ascii="Arial" w:eastAsia="Arial" w:hAnsi="Arial" w:cs="Arial"/>
          <w:sz w:val="24"/>
          <w:szCs w:val="24"/>
        </w:rPr>
      </w:pPr>
    </w:p>
    <w:p w14:paraId="223225C6" w14:textId="3AF08C12" w:rsidR="00715F32" w:rsidRDefault="26FB5A29" w:rsidP="26FB5A29">
      <w:pPr>
        <w:rPr>
          <w:rFonts w:ascii="Arial" w:eastAsia="Arial" w:hAnsi="Arial" w:cs="Arial"/>
          <w:sz w:val="24"/>
          <w:szCs w:val="24"/>
        </w:rPr>
      </w:pPr>
      <w:r w:rsidRPr="26FB5A29">
        <w:rPr>
          <w:rFonts w:ascii="Arial" w:eastAsia="Arial" w:hAnsi="Arial" w:cs="Arial"/>
          <w:sz w:val="24"/>
          <w:szCs w:val="24"/>
        </w:rPr>
        <w:t>Word count: 2171</w:t>
      </w:r>
    </w:p>
    <w:p w14:paraId="5E14907A" w14:textId="77777777" w:rsidR="00715F32" w:rsidRDefault="00715F32" w:rsidP="459331D8">
      <w:pPr>
        <w:rPr>
          <w:rFonts w:ascii="Arial" w:eastAsia="Arial" w:hAnsi="Arial" w:cs="Arial"/>
          <w:sz w:val="24"/>
          <w:szCs w:val="24"/>
        </w:rPr>
      </w:pPr>
    </w:p>
    <w:p w14:paraId="672A6659" w14:textId="65F24B96" w:rsidR="005538B2" w:rsidRDefault="005538B2">
      <w:pPr>
        <w:rPr>
          <w:rFonts w:ascii="Arial" w:hAnsi="Arial" w:cs="Arial"/>
          <w:sz w:val="24"/>
          <w:szCs w:val="24"/>
        </w:rPr>
      </w:pPr>
    </w:p>
    <w:p w14:paraId="1B4AAA7D" w14:textId="2F0DD258" w:rsidR="0001443F" w:rsidRDefault="0001443F">
      <w:pPr>
        <w:rPr>
          <w:rFonts w:ascii="Arial" w:hAnsi="Arial" w:cs="Arial"/>
          <w:sz w:val="24"/>
          <w:szCs w:val="24"/>
        </w:rPr>
      </w:pPr>
    </w:p>
    <w:p w14:paraId="404B498B" w14:textId="080207A6" w:rsidR="0001443F" w:rsidRDefault="0001443F">
      <w:pPr>
        <w:rPr>
          <w:rFonts w:ascii="Arial" w:hAnsi="Arial" w:cs="Arial"/>
          <w:sz w:val="24"/>
          <w:szCs w:val="24"/>
        </w:rPr>
      </w:pPr>
    </w:p>
    <w:p w14:paraId="50EC223A" w14:textId="55207BB4" w:rsidR="0001443F" w:rsidRDefault="0001443F">
      <w:pPr>
        <w:rPr>
          <w:rFonts w:ascii="Arial" w:hAnsi="Arial" w:cs="Arial"/>
          <w:sz w:val="24"/>
          <w:szCs w:val="24"/>
        </w:rPr>
      </w:pPr>
    </w:p>
    <w:p w14:paraId="5A369290" w14:textId="492D4FC6" w:rsidR="0001443F" w:rsidRDefault="0001443F">
      <w:pPr>
        <w:rPr>
          <w:rFonts w:ascii="Arial" w:hAnsi="Arial" w:cs="Arial"/>
          <w:sz w:val="24"/>
          <w:szCs w:val="24"/>
        </w:rPr>
      </w:pPr>
    </w:p>
    <w:p w14:paraId="6A5A4A3A" w14:textId="166D1E41" w:rsidR="0001443F" w:rsidRDefault="0001443F">
      <w:pPr>
        <w:rPr>
          <w:rFonts w:ascii="Arial" w:hAnsi="Arial" w:cs="Arial"/>
          <w:sz w:val="24"/>
          <w:szCs w:val="24"/>
        </w:rPr>
      </w:pPr>
    </w:p>
    <w:p w14:paraId="732E5B95" w14:textId="1F63C984" w:rsidR="0001443F" w:rsidRDefault="0001443F">
      <w:pPr>
        <w:rPr>
          <w:rFonts w:ascii="Arial" w:hAnsi="Arial" w:cs="Arial"/>
          <w:sz w:val="24"/>
          <w:szCs w:val="24"/>
        </w:rPr>
      </w:pPr>
    </w:p>
    <w:p w14:paraId="52369C9A" w14:textId="5CADDEA7" w:rsidR="0001443F" w:rsidRDefault="0001443F">
      <w:pPr>
        <w:rPr>
          <w:rFonts w:ascii="Arial" w:hAnsi="Arial" w:cs="Arial"/>
          <w:sz w:val="24"/>
          <w:szCs w:val="24"/>
        </w:rPr>
      </w:pPr>
    </w:p>
    <w:p w14:paraId="1543A5C1" w14:textId="41B64673" w:rsidR="0001443F" w:rsidRDefault="0001443F">
      <w:pPr>
        <w:rPr>
          <w:rFonts w:ascii="Arial" w:hAnsi="Arial" w:cs="Arial"/>
          <w:sz w:val="24"/>
          <w:szCs w:val="24"/>
        </w:rPr>
      </w:pPr>
    </w:p>
    <w:p w14:paraId="4602A937" w14:textId="727C78AB" w:rsidR="0001443F" w:rsidRDefault="0001443F" w:rsidP="0001443F">
      <w:pPr>
        <w:rPr>
          <w:rFonts w:ascii="Arial" w:hAnsi="Arial" w:cs="Arial"/>
          <w:sz w:val="24"/>
          <w:szCs w:val="24"/>
          <w:u w:val="single"/>
        </w:rPr>
      </w:pPr>
      <w:bookmarkStart w:id="0" w:name="_GoBack"/>
      <w:bookmarkEnd w:id="0"/>
      <w:r w:rsidRPr="2A3F93E2">
        <w:rPr>
          <w:rFonts w:ascii="Arial" w:hAnsi="Arial" w:cs="Arial"/>
          <w:sz w:val="24"/>
          <w:szCs w:val="24"/>
          <w:u w:val="single"/>
        </w:rPr>
        <w:lastRenderedPageBreak/>
        <w:t>Reference List ECAD6006</w:t>
      </w:r>
    </w:p>
    <w:p w14:paraId="6F226E5B" w14:textId="77777777" w:rsidR="0001443F" w:rsidRPr="007216AD" w:rsidRDefault="0001443F" w:rsidP="0001443F">
      <w:pPr>
        <w:rPr>
          <w:rFonts w:ascii="Arial" w:eastAsia="Arial" w:hAnsi="Arial" w:cs="Arial"/>
          <w:sz w:val="24"/>
          <w:szCs w:val="24"/>
        </w:rPr>
      </w:pPr>
      <w:r w:rsidRPr="2A3F93E2">
        <w:rPr>
          <w:rFonts w:ascii="Arial" w:eastAsia="Arial" w:hAnsi="Arial" w:cs="Arial"/>
          <w:sz w:val="24"/>
          <w:szCs w:val="24"/>
        </w:rPr>
        <w:t>Baker, C. (2011) Foundations of Bilingual Education and Bilingualism, 5th Edition.  Clevedon: Multilingual Matters.</w:t>
      </w:r>
    </w:p>
    <w:p w14:paraId="16F08EEC" w14:textId="77777777" w:rsidR="0001443F" w:rsidRPr="007216AD" w:rsidRDefault="0001443F" w:rsidP="0001443F">
      <w:pPr>
        <w:rPr>
          <w:rFonts w:ascii="Arial" w:eastAsia="Arial" w:hAnsi="Arial" w:cs="Arial"/>
          <w:sz w:val="24"/>
          <w:szCs w:val="24"/>
        </w:rPr>
      </w:pPr>
      <w:r w:rsidRPr="2A3F93E2">
        <w:rPr>
          <w:rFonts w:ascii="Arial" w:eastAsia="Arial" w:hAnsi="Arial" w:cs="Arial"/>
          <w:sz w:val="24"/>
          <w:szCs w:val="24"/>
        </w:rPr>
        <w:t xml:space="preserve">Barnes, J. (2015) </w:t>
      </w:r>
      <w:r w:rsidRPr="2A3F93E2">
        <w:rPr>
          <w:rFonts w:ascii="Arial" w:eastAsia="Arial" w:hAnsi="Arial" w:cs="Arial"/>
          <w:i/>
          <w:iCs/>
          <w:sz w:val="24"/>
          <w:szCs w:val="24"/>
        </w:rPr>
        <w:t>Cross-curricular learning 3-14</w:t>
      </w:r>
      <w:r w:rsidRPr="2A3F93E2">
        <w:rPr>
          <w:rFonts w:ascii="Arial" w:eastAsia="Arial" w:hAnsi="Arial" w:cs="Arial"/>
          <w:sz w:val="24"/>
          <w:szCs w:val="24"/>
        </w:rPr>
        <w:t xml:space="preserve"> (3rd edition) London: SAGE  </w:t>
      </w:r>
    </w:p>
    <w:p w14:paraId="25A7C2EF" w14:textId="77777777" w:rsidR="0001443F" w:rsidRPr="007216AD" w:rsidRDefault="0001443F" w:rsidP="0001443F">
      <w:pPr>
        <w:rPr>
          <w:rFonts w:ascii="Arial" w:eastAsia="Arial" w:hAnsi="Arial" w:cs="Arial"/>
          <w:sz w:val="24"/>
          <w:szCs w:val="24"/>
        </w:rPr>
      </w:pPr>
      <w:r w:rsidRPr="2A3F93E2">
        <w:rPr>
          <w:rFonts w:ascii="Arial" w:eastAsia="Arial" w:hAnsi="Arial" w:cs="Arial"/>
          <w:sz w:val="24"/>
          <w:szCs w:val="24"/>
          <w:shd w:val="clear" w:color="auto" w:fill="FFFFFF"/>
        </w:rPr>
        <w:t>Bernardo, A.B.I. &amp; Gaerlan, M.J.M. (2011</w:t>
      </w:r>
      <w:r w:rsidRPr="2A3F93E2">
        <w:rPr>
          <w:rFonts w:ascii="Arial" w:eastAsia="Arial" w:hAnsi="Arial" w:cs="Arial"/>
          <w:i/>
          <w:iCs/>
          <w:sz w:val="24"/>
          <w:szCs w:val="24"/>
          <w:shd w:val="clear" w:color="auto" w:fill="FFFFFF"/>
        </w:rPr>
        <w:t>) Non-Native English Students Learning in English: Reviewing and Reﬂecting on the Research</w:t>
      </w:r>
      <w:r w:rsidRPr="2A3F93E2">
        <w:rPr>
          <w:rFonts w:ascii="Arial" w:eastAsia="Arial" w:hAnsi="Arial" w:cs="Arial"/>
          <w:sz w:val="24"/>
          <w:szCs w:val="24"/>
          <w:shd w:val="clear" w:color="auto" w:fill="FFFFFF"/>
        </w:rPr>
        <w:t>.  In Jaidey, R., Sadorra, M.L.C.,</w:t>
      </w:r>
    </w:p>
    <w:p w14:paraId="2FEE2471" w14:textId="77777777" w:rsidR="0001443F" w:rsidRPr="007216AD" w:rsidRDefault="0001443F" w:rsidP="0001443F">
      <w:pPr>
        <w:rPr>
          <w:rFonts w:ascii="Arial" w:eastAsia="Arial" w:hAnsi="Arial" w:cs="Arial"/>
          <w:sz w:val="24"/>
          <w:szCs w:val="24"/>
        </w:rPr>
      </w:pPr>
      <w:r w:rsidRPr="2A3F93E2">
        <w:rPr>
          <w:rFonts w:ascii="Arial" w:eastAsia="Arial" w:hAnsi="Arial" w:cs="Arial"/>
          <w:sz w:val="24"/>
          <w:szCs w:val="24"/>
        </w:rPr>
        <w:t>Bernardo, A.B.I. (2004). McKinley’s questionable bequest: Over 100 years of English in Philippine Education. World Englishes, 23, 17-31.</w:t>
      </w:r>
    </w:p>
    <w:p w14:paraId="5DF8BFD1" w14:textId="77777777" w:rsidR="0001443F" w:rsidRDefault="0001443F" w:rsidP="0001443F">
      <w:pPr>
        <w:rPr>
          <w:rFonts w:ascii="Arial" w:eastAsia="Arial" w:hAnsi="Arial" w:cs="Arial"/>
          <w:sz w:val="24"/>
          <w:szCs w:val="24"/>
        </w:rPr>
      </w:pPr>
      <w:r w:rsidRPr="2A3F93E2">
        <w:rPr>
          <w:rFonts w:ascii="Arial" w:eastAsia="Arial" w:hAnsi="Arial" w:cs="Arial"/>
          <w:sz w:val="24"/>
          <w:szCs w:val="24"/>
        </w:rPr>
        <w:t xml:space="preserve">Cook, V. (2008). </w:t>
      </w:r>
      <w:r w:rsidRPr="2A3F93E2">
        <w:rPr>
          <w:rFonts w:ascii="Arial" w:eastAsia="Arial" w:hAnsi="Arial" w:cs="Arial"/>
          <w:i/>
          <w:iCs/>
          <w:sz w:val="24"/>
          <w:szCs w:val="24"/>
        </w:rPr>
        <w:t xml:space="preserve">Second Language Learning and Language Teaching. </w:t>
      </w:r>
      <w:r w:rsidRPr="2A3F93E2">
        <w:rPr>
          <w:rFonts w:ascii="Arial" w:eastAsia="Arial" w:hAnsi="Arial" w:cs="Arial"/>
          <w:sz w:val="24"/>
          <w:szCs w:val="24"/>
        </w:rPr>
        <w:t>London: Hodder Education.</w:t>
      </w:r>
    </w:p>
    <w:p w14:paraId="2AE39AAE" w14:textId="77777777" w:rsidR="0001443F" w:rsidRPr="007216AD" w:rsidRDefault="0001443F" w:rsidP="0001443F">
      <w:pPr>
        <w:rPr>
          <w:rFonts w:ascii="Arial" w:eastAsia="Arial" w:hAnsi="Arial" w:cs="Arial"/>
          <w:sz w:val="24"/>
          <w:szCs w:val="24"/>
        </w:rPr>
      </w:pPr>
      <w:r w:rsidRPr="2A3F93E2">
        <w:rPr>
          <w:rFonts w:ascii="Arial" w:eastAsia="Arial" w:hAnsi="Arial" w:cs="Arial"/>
          <w:sz w:val="24"/>
          <w:szCs w:val="24"/>
        </w:rPr>
        <w:t>Department for Education (2018). Exploring teacher workload: qualitative research. [online] Crown. Available at: https://assets.publishing.service.gov.uk/government/uploads/system/uploads/attachment_data/file/686734/Exploring_teacher_workload.pdf [Accessed 1 Feb. 2019].</w:t>
      </w:r>
    </w:p>
    <w:p w14:paraId="78B1D24F" w14:textId="77777777" w:rsidR="0001443F" w:rsidRPr="007216AD" w:rsidRDefault="0001443F" w:rsidP="0001443F">
      <w:pPr>
        <w:rPr>
          <w:rFonts w:ascii="Arial" w:eastAsia="Arial" w:hAnsi="Arial" w:cs="Arial"/>
          <w:sz w:val="24"/>
          <w:szCs w:val="24"/>
        </w:rPr>
      </w:pPr>
      <w:r w:rsidRPr="2A3F93E2">
        <w:rPr>
          <w:rFonts w:ascii="Arial" w:eastAsia="Arial" w:hAnsi="Arial" w:cs="Arial"/>
          <w:sz w:val="24"/>
          <w:szCs w:val="24"/>
        </w:rPr>
        <w:t xml:space="preserve">Donaldson, G (2015). </w:t>
      </w:r>
      <w:r w:rsidRPr="2A3F93E2">
        <w:rPr>
          <w:rFonts w:ascii="Arial" w:eastAsia="Arial" w:hAnsi="Arial" w:cs="Arial"/>
          <w:i/>
          <w:iCs/>
          <w:sz w:val="24"/>
          <w:szCs w:val="24"/>
        </w:rPr>
        <w:t>Successful Futures</w:t>
      </w:r>
      <w:r w:rsidRPr="2A3F93E2">
        <w:rPr>
          <w:rFonts w:ascii="Arial" w:eastAsia="Arial" w:hAnsi="Arial" w:cs="Arial"/>
          <w:sz w:val="24"/>
          <w:szCs w:val="24"/>
        </w:rPr>
        <w:t>. Cardiff. WAG.</w:t>
      </w:r>
    </w:p>
    <w:p w14:paraId="58DE1D61" w14:textId="77777777" w:rsidR="0001443F" w:rsidRPr="007216AD" w:rsidRDefault="0001443F" w:rsidP="0001443F">
      <w:pPr>
        <w:rPr>
          <w:rFonts w:ascii="Arial" w:eastAsia="Arial" w:hAnsi="Arial" w:cs="Arial"/>
          <w:sz w:val="24"/>
          <w:szCs w:val="24"/>
        </w:rPr>
      </w:pPr>
      <w:r w:rsidRPr="2A3F93E2">
        <w:rPr>
          <w:rFonts w:ascii="Arial" w:eastAsia="Arial" w:hAnsi="Arial" w:cs="Arial"/>
          <w:sz w:val="24"/>
          <w:szCs w:val="24"/>
        </w:rPr>
        <w:t>Farrell, T. (2017). </w:t>
      </w:r>
      <w:r w:rsidRPr="2A3F93E2">
        <w:rPr>
          <w:rFonts w:ascii="Arial" w:eastAsia="Arial" w:hAnsi="Arial" w:cs="Arial"/>
          <w:i/>
          <w:iCs/>
          <w:sz w:val="24"/>
          <w:szCs w:val="24"/>
        </w:rPr>
        <w:t>Sociolinguistics and Language Teaching</w:t>
      </w:r>
      <w:r w:rsidRPr="2A3F93E2">
        <w:rPr>
          <w:rFonts w:ascii="Arial" w:eastAsia="Arial" w:hAnsi="Arial" w:cs="Arial"/>
          <w:sz w:val="24"/>
          <w:szCs w:val="24"/>
        </w:rPr>
        <w:t>. Birmingham: TESOL.</w:t>
      </w:r>
    </w:p>
    <w:p w14:paraId="5C19F5AB" w14:textId="77777777" w:rsidR="0001443F" w:rsidRPr="007216AD" w:rsidRDefault="0001443F" w:rsidP="0001443F">
      <w:pPr>
        <w:rPr>
          <w:rFonts w:ascii="Arial" w:eastAsia="Arial" w:hAnsi="Arial" w:cs="Arial"/>
          <w:sz w:val="24"/>
          <w:szCs w:val="24"/>
        </w:rPr>
      </w:pPr>
      <w:r w:rsidRPr="2A3F93E2">
        <w:rPr>
          <w:rFonts w:ascii="Arial" w:eastAsia="Arial" w:hAnsi="Arial" w:cs="Arial"/>
          <w:sz w:val="24"/>
          <w:szCs w:val="24"/>
        </w:rPr>
        <w:t xml:space="preserve">Gaerlan, M.J.M. (2009). </w:t>
      </w:r>
      <w:r w:rsidRPr="2A3F93E2">
        <w:rPr>
          <w:rFonts w:ascii="Arial" w:eastAsia="Arial" w:hAnsi="Arial" w:cs="Arial"/>
          <w:i/>
          <w:iCs/>
          <w:sz w:val="24"/>
          <w:szCs w:val="24"/>
        </w:rPr>
        <w:t>Developing a model of the social factors that influence learning in L2 using the CQR approach</w:t>
      </w:r>
      <w:r w:rsidRPr="2A3F93E2">
        <w:rPr>
          <w:rFonts w:ascii="Arial" w:eastAsia="Arial" w:hAnsi="Arial" w:cs="Arial"/>
          <w:sz w:val="24"/>
          <w:szCs w:val="24"/>
        </w:rPr>
        <w:t>. Unpublished doctoral dissertation, De La Salle University, Manila, Philippines.</w:t>
      </w:r>
    </w:p>
    <w:p w14:paraId="6AF27C62" w14:textId="77777777" w:rsidR="0001443F" w:rsidRPr="007216AD" w:rsidRDefault="0001443F" w:rsidP="0001443F">
      <w:pPr>
        <w:rPr>
          <w:rFonts w:ascii="Arial" w:eastAsia="Arial" w:hAnsi="Arial" w:cs="Arial"/>
          <w:sz w:val="24"/>
          <w:szCs w:val="24"/>
        </w:rPr>
      </w:pPr>
      <w:r w:rsidRPr="2A3F93E2">
        <w:rPr>
          <w:rFonts w:ascii="Arial" w:eastAsia="Arial" w:hAnsi="Arial" w:cs="Arial"/>
          <w:sz w:val="24"/>
          <w:szCs w:val="24"/>
        </w:rPr>
        <w:t xml:space="preserve">Kroulek, A. (2017). Which Countries Have the Most English Speakers?. [Blog] K International. Available at: https://www.k-international.com/blog/countries-with-the-most-english-speakers/ [Accessed 31 Jan. 2019]. </w:t>
      </w:r>
    </w:p>
    <w:p w14:paraId="739A9E94" w14:textId="77777777" w:rsidR="0001443F" w:rsidRPr="007216AD" w:rsidRDefault="0001443F" w:rsidP="0001443F">
      <w:pPr>
        <w:rPr>
          <w:rFonts w:ascii="Arial" w:eastAsia="Arial" w:hAnsi="Arial" w:cs="Arial"/>
          <w:sz w:val="24"/>
          <w:szCs w:val="24"/>
        </w:rPr>
      </w:pPr>
      <w:r w:rsidRPr="2A3F93E2">
        <w:rPr>
          <w:rFonts w:ascii="Arial" w:eastAsia="Arial" w:hAnsi="Arial" w:cs="Arial"/>
          <w:sz w:val="24"/>
          <w:szCs w:val="24"/>
        </w:rPr>
        <w:t>Li, G. (2007). Home Environment and Second-Language Acquisition: The Importance of Family Capital. British Journal of Sociology of Education, 28(3), pp.285-299.</w:t>
      </w:r>
    </w:p>
    <w:p w14:paraId="0DC29206" w14:textId="77777777" w:rsidR="0001443F" w:rsidRPr="007216AD" w:rsidRDefault="0001443F" w:rsidP="0001443F">
      <w:pPr>
        <w:rPr>
          <w:rFonts w:ascii="Arial" w:eastAsia="Arial" w:hAnsi="Arial" w:cs="Arial"/>
          <w:sz w:val="24"/>
          <w:szCs w:val="24"/>
        </w:rPr>
      </w:pPr>
      <w:r w:rsidRPr="2A3F93E2">
        <w:rPr>
          <w:rFonts w:ascii="Arial" w:eastAsia="Arial" w:hAnsi="Arial" w:cs="Arial"/>
          <w:sz w:val="24"/>
          <w:szCs w:val="24"/>
        </w:rPr>
        <w:t>Richards, J. and Rodgers, T. (2001). </w:t>
      </w:r>
      <w:r w:rsidRPr="2A3F93E2">
        <w:rPr>
          <w:rFonts w:ascii="Arial" w:eastAsia="Arial" w:hAnsi="Arial" w:cs="Arial"/>
          <w:i/>
          <w:iCs/>
          <w:sz w:val="24"/>
          <w:szCs w:val="24"/>
        </w:rPr>
        <w:t>Approaches and methods in language teaching</w:t>
      </w:r>
      <w:r w:rsidRPr="2A3F93E2">
        <w:rPr>
          <w:rFonts w:ascii="Arial" w:eastAsia="Arial" w:hAnsi="Arial" w:cs="Arial"/>
          <w:sz w:val="24"/>
          <w:szCs w:val="24"/>
        </w:rPr>
        <w:t>. Cambridge: Cambridge University Press.</w:t>
      </w:r>
    </w:p>
    <w:p w14:paraId="7C68A633" w14:textId="77777777" w:rsidR="0001443F" w:rsidRPr="007216AD" w:rsidRDefault="0001443F" w:rsidP="0001443F">
      <w:pPr>
        <w:rPr>
          <w:rFonts w:ascii="Arial" w:eastAsia="Arial" w:hAnsi="Arial" w:cs="Arial"/>
          <w:sz w:val="24"/>
          <w:szCs w:val="24"/>
        </w:rPr>
      </w:pPr>
      <w:r w:rsidRPr="2A3F93E2">
        <w:rPr>
          <w:rFonts w:ascii="Arial" w:eastAsia="Arial" w:hAnsi="Arial" w:cs="Arial"/>
          <w:sz w:val="24"/>
          <w:szCs w:val="24"/>
        </w:rPr>
        <w:t xml:space="preserve">Rose, J. (2009). </w:t>
      </w:r>
      <w:r w:rsidRPr="2A3F93E2">
        <w:rPr>
          <w:rFonts w:ascii="Arial" w:eastAsia="Arial" w:hAnsi="Arial" w:cs="Arial"/>
          <w:i/>
          <w:iCs/>
          <w:sz w:val="24"/>
          <w:szCs w:val="24"/>
        </w:rPr>
        <w:t>Independent review of the primary curriculum: Final report</w:t>
      </w:r>
      <w:r w:rsidRPr="2A3F93E2">
        <w:rPr>
          <w:rFonts w:ascii="Arial" w:eastAsia="Arial" w:hAnsi="Arial" w:cs="Arial"/>
          <w:sz w:val="24"/>
          <w:szCs w:val="24"/>
        </w:rPr>
        <w:t>. London: DCSF Publications.</w:t>
      </w:r>
    </w:p>
    <w:p w14:paraId="55BCF14E" w14:textId="77777777" w:rsidR="0001443F" w:rsidRPr="007216AD" w:rsidRDefault="0001443F" w:rsidP="0001443F">
      <w:pPr>
        <w:rPr>
          <w:rFonts w:ascii="Arial" w:eastAsia="Arial" w:hAnsi="Arial" w:cs="Arial"/>
          <w:sz w:val="24"/>
          <w:szCs w:val="24"/>
        </w:rPr>
      </w:pPr>
      <w:r w:rsidRPr="2A3F93E2">
        <w:rPr>
          <w:rFonts w:ascii="Arial" w:eastAsia="Arial" w:hAnsi="Arial" w:cs="Arial"/>
          <w:sz w:val="24"/>
          <w:szCs w:val="24"/>
        </w:rPr>
        <w:t>Scott, B. and Vidakovic, I. (2018). Teacher well-being and workload survey: Interim findings. [Blog] </w:t>
      </w:r>
      <w:r w:rsidRPr="2A3F93E2">
        <w:rPr>
          <w:rFonts w:ascii="Arial" w:eastAsia="Arial" w:hAnsi="Arial" w:cs="Arial"/>
          <w:i/>
          <w:iCs/>
          <w:sz w:val="24"/>
          <w:szCs w:val="24"/>
        </w:rPr>
        <w:t>Gov.UK</w:t>
      </w:r>
      <w:r w:rsidRPr="2A3F93E2">
        <w:rPr>
          <w:rFonts w:ascii="Arial" w:eastAsia="Arial" w:hAnsi="Arial" w:cs="Arial"/>
          <w:sz w:val="24"/>
          <w:szCs w:val="24"/>
        </w:rPr>
        <w:t>. Available at: https://educationinspection.blog.gov.uk/2018/11/30/teacher-well-being-and-workload-survey-interim-findings/ [Accessed 1 Feb. 2019].</w:t>
      </w:r>
    </w:p>
    <w:p w14:paraId="4C822410" w14:textId="77777777" w:rsidR="0001443F" w:rsidRDefault="0001443F" w:rsidP="0001443F">
      <w:pPr>
        <w:rPr>
          <w:rFonts w:ascii="Arial" w:eastAsia="Arial" w:hAnsi="Arial" w:cs="Arial"/>
          <w:sz w:val="24"/>
          <w:szCs w:val="24"/>
        </w:rPr>
      </w:pPr>
      <w:r w:rsidRPr="2A3F93E2">
        <w:rPr>
          <w:rFonts w:ascii="Arial" w:eastAsia="Arial" w:hAnsi="Arial" w:cs="Arial"/>
          <w:sz w:val="24"/>
          <w:szCs w:val="24"/>
        </w:rPr>
        <w:t xml:space="preserve">StatsWales (2012). </w:t>
      </w:r>
      <w:r w:rsidRPr="2A3F93E2">
        <w:rPr>
          <w:rFonts w:ascii="Arial" w:eastAsia="Arial" w:hAnsi="Arial" w:cs="Arial"/>
          <w:i/>
          <w:iCs/>
          <w:sz w:val="24"/>
          <w:szCs w:val="24"/>
        </w:rPr>
        <w:t xml:space="preserve">Welsh Speakers by Local Authority, Gender and detailed age groups, 2011 census. </w:t>
      </w:r>
      <w:r w:rsidRPr="2A3F93E2">
        <w:rPr>
          <w:rFonts w:ascii="Arial" w:eastAsia="Arial" w:hAnsi="Arial" w:cs="Arial"/>
          <w:sz w:val="24"/>
          <w:szCs w:val="24"/>
        </w:rPr>
        <w:t xml:space="preserve">[Online] Available at: </w:t>
      </w:r>
      <w:hyperlink r:id="rId6">
        <w:r w:rsidRPr="2A3F93E2">
          <w:rPr>
            <w:rStyle w:val="Hyperlink"/>
            <w:rFonts w:ascii="Arial" w:eastAsia="Arial" w:hAnsi="Arial" w:cs="Arial"/>
            <w:sz w:val="24"/>
            <w:szCs w:val="24"/>
          </w:rPr>
          <w:t>https://statswales.gov.wales/Catalogue/Welsh-Language/welshspeakers-by-localauthority-gender-detailedagegroups-2011census</w:t>
        </w:r>
      </w:hyperlink>
      <w:r w:rsidRPr="2A3F93E2">
        <w:rPr>
          <w:rFonts w:ascii="Arial" w:eastAsia="Arial" w:hAnsi="Arial" w:cs="Arial"/>
          <w:sz w:val="24"/>
          <w:szCs w:val="24"/>
        </w:rPr>
        <w:t xml:space="preserve">  [Accessed 1 Feb. 2019].</w:t>
      </w:r>
    </w:p>
    <w:p w14:paraId="37AE54C7" w14:textId="77777777" w:rsidR="0001443F" w:rsidRPr="007216AD" w:rsidRDefault="0001443F" w:rsidP="0001443F">
      <w:pPr>
        <w:rPr>
          <w:rFonts w:ascii="Arial" w:eastAsia="Arial" w:hAnsi="Arial" w:cs="Arial"/>
          <w:sz w:val="24"/>
          <w:szCs w:val="24"/>
        </w:rPr>
      </w:pPr>
      <w:r w:rsidRPr="2A3F93E2">
        <w:rPr>
          <w:rFonts w:ascii="Arial" w:eastAsia="Arial" w:hAnsi="Arial" w:cs="Arial"/>
          <w:sz w:val="24"/>
          <w:szCs w:val="24"/>
        </w:rPr>
        <w:lastRenderedPageBreak/>
        <w:t>Stryker, S. and Leaver, B. (1993).</w:t>
      </w:r>
      <w:r w:rsidRPr="2A3F93E2">
        <w:rPr>
          <w:rFonts w:ascii="Arial" w:eastAsia="Arial" w:hAnsi="Arial" w:cs="Arial"/>
          <w:i/>
          <w:iCs/>
          <w:sz w:val="24"/>
          <w:szCs w:val="24"/>
        </w:rPr>
        <w:t xml:space="preserve">Content-based Instruction in Forign Langiage Education. </w:t>
      </w:r>
      <w:r w:rsidRPr="2A3F93E2">
        <w:rPr>
          <w:rFonts w:ascii="Arial" w:eastAsia="Arial" w:hAnsi="Arial" w:cs="Arial"/>
          <w:sz w:val="24"/>
          <w:szCs w:val="24"/>
        </w:rPr>
        <w:t>Washington: Georgetown University Press.</w:t>
      </w:r>
    </w:p>
    <w:p w14:paraId="35F71D67" w14:textId="77777777" w:rsidR="0001443F" w:rsidRDefault="0001443F" w:rsidP="0001443F">
      <w:pPr>
        <w:rPr>
          <w:rFonts w:ascii="Arial" w:eastAsia="Arial" w:hAnsi="Arial" w:cs="Arial"/>
          <w:sz w:val="24"/>
          <w:szCs w:val="24"/>
        </w:rPr>
      </w:pPr>
      <w:r w:rsidRPr="2A3F93E2">
        <w:rPr>
          <w:rFonts w:ascii="Arial" w:eastAsia="Arial" w:hAnsi="Arial" w:cs="Arial"/>
          <w:sz w:val="24"/>
          <w:szCs w:val="24"/>
        </w:rPr>
        <w:t xml:space="preserve">Thomas, H. (2016). </w:t>
      </w:r>
      <w:r w:rsidRPr="2A3F93E2">
        <w:rPr>
          <w:rFonts w:ascii="Arial" w:eastAsia="Arial" w:hAnsi="Arial" w:cs="Arial"/>
          <w:i/>
          <w:iCs/>
          <w:sz w:val="24"/>
          <w:szCs w:val="24"/>
        </w:rPr>
        <w:t>Big jump in online viewing for S4C</w:t>
      </w:r>
      <w:r w:rsidRPr="2A3F93E2">
        <w:rPr>
          <w:rFonts w:ascii="Arial" w:eastAsia="Arial" w:hAnsi="Arial" w:cs="Arial"/>
          <w:sz w:val="24"/>
          <w:szCs w:val="24"/>
        </w:rPr>
        <w:t>. [online] BBC News. Available at: https://www.bbc.co.uk/news/uk-wales-36782735 [Accessed 1 Feb. 2019].</w:t>
      </w:r>
    </w:p>
    <w:p w14:paraId="642FBA5A" w14:textId="77777777" w:rsidR="0001443F" w:rsidRPr="007216AD" w:rsidRDefault="0001443F" w:rsidP="0001443F">
      <w:pPr>
        <w:rPr>
          <w:rFonts w:ascii="Arial" w:eastAsia="Arial" w:hAnsi="Arial" w:cs="Arial"/>
          <w:sz w:val="24"/>
          <w:szCs w:val="24"/>
        </w:rPr>
      </w:pPr>
      <w:r w:rsidRPr="2A3F93E2">
        <w:rPr>
          <w:rFonts w:ascii="Arial" w:eastAsia="Arial" w:hAnsi="Arial" w:cs="Arial"/>
          <w:sz w:val="24"/>
          <w:szCs w:val="24"/>
        </w:rPr>
        <w:t xml:space="preserve">Trinca, L. (2014). </w:t>
      </w:r>
      <w:r w:rsidRPr="2A3F93E2">
        <w:rPr>
          <w:rFonts w:ascii="Arial" w:eastAsia="Arial" w:hAnsi="Arial" w:cs="Arial"/>
          <w:i/>
          <w:iCs/>
          <w:sz w:val="24"/>
          <w:szCs w:val="24"/>
        </w:rPr>
        <w:t>Psycholinguistic Strategies in Language Teaching</w:t>
      </w:r>
      <w:r w:rsidRPr="2A3F93E2">
        <w:rPr>
          <w:rFonts w:ascii="Arial" w:eastAsia="Arial" w:hAnsi="Arial" w:cs="Arial"/>
          <w:sz w:val="24"/>
          <w:szCs w:val="24"/>
        </w:rPr>
        <w:t>. </w:t>
      </w:r>
      <w:r w:rsidRPr="2A3F93E2">
        <w:rPr>
          <w:rFonts w:ascii="Arial" w:eastAsia="Arial" w:hAnsi="Arial" w:cs="Arial"/>
          <w:i/>
          <w:iCs/>
          <w:sz w:val="24"/>
          <w:szCs w:val="24"/>
        </w:rPr>
        <w:t>Glotodidactica</w:t>
      </w:r>
      <w:r w:rsidRPr="2A3F93E2">
        <w:rPr>
          <w:rFonts w:ascii="Arial" w:eastAsia="Arial" w:hAnsi="Arial" w:cs="Arial"/>
          <w:sz w:val="24"/>
          <w:szCs w:val="24"/>
        </w:rPr>
        <w:t>, 2, pp.7-15.</w:t>
      </w:r>
    </w:p>
    <w:p w14:paraId="160D08E8" w14:textId="77777777" w:rsidR="0001443F" w:rsidRPr="007216AD" w:rsidRDefault="0001443F" w:rsidP="0001443F">
      <w:pPr>
        <w:rPr>
          <w:rFonts w:ascii="Arial" w:eastAsia="Arial" w:hAnsi="Arial" w:cs="Arial"/>
          <w:sz w:val="24"/>
          <w:szCs w:val="24"/>
        </w:rPr>
      </w:pPr>
      <w:r w:rsidRPr="2A3F93E2">
        <w:rPr>
          <w:rFonts w:ascii="Arial" w:eastAsia="Arial" w:hAnsi="Arial" w:cs="Arial"/>
          <w:sz w:val="24"/>
          <w:szCs w:val="24"/>
          <w:lang w:val="en-US"/>
        </w:rPr>
        <w:t xml:space="preserve">Welsh Government (2013). </w:t>
      </w:r>
      <w:r w:rsidRPr="2A3F93E2">
        <w:rPr>
          <w:rFonts w:ascii="Arial" w:eastAsia="Arial" w:hAnsi="Arial" w:cs="Arial"/>
          <w:i/>
          <w:iCs/>
          <w:sz w:val="24"/>
          <w:szCs w:val="24"/>
          <w:lang w:val="en-US"/>
        </w:rPr>
        <w:t xml:space="preserve">One language for all - </w:t>
      </w:r>
      <w:r w:rsidRPr="2A3F93E2">
        <w:rPr>
          <w:rFonts w:ascii="Arial" w:eastAsia="Arial" w:hAnsi="Arial" w:cs="Arial"/>
          <w:i/>
          <w:iCs/>
          <w:sz w:val="24"/>
          <w:szCs w:val="24"/>
        </w:rPr>
        <w:t>Review of Welsh second language at Key Stages 3 and 4</w:t>
      </w:r>
      <w:r w:rsidRPr="2A3F93E2">
        <w:rPr>
          <w:rFonts w:ascii="Arial" w:eastAsia="Arial" w:hAnsi="Arial" w:cs="Arial"/>
          <w:sz w:val="24"/>
          <w:szCs w:val="24"/>
        </w:rPr>
        <w:t>. Cardiff: Welsh Government.</w:t>
      </w:r>
    </w:p>
    <w:p w14:paraId="0D1B6993" w14:textId="77777777" w:rsidR="0001443F" w:rsidRPr="007216AD" w:rsidRDefault="0001443F" w:rsidP="0001443F">
      <w:pPr>
        <w:rPr>
          <w:rFonts w:ascii="Arial" w:eastAsia="Arial" w:hAnsi="Arial" w:cs="Arial"/>
          <w:sz w:val="24"/>
          <w:szCs w:val="24"/>
        </w:rPr>
      </w:pPr>
      <w:r w:rsidRPr="2A3F93E2">
        <w:rPr>
          <w:rFonts w:ascii="Arial" w:eastAsia="Arial" w:hAnsi="Arial" w:cs="Arial"/>
          <w:sz w:val="24"/>
          <w:szCs w:val="24"/>
        </w:rPr>
        <w:t xml:space="preserve">Welsh Government (2014a). </w:t>
      </w:r>
      <w:r w:rsidRPr="2A3F93E2">
        <w:rPr>
          <w:rFonts w:ascii="Arial" w:eastAsia="Arial" w:hAnsi="Arial" w:cs="Arial"/>
          <w:i/>
          <w:iCs/>
          <w:sz w:val="24"/>
          <w:szCs w:val="24"/>
        </w:rPr>
        <w:t>Evaluating the Foundation Phase: Key Findings on Welsh Language</w:t>
      </w:r>
      <w:r w:rsidRPr="2A3F93E2">
        <w:rPr>
          <w:rFonts w:ascii="Arial" w:eastAsia="Arial" w:hAnsi="Arial" w:cs="Arial"/>
          <w:sz w:val="24"/>
          <w:szCs w:val="24"/>
        </w:rPr>
        <w:t xml:space="preserve"> (WISERD). Cardiff: Crown. </w:t>
      </w:r>
    </w:p>
    <w:p w14:paraId="6FADF634" w14:textId="77777777" w:rsidR="0001443F" w:rsidRPr="007216AD" w:rsidRDefault="0001443F" w:rsidP="0001443F">
      <w:pPr>
        <w:rPr>
          <w:rFonts w:ascii="Arial" w:eastAsia="Arial" w:hAnsi="Arial" w:cs="Arial"/>
          <w:sz w:val="24"/>
          <w:szCs w:val="24"/>
        </w:rPr>
      </w:pPr>
      <w:r w:rsidRPr="2A3F93E2">
        <w:rPr>
          <w:rFonts w:ascii="Arial" w:eastAsia="Arial" w:hAnsi="Arial" w:cs="Arial"/>
          <w:sz w:val="24"/>
          <w:szCs w:val="24"/>
        </w:rPr>
        <w:t xml:space="preserve">Welsh Government (2014b) </w:t>
      </w:r>
      <w:r w:rsidRPr="2A3F93E2">
        <w:rPr>
          <w:rFonts w:ascii="Arial" w:eastAsia="Arial" w:hAnsi="Arial" w:cs="Arial"/>
          <w:i/>
          <w:iCs/>
          <w:sz w:val="24"/>
          <w:szCs w:val="24"/>
        </w:rPr>
        <w:t xml:space="preserve">Response to Welsh second language review group recommendations. </w:t>
      </w:r>
      <w:r w:rsidRPr="2A3F93E2">
        <w:rPr>
          <w:rFonts w:ascii="Arial" w:eastAsia="Arial" w:hAnsi="Arial" w:cs="Arial"/>
          <w:sz w:val="24"/>
          <w:szCs w:val="24"/>
        </w:rPr>
        <w:t>Cardiff: Crown.</w:t>
      </w:r>
    </w:p>
    <w:p w14:paraId="7FCB25DE" w14:textId="77777777" w:rsidR="0001443F" w:rsidRPr="007216AD" w:rsidRDefault="0001443F" w:rsidP="0001443F">
      <w:pPr>
        <w:rPr>
          <w:rFonts w:ascii="Arial" w:eastAsia="Arial" w:hAnsi="Arial" w:cs="Arial"/>
          <w:sz w:val="24"/>
          <w:szCs w:val="24"/>
        </w:rPr>
      </w:pPr>
      <w:r w:rsidRPr="2A3F93E2">
        <w:rPr>
          <w:rFonts w:ascii="Arial" w:eastAsia="Arial" w:hAnsi="Arial" w:cs="Arial"/>
          <w:sz w:val="24"/>
          <w:szCs w:val="24"/>
        </w:rPr>
        <w:t>Welsh Government (2015). Welsh language use in Wales, 2013-15. Cardiff: Welsh Government.</w:t>
      </w:r>
    </w:p>
    <w:p w14:paraId="2F78B4F4" w14:textId="77777777" w:rsidR="0001443F" w:rsidRDefault="0001443F" w:rsidP="0001443F">
      <w:pPr>
        <w:rPr>
          <w:rFonts w:ascii="Arial" w:eastAsia="Arial" w:hAnsi="Arial" w:cs="Arial"/>
          <w:sz w:val="24"/>
          <w:szCs w:val="24"/>
        </w:rPr>
      </w:pPr>
      <w:r w:rsidRPr="2A3F93E2">
        <w:rPr>
          <w:rFonts w:ascii="Arial" w:eastAsia="Arial" w:hAnsi="Arial" w:cs="Arial"/>
          <w:sz w:val="24"/>
          <w:szCs w:val="24"/>
        </w:rPr>
        <w:t xml:space="preserve">Welsh Government (2017). </w:t>
      </w:r>
      <w:r w:rsidRPr="2A3F93E2">
        <w:rPr>
          <w:rFonts w:ascii="Arial" w:eastAsia="Arial" w:hAnsi="Arial" w:cs="Arial"/>
          <w:i/>
          <w:iCs/>
          <w:sz w:val="24"/>
          <w:szCs w:val="24"/>
        </w:rPr>
        <w:t>Cymraeg 2050: A million Welsh speakers</w:t>
      </w:r>
      <w:r w:rsidRPr="2A3F93E2">
        <w:rPr>
          <w:rFonts w:ascii="Arial" w:eastAsia="Arial" w:hAnsi="Arial" w:cs="Arial"/>
          <w:sz w:val="24"/>
          <w:szCs w:val="24"/>
        </w:rPr>
        <w:t xml:space="preserve">. Cardiff: Welsh Government. </w:t>
      </w:r>
    </w:p>
    <w:p w14:paraId="44C2BF7E" w14:textId="77777777" w:rsidR="0001443F" w:rsidRDefault="0001443F" w:rsidP="0001443F">
      <w:pPr>
        <w:rPr>
          <w:rFonts w:ascii="Arial" w:eastAsia="Arial" w:hAnsi="Arial" w:cs="Arial"/>
          <w:sz w:val="24"/>
          <w:szCs w:val="24"/>
        </w:rPr>
      </w:pPr>
      <w:r w:rsidRPr="2A3F93E2">
        <w:rPr>
          <w:rFonts w:ascii="Arial" w:eastAsia="Arial" w:hAnsi="Arial" w:cs="Arial"/>
          <w:sz w:val="24"/>
          <w:szCs w:val="24"/>
        </w:rPr>
        <w:t>Welsh Government (2018). £51m to support the growth in Welsh medium education. [online] Gov.wales. Available at: https://gov.wales/newsroom/educationandskills/2018/51m-to-support-the-growth-in-welsh-medium-education/?lang=en [Accessed 1 Feb. 2019].</w:t>
      </w:r>
    </w:p>
    <w:p w14:paraId="7E393038" w14:textId="77777777" w:rsidR="0001443F" w:rsidRDefault="0001443F" w:rsidP="0001443F">
      <w:pPr>
        <w:rPr>
          <w:rFonts w:ascii="Arial" w:eastAsia="Arial" w:hAnsi="Arial" w:cs="Arial"/>
          <w:sz w:val="24"/>
          <w:szCs w:val="24"/>
        </w:rPr>
      </w:pPr>
      <w:r w:rsidRPr="2A3F93E2">
        <w:rPr>
          <w:rFonts w:ascii="Arial" w:eastAsia="Arial" w:hAnsi="Arial" w:cs="Arial"/>
          <w:sz w:val="24"/>
          <w:szCs w:val="24"/>
        </w:rPr>
        <w:t xml:space="preserve">Williams, L. (2016). Why Social Media is the Best Free Language Learning Tool. [online] Lindsay Does Languages. Available at: </w:t>
      </w:r>
      <w:hyperlink r:id="rId7">
        <w:r w:rsidRPr="2A3F93E2">
          <w:rPr>
            <w:rStyle w:val="Hyperlink"/>
            <w:rFonts w:ascii="Arial" w:eastAsia="Arial" w:hAnsi="Arial" w:cs="Arial"/>
            <w:sz w:val="24"/>
            <w:szCs w:val="24"/>
          </w:rPr>
          <w:t>http://www.lindsaydoeslanguages.com/social-media-language-learning/</w:t>
        </w:r>
      </w:hyperlink>
      <w:r w:rsidRPr="2A3F93E2">
        <w:rPr>
          <w:rFonts w:ascii="Arial" w:eastAsia="Arial" w:hAnsi="Arial" w:cs="Arial"/>
          <w:sz w:val="24"/>
          <w:szCs w:val="24"/>
        </w:rPr>
        <w:t xml:space="preserve"> [Accessed 1 Feb. 2019]. </w:t>
      </w:r>
    </w:p>
    <w:p w14:paraId="72FBC050" w14:textId="77777777" w:rsidR="0001443F" w:rsidRDefault="0001443F" w:rsidP="0001443F">
      <w:pPr>
        <w:rPr>
          <w:rFonts w:ascii="Arial" w:eastAsia="Arial" w:hAnsi="Arial" w:cs="Arial"/>
          <w:sz w:val="24"/>
          <w:szCs w:val="24"/>
        </w:rPr>
      </w:pPr>
      <w:r w:rsidRPr="2A3F93E2">
        <w:rPr>
          <w:rFonts w:ascii="Arial" w:eastAsia="Arial" w:hAnsi="Arial" w:cs="Arial"/>
          <w:sz w:val="24"/>
          <w:szCs w:val="24"/>
        </w:rPr>
        <w:t>WJEC (2017). The Sabbatical Scheme. [online] Wjec.co.uk. Available at: https://www.wjec.co.uk/teachers/support-team-for-the-welsh-language-in-education/the-sabbatical-scheme.html [Accessed 1 Feb. 2019].</w:t>
      </w:r>
    </w:p>
    <w:p w14:paraId="3F0DB386" w14:textId="77777777" w:rsidR="0001443F" w:rsidRPr="007216AD" w:rsidRDefault="0001443F" w:rsidP="0001443F">
      <w:pPr>
        <w:rPr>
          <w:rFonts w:ascii="Arial" w:eastAsia="Arial" w:hAnsi="Arial" w:cs="Arial"/>
          <w:sz w:val="24"/>
          <w:szCs w:val="24"/>
        </w:rPr>
      </w:pPr>
      <w:r w:rsidRPr="2A3F93E2">
        <w:rPr>
          <w:rFonts w:ascii="Arial" w:eastAsia="Arial" w:hAnsi="Arial" w:cs="Arial"/>
          <w:sz w:val="24"/>
          <w:szCs w:val="24"/>
          <w:shd w:val="clear" w:color="auto" w:fill="FFFFFF"/>
        </w:rPr>
        <w:t>Wong, J.O., Lee, M.C. &amp; Lorente, M.C. (eds.) </w:t>
      </w:r>
      <w:r w:rsidRPr="2A3F93E2">
        <w:rPr>
          <w:rFonts w:ascii="Arial" w:eastAsia="Arial" w:hAnsi="Arial" w:cs="Arial"/>
          <w:i/>
          <w:iCs/>
          <w:sz w:val="24"/>
          <w:szCs w:val="24"/>
          <w:shd w:val="clear" w:color="auto" w:fill="FFFFFF"/>
        </w:rPr>
        <w:t>Global perspectives, local initiatives: Reflections and practices in ELT</w:t>
      </w:r>
      <w:r w:rsidRPr="2A3F93E2">
        <w:rPr>
          <w:rFonts w:ascii="Arial" w:eastAsia="Arial" w:hAnsi="Arial" w:cs="Arial"/>
          <w:sz w:val="24"/>
          <w:szCs w:val="24"/>
          <w:shd w:val="clear" w:color="auto" w:fill="FFFFFF"/>
        </w:rPr>
        <w:t>.  National University of Singapore, CELC, pp.1-9.</w:t>
      </w:r>
    </w:p>
    <w:p w14:paraId="51550C17" w14:textId="77777777" w:rsidR="0001443F" w:rsidRPr="002D4545" w:rsidRDefault="0001443F">
      <w:pPr>
        <w:rPr>
          <w:rFonts w:ascii="Arial" w:hAnsi="Arial" w:cs="Arial"/>
          <w:sz w:val="24"/>
          <w:szCs w:val="24"/>
        </w:rPr>
      </w:pPr>
    </w:p>
    <w:sectPr w:rsidR="0001443F" w:rsidRPr="002D4545">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EF60BD" w14:textId="77777777" w:rsidR="00000000" w:rsidRDefault="0001443F">
      <w:pPr>
        <w:spacing w:after="0" w:line="240" w:lineRule="auto"/>
      </w:pPr>
      <w:r>
        <w:separator/>
      </w:r>
    </w:p>
  </w:endnote>
  <w:endnote w:type="continuationSeparator" w:id="0">
    <w:p w14:paraId="4F945D03" w14:textId="77777777" w:rsidR="00000000" w:rsidRDefault="000144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4A0" w:firstRow="1" w:lastRow="0" w:firstColumn="1" w:lastColumn="0" w:noHBand="0" w:noVBand="1"/>
    </w:tblPr>
    <w:tblGrid>
      <w:gridCol w:w="3009"/>
      <w:gridCol w:w="3009"/>
      <w:gridCol w:w="3009"/>
    </w:tblGrid>
    <w:tr w:rsidR="26FB5A29" w14:paraId="50DDE45D" w14:textId="77777777" w:rsidTr="26FB5A29">
      <w:tc>
        <w:tcPr>
          <w:tcW w:w="3009" w:type="dxa"/>
        </w:tcPr>
        <w:p w14:paraId="542FD587" w14:textId="678E42C7" w:rsidR="26FB5A29" w:rsidRDefault="26FB5A29" w:rsidP="26FB5A29">
          <w:pPr>
            <w:pStyle w:val="Header"/>
            <w:ind w:left="-115"/>
          </w:pPr>
        </w:p>
      </w:tc>
      <w:tc>
        <w:tcPr>
          <w:tcW w:w="3009" w:type="dxa"/>
        </w:tcPr>
        <w:p w14:paraId="3A11DF38" w14:textId="545C2850" w:rsidR="26FB5A29" w:rsidRDefault="26FB5A29" w:rsidP="26FB5A29">
          <w:pPr>
            <w:pStyle w:val="Header"/>
            <w:jc w:val="center"/>
          </w:pPr>
        </w:p>
      </w:tc>
      <w:tc>
        <w:tcPr>
          <w:tcW w:w="3009" w:type="dxa"/>
        </w:tcPr>
        <w:p w14:paraId="7CD25481" w14:textId="0D3F5D6C" w:rsidR="26FB5A29" w:rsidRDefault="26FB5A29" w:rsidP="26FB5A29">
          <w:pPr>
            <w:pStyle w:val="Header"/>
            <w:ind w:right="-115"/>
            <w:jc w:val="right"/>
          </w:pPr>
          <w:r>
            <w:fldChar w:fldCharType="begin"/>
          </w:r>
          <w:r>
            <w:instrText>PAGE</w:instrText>
          </w:r>
          <w:r w:rsidR="0001443F">
            <w:fldChar w:fldCharType="separate"/>
          </w:r>
          <w:r w:rsidR="0001443F">
            <w:rPr>
              <w:noProof/>
            </w:rPr>
            <w:t>7</w:t>
          </w:r>
          <w:r>
            <w:fldChar w:fldCharType="end"/>
          </w:r>
        </w:p>
      </w:tc>
    </w:tr>
  </w:tbl>
  <w:p w14:paraId="7B94EB7E" w14:textId="66978D1A" w:rsidR="26FB5A29" w:rsidRDefault="26FB5A29" w:rsidP="26FB5A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BF8094" w14:textId="77777777" w:rsidR="00000000" w:rsidRDefault="0001443F">
      <w:pPr>
        <w:spacing w:after="0" w:line="240" w:lineRule="auto"/>
      </w:pPr>
      <w:r>
        <w:separator/>
      </w:r>
    </w:p>
  </w:footnote>
  <w:footnote w:type="continuationSeparator" w:id="0">
    <w:p w14:paraId="26467185" w14:textId="77777777" w:rsidR="00000000" w:rsidRDefault="000144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4A0" w:firstRow="1" w:lastRow="0" w:firstColumn="1" w:lastColumn="0" w:noHBand="0" w:noVBand="1"/>
    </w:tblPr>
    <w:tblGrid>
      <w:gridCol w:w="3009"/>
      <w:gridCol w:w="3009"/>
      <w:gridCol w:w="3009"/>
    </w:tblGrid>
    <w:tr w:rsidR="26FB5A29" w14:paraId="7C1BD1D1" w14:textId="77777777" w:rsidTr="26FB5A29">
      <w:tc>
        <w:tcPr>
          <w:tcW w:w="3009" w:type="dxa"/>
        </w:tcPr>
        <w:p w14:paraId="30DDDC3A" w14:textId="7F8AA3D7" w:rsidR="26FB5A29" w:rsidRDefault="26FB5A29" w:rsidP="26FB5A29">
          <w:pPr>
            <w:pStyle w:val="Header"/>
            <w:ind w:left="-115"/>
          </w:pPr>
          <w:r>
            <w:t>1600450</w:t>
          </w:r>
        </w:p>
      </w:tc>
      <w:tc>
        <w:tcPr>
          <w:tcW w:w="3009" w:type="dxa"/>
        </w:tcPr>
        <w:p w14:paraId="22497405" w14:textId="23AA0D87" w:rsidR="26FB5A29" w:rsidRDefault="26FB5A29" w:rsidP="26FB5A29">
          <w:pPr>
            <w:pStyle w:val="Header"/>
            <w:jc w:val="center"/>
          </w:pPr>
        </w:p>
      </w:tc>
      <w:tc>
        <w:tcPr>
          <w:tcW w:w="3009" w:type="dxa"/>
        </w:tcPr>
        <w:p w14:paraId="2AF697BD" w14:textId="51D28C58" w:rsidR="26FB5A29" w:rsidRDefault="26FB5A29" w:rsidP="26FB5A29">
          <w:pPr>
            <w:pStyle w:val="Header"/>
            <w:ind w:right="-115"/>
            <w:jc w:val="right"/>
          </w:pPr>
        </w:p>
      </w:tc>
    </w:tr>
  </w:tbl>
  <w:p w14:paraId="4C0836EE" w14:textId="39AD473F" w:rsidR="26FB5A29" w:rsidRDefault="26FB5A29" w:rsidP="26FB5A2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67AF"/>
    <w:rsid w:val="0001443F"/>
    <w:rsid w:val="00015727"/>
    <w:rsid w:val="000779FC"/>
    <w:rsid w:val="000C689D"/>
    <w:rsid w:val="0011029F"/>
    <w:rsid w:val="00110BEE"/>
    <w:rsid w:val="00165A1E"/>
    <w:rsid w:val="00180283"/>
    <w:rsid w:val="001A1351"/>
    <w:rsid w:val="0021137A"/>
    <w:rsid w:val="00216123"/>
    <w:rsid w:val="0026547E"/>
    <w:rsid w:val="00275000"/>
    <w:rsid w:val="002D4545"/>
    <w:rsid w:val="0033647E"/>
    <w:rsid w:val="003E1520"/>
    <w:rsid w:val="003E6FBA"/>
    <w:rsid w:val="00490710"/>
    <w:rsid w:val="004B136F"/>
    <w:rsid w:val="004B5DC8"/>
    <w:rsid w:val="004E0105"/>
    <w:rsid w:val="0050356A"/>
    <w:rsid w:val="00535705"/>
    <w:rsid w:val="005538B2"/>
    <w:rsid w:val="0055463B"/>
    <w:rsid w:val="00582FAD"/>
    <w:rsid w:val="005F0675"/>
    <w:rsid w:val="005F4649"/>
    <w:rsid w:val="00645E4E"/>
    <w:rsid w:val="0071567D"/>
    <w:rsid w:val="00715F32"/>
    <w:rsid w:val="007A3DC0"/>
    <w:rsid w:val="007B2456"/>
    <w:rsid w:val="007C26EC"/>
    <w:rsid w:val="00815A02"/>
    <w:rsid w:val="00836D30"/>
    <w:rsid w:val="00913ADB"/>
    <w:rsid w:val="0091419F"/>
    <w:rsid w:val="009203CB"/>
    <w:rsid w:val="009705AC"/>
    <w:rsid w:val="009B75E2"/>
    <w:rsid w:val="00A37CF5"/>
    <w:rsid w:val="00A6280A"/>
    <w:rsid w:val="00AE482F"/>
    <w:rsid w:val="00B2176E"/>
    <w:rsid w:val="00B41463"/>
    <w:rsid w:val="00C17987"/>
    <w:rsid w:val="00C31EB1"/>
    <w:rsid w:val="00CB4E1E"/>
    <w:rsid w:val="00CF45B2"/>
    <w:rsid w:val="00CF57BA"/>
    <w:rsid w:val="00DC0BF1"/>
    <w:rsid w:val="00DC67AF"/>
    <w:rsid w:val="00E17961"/>
    <w:rsid w:val="00E32A5B"/>
    <w:rsid w:val="00E54491"/>
    <w:rsid w:val="00E95380"/>
    <w:rsid w:val="00F46AF3"/>
    <w:rsid w:val="00F729D0"/>
    <w:rsid w:val="00FD6182"/>
    <w:rsid w:val="00FF5C42"/>
    <w:rsid w:val="26FB5A29"/>
    <w:rsid w:val="459331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6A8F78"/>
  <w15:chartTrackingRefBased/>
  <w15:docId w15:val="{C3E391AD-B823-4E7C-B4A7-0294E92690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Hyperlink">
    <w:name w:val="Hyperlink"/>
    <w:basedOn w:val="DefaultParagraphFont"/>
    <w:uiPriority w:val="99"/>
    <w:unhideWhenUsed/>
    <w:rsid w:val="0001443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www.lindsaydoeslanguages.com/social-media-language-learnin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statswales.gov.wales/Catalogue/Welsh-Language/welshspeakers-by-localauthority-gender-detailedagegroups-2011census"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2708</Words>
  <Characters>15439</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18111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Ethan Murphy (1600450)</dc:creator>
  <cp:keywords/>
  <dc:description/>
  <cp:lastModifiedBy>Ethan Murphy (1600450)</cp:lastModifiedBy>
  <cp:revision>2</cp:revision>
  <dcterms:created xsi:type="dcterms:W3CDTF">2019-02-04T12:32:00Z</dcterms:created>
  <dcterms:modified xsi:type="dcterms:W3CDTF">2019-02-04T12:32:00Z</dcterms:modified>
</cp:coreProperties>
</file>