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277D3D"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0C95E6DA"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49150E" w:rsidRPr="0049150E">
        <w:rPr>
          <w:rFonts w:ascii="Arial" w:hAnsi="Arial" w:cs="Arial"/>
          <w:sz w:val="28"/>
          <w:szCs w:val="28"/>
          <w:lang w:val="nl-NL"/>
        </w:rPr>
        <w:t>Introduction to Public Health</w:t>
      </w:r>
    </w:p>
    <w:p w14:paraId="537571AF" w14:textId="3320370A"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49150E">
        <w:rPr>
          <w:rFonts w:ascii="Arial" w:hAnsi="Arial" w:cs="Arial"/>
          <w:sz w:val="28"/>
          <w:szCs w:val="28"/>
        </w:rPr>
        <w:t xml:space="preserve"> </w:t>
      </w:r>
      <w:r w:rsidR="0049150E" w:rsidRPr="0049150E">
        <w:rPr>
          <w:rFonts w:ascii="Arial" w:hAnsi="Arial" w:cs="Arial"/>
          <w:sz w:val="28"/>
          <w:szCs w:val="28"/>
        </w:rPr>
        <w:t>LCHS 4008</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63182878"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49150E">
        <w:rPr>
          <w:rFonts w:ascii="Arial" w:hAnsi="Arial" w:cs="Arial"/>
          <w:sz w:val="28"/>
          <w:szCs w:val="28"/>
          <w:lang w:val="nl-NL"/>
        </w:rPr>
        <w:t xml:space="preserve"> Ejiroghene Barbara Onyeme Campbell</w:t>
      </w:r>
    </w:p>
    <w:p w14:paraId="39AA4413" w14:textId="1811F314"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49150E">
        <w:rPr>
          <w:rFonts w:ascii="Arial" w:hAnsi="Arial" w:cs="Arial"/>
          <w:sz w:val="28"/>
          <w:szCs w:val="28"/>
          <w:lang w:val="nl-NL"/>
        </w:rPr>
        <w:t xml:space="preserve"> </w:t>
      </w:r>
      <w:r w:rsidR="0049150E" w:rsidRPr="0049150E">
        <w:rPr>
          <w:rFonts w:ascii="Arial" w:hAnsi="Arial" w:cs="Arial"/>
          <w:sz w:val="28"/>
          <w:szCs w:val="28"/>
          <w:lang w:val="nl-NL"/>
        </w:rPr>
        <w:t>2516659</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4BF29684"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49150E">
        <w:rPr>
          <w:rFonts w:ascii="Arial" w:hAnsi="Arial" w:cs="Arial"/>
          <w:sz w:val="28"/>
          <w:szCs w:val="28"/>
        </w:rPr>
        <w:t xml:space="preserve"> Mrs Caroline Salami</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1A1F840D" w14:textId="77777777" w:rsidR="00D71407" w:rsidRDefault="00D71407" w:rsidP="00A52B51">
      <w:pPr>
        <w:spacing w:line="360" w:lineRule="auto"/>
        <w:rPr>
          <w:rFonts w:asciiTheme="minorBidi" w:hAnsiTheme="minorBidi"/>
          <w:sz w:val="22"/>
        </w:rPr>
      </w:pPr>
    </w:p>
    <w:p w14:paraId="624B4505" w14:textId="77777777" w:rsidR="00D71407" w:rsidRDefault="00D71407" w:rsidP="00A52B51">
      <w:pPr>
        <w:spacing w:line="360" w:lineRule="auto"/>
        <w:rPr>
          <w:rFonts w:asciiTheme="minorBidi" w:hAnsiTheme="minorBidi"/>
          <w:sz w:val="22"/>
        </w:rPr>
      </w:pPr>
    </w:p>
    <w:p w14:paraId="32434DC0" w14:textId="77777777" w:rsidR="00D71407" w:rsidRDefault="00D71407" w:rsidP="00A52B51">
      <w:pPr>
        <w:spacing w:line="360" w:lineRule="auto"/>
        <w:rPr>
          <w:rFonts w:asciiTheme="minorBidi" w:hAnsiTheme="minorBidi"/>
          <w:sz w:val="22"/>
        </w:rPr>
      </w:pPr>
    </w:p>
    <w:p w14:paraId="3E9E40C6" w14:textId="77777777" w:rsidR="00D71407" w:rsidRDefault="00D71407" w:rsidP="00A52B51">
      <w:pPr>
        <w:spacing w:line="360" w:lineRule="auto"/>
        <w:rPr>
          <w:rFonts w:asciiTheme="minorBidi" w:hAnsiTheme="minorBidi"/>
          <w:sz w:val="22"/>
        </w:rPr>
      </w:pPr>
    </w:p>
    <w:p w14:paraId="05C74BAD" w14:textId="77777777" w:rsidR="00D71407" w:rsidRDefault="00D71407" w:rsidP="00A52B51">
      <w:pPr>
        <w:spacing w:line="360" w:lineRule="auto"/>
        <w:rPr>
          <w:rFonts w:asciiTheme="minorBidi" w:hAnsiTheme="minorBidi"/>
          <w:sz w:val="22"/>
        </w:rPr>
      </w:pPr>
    </w:p>
    <w:p w14:paraId="572728E4" w14:textId="77777777" w:rsidR="00D71407" w:rsidRDefault="00D71407" w:rsidP="00A52B51">
      <w:pPr>
        <w:spacing w:line="360" w:lineRule="auto"/>
        <w:rPr>
          <w:rFonts w:asciiTheme="minorBidi" w:hAnsiTheme="minorBidi"/>
          <w:sz w:val="22"/>
        </w:rPr>
      </w:pPr>
    </w:p>
    <w:p w14:paraId="22DD1C05" w14:textId="77777777" w:rsidR="00D71407" w:rsidRDefault="00D71407" w:rsidP="00A52B51">
      <w:pPr>
        <w:spacing w:line="360" w:lineRule="auto"/>
        <w:rPr>
          <w:rFonts w:asciiTheme="minorBidi" w:hAnsiTheme="minorBidi"/>
          <w:sz w:val="22"/>
        </w:rPr>
      </w:pPr>
    </w:p>
    <w:p w14:paraId="73F41CA2" w14:textId="77777777" w:rsidR="00D71407" w:rsidRDefault="00D71407" w:rsidP="00A52B51">
      <w:pPr>
        <w:spacing w:line="360" w:lineRule="auto"/>
        <w:rPr>
          <w:rFonts w:asciiTheme="minorBidi" w:hAnsiTheme="minorBidi"/>
          <w:sz w:val="22"/>
        </w:rPr>
      </w:pPr>
    </w:p>
    <w:p w14:paraId="25ED03AE" w14:textId="058FC2D8" w:rsidR="00D71407" w:rsidRDefault="00E27699" w:rsidP="00A52B51">
      <w:pPr>
        <w:spacing w:line="360" w:lineRule="auto"/>
        <w:rPr>
          <w:rFonts w:asciiTheme="minorBidi" w:hAnsiTheme="minorBidi"/>
          <w:sz w:val="22"/>
        </w:rPr>
      </w:pPr>
      <w:r>
        <w:rPr>
          <w:rFonts w:asciiTheme="minorBidi" w:hAnsiTheme="minorBidi"/>
          <w:sz w:val="22"/>
        </w:rPr>
        <w:t xml:space="preserve"> </w:t>
      </w:r>
    </w:p>
    <w:p w14:paraId="7034E5B2" w14:textId="77777777" w:rsidR="00046109" w:rsidRDefault="00046109" w:rsidP="00046109">
      <w:pPr>
        <w:spacing w:line="360" w:lineRule="auto"/>
        <w:rPr>
          <w:rFonts w:ascii="Arial" w:hAnsi="Arial" w:cs="Arial"/>
          <w:b/>
          <w:bCs/>
          <w:sz w:val="22"/>
        </w:rPr>
      </w:pPr>
      <w:r w:rsidRPr="00046109">
        <w:rPr>
          <w:rFonts w:ascii="Arial" w:hAnsi="Arial" w:cs="Arial"/>
          <w:b/>
          <w:bCs/>
          <w:sz w:val="22"/>
        </w:rPr>
        <w:lastRenderedPageBreak/>
        <w:t>Stroke: A Public Health Analysis of Measurement, Prevention, Impact and Care</w:t>
      </w:r>
    </w:p>
    <w:p w14:paraId="008467DA" w14:textId="77777777" w:rsidR="00A74586" w:rsidRPr="00046109" w:rsidRDefault="00A74586" w:rsidP="00046109">
      <w:pPr>
        <w:spacing w:line="360" w:lineRule="auto"/>
        <w:rPr>
          <w:rFonts w:ascii="Arial" w:hAnsi="Arial" w:cs="Arial"/>
          <w:b/>
          <w:bCs/>
          <w:sz w:val="22"/>
        </w:rPr>
      </w:pPr>
    </w:p>
    <w:p w14:paraId="385CCC8F" w14:textId="77777777" w:rsidR="00046109" w:rsidRPr="00046109" w:rsidRDefault="00046109" w:rsidP="00046109">
      <w:pPr>
        <w:spacing w:line="360" w:lineRule="auto"/>
        <w:rPr>
          <w:rFonts w:ascii="Arial" w:hAnsi="Arial" w:cs="Arial"/>
          <w:b/>
          <w:bCs/>
          <w:sz w:val="22"/>
        </w:rPr>
      </w:pPr>
      <w:r w:rsidRPr="00046109">
        <w:rPr>
          <w:rFonts w:ascii="Arial" w:hAnsi="Arial" w:cs="Arial"/>
          <w:b/>
          <w:bCs/>
          <w:sz w:val="22"/>
        </w:rPr>
        <w:t>Introduction</w:t>
      </w:r>
    </w:p>
    <w:p w14:paraId="3B464270" w14:textId="394B075B" w:rsidR="00A74586" w:rsidRPr="00046109" w:rsidRDefault="00046109" w:rsidP="00046109">
      <w:pPr>
        <w:spacing w:line="360" w:lineRule="auto"/>
        <w:rPr>
          <w:rFonts w:ascii="Arial" w:hAnsi="Arial" w:cs="Arial"/>
          <w:sz w:val="22"/>
        </w:rPr>
      </w:pPr>
      <w:r w:rsidRPr="00046109">
        <w:rPr>
          <w:rFonts w:ascii="Arial" w:hAnsi="Arial" w:cs="Arial"/>
          <w:sz w:val="22"/>
        </w:rPr>
        <w:t>A stroke occurs when the brain’s blood supply is abruptly disrupted, depriving neural tissue of oxygen and triggering rapid cellular injury (World Health Organization, 2023). Clinically, strokes are categorised into two principal forms: ischaemic strokes, which arise from vascular obstruction, and haemorrhagic strokes, which result from bleeding within or around the brain (Royal College of Physicians, 2023). Globally, stroke affects approximately 12 million people annually and causes around 6.5 million deaths, making it the second leading cause of death worldwide (World Health Organization, 2023). In the UK, approximately 100,000 new cases occur each year and an estimated 1.3 million people live with its long-term consequences (Stroke Association, 2024), underscoring its importance as a sustained public health priority. Stroke also exemplifies the Marmot principle that health inequalities are fundamentally a matter of social justice, as its distribution and outcomes are closely tied to structural conditions rather than biological risk alone.</w:t>
      </w:r>
    </w:p>
    <w:p w14:paraId="03A41970" w14:textId="77777777" w:rsidR="00046109" w:rsidRPr="00046109" w:rsidRDefault="00046109" w:rsidP="00046109">
      <w:pPr>
        <w:spacing w:line="360" w:lineRule="auto"/>
        <w:rPr>
          <w:rFonts w:ascii="Arial" w:hAnsi="Arial" w:cs="Arial"/>
          <w:b/>
          <w:bCs/>
          <w:sz w:val="22"/>
        </w:rPr>
      </w:pPr>
      <w:r w:rsidRPr="00046109">
        <w:rPr>
          <w:rFonts w:ascii="Arial" w:hAnsi="Arial" w:cs="Arial"/>
          <w:b/>
          <w:bCs/>
          <w:sz w:val="22"/>
        </w:rPr>
        <w:t>Signs and Symptoms</w:t>
      </w:r>
    </w:p>
    <w:p w14:paraId="4970A219" w14:textId="77777777" w:rsidR="00046109" w:rsidRPr="00046109" w:rsidRDefault="00046109" w:rsidP="00046109">
      <w:pPr>
        <w:spacing w:line="360" w:lineRule="auto"/>
        <w:rPr>
          <w:rFonts w:ascii="Arial" w:hAnsi="Arial" w:cs="Arial"/>
          <w:sz w:val="22"/>
        </w:rPr>
      </w:pPr>
      <w:r w:rsidRPr="00046109">
        <w:rPr>
          <w:rFonts w:ascii="Arial" w:hAnsi="Arial" w:cs="Arial"/>
          <w:sz w:val="22"/>
        </w:rPr>
        <w:t>Stroke symptoms typically emerge suddenly and may include unilateral weakness, facial asymmetry, speech impairment, visual disturbance, dizziness, or severe headache (NHS England, 2023). These signs underpin the FAST acronym (Face, Arms, Speech, Time), a central public health tool for promoting rapid recognition and emergency response. Timely intervention is critical, as treatment delays are strongly associated with increased neurological damage and poorer long-term outcomes. However, the reach of campaigns such as FAST is not uniform: health literacy, language barriers, and access to emergency services vary considerably across social groups. This reflects the Inverse Care Law, whereby those with the greatest need are often least likely to access timely care. As a result, universal awareness campaigns risk reinforcing inequalities unless adapted through targeted, culturally appropriate delivery strategies.</w:t>
      </w:r>
    </w:p>
    <w:p w14:paraId="01076CB5" w14:textId="77777777" w:rsidR="00046109" w:rsidRPr="00046109" w:rsidRDefault="00046109" w:rsidP="00046109">
      <w:pPr>
        <w:spacing w:line="360" w:lineRule="auto"/>
        <w:rPr>
          <w:rFonts w:ascii="Arial" w:hAnsi="Arial" w:cs="Arial"/>
          <w:sz w:val="22"/>
        </w:rPr>
      </w:pPr>
      <w:r w:rsidRPr="00046109">
        <w:rPr>
          <w:rFonts w:ascii="Arial" w:hAnsi="Arial" w:cs="Arial"/>
          <w:sz w:val="22"/>
        </w:rPr>
        <w:t>While rapid recognition is central to improving clinical outcomes, disparities in awareness and response times mean that patterns of presentation are unevenly distributed across populations, a trend that is subsequently reflected in national monitoring data and service performance metrics.</w:t>
      </w:r>
    </w:p>
    <w:p w14:paraId="14E20425" w14:textId="77777777" w:rsidR="00046109" w:rsidRPr="00046109" w:rsidRDefault="00046109" w:rsidP="00046109">
      <w:pPr>
        <w:spacing w:line="360" w:lineRule="auto"/>
        <w:rPr>
          <w:rFonts w:ascii="Arial" w:hAnsi="Arial" w:cs="Arial"/>
          <w:sz w:val="22"/>
        </w:rPr>
      </w:pPr>
      <w:r w:rsidRPr="00046109">
        <w:rPr>
          <w:rFonts w:ascii="Arial" w:hAnsi="Arial" w:cs="Arial"/>
          <w:sz w:val="22"/>
        </w:rPr>
        <w:t>This report examines how stroke is measured, monitored, and controlled; explores its determinants and consequences; and evaluates the strategies required to support individuals and communities.</w:t>
      </w:r>
    </w:p>
    <w:p w14:paraId="3DC5AF3F" w14:textId="77777777" w:rsidR="00046109" w:rsidRPr="00046109" w:rsidRDefault="00046109" w:rsidP="00046109">
      <w:pPr>
        <w:spacing w:line="360" w:lineRule="auto"/>
        <w:rPr>
          <w:rFonts w:ascii="Arial" w:hAnsi="Arial" w:cs="Arial"/>
          <w:b/>
          <w:bCs/>
          <w:sz w:val="22"/>
        </w:rPr>
      </w:pPr>
      <w:r w:rsidRPr="00046109">
        <w:rPr>
          <w:rFonts w:ascii="Arial" w:hAnsi="Arial" w:cs="Arial"/>
          <w:b/>
          <w:bCs/>
          <w:sz w:val="22"/>
        </w:rPr>
        <w:lastRenderedPageBreak/>
        <w:t>1. Measurement, Monitoring and Control of Stroke</w:t>
      </w:r>
    </w:p>
    <w:p w14:paraId="63E0E4E1" w14:textId="77777777" w:rsidR="00046109" w:rsidRPr="00046109" w:rsidRDefault="00046109" w:rsidP="00046109">
      <w:pPr>
        <w:spacing w:line="360" w:lineRule="auto"/>
        <w:rPr>
          <w:rFonts w:ascii="Arial" w:hAnsi="Arial" w:cs="Arial"/>
          <w:sz w:val="22"/>
        </w:rPr>
      </w:pPr>
      <w:r w:rsidRPr="00046109">
        <w:rPr>
          <w:rFonts w:ascii="Arial" w:hAnsi="Arial" w:cs="Arial"/>
          <w:sz w:val="22"/>
        </w:rPr>
        <w:t>Stroke surveillance relies on core epidemiological indicators: incidence, prevalence, morbidity, and mortality. These measures inform service planning and resource allocation while also shaping policy priorities by privileging outcomes that are most easily quantified. In the UK, the Sentinel Stroke National Audit Programme (SSNAP) provides the most comprehensive national dataset, collecting real-time information on treatment timelines, clinical processes, and patient outcomes across stroke services (NHS England, 2023). SSNAP has strengthened accountability and exposed unwarranted regional variation; however, persistent disparities indicate that data alone cannot drive equity. Without parallel investment in workforce capacity, infrastructure, and commissioning reform, audit systems risk functioning as descriptive rather than transformative tools.</w:t>
      </w:r>
    </w:p>
    <w:p w14:paraId="45B97DEE" w14:textId="77777777" w:rsidR="00046109" w:rsidRPr="00046109" w:rsidRDefault="00046109" w:rsidP="00046109">
      <w:pPr>
        <w:spacing w:line="360" w:lineRule="auto"/>
        <w:rPr>
          <w:rFonts w:ascii="Arial" w:hAnsi="Arial" w:cs="Arial"/>
          <w:sz w:val="22"/>
        </w:rPr>
      </w:pPr>
      <w:r w:rsidRPr="00046109">
        <w:rPr>
          <w:rFonts w:ascii="Arial" w:hAnsi="Arial" w:cs="Arial"/>
          <w:sz w:val="22"/>
        </w:rPr>
        <w:t>Clinical assessment tools such as the NIH Stroke Scale (NIHSS) and Modified Rankin Scale (</w:t>
      </w:r>
      <w:proofErr w:type="spellStart"/>
      <w:r w:rsidRPr="00046109">
        <w:rPr>
          <w:rFonts w:ascii="Arial" w:hAnsi="Arial" w:cs="Arial"/>
          <w:sz w:val="22"/>
        </w:rPr>
        <w:t>mRS</w:t>
      </w:r>
      <w:proofErr w:type="spellEnd"/>
      <w:r w:rsidRPr="00046109">
        <w:rPr>
          <w:rFonts w:ascii="Arial" w:hAnsi="Arial" w:cs="Arial"/>
          <w:sz w:val="22"/>
        </w:rPr>
        <w:t>) standardise evaluation of neurological impairment and recovery (Royal College of Physicians, 2023). Yet their focus on physical outcomes limits their ability to capture the full impact of stroke. McKevitt et al. (2011) identified enduring psychological and social needs among survivors, pointing to a mismatch between clinical measurement and lived experience. This reflects the continued dominance of the medical model over more holistic biopsychosocial approaches in long-term condition management.</w:t>
      </w:r>
    </w:p>
    <w:p w14:paraId="7820E667" w14:textId="77777777" w:rsidR="00046109" w:rsidRPr="00046109" w:rsidRDefault="00046109" w:rsidP="00046109">
      <w:pPr>
        <w:spacing w:line="360" w:lineRule="auto"/>
        <w:rPr>
          <w:rFonts w:ascii="Arial" w:hAnsi="Arial" w:cs="Arial"/>
          <w:sz w:val="22"/>
        </w:rPr>
      </w:pPr>
      <w:r w:rsidRPr="00046109">
        <w:rPr>
          <w:rFonts w:ascii="Arial" w:hAnsi="Arial" w:cs="Arial"/>
          <w:sz w:val="22"/>
        </w:rPr>
        <w:t>Access to diagnostic imaging and specialist interventions, including mechanical thrombectomy, also varies geographically, contributing to unequal outcomes (NHS England, 2023). Evidence suggests that patients in rural or deprived areas are less likely to access hyperacute stroke units within recommended timeframes, indicating that geography remains a significant determinant of survival and recovery.</w:t>
      </w:r>
    </w:p>
    <w:p w14:paraId="2134008B" w14:textId="77777777" w:rsidR="00046109" w:rsidRPr="00046109" w:rsidRDefault="00046109" w:rsidP="00046109">
      <w:pPr>
        <w:spacing w:line="360" w:lineRule="auto"/>
        <w:rPr>
          <w:rFonts w:ascii="Arial" w:hAnsi="Arial" w:cs="Arial"/>
          <w:sz w:val="22"/>
        </w:rPr>
      </w:pPr>
      <w:r w:rsidRPr="00046109">
        <w:rPr>
          <w:rFonts w:ascii="Arial" w:hAnsi="Arial" w:cs="Arial"/>
          <w:sz w:val="22"/>
        </w:rPr>
        <w:t>Stroke control is framed through the three Ps of public health: prevention, protection, and promotion. Primary prevention targets modifiable risk factors through NHS Health Checks and cardiovascular risk management (Public Health England, 2022). Secondary prevention involves pharmacological treatment and rehabilitation following stroke or transient ischaemic attack (NICE, 2022). Protection includes structural measures such as tobacco legislation, salt reduction policies, and hyperacute stroke unit provision, while promotion focuses on awareness campaigns such as FAST. However, the effectiveness of these strategies depends on consistent implementation. In practice, variation in service availability and uptake means that benefits are distributed unevenly, reinforcing rather than reducing inequalities.</w:t>
      </w:r>
    </w:p>
    <w:p w14:paraId="6305A98A" w14:textId="77777777" w:rsidR="00046109" w:rsidRPr="00046109" w:rsidRDefault="00046109" w:rsidP="00046109">
      <w:pPr>
        <w:spacing w:line="360" w:lineRule="auto"/>
        <w:rPr>
          <w:rFonts w:ascii="Arial" w:hAnsi="Arial" w:cs="Arial"/>
          <w:sz w:val="22"/>
        </w:rPr>
      </w:pPr>
      <w:r w:rsidRPr="00046109">
        <w:rPr>
          <w:rFonts w:ascii="Arial" w:hAnsi="Arial" w:cs="Arial"/>
          <w:sz w:val="22"/>
        </w:rPr>
        <w:lastRenderedPageBreak/>
        <w:t>These observed variations in treatment access and outcomes cannot be fully understood through clinical metrics alone, as they are closely shaped by the unequal distribution of underlying risk factors across different social and demographic groups.</w:t>
      </w:r>
    </w:p>
    <w:p w14:paraId="24E10C42" w14:textId="77777777" w:rsidR="00046109" w:rsidRPr="00046109" w:rsidRDefault="00046109" w:rsidP="00046109">
      <w:pPr>
        <w:spacing w:line="360" w:lineRule="auto"/>
        <w:rPr>
          <w:rFonts w:ascii="Arial" w:hAnsi="Arial" w:cs="Arial"/>
          <w:sz w:val="22"/>
        </w:rPr>
      </w:pPr>
    </w:p>
    <w:p w14:paraId="6B45F330" w14:textId="77777777" w:rsidR="00046109" w:rsidRPr="00046109" w:rsidRDefault="00046109" w:rsidP="00046109">
      <w:pPr>
        <w:spacing w:line="360" w:lineRule="auto"/>
        <w:rPr>
          <w:rFonts w:ascii="Arial" w:hAnsi="Arial" w:cs="Arial"/>
          <w:b/>
          <w:bCs/>
          <w:sz w:val="22"/>
        </w:rPr>
      </w:pPr>
      <w:r w:rsidRPr="00046109">
        <w:rPr>
          <w:rFonts w:ascii="Arial" w:hAnsi="Arial" w:cs="Arial"/>
          <w:b/>
          <w:bCs/>
          <w:sz w:val="22"/>
        </w:rPr>
        <w:t>2. Determinants and Risk Factors</w:t>
      </w:r>
    </w:p>
    <w:p w14:paraId="758F7364" w14:textId="77777777" w:rsidR="00046109" w:rsidRPr="00046109" w:rsidRDefault="00046109" w:rsidP="00046109">
      <w:pPr>
        <w:spacing w:line="360" w:lineRule="auto"/>
        <w:rPr>
          <w:rFonts w:ascii="Arial" w:hAnsi="Arial" w:cs="Arial"/>
          <w:sz w:val="22"/>
        </w:rPr>
      </w:pPr>
      <w:r w:rsidRPr="00046109">
        <w:rPr>
          <w:rFonts w:ascii="Arial" w:hAnsi="Arial" w:cs="Arial"/>
          <w:sz w:val="22"/>
        </w:rPr>
        <w:t>Stroke risk is shaped by both non-modifiable and modifiable factors. Non-modifiable determinants include age, biological sex, genetic predisposition, and ethnicity. In the UK, Black African and Black Caribbean populations experience higher stroke incidence, partly linked to increased prevalence of hypertension (Feigin et al., 2021). These disparities reflect the interaction between biological susceptibility and wider social conditions.</w:t>
      </w:r>
    </w:p>
    <w:p w14:paraId="1B4AC661" w14:textId="32CBD167" w:rsidR="00046109" w:rsidRPr="00046109" w:rsidRDefault="00046109" w:rsidP="00046109">
      <w:pPr>
        <w:spacing w:line="360" w:lineRule="auto"/>
        <w:rPr>
          <w:rFonts w:ascii="Arial" w:hAnsi="Arial" w:cs="Arial"/>
          <w:sz w:val="22"/>
        </w:rPr>
      </w:pPr>
      <w:r w:rsidRPr="00046109">
        <w:rPr>
          <w:rFonts w:ascii="Arial" w:hAnsi="Arial" w:cs="Arial"/>
          <w:sz w:val="22"/>
        </w:rPr>
        <w:t xml:space="preserve">Modifiable risk factors include hypertension — responsible for approximately 54% of stroke-attributable risk globally (Feigin et al., 2021) — alongside atrial fibrillation, diabetes, hypercholesterolaemia, smoking, excessive alcohol consumption, obesity, and physical inactivity (Public Health England, 2022). Psychosocial factors such as chronic stress and social isolation further </w:t>
      </w:r>
      <w:r w:rsidR="00DF441F" w:rsidRPr="00046109">
        <w:rPr>
          <w:rFonts w:ascii="Arial" w:hAnsi="Arial" w:cs="Arial"/>
          <w:sz w:val="22"/>
        </w:rPr>
        <w:t>increased</w:t>
      </w:r>
      <w:r w:rsidRPr="00046109">
        <w:rPr>
          <w:rFonts w:ascii="Arial" w:hAnsi="Arial" w:cs="Arial"/>
          <w:sz w:val="22"/>
        </w:rPr>
        <w:t xml:space="preserve"> risk.</w:t>
      </w:r>
    </w:p>
    <w:p w14:paraId="1EA9453E" w14:textId="77777777" w:rsidR="00046109" w:rsidRPr="00046109" w:rsidRDefault="00046109" w:rsidP="00046109">
      <w:pPr>
        <w:spacing w:line="360" w:lineRule="auto"/>
        <w:rPr>
          <w:rFonts w:ascii="Arial" w:hAnsi="Arial" w:cs="Arial"/>
          <w:sz w:val="22"/>
        </w:rPr>
      </w:pPr>
      <w:r w:rsidRPr="00046109">
        <w:rPr>
          <w:rFonts w:ascii="Arial" w:hAnsi="Arial" w:cs="Arial"/>
          <w:sz w:val="22"/>
        </w:rPr>
        <w:t>These risk factors are socially patterned. Individuals in the most deprived areas are more likely to experience stroke at a younger age and experience poorer outcomes, reflecting a clear social gradient in health. This aligns with Marmot’s theory of health inequalities and fundamental cause theory, which emphasise that socioeconomic conditions shape both exposure to risk and access to protective resources. Consequently, prevention strategies that focus solely on individual behaviour change fail to address the underlying drivers of risk. Effective reduction in stroke incidence requires upstream interventions targeting housing, income, education, and access to healthcare.</w:t>
      </w:r>
    </w:p>
    <w:p w14:paraId="5ED2125F" w14:textId="77777777" w:rsidR="00046109" w:rsidRPr="00046109" w:rsidRDefault="00046109" w:rsidP="00046109">
      <w:pPr>
        <w:spacing w:line="360" w:lineRule="auto"/>
        <w:rPr>
          <w:rFonts w:ascii="Arial" w:hAnsi="Arial" w:cs="Arial"/>
          <w:sz w:val="22"/>
        </w:rPr>
      </w:pPr>
      <w:r w:rsidRPr="00046109">
        <w:rPr>
          <w:rFonts w:ascii="Arial" w:hAnsi="Arial" w:cs="Arial"/>
          <w:sz w:val="22"/>
        </w:rPr>
        <w:t>As a result, the same structural inequalities that influence stroke risk also shape the severity of outcomes and the capacity for recovery, reinforcing a cumulative pattern of disadvantage across the disease pathway.</w:t>
      </w:r>
    </w:p>
    <w:p w14:paraId="607E5EEF" w14:textId="77777777" w:rsidR="00046109" w:rsidRPr="00046109" w:rsidRDefault="00046109" w:rsidP="00046109">
      <w:pPr>
        <w:spacing w:line="360" w:lineRule="auto"/>
        <w:rPr>
          <w:rFonts w:ascii="Arial" w:hAnsi="Arial" w:cs="Arial"/>
          <w:sz w:val="22"/>
        </w:rPr>
      </w:pPr>
    </w:p>
    <w:p w14:paraId="3C179EDA" w14:textId="77777777" w:rsidR="00046109" w:rsidRPr="00046109" w:rsidRDefault="00046109" w:rsidP="00046109">
      <w:pPr>
        <w:spacing w:line="360" w:lineRule="auto"/>
        <w:rPr>
          <w:rFonts w:ascii="Arial" w:hAnsi="Arial" w:cs="Arial"/>
          <w:b/>
          <w:bCs/>
          <w:sz w:val="22"/>
        </w:rPr>
      </w:pPr>
      <w:r w:rsidRPr="00046109">
        <w:rPr>
          <w:rFonts w:ascii="Arial" w:hAnsi="Arial" w:cs="Arial"/>
          <w:b/>
          <w:bCs/>
          <w:sz w:val="22"/>
        </w:rPr>
        <w:t>3. Consequences of Stroke</w:t>
      </w:r>
    </w:p>
    <w:p w14:paraId="7135F0F3" w14:textId="77777777" w:rsidR="00046109" w:rsidRPr="00046109" w:rsidRDefault="00046109" w:rsidP="00046109">
      <w:pPr>
        <w:spacing w:line="360" w:lineRule="auto"/>
        <w:rPr>
          <w:rFonts w:ascii="Arial" w:hAnsi="Arial" w:cs="Arial"/>
          <w:sz w:val="22"/>
        </w:rPr>
      </w:pPr>
      <w:r w:rsidRPr="00046109">
        <w:rPr>
          <w:rFonts w:ascii="Arial" w:hAnsi="Arial" w:cs="Arial"/>
          <w:sz w:val="22"/>
        </w:rPr>
        <w:t>In the acute phase, stroke commonly produces paralysis, dysphagia, sensory loss, and reduced independence, requiring urgent intervention (Royal College of Physicians, 2023). Long-term outcomes are equally significant. Around 40% of UK survivors experience moderate to severe disability (Stroke Association, 2024), limiting independence and employment opportunities.</w:t>
      </w:r>
    </w:p>
    <w:p w14:paraId="3D699FBA" w14:textId="70D51BAA" w:rsidR="00046109" w:rsidRPr="00046109" w:rsidRDefault="00046109" w:rsidP="00046109">
      <w:pPr>
        <w:spacing w:line="360" w:lineRule="auto"/>
        <w:rPr>
          <w:rFonts w:ascii="Arial" w:hAnsi="Arial" w:cs="Arial"/>
          <w:sz w:val="22"/>
        </w:rPr>
      </w:pPr>
      <w:r w:rsidRPr="00046109">
        <w:rPr>
          <w:rFonts w:ascii="Arial" w:hAnsi="Arial" w:cs="Arial"/>
          <w:sz w:val="22"/>
        </w:rPr>
        <w:lastRenderedPageBreak/>
        <w:t xml:space="preserve">Psychological consequences are substantial. Post-stroke depression affects approximately </w:t>
      </w:r>
      <w:r w:rsidR="00DF441F">
        <w:rPr>
          <w:rFonts w:ascii="Arial" w:hAnsi="Arial" w:cs="Arial"/>
          <w:sz w:val="22"/>
        </w:rPr>
        <w:t>one-third</w:t>
      </w:r>
      <w:r w:rsidRPr="00046109">
        <w:rPr>
          <w:rFonts w:ascii="Arial" w:hAnsi="Arial" w:cs="Arial"/>
          <w:sz w:val="22"/>
        </w:rPr>
        <w:t xml:space="preserve"> of survivors and is associated with poorer recovery and increased readmission (NICE, 2022), yet remains underdiagnosed. Cognitive impairment, including vascular dementia, further complicates rehabilitation. McKevitt et al. (2011) found that unmet psychological and social needs persist for years, indicating that current care pathways remain insufficiently responsive to long-term recovery needs.</w:t>
      </w:r>
    </w:p>
    <w:p w14:paraId="18216961" w14:textId="33375159" w:rsidR="00046109" w:rsidRPr="00046109" w:rsidRDefault="00046109" w:rsidP="00046109">
      <w:pPr>
        <w:spacing w:line="360" w:lineRule="auto"/>
        <w:rPr>
          <w:rFonts w:ascii="Arial" w:hAnsi="Arial" w:cs="Arial"/>
          <w:sz w:val="22"/>
        </w:rPr>
      </w:pPr>
      <w:r w:rsidRPr="00046109">
        <w:rPr>
          <w:rFonts w:ascii="Arial" w:hAnsi="Arial" w:cs="Arial"/>
          <w:sz w:val="22"/>
        </w:rPr>
        <w:t xml:space="preserve">Stroke also imposes </w:t>
      </w:r>
      <w:r w:rsidR="00420191">
        <w:rPr>
          <w:rFonts w:ascii="Arial" w:hAnsi="Arial" w:cs="Arial"/>
          <w:sz w:val="22"/>
        </w:rPr>
        <w:t xml:space="preserve">a </w:t>
      </w:r>
      <w:r w:rsidRPr="00046109">
        <w:rPr>
          <w:rFonts w:ascii="Arial" w:hAnsi="Arial" w:cs="Arial"/>
          <w:sz w:val="22"/>
        </w:rPr>
        <w:t>considerable economic and system-level burden. It accounts for around 5% of NHS hospital expenditure and contributes significantly to bed occupancy (Stroke Association, 2024), with an estimated annual cost of £26 billion. Delayed or fragmented care increases long-term costs, highlighting the economic rationale for prevention and early intervention.</w:t>
      </w:r>
    </w:p>
    <w:p w14:paraId="54D47AAA" w14:textId="77777777" w:rsidR="00046109" w:rsidRPr="00046109" w:rsidRDefault="00046109" w:rsidP="00046109">
      <w:pPr>
        <w:spacing w:line="360" w:lineRule="auto"/>
        <w:rPr>
          <w:rFonts w:ascii="Arial" w:hAnsi="Arial" w:cs="Arial"/>
          <w:sz w:val="22"/>
        </w:rPr>
      </w:pPr>
      <w:r w:rsidRPr="00046109">
        <w:rPr>
          <w:rFonts w:ascii="Arial" w:hAnsi="Arial" w:cs="Arial"/>
          <w:sz w:val="22"/>
        </w:rPr>
        <w:t>Recovery is shaped by structural factors, including access to rehabilitation, socioeconomic resources, and availability of informal care. Informal carers play a critical role but often receive limited support, leading to negative impacts on their own health and employment. These dynamics reinforce existing inequalities, with disadvantaged populations experiencing poorer recovery trajectories.</w:t>
      </w:r>
    </w:p>
    <w:p w14:paraId="7672B015" w14:textId="77777777" w:rsidR="00046109" w:rsidRPr="00046109" w:rsidRDefault="00046109" w:rsidP="00046109">
      <w:pPr>
        <w:spacing w:line="360" w:lineRule="auto"/>
        <w:rPr>
          <w:rFonts w:ascii="Arial" w:hAnsi="Arial" w:cs="Arial"/>
          <w:sz w:val="22"/>
        </w:rPr>
      </w:pPr>
      <w:r w:rsidRPr="00046109">
        <w:rPr>
          <w:rFonts w:ascii="Arial" w:hAnsi="Arial" w:cs="Arial"/>
          <w:sz w:val="22"/>
        </w:rPr>
        <w:t>These enduring physical, psychological, and socioeconomic impacts expose the limitations of reactive care models and strengthen the case for integrated, system-level responses that address both clinical needs and the wider determinants of health.</w:t>
      </w:r>
    </w:p>
    <w:p w14:paraId="6720AABF" w14:textId="77777777" w:rsidR="00046109" w:rsidRPr="00046109" w:rsidRDefault="00046109" w:rsidP="00046109">
      <w:pPr>
        <w:spacing w:line="360" w:lineRule="auto"/>
        <w:rPr>
          <w:rFonts w:ascii="Arial" w:hAnsi="Arial" w:cs="Arial"/>
          <w:sz w:val="22"/>
        </w:rPr>
      </w:pPr>
    </w:p>
    <w:p w14:paraId="28DA1E26" w14:textId="77777777" w:rsidR="00046109" w:rsidRPr="00046109" w:rsidRDefault="00046109" w:rsidP="00046109">
      <w:pPr>
        <w:spacing w:line="360" w:lineRule="auto"/>
        <w:rPr>
          <w:rFonts w:ascii="Arial" w:hAnsi="Arial" w:cs="Arial"/>
          <w:b/>
          <w:bCs/>
          <w:sz w:val="22"/>
        </w:rPr>
      </w:pPr>
      <w:r w:rsidRPr="00046109">
        <w:rPr>
          <w:rFonts w:ascii="Arial" w:hAnsi="Arial" w:cs="Arial"/>
          <w:b/>
          <w:bCs/>
          <w:sz w:val="22"/>
        </w:rPr>
        <w:t>4. Strategies to Support Individuals and Communities</w:t>
      </w:r>
    </w:p>
    <w:p w14:paraId="52C36FD8" w14:textId="77777777" w:rsidR="00046109" w:rsidRPr="00046109" w:rsidRDefault="00046109" w:rsidP="00046109">
      <w:pPr>
        <w:spacing w:line="360" w:lineRule="auto"/>
        <w:rPr>
          <w:rFonts w:ascii="Arial" w:hAnsi="Arial" w:cs="Arial"/>
          <w:sz w:val="22"/>
        </w:rPr>
      </w:pPr>
      <w:r w:rsidRPr="00046109">
        <w:rPr>
          <w:rFonts w:ascii="Arial" w:hAnsi="Arial" w:cs="Arial"/>
          <w:sz w:val="22"/>
        </w:rPr>
        <w:t>Effective stroke care requires coordinated, person-centred approaches across the care pathway. Multidisciplinary team (MDT) working integrates medical, therapeutic, and social care input, improving outcomes and reducing mortality (Langhorne, Bernhardt and Kwakkel, 2011). However, MDT effectiveness depends on adequate staffing and coordination, both of which remain uneven across regions.</w:t>
      </w:r>
    </w:p>
    <w:p w14:paraId="2EA69BB8" w14:textId="77777777" w:rsidR="00046109" w:rsidRPr="00046109" w:rsidRDefault="00046109" w:rsidP="00046109">
      <w:pPr>
        <w:spacing w:line="360" w:lineRule="auto"/>
        <w:rPr>
          <w:rFonts w:ascii="Arial" w:hAnsi="Arial" w:cs="Arial"/>
          <w:sz w:val="22"/>
        </w:rPr>
      </w:pPr>
      <w:r w:rsidRPr="00046109">
        <w:rPr>
          <w:rFonts w:ascii="Arial" w:hAnsi="Arial" w:cs="Arial"/>
          <w:sz w:val="22"/>
        </w:rPr>
        <w:t>Early Supported Discharge (ESD) enables continued rehabilitation at home and improves independence, yet access remains inconsistent. NICE (2022) recommends at least 45 minutes of therapy daily, though workforce shortages mean this is not consistently achieved. This gap between policy and practice reflects broader systemic pressures within the NHS.</w:t>
      </w:r>
    </w:p>
    <w:p w14:paraId="48B0AB0C" w14:textId="77777777" w:rsidR="00046109" w:rsidRPr="00046109" w:rsidRDefault="00046109" w:rsidP="00046109">
      <w:pPr>
        <w:spacing w:line="360" w:lineRule="auto"/>
        <w:rPr>
          <w:rFonts w:ascii="Arial" w:hAnsi="Arial" w:cs="Arial"/>
          <w:sz w:val="22"/>
        </w:rPr>
      </w:pPr>
      <w:r w:rsidRPr="00046109">
        <w:rPr>
          <w:rFonts w:ascii="Arial" w:hAnsi="Arial" w:cs="Arial"/>
          <w:sz w:val="22"/>
        </w:rPr>
        <w:t xml:space="preserve">In community settings, general practitioners coordinate secondary prevention, while social care services support independence. Social workers address structural barriers such as </w:t>
      </w:r>
      <w:r w:rsidRPr="00046109">
        <w:rPr>
          <w:rFonts w:ascii="Arial" w:hAnsi="Arial" w:cs="Arial"/>
          <w:sz w:val="22"/>
        </w:rPr>
        <w:lastRenderedPageBreak/>
        <w:t>housing and financial support. Voluntary organisations provide additional psychosocial support, though reliance on these services highlights gaps in formal provision.</w:t>
      </w:r>
    </w:p>
    <w:p w14:paraId="3C9ED6F5" w14:textId="77777777" w:rsidR="00046109" w:rsidRPr="00046109" w:rsidRDefault="00046109" w:rsidP="00046109">
      <w:pPr>
        <w:spacing w:line="360" w:lineRule="auto"/>
        <w:rPr>
          <w:rFonts w:ascii="Arial" w:hAnsi="Arial" w:cs="Arial"/>
          <w:sz w:val="22"/>
        </w:rPr>
      </w:pPr>
      <w:r w:rsidRPr="00046109">
        <w:rPr>
          <w:rFonts w:ascii="Arial" w:hAnsi="Arial" w:cs="Arial"/>
          <w:sz w:val="22"/>
        </w:rPr>
        <w:t>At a population level, interventions such as NHS Health Checks and cardiovascular prevention programmes aim to reduce risk. However, their impact depends on targeted delivery. The principle of proportionate universalism — allocating resources according to need — offers a more effective framework for reducing inequalities than uniform service provision.</w:t>
      </w:r>
    </w:p>
    <w:p w14:paraId="5DDBC143" w14:textId="77777777" w:rsidR="00046109" w:rsidRPr="00046109" w:rsidRDefault="00046109" w:rsidP="00046109">
      <w:pPr>
        <w:spacing w:line="360" w:lineRule="auto"/>
        <w:rPr>
          <w:rFonts w:ascii="Arial" w:hAnsi="Arial" w:cs="Arial"/>
          <w:sz w:val="22"/>
        </w:rPr>
      </w:pPr>
    </w:p>
    <w:p w14:paraId="34A9488D" w14:textId="4D520021" w:rsidR="00046109" w:rsidRPr="00046109" w:rsidRDefault="00046109" w:rsidP="00046109">
      <w:pPr>
        <w:spacing w:line="360" w:lineRule="auto"/>
        <w:rPr>
          <w:rFonts w:ascii="Arial" w:hAnsi="Arial" w:cs="Arial"/>
          <w:b/>
          <w:bCs/>
          <w:sz w:val="22"/>
        </w:rPr>
      </w:pPr>
      <w:r w:rsidRPr="00046109">
        <w:rPr>
          <w:rFonts w:ascii="Arial" w:hAnsi="Arial" w:cs="Arial"/>
          <w:b/>
          <w:bCs/>
          <w:sz w:val="22"/>
        </w:rPr>
        <w:t>Conclusion</w:t>
      </w:r>
    </w:p>
    <w:p w14:paraId="5D511101" w14:textId="77777777" w:rsidR="00046109" w:rsidRPr="00046109" w:rsidRDefault="00046109" w:rsidP="00046109">
      <w:pPr>
        <w:spacing w:line="360" w:lineRule="auto"/>
        <w:rPr>
          <w:rFonts w:ascii="Arial" w:hAnsi="Arial" w:cs="Arial"/>
          <w:sz w:val="22"/>
        </w:rPr>
      </w:pPr>
      <w:r w:rsidRPr="00046109">
        <w:rPr>
          <w:rFonts w:ascii="Arial" w:hAnsi="Arial" w:cs="Arial"/>
          <w:sz w:val="22"/>
        </w:rPr>
        <w:t>Taken together, the evidence indicates that stroke is not simply a clinical event but a socially patterned condition, in which risk, access to care, and recovery outcomes are structured by wider inequalities embedded within the health system.</w:t>
      </w:r>
    </w:p>
    <w:p w14:paraId="0A062DA8" w14:textId="77777777" w:rsidR="00046109" w:rsidRPr="00046109" w:rsidRDefault="00046109" w:rsidP="00046109">
      <w:pPr>
        <w:spacing w:line="360" w:lineRule="auto"/>
        <w:rPr>
          <w:rFonts w:ascii="Arial" w:hAnsi="Arial" w:cs="Arial"/>
          <w:sz w:val="22"/>
        </w:rPr>
      </w:pPr>
      <w:r w:rsidRPr="00046109">
        <w:rPr>
          <w:rFonts w:ascii="Arial" w:hAnsi="Arial" w:cs="Arial"/>
          <w:sz w:val="22"/>
        </w:rPr>
        <w:t>Stroke represents a complex public health challenge shaped by the interaction of clinical, social, and structural factors. While monitoring systems such as SSNAP have improved transparency and accountability, persistent regional variation indicates that current approaches remain insufficient to achieve equitable outcomes.</w:t>
      </w:r>
    </w:p>
    <w:p w14:paraId="2A1234CA" w14:textId="77777777" w:rsidR="00046109" w:rsidRPr="00046109" w:rsidRDefault="00046109" w:rsidP="00046109">
      <w:pPr>
        <w:spacing w:line="360" w:lineRule="auto"/>
        <w:rPr>
          <w:rFonts w:ascii="Arial" w:hAnsi="Arial" w:cs="Arial"/>
          <w:sz w:val="22"/>
        </w:rPr>
      </w:pPr>
      <w:r w:rsidRPr="00046109">
        <w:rPr>
          <w:rFonts w:ascii="Arial" w:hAnsi="Arial" w:cs="Arial"/>
          <w:sz w:val="22"/>
        </w:rPr>
        <w:t>The distribution of risk factors, particularly hypertension, reflects broader socioeconomic inequalities, while the long-term consequences of stroke place sustained pressure on individuals, carers, and health systems. Current strategies remain constrained by a continued emphasis on downstream intervention rather than upstream prevention.</w:t>
      </w:r>
    </w:p>
    <w:p w14:paraId="177FEA0C" w14:textId="77777777" w:rsidR="00046109" w:rsidRPr="00046109" w:rsidRDefault="00046109" w:rsidP="00046109">
      <w:pPr>
        <w:spacing w:line="360" w:lineRule="auto"/>
        <w:rPr>
          <w:rFonts w:ascii="Arial" w:hAnsi="Arial" w:cs="Arial"/>
          <w:sz w:val="22"/>
        </w:rPr>
      </w:pPr>
      <w:r w:rsidRPr="00046109">
        <w:rPr>
          <w:rFonts w:ascii="Arial" w:hAnsi="Arial" w:cs="Arial"/>
          <w:sz w:val="22"/>
        </w:rPr>
        <w:t>Four priorities emerge. First, enforceable national commissioning standards are required to reduce regional inequalities in access to rehabilitation and specialist services. Second, psychological assessment must be systematically integrated into stroke pathways to address long-term unmet needs. Third, prevention strategies should prioritise structural determinants in deprived communities, consistent with proportionate universalism. Fourth, formal recognition and support for informal carers must be embedded within care planning.</w:t>
      </w:r>
    </w:p>
    <w:p w14:paraId="577B2C43" w14:textId="77777777" w:rsidR="00046109" w:rsidRDefault="00046109" w:rsidP="00046109">
      <w:pPr>
        <w:pStyle w:val="Heading1"/>
      </w:pPr>
    </w:p>
    <w:p w14:paraId="6436D9A3" w14:textId="77777777" w:rsidR="00E116C3" w:rsidRPr="00E116C3" w:rsidRDefault="00E116C3" w:rsidP="00E116C3"/>
    <w:p w14:paraId="4D11C380" w14:textId="77777777" w:rsidR="00046109" w:rsidRPr="00046109" w:rsidRDefault="00046109" w:rsidP="00046109">
      <w:pPr>
        <w:pStyle w:val="Heading1"/>
      </w:pPr>
    </w:p>
    <w:p w14:paraId="55964A1A" w14:textId="77777777" w:rsidR="00046109" w:rsidRPr="00046109" w:rsidRDefault="00046109" w:rsidP="00046109">
      <w:pPr>
        <w:pStyle w:val="Heading1"/>
      </w:pPr>
    </w:p>
    <w:p w14:paraId="08A0C343" w14:textId="77777777" w:rsidR="00A74586" w:rsidRDefault="00A74586" w:rsidP="00046109">
      <w:pPr>
        <w:tabs>
          <w:tab w:val="left" w:pos="6540"/>
        </w:tabs>
        <w:spacing w:line="360" w:lineRule="auto"/>
        <w:rPr>
          <w:rFonts w:ascii="Arial" w:hAnsi="Arial" w:cs="Arial"/>
          <w:b/>
          <w:bCs/>
          <w:sz w:val="22"/>
        </w:rPr>
      </w:pPr>
    </w:p>
    <w:p w14:paraId="46705ECE" w14:textId="77777777" w:rsidR="00A74586" w:rsidRDefault="00A74586" w:rsidP="00046109">
      <w:pPr>
        <w:tabs>
          <w:tab w:val="left" w:pos="6540"/>
        </w:tabs>
        <w:spacing w:line="360" w:lineRule="auto"/>
        <w:rPr>
          <w:rFonts w:ascii="Arial" w:hAnsi="Arial" w:cs="Arial"/>
          <w:b/>
          <w:bCs/>
          <w:sz w:val="22"/>
        </w:rPr>
      </w:pPr>
    </w:p>
    <w:p w14:paraId="4487E5C9" w14:textId="1A6F99EA" w:rsidR="00E371AB" w:rsidRDefault="00E371AB" w:rsidP="00046109">
      <w:pPr>
        <w:tabs>
          <w:tab w:val="left" w:pos="6540"/>
        </w:tabs>
        <w:spacing w:line="360" w:lineRule="auto"/>
        <w:rPr>
          <w:rFonts w:ascii="Arial" w:hAnsi="Arial" w:cs="Arial"/>
          <w:b/>
          <w:bCs/>
          <w:sz w:val="22"/>
        </w:rPr>
      </w:pPr>
      <w:r w:rsidRPr="00E371AB">
        <w:rPr>
          <w:rFonts w:ascii="Arial" w:hAnsi="Arial" w:cs="Arial"/>
          <w:b/>
          <w:bCs/>
          <w:sz w:val="22"/>
        </w:rPr>
        <w:lastRenderedPageBreak/>
        <w:t>References</w:t>
      </w:r>
    </w:p>
    <w:p w14:paraId="75262733" w14:textId="77777777" w:rsidR="00D273F3" w:rsidRPr="00E371AB" w:rsidRDefault="00D273F3" w:rsidP="00046109">
      <w:pPr>
        <w:tabs>
          <w:tab w:val="left" w:pos="6540"/>
        </w:tabs>
        <w:spacing w:line="360" w:lineRule="auto"/>
        <w:rPr>
          <w:rFonts w:ascii="Arial" w:hAnsi="Arial" w:cs="Arial"/>
          <w:b/>
          <w:bCs/>
          <w:sz w:val="22"/>
        </w:rPr>
      </w:pPr>
    </w:p>
    <w:p w14:paraId="30395FA3" w14:textId="29E03826" w:rsidR="008E56C1" w:rsidRDefault="008E56C1" w:rsidP="00046109">
      <w:pPr>
        <w:tabs>
          <w:tab w:val="left" w:pos="6540"/>
        </w:tabs>
        <w:spacing w:line="360" w:lineRule="auto"/>
        <w:rPr>
          <w:rFonts w:ascii="Arial" w:hAnsi="Arial" w:cs="Arial"/>
          <w:sz w:val="22"/>
        </w:rPr>
      </w:pPr>
      <w:r w:rsidRPr="00046109">
        <w:rPr>
          <w:rFonts w:ascii="Arial" w:hAnsi="Arial" w:cs="Arial"/>
          <w:sz w:val="22"/>
        </w:rPr>
        <w:t xml:space="preserve">Feigin, V.L. et al. (2021) ‘Global, regional, and national burden of stroke and its risk factors, 1990–2019’, </w:t>
      </w:r>
      <w:r w:rsidRPr="00185406">
        <w:rPr>
          <w:rFonts w:ascii="Arial" w:hAnsi="Arial" w:cs="Arial"/>
          <w:i/>
          <w:iCs/>
          <w:sz w:val="22"/>
        </w:rPr>
        <w:t>The Lancet Neurology</w:t>
      </w:r>
      <w:r w:rsidRPr="00046109">
        <w:rPr>
          <w:rFonts w:ascii="Arial" w:hAnsi="Arial" w:cs="Arial"/>
          <w:sz w:val="22"/>
        </w:rPr>
        <w:t>, 20(10), pp. 795–820. Available at: https://doi.org/10.1016/S1474-4422(21)00252-0</w:t>
      </w:r>
      <w:r w:rsidRPr="00046109">
        <w:rPr>
          <w:rFonts w:ascii="Segoe UI Symbol" w:hAnsi="Segoe UI Symbol" w:cs="Segoe UI Symbol"/>
          <w:sz w:val="22"/>
        </w:rPr>
        <w:t>⁠</w:t>
      </w:r>
      <w:r w:rsidR="00B6191C">
        <w:rPr>
          <w:rFonts w:ascii="Arial" w:hAnsi="Arial" w:cs="Arial"/>
          <w:sz w:val="22"/>
        </w:rPr>
        <w:t xml:space="preserve"> </w:t>
      </w:r>
      <w:r w:rsidRPr="00046109">
        <w:rPr>
          <w:rFonts w:ascii="Arial" w:hAnsi="Arial" w:cs="Arial"/>
          <w:sz w:val="22"/>
        </w:rPr>
        <w:t>(Accessed: 8 April 2026).</w:t>
      </w:r>
    </w:p>
    <w:p w14:paraId="42A6C7E7" w14:textId="77777777" w:rsidR="00D273F3" w:rsidRPr="00046109" w:rsidRDefault="00D273F3" w:rsidP="00046109">
      <w:pPr>
        <w:tabs>
          <w:tab w:val="left" w:pos="6540"/>
        </w:tabs>
        <w:spacing w:line="360" w:lineRule="auto"/>
        <w:rPr>
          <w:rFonts w:ascii="Arial" w:hAnsi="Arial" w:cs="Arial"/>
          <w:sz w:val="22"/>
        </w:rPr>
      </w:pPr>
    </w:p>
    <w:p w14:paraId="2416CF27" w14:textId="0B852ACE" w:rsidR="008E56C1" w:rsidRDefault="008E56C1" w:rsidP="00046109">
      <w:pPr>
        <w:tabs>
          <w:tab w:val="left" w:pos="6540"/>
        </w:tabs>
        <w:spacing w:line="360" w:lineRule="auto"/>
        <w:rPr>
          <w:rFonts w:ascii="Arial" w:hAnsi="Arial" w:cs="Arial"/>
          <w:sz w:val="22"/>
        </w:rPr>
      </w:pPr>
      <w:r w:rsidRPr="00046109">
        <w:rPr>
          <w:rFonts w:ascii="Arial" w:hAnsi="Arial" w:cs="Arial"/>
          <w:sz w:val="22"/>
        </w:rPr>
        <w:t xml:space="preserve">Langhorne, P., Bernhardt, J. and Kwakkel, G. (2011) ‘Stroke rehabilitation’, </w:t>
      </w:r>
      <w:r w:rsidRPr="00045807">
        <w:rPr>
          <w:rFonts w:ascii="Arial" w:hAnsi="Arial" w:cs="Arial"/>
          <w:i/>
          <w:iCs/>
          <w:sz w:val="22"/>
        </w:rPr>
        <w:t>The Lancet</w:t>
      </w:r>
      <w:r w:rsidRPr="00046109">
        <w:rPr>
          <w:rFonts w:ascii="Arial" w:hAnsi="Arial" w:cs="Arial"/>
          <w:sz w:val="22"/>
        </w:rPr>
        <w:t>, 377(9778), pp. 1693–1702. Available at: https://doi.org/10.1016/S0140-6736(11)60325-5</w:t>
      </w:r>
      <w:r w:rsidRPr="00046109">
        <w:rPr>
          <w:rFonts w:ascii="Segoe UI Symbol" w:hAnsi="Segoe UI Symbol" w:cs="Segoe UI Symbol"/>
          <w:sz w:val="22"/>
        </w:rPr>
        <w:t>⁠</w:t>
      </w:r>
      <w:r w:rsidR="00920B9D">
        <w:rPr>
          <w:rFonts w:ascii="Arial" w:hAnsi="Arial" w:cs="Arial"/>
          <w:sz w:val="22"/>
        </w:rPr>
        <w:t xml:space="preserve"> </w:t>
      </w:r>
      <w:r w:rsidRPr="00046109">
        <w:rPr>
          <w:rFonts w:ascii="Arial" w:hAnsi="Arial" w:cs="Arial"/>
          <w:sz w:val="22"/>
        </w:rPr>
        <w:t>(Accessed: 8 April 2026).</w:t>
      </w:r>
    </w:p>
    <w:p w14:paraId="2E28C51B" w14:textId="77777777" w:rsidR="00D273F3" w:rsidRPr="00046109" w:rsidRDefault="00D273F3" w:rsidP="00046109">
      <w:pPr>
        <w:tabs>
          <w:tab w:val="left" w:pos="6540"/>
        </w:tabs>
        <w:spacing w:line="360" w:lineRule="auto"/>
        <w:rPr>
          <w:rFonts w:ascii="Arial" w:hAnsi="Arial" w:cs="Arial"/>
          <w:sz w:val="22"/>
        </w:rPr>
      </w:pPr>
    </w:p>
    <w:p w14:paraId="1A15C3F7" w14:textId="2214DF27" w:rsidR="008E56C1" w:rsidRDefault="008E56C1" w:rsidP="00046109">
      <w:pPr>
        <w:tabs>
          <w:tab w:val="left" w:pos="6540"/>
        </w:tabs>
        <w:spacing w:line="360" w:lineRule="auto"/>
        <w:rPr>
          <w:rFonts w:ascii="Arial" w:hAnsi="Arial" w:cs="Arial"/>
          <w:sz w:val="22"/>
        </w:rPr>
      </w:pPr>
      <w:r w:rsidRPr="00046109">
        <w:rPr>
          <w:rFonts w:ascii="Arial" w:hAnsi="Arial" w:cs="Arial"/>
          <w:sz w:val="22"/>
        </w:rPr>
        <w:t xml:space="preserve">McKevitt, C. et al. (2011) ‘Self-reported long-term needs after stroke’, </w:t>
      </w:r>
      <w:r w:rsidRPr="00B45886">
        <w:rPr>
          <w:rFonts w:ascii="Arial" w:hAnsi="Arial" w:cs="Arial"/>
          <w:i/>
          <w:iCs/>
          <w:sz w:val="22"/>
        </w:rPr>
        <w:t>Stroke</w:t>
      </w:r>
      <w:r w:rsidRPr="00046109">
        <w:rPr>
          <w:rFonts w:ascii="Arial" w:hAnsi="Arial" w:cs="Arial"/>
          <w:sz w:val="22"/>
        </w:rPr>
        <w:t>, 42(5), pp. 1398–1403. Available at: https://doi.org/10.1161/STROKEAHA.110.598839</w:t>
      </w:r>
      <w:r w:rsidRPr="00046109">
        <w:rPr>
          <w:rFonts w:ascii="Segoe UI Symbol" w:hAnsi="Segoe UI Symbol" w:cs="Segoe UI Symbol"/>
          <w:sz w:val="22"/>
        </w:rPr>
        <w:t>⁠</w:t>
      </w:r>
      <w:r w:rsidR="00920B9D">
        <w:rPr>
          <w:rFonts w:ascii="Arial" w:hAnsi="Arial" w:cs="Arial"/>
          <w:sz w:val="22"/>
        </w:rPr>
        <w:t xml:space="preserve"> </w:t>
      </w:r>
      <w:r w:rsidRPr="00046109">
        <w:rPr>
          <w:rFonts w:ascii="Arial" w:hAnsi="Arial" w:cs="Arial"/>
          <w:sz w:val="22"/>
        </w:rPr>
        <w:t>(Accessed: 8 April 2026).</w:t>
      </w:r>
    </w:p>
    <w:p w14:paraId="77CE7318" w14:textId="77777777" w:rsidR="00D273F3" w:rsidRPr="00046109" w:rsidRDefault="00D273F3" w:rsidP="00046109">
      <w:pPr>
        <w:tabs>
          <w:tab w:val="left" w:pos="6540"/>
        </w:tabs>
        <w:spacing w:line="360" w:lineRule="auto"/>
        <w:rPr>
          <w:rFonts w:ascii="Arial" w:hAnsi="Arial" w:cs="Arial"/>
          <w:sz w:val="22"/>
        </w:rPr>
      </w:pPr>
    </w:p>
    <w:p w14:paraId="500BA86E" w14:textId="754C06C8" w:rsidR="008E56C1" w:rsidRDefault="008E56C1" w:rsidP="00046109">
      <w:pPr>
        <w:tabs>
          <w:tab w:val="left" w:pos="6540"/>
        </w:tabs>
        <w:spacing w:line="360" w:lineRule="auto"/>
        <w:rPr>
          <w:rFonts w:ascii="Arial" w:hAnsi="Arial" w:cs="Arial"/>
          <w:sz w:val="22"/>
        </w:rPr>
      </w:pPr>
      <w:r w:rsidRPr="00046109">
        <w:rPr>
          <w:rFonts w:ascii="Arial" w:hAnsi="Arial" w:cs="Arial"/>
          <w:sz w:val="22"/>
        </w:rPr>
        <w:t xml:space="preserve">National Institute for Health and Care Excellence (NICE) (2022) </w:t>
      </w:r>
      <w:r w:rsidRPr="00BF1D85">
        <w:rPr>
          <w:rFonts w:ascii="Arial" w:hAnsi="Arial" w:cs="Arial"/>
          <w:i/>
          <w:iCs/>
          <w:sz w:val="22"/>
        </w:rPr>
        <w:t>Stroke rehabilitation in adults (NG236)</w:t>
      </w:r>
      <w:r w:rsidRPr="00046109">
        <w:rPr>
          <w:rFonts w:ascii="Arial" w:hAnsi="Arial" w:cs="Arial"/>
          <w:sz w:val="22"/>
        </w:rPr>
        <w:t>. Available at: https://www.nice.org.uk/guidance/ng236</w:t>
      </w:r>
      <w:r w:rsidRPr="00046109">
        <w:rPr>
          <w:rFonts w:ascii="Segoe UI Symbol" w:hAnsi="Segoe UI Symbol" w:cs="Segoe UI Symbol"/>
          <w:sz w:val="22"/>
        </w:rPr>
        <w:t>⁠</w:t>
      </w:r>
      <w:r w:rsidR="00046109">
        <w:rPr>
          <w:rFonts w:ascii="Arial" w:hAnsi="Arial" w:cs="Arial"/>
          <w:sz w:val="22"/>
        </w:rPr>
        <w:t xml:space="preserve"> </w:t>
      </w:r>
      <w:r w:rsidRPr="00046109">
        <w:rPr>
          <w:rFonts w:ascii="Arial" w:hAnsi="Arial" w:cs="Arial"/>
          <w:sz w:val="22"/>
        </w:rPr>
        <w:t>(Accessed: 8 April 2026).</w:t>
      </w:r>
    </w:p>
    <w:p w14:paraId="2C6B7106" w14:textId="77777777" w:rsidR="00D273F3" w:rsidRPr="00046109" w:rsidRDefault="00D273F3" w:rsidP="00046109">
      <w:pPr>
        <w:tabs>
          <w:tab w:val="left" w:pos="6540"/>
        </w:tabs>
        <w:spacing w:line="360" w:lineRule="auto"/>
        <w:rPr>
          <w:rFonts w:ascii="Arial" w:hAnsi="Arial" w:cs="Arial"/>
          <w:sz w:val="22"/>
        </w:rPr>
      </w:pPr>
    </w:p>
    <w:p w14:paraId="6A496BA9" w14:textId="66DEC642" w:rsidR="008E56C1" w:rsidRDefault="008E56C1" w:rsidP="00046109">
      <w:pPr>
        <w:tabs>
          <w:tab w:val="left" w:pos="6540"/>
        </w:tabs>
        <w:spacing w:line="360" w:lineRule="auto"/>
        <w:rPr>
          <w:rFonts w:ascii="Arial" w:hAnsi="Arial" w:cs="Arial"/>
          <w:sz w:val="22"/>
        </w:rPr>
      </w:pPr>
      <w:r w:rsidRPr="00046109">
        <w:rPr>
          <w:rFonts w:ascii="Arial" w:hAnsi="Arial" w:cs="Arial"/>
          <w:sz w:val="22"/>
        </w:rPr>
        <w:t xml:space="preserve">NHS England (2023) </w:t>
      </w:r>
      <w:r w:rsidRPr="00BF1D85">
        <w:rPr>
          <w:rFonts w:ascii="Arial" w:hAnsi="Arial" w:cs="Arial"/>
          <w:i/>
          <w:iCs/>
          <w:sz w:val="22"/>
        </w:rPr>
        <w:t>Stroke</w:t>
      </w:r>
      <w:r w:rsidRPr="00046109">
        <w:rPr>
          <w:rFonts w:ascii="Arial" w:hAnsi="Arial" w:cs="Arial"/>
          <w:sz w:val="22"/>
        </w:rPr>
        <w:t>. Available at: https://www.england.nhs.uk/conditions/stroke/</w:t>
      </w:r>
      <w:r w:rsidRPr="00046109">
        <w:rPr>
          <w:rFonts w:ascii="Segoe UI Symbol" w:hAnsi="Segoe UI Symbol" w:cs="Segoe UI Symbol"/>
          <w:sz w:val="22"/>
        </w:rPr>
        <w:t>⁠</w:t>
      </w:r>
      <w:r w:rsidR="00046109">
        <w:rPr>
          <w:rFonts w:ascii="Arial" w:hAnsi="Arial" w:cs="Arial"/>
          <w:sz w:val="22"/>
        </w:rPr>
        <w:t xml:space="preserve"> </w:t>
      </w:r>
      <w:r w:rsidRPr="00046109">
        <w:rPr>
          <w:rFonts w:ascii="Arial" w:hAnsi="Arial" w:cs="Arial"/>
          <w:sz w:val="22"/>
        </w:rPr>
        <w:t>(Accessed: 8 April 2026).</w:t>
      </w:r>
    </w:p>
    <w:p w14:paraId="17AC0187" w14:textId="77777777" w:rsidR="00D273F3" w:rsidRPr="00046109" w:rsidRDefault="00D273F3" w:rsidP="00046109">
      <w:pPr>
        <w:tabs>
          <w:tab w:val="left" w:pos="6540"/>
        </w:tabs>
        <w:spacing w:line="360" w:lineRule="auto"/>
        <w:rPr>
          <w:rFonts w:ascii="Arial" w:hAnsi="Arial" w:cs="Arial"/>
          <w:sz w:val="22"/>
        </w:rPr>
      </w:pPr>
    </w:p>
    <w:p w14:paraId="1DB41B39" w14:textId="3277607B" w:rsidR="008E56C1" w:rsidRDefault="008E56C1" w:rsidP="00046109">
      <w:pPr>
        <w:tabs>
          <w:tab w:val="left" w:pos="6540"/>
        </w:tabs>
        <w:spacing w:line="360" w:lineRule="auto"/>
        <w:rPr>
          <w:rFonts w:ascii="Arial" w:hAnsi="Arial" w:cs="Arial"/>
          <w:sz w:val="22"/>
        </w:rPr>
      </w:pPr>
      <w:r w:rsidRPr="00046109">
        <w:rPr>
          <w:rFonts w:ascii="Arial" w:hAnsi="Arial" w:cs="Arial"/>
          <w:sz w:val="22"/>
        </w:rPr>
        <w:t xml:space="preserve">Public Health England (2022) </w:t>
      </w:r>
      <w:r w:rsidRPr="00292CD9">
        <w:rPr>
          <w:rFonts w:ascii="Arial" w:hAnsi="Arial" w:cs="Arial"/>
          <w:i/>
          <w:iCs/>
          <w:sz w:val="22"/>
        </w:rPr>
        <w:t>Cardiovascular disease prevention: applying All Our Health</w:t>
      </w:r>
      <w:r w:rsidRPr="00046109">
        <w:rPr>
          <w:rFonts w:ascii="Arial" w:hAnsi="Arial" w:cs="Arial"/>
          <w:sz w:val="22"/>
        </w:rPr>
        <w:t>. Available at: https://www.gov.uk/government/publications/cardiovascular-disease-prevention-applying-all-our-health</w:t>
      </w:r>
      <w:r w:rsidRPr="00046109">
        <w:rPr>
          <w:rFonts w:ascii="Segoe UI Symbol" w:hAnsi="Segoe UI Symbol" w:cs="Segoe UI Symbol"/>
          <w:sz w:val="22"/>
        </w:rPr>
        <w:t>⁠</w:t>
      </w:r>
      <w:r w:rsidR="00046109">
        <w:rPr>
          <w:rFonts w:ascii="Arial" w:hAnsi="Arial" w:cs="Arial"/>
          <w:sz w:val="22"/>
        </w:rPr>
        <w:t xml:space="preserve"> </w:t>
      </w:r>
      <w:r w:rsidRPr="00046109">
        <w:rPr>
          <w:rFonts w:ascii="Arial" w:hAnsi="Arial" w:cs="Arial"/>
          <w:sz w:val="22"/>
        </w:rPr>
        <w:t>(Accessed: 8 April 2026).</w:t>
      </w:r>
    </w:p>
    <w:p w14:paraId="5DFD8247" w14:textId="77777777" w:rsidR="005D1EFD" w:rsidRPr="00046109" w:rsidRDefault="005D1EFD" w:rsidP="00046109">
      <w:pPr>
        <w:tabs>
          <w:tab w:val="left" w:pos="6540"/>
        </w:tabs>
        <w:spacing w:line="360" w:lineRule="auto"/>
        <w:rPr>
          <w:rFonts w:ascii="Arial" w:hAnsi="Arial" w:cs="Arial"/>
          <w:sz w:val="22"/>
        </w:rPr>
      </w:pPr>
    </w:p>
    <w:p w14:paraId="2185119B" w14:textId="6B81882B" w:rsidR="008E56C1" w:rsidRDefault="008E56C1" w:rsidP="00046109">
      <w:pPr>
        <w:tabs>
          <w:tab w:val="left" w:pos="6540"/>
        </w:tabs>
        <w:spacing w:line="360" w:lineRule="auto"/>
        <w:rPr>
          <w:rFonts w:ascii="Arial" w:hAnsi="Arial" w:cs="Arial"/>
          <w:sz w:val="22"/>
        </w:rPr>
      </w:pPr>
      <w:r w:rsidRPr="00046109">
        <w:rPr>
          <w:rFonts w:ascii="Arial" w:hAnsi="Arial" w:cs="Arial"/>
          <w:sz w:val="22"/>
        </w:rPr>
        <w:t xml:space="preserve">Royal College of Physicians (2023) </w:t>
      </w:r>
      <w:r w:rsidRPr="00F040ED">
        <w:rPr>
          <w:rFonts w:ascii="Arial" w:hAnsi="Arial" w:cs="Arial"/>
          <w:i/>
          <w:iCs/>
          <w:sz w:val="22"/>
        </w:rPr>
        <w:t>National clinical guideline for stroke</w:t>
      </w:r>
      <w:r w:rsidRPr="00046109">
        <w:rPr>
          <w:rFonts w:ascii="Arial" w:hAnsi="Arial" w:cs="Arial"/>
          <w:sz w:val="22"/>
        </w:rPr>
        <w:t>. Available at: https://www.rcplondon.ac.uk/guidelines-policy/stroke-guidelines</w:t>
      </w:r>
      <w:r w:rsidRPr="00046109">
        <w:rPr>
          <w:rFonts w:ascii="Segoe UI Symbol" w:hAnsi="Segoe UI Symbol" w:cs="Segoe UI Symbol"/>
          <w:sz w:val="22"/>
        </w:rPr>
        <w:t>⁠</w:t>
      </w:r>
      <w:r w:rsidR="00046109">
        <w:rPr>
          <w:rFonts w:ascii="Arial" w:hAnsi="Arial" w:cs="Arial"/>
          <w:sz w:val="22"/>
        </w:rPr>
        <w:t xml:space="preserve"> </w:t>
      </w:r>
      <w:r w:rsidRPr="00046109">
        <w:rPr>
          <w:rFonts w:ascii="Arial" w:hAnsi="Arial" w:cs="Arial"/>
          <w:sz w:val="22"/>
        </w:rPr>
        <w:t>(Accessed: 8 April 2026).</w:t>
      </w:r>
    </w:p>
    <w:p w14:paraId="669BE158" w14:textId="77777777" w:rsidR="005D1EFD" w:rsidRPr="00046109" w:rsidRDefault="005D1EFD" w:rsidP="00046109">
      <w:pPr>
        <w:tabs>
          <w:tab w:val="left" w:pos="6540"/>
        </w:tabs>
        <w:spacing w:line="360" w:lineRule="auto"/>
        <w:rPr>
          <w:rFonts w:ascii="Arial" w:hAnsi="Arial" w:cs="Arial"/>
          <w:sz w:val="22"/>
        </w:rPr>
      </w:pPr>
    </w:p>
    <w:p w14:paraId="09012E1F" w14:textId="7618D1B1" w:rsidR="008E56C1" w:rsidRDefault="008E56C1" w:rsidP="00046109">
      <w:pPr>
        <w:tabs>
          <w:tab w:val="left" w:pos="6540"/>
        </w:tabs>
        <w:spacing w:line="360" w:lineRule="auto"/>
        <w:rPr>
          <w:rFonts w:ascii="Arial" w:hAnsi="Arial" w:cs="Arial"/>
          <w:sz w:val="22"/>
        </w:rPr>
      </w:pPr>
      <w:r w:rsidRPr="00046109">
        <w:rPr>
          <w:rFonts w:ascii="Arial" w:hAnsi="Arial" w:cs="Arial"/>
          <w:sz w:val="22"/>
        </w:rPr>
        <w:lastRenderedPageBreak/>
        <w:t xml:space="preserve">Stroke Association (2024) </w:t>
      </w:r>
      <w:r w:rsidRPr="005479BA">
        <w:rPr>
          <w:rFonts w:ascii="Arial" w:hAnsi="Arial" w:cs="Arial"/>
          <w:i/>
          <w:iCs/>
          <w:sz w:val="22"/>
        </w:rPr>
        <w:t>State of the Nation: Stroke statistics</w:t>
      </w:r>
      <w:r w:rsidRPr="00046109">
        <w:rPr>
          <w:rFonts w:ascii="Arial" w:hAnsi="Arial" w:cs="Arial"/>
          <w:sz w:val="22"/>
        </w:rPr>
        <w:t>. Available at: https://www.stroke.org.uk/resources/state-nation-stroke-statistics</w:t>
      </w:r>
      <w:r w:rsidRPr="00046109">
        <w:rPr>
          <w:rFonts w:ascii="Segoe UI Symbol" w:hAnsi="Segoe UI Symbol" w:cs="Segoe UI Symbol"/>
          <w:sz w:val="22"/>
        </w:rPr>
        <w:t>⁠</w:t>
      </w:r>
      <w:r w:rsidR="00046109">
        <w:rPr>
          <w:rFonts w:ascii="Arial" w:hAnsi="Arial" w:cs="Arial"/>
          <w:sz w:val="22"/>
        </w:rPr>
        <w:t xml:space="preserve"> </w:t>
      </w:r>
      <w:r w:rsidRPr="00046109">
        <w:rPr>
          <w:rFonts w:ascii="Arial" w:hAnsi="Arial" w:cs="Arial"/>
          <w:sz w:val="22"/>
        </w:rPr>
        <w:t>(Accessed: 8 April 2026).</w:t>
      </w:r>
    </w:p>
    <w:p w14:paraId="573DF070" w14:textId="77777777" w:rsidR="005D1EFD" w:rsidRPr="00046109" w:rsidRDefault="005D1EFD" w:rsidP="00046109">
      <w:pPr>
        <w:tabs>
          <w:tab w:val="left" w:pos="6540"/>
        </w:tabs>
        <w:spacing w:line="360" w:lineRule="auto"/>
        <w:rPr>
          <w:rFonts w:ascii="Arial" w:hAnsi="Arial" w:cs="Arial"/>
          <w:sz w:val="22"/>
        </w:rPr>
      </w:pPr>
    </w:p>
    <w:p w14:paraId="6704E95C" w14:textId="5635FF79" w:rsidR="003E0258" w:rsidRPr="00046109" w:rsidRDefault="008E56C1" w:rsidP="00046109">
      <w:pPr>
        <w:tabs>
          <w:tab w:val="left" w:pos="6540"/>
        </w:tabs>
        <w:spacing w:line="360" w:lineRule="auto"/>
        <w:rPr>
          <w:rFonts w:ascii="Arial" w:hAnsi="Arial" w:cs="Arial"/>
          <w:sz w:val="22"/>
        </w:rPr>
      </w:pPr>
      <w:r w:rsidRPr="00046109">
        <w:rPr>
          <w:rFonts w:ascii="Arial" w:hAnsi="Arial" w:cs="Arial"/>
          <w:sz w:val="22"/>
        </w:rPr>
        <w:t xml:space="preserve">World Health Organization (2023) </w:t>
      </w:r>
      <w:r w:rsidRPr="005479BA">
        <w:rPr>
          <w:rFonts w:ascii="Arial" w:hAnsi="Arial" w:cs="Arial"/>
          <w:i/>
          <w:iCs/>
          <w:sz w:val="22"/>
        </w:rPr>
        <w:t>Stroke (cerebrovascular accident)</w:t>
      </w:r>
      <w:r w:rsidRPr="00046109">
        <w:rPr>
          <w:rFonts w:ascii="Arial" w:hAnsi="Arial" w:cs="Arial"/>
          <w:sz w:val="22"/>
        </w:rPr>
        <w:t>. Available at:</w:t>
      </w:r>
      <w:r w:rsidR="005D1EFD">
        <w:rPr>
          <w:rFonts w:ascii="Arial" w:hAnsi="Arial" w:cs="Arial"/>
          <w:sz w:val="22"/>
        </w:rPr>
        <w:t xml:space="preserve"> </w:t>
      </w:r>
      <w:r w:rsidRPr="00046109">
        <w:rPr>
          <w:rFonts w:ascii="Arial" w:hAnsi="Arial" w:cs="Arial"/>
          <w:sz w:val="22"/>
        </w:rPr>
        <w:t>https://www.who.int/news-room/fact-sheets/detail/stroke-cerebrovascular-accident</w:t>
      </w:r>
      <w:r w:rsidRPr="00046109">
        <w:rPr>
          <w:rFonts w:ascii="Segoe UI Symbol" w:hAnsi="Segoe UI Symbol" w:cs="Segoe UI Symbol"/>
          <w:sz w:val="22"/>
        </w:rPr>
        <w:t>⁠</w:t>
      </w:r>
      <w:r w:rsidR="005D1EFD">
        <w:rPr>
          <w:rFonts w:ascii="Arial" w:hAnsi="Arial" w:cs="Arial"/>
          <w:sz w:val="22"/>
        </w:rPr>
        <w:t xml:space="preserve"> </w:t>
      </w:r>
      <w:r w:rsidRPr="00046109">
        <w:rPr>
          <w:rFonts w:ascii="Arial" w:hAnsi="Arial" w:cs="Arial"/>
          <w:sz w:val="22"/>
        </w:rPr>
        <w:t>(Accessed: 8 April 2026).</w:t>
      </w:r>
    </w:p>
    <w:p w14:paraId="469E8CEB" w14:textId="77777777" w:rsidR="003E0258" w:rsidRPr="00046109" w:rsidRDefault="003E0258" w:rsidP="00046109">
      <w:pPr>
        <w:tabs>
          <w:tab w:val="left" w:pos="6540"/>
        </w:tabs>
        <w:spacing w:line="360" w:lineRule="auto"/>
        <w:rPr>
          <w:rFonts w:ascii="Arial" w:hAnsi="Arial" w:cs="Arial"/>
          <w:sz w:val="22"/>
        </w:rPr>
      </w:pPr>
    </w:p>
    <w:p w14:paraId="1336734A" w14:textId="77777777" w:rsidR="003E0258" w:rsidRPr="00046109" w:rsidRDefault="003E0258" w:rsidP="00046109">
      <w:pPr>
        <w:tabs>
          <w:tab w:val="left" w:pos="6540"/>
        </w:tabs>
        <w:spacing w:line="360" w:lineRule="auto"/>
        <w:rPr>
          <w:rFonts w:ascii="Arial" w:hAnsi="Arial" w:cs="Arial"/>
          <w:sz w:val="22"/>
        </w:rPr>
      </w:pPr>
    </w:p>
    <w:p w14:paraId="5E83CB5E" w14:textId="77777777" w:rsidR="003E0258" w:rsidRPr="00046109" w:rsidRDefault="003E0258" w:rsidP="00046109">
      <w:pPr>
        <w:tabs>
          <w:tab w:val="left" w:pos="6540"/>
        </w:tabs>
        <w:spacing w:line="360" w:lineRule="auto"/>
        <w:rPr>
          <w:rFonts w:ascii="Arial" w:hAnsi="Arial" w:cs="Arial"/>
          <w:sz w:val="22"/>
        </w:rPr>
      </w:pPr>
    </w:p>
    <w:p w14:paraId="7035774B" w14:textId="15F49AD6" w:rsidR="003E0258" w:rsidRPr="00046109" w:rsidRDefault="003E0258" w:rsidP="00046109">
      <w:pPr>
        <w:tabs>
          <w:tab w:val="left" w:pos="6540"/>
        </w:tabs>
        <w:spacing w:line="360" w:lineRule="auto"/>
        <w:rPr>
          <w:rFonts w:ascii="Arial" w:hAnsi="Arial" w:cs="Arial"/>
          <w:sz w:val="22"/>
        </w:rPr>
      </w:pPr>
    </w:p>
    <w:sectPr w:rsidR="003E0258" w:rsidRPr="00046109" w:rsidSect="00E620E7">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D99D42" w14:textId="77777777" w:rsidR="00957F94" w:rsidRDefault="00957F94" w:rsidP="003E4ECF">
      <w:pPr>
        <w:spacing w:after="0" w:line="240" w:lineRule="auto"/>
      </w:pPr>
      <w:r>
        <w:separator/>
      </w:r>
    </w:p>
  </w:endnote>
  <w:endnote w:type="continuationSeparator" w:id="0">
    <w:p w14:paraId="5001CF75" w14:textId="77777777" w:rsidR="00957F94" w:rsidRDefault="00957F94"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ED4C66" w14:textId="77777777" w:rsidR="00957F94" w:rsidRDefault="00957F94" w:rsidP="003E4ECF">
      <w:pPr>
        <w:spacing w:after="0" w:line="240" w:lineRule="auto"/>
      </w:pPr>
      <w:r>
        <w:separator/>
      </w:r>
    </w:p>
  </w:footnote>
  <w:footnote w:type="continuationSeparator" w:id="0">
    <w:p w14:paraId="14D4A962" w14:textId="77777777" w:rsidR="00957F94" w:rsidRDefault="00957F94"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C244D2"/>
    <w:multiLevelType w:val="hybridMultilevel"/>
    <w:tmpl w:val="90CED5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957358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22908"/>
    <w:rsid w:val="00045807"/>
    <w:rsid w:val="00046109"/>
    <w:rsid w:val="00054A05"/>
    <w:rsid w:val="000572BF"/>
    <w:rsid w:val="00074402"/>
    <w:rsid w:val="00185406"/>
    <w:rsid w:val="001B6CDC"/>
    <w:rsid w:val="001D7C03"/>
    <w:rsid w:val="002015F9"/>
    <w:rsid w:val="002119A7"/>
    <w:rsid w:val="00216C85"/>
    <w:rsid w:val="00237580"/>
    <w:rsid w:val="0026393A"/>
    <w:rsid w:val="00272AE3"/>
    <w:rsid w:val="00273EDD"/>
    <w:rsid w:val="00277D3D"/>
    <w:rsid w:val="00292CD9"/>
    <w:rsid w:val="00297D1A"/>
    <w:rsid w:val="002A75B9"/>
    <w:rsid w:val="002C3965"/>
    <w:rsid w:val="00321C4C"/>
    <w:rsid w:val="00360924"/>
    <w:rsid w:val="00361302"/>
    <w:rsid w:val="00392BBC"/>
    <w:rsid w:val="003E0258"/>
    <w:rsid w:val="003E4ECF"/>
    <w:rsid w:val="00412E4E"/>
    <w:rsid w:val="00420191"/>
    <w:rsid w:val="004319F8"/>
    <w:rsid w:val="0044225C"/>
    <w:rsid w:val="004754E1"/>
    <w:rsid w:val="0049150E"/>
    <w:rsid w:val="004A736E"/>
    <w:rsid w:val="004C22F1"/>
    <w:rsid w:val="004C40DB"/>
    <w:rsid w:val="005479BA"/>
    <w:rsid w:val="005C474D"/>
    <w:rsid w:val="005D1EFD"/>
    <w:rsid w:val="005E136C"/>
    <w:rsid w:val="0060155C"/>
    <w:rsid w:val="00621471"/>
    <w:rsid w:val="006925AA"/>
    <w:rsid w:val="006B4CA3"/>
    <w:rsid w:val="006F3F37"/>
    <w:rsid w:val="00725177"/>
    <w:rsid w:val="0077165A"/>
    <w:rsid w:val="007A1B8D"/>
    <w:rsid w:val="007E725E"/>
    <w:rsid w:val="00804497"/>
    <w:rsid w:val="00814A9E"/>
    <w:rsid w:val="008451A0"/>
    <w:rsid w:val="00886289"/>
    <w:rsid w:val="008A1A91"/>
    <w:rsid w:val="008E3943"/>
    <w:rsid w:val="008E56C1"/>
    <w:rsid w:val="0090040D"/>
    <w:rsid w:val="00911186"/>
    <w:rsid w:val="00920B9D"/>
    <w:rsid w:val="00951032"/>
    <w:rsid w:val="00957F94"/>
    <w:rsid w:val="009B5CDB"/>
    <w:rsid w:val="009D052C"/>
    <w:rsid w:val="009D1D1E"/>
    <w:rsid w:val="009F63AB"/>
    <w:rsid w:val="00A035FD"/>
    <w:rsid w:val="00A52767"/>
    <w:rsid w:val="00A52B51"/>
    <w:rsid w:val="00A74586"/>
    <w:rsid w:val="00A83E76"/>
    <w:rsid w:val="00AA0B52"/>
    <w:rsid w:val="00AD22D1"/>
    <w:rsid w:val="00AD23A0"/>
    <w:rsid w:val="00B45886"/>
    <w:rsid w:val="00B6191C"/>
    <w:rsid w:val="00B65D06"/>
    <w:rsid w:val="00B85B11"/>
    <w:rsid w:val="00B87E75"/>
    <w:rsid w:val="00BB5FDB"/>
    <w:rsid w:val="00BE2BFA"/>
    <w:rsid w:val="00BF1D85"/>
    <w:rsid w:val="00C102A5"/>
    <w:rsid w:val="00C478F0"/>
    <w:rsid w:val="00C8377D"/>
    <w:rsid w:val="00CD33A8"/>
    <w:rsid w:val="00CD54E4"/>
    <w:rsid w:val="00D250D4"/>
    <w:rsid w:val="00D25D43"/>
    <w:rsid w:val="00D273F3"/>
    <w:rsid w:val="00D71407"/>
    <w:rsid w:val="00D72C53"/>
    <w:rsid w:val="00DC217B"/>
    <w:rsid w:val="00DE1ACD"/>
    <w:rsid w:val="00DF0503"/>
    <w:rsid w:val="00DF441F"/>
    <w:rsid w:val="00E116C3"/>
    <w:rsid w:val="00E27699"/>
    <w:rsid w:val="00E371AB"/>
    <w:rsid w:val="00E569FD"/>
    <w:rsid w:val="00E620E7"/>
    <w:rsid w:val="00F040ED"/>
    <w:rsid w:val="00F07DEE"/>
    <w:rsid w:val="00F66E1B"/>
    <w:rsid w:val="00F73041"/>
    <w:rsid w:val="00F93E5F"/>
    <w:rsid w:val="00FD3DA7"/>
    <w:rsid w:val="00FD75E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451A0"/>
    <w:pPr>
      <w:keepNext/>
      <w:keepLines/>
      <w:spacing w:before="240" w:after="0" w:line="360" w:lineRule="auto"/>
      <w:outlineLvl w:val="0"/>
    </w:pPr>
    <w:rPr>
      <w:rFonts w:ascii="Arial" w:hAnsi="Arial" w:cs="Arial"/>
      <w:sz w:val="2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51A0"/>
    <w:rPr>
      <w:rFonts w:ascii="Arial" w:hAnsi="Arial" w:cs="Arial"/>
      <w:sz w:val="2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styleId="Hyperlink">
    <w:name w:val="Hyperlink"/>
    <w:basedOn w:val="DefaultParagraphFont"/>
    <w:uiPriority w:val="99"/>
    <w:unhideWhenUsed/>
    <w:rsid w:val="005C474D"/>
    <w:rPr>
      <w:color w:val="0563C1" w:themeColor="hyperlink"/>
      <w:u w:val="single"/>
    </w:rPr>
  </w:style>
  <w:style w:type="character" w:styleId="UnresolvedMention">
    <w:name w:val="Unresolved Mention"/>
    <w:basedOn w:val="DefaultParagraphFont"/>
    <w:uiPriority w:val="99"/>
    <w:semiHidden/>
    <w:unhideWhenUsed/>
    <w:rsid w:val="005C474D"/>
    <w:rPr>
      <w:color w:val="605E5C"/>
      <w:shd w:val="clear" w:color="auto" w:fill="E1DFDD"/>
    </w:rPr>
  </w:style>
  <w:style w:type="paragraph" w:styleId="ListParagraph">
    <w:name w:val="List Paragraph"/>
    <w:basedOn w:val="Normal"/>
    <w:uiPriority w:val="34"/>
    <w:qFormat/>
    <w:rsid w:val="00412E4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5418</TotalTime>
  <Pages>8</Pages>
  <Words>2102</Words>
  <Characters>11985</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barbara campbell</cp:lastModifiedBy>
  <cp:revision>58</cp:revision>
  <dcterms:created xsi:type="dcterms:W3CDTF">2026-04-09T16:30:00Z</dcterms:created>
  <dcterms:modified xsi:type="dcterms:W3CDTF">2026-04-20T13:46:00Z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a0d66204-8338-42da-b4d5-24aefd3ed26c</vt:lpwstr>
  </property>
</Properties>
</file>