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1ECBBF97" w:rsidR="00AD6D75" w:rsidRPr="00BB05A0" w:rsidRDefault="004A0350" w:rsidP="009F4F9E">
      <w:pPr>
        <w:pStyle w:val="COVERPAGETEXT"/>
      </w:pPr>
      <w:r>
        <w:t>Alun Morris</w:t>
      </w:r>
    </w:p>
    <w:p w14:paraId="7ED224B8" w14:textId="77777777" w:rsidR="00AD6D75" w:rsidRPr="00BB05A0" w:rsidRDefault="00AD6D75" w:rsidP="009F4F9E">
      <w:pPr>
        <w:pStyle w:val="COVERPAGETEXT"/>
      </w:pPr>
    </w:p>
    <w:p w14:paraId="4AD99D32" w14:textId="5ADFF6FE" w:rsidR="00AD6D75" w:rsidRPr="00BB05A0" w:rsidRDefault="00AD6D75" w:rsidP="004A0350">
      <w:pPr>
        <w:pStyle w:val="COVERPAGETEXT"/>
        <w:jc w:val="both"/>
      </w:pP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515954BA" w14:textId="0A3033AD" w:rsidR="00BD005C" w:rsidRPr="00BB05A0" w:rsidRDefault="004A0350" w:rsidP="00BD005C">
      <w:pPr>
        <w:pStyle w:val="COVERPAGETEXT"/>
      </w:pPr>
      <w:r>
        <w:t>UWTSD Swansea</w:t>
      </w:r>
    </w:p>
    <w:p w14:paraId="3D3F10FA" w14:textId="0D2A394F" w:rsidR="00555700" w:rsidRDefault="004A0350" w:rsidP="004A0350">
      <w:pPr>
        <w:pStyle w:val="COVERPAGETEXT"/>
        <w:rPr>
          <w:b/>
        </w:rPr>
      </w:pPr>
      <w:r w:rsidRPr="004A0350">
        <w:rPr>
          <w:b/>
        </w:rPr>
        <w:t>ACDA 502</w:t>
      </w:r>
      <w:r w:rsidR="00C2478F">
        <w:rPr>
          <w:b/>
        </w:rPr>
        <w:t>3</w:t>
      </w:r>
      <w:r>
        <w:rPr>
          <w:b/>
        </w:rPr>
        <w:t xml:space="preserve"> – </w:t>
      </w:r>
      <w:r w:rsidR="00C2478F">
        <w:rPr>
          <w:b/>
        </w:rPr>
        <w:t>Nuclear Safety</w:t>
      </w:r>
    </w:p>
    <w:p w14:paraId="3CD45C4F" w14:textId="60EADC69" w:rsidR="00DA28B2" w:rsidRDefault="00C2478F" w:rsidP="005C6C9C">
      <w:pPr>
        <w:pStyle w:val="COVERPAGETEXT"/>
        <w:rPr>
          <w:b/>
        </w:rPr>
      </w:pPr>
      <w:r>
        <w:rPr>
          <w:b/>
        </w:rPr>
        <w:t>Assignmen</w:t>
      </w:r>
      <w:r w:rsidR="005C6C9C">
        <w:rPr>
          <w:b/>
        </w:rPr>
        <w:t>t</w:t>
      </w:r>
      <w:r w:rsidR="006A519B">
        <w:rPr>
          <w:b/>
        </w:rPr>
        <w:t xml:space="preserve"> H</w:t>
      </w:r>
    </w:p>
    <w:p w14:paraId="55243B0D" w14:textId="2200FB02" w:rsidR="00BD005C" w:rsidRDefault="00BD005C" w:rsidP="005C6C9C">
      <w:pPr>
        <w:pStyle w:val="COVERPAGETEXT"/>
        <w:rPr>
          <w:b/>
        </w:rPr>
      </w:pPr>
      <w:r>
        <w:rPr>
          <w:b/>
        </w:rPr>
        <w:t>Provided by HMS Sultan</w:t>
      </w:r>
    </w:p>
    <w:p w14:paraId="08AB2902" w14:textId="5DBE350E" w:rsidR="005C6C9C" w:rsidRDefault="005C6C9C" w:rsidP="005C6C9C">
      <w:pPr>
        <w:pStyle w:val="COVERPAGETEXT"/>
        <w:sectPr w:rsidR="005C6C9C" w:rsidSect="00623A81">
          <w:footerReference w:type="default" r:id="rId12"/>
          <w:pgSz w:w="11906" w:h="16838" w:code="9"/>
          <w:pgMar w:top="1701" w:right="1701" w:bottom="1701" w:left="1701" w:header="709" w:footer="851" w:gutter="0"/>
          <w:pgNumType w:fmt="lowerRoman" w:start="1"/>
          <w:cols w:space="708"/>
          <w:docGrid w:linePitch="360"/>
        </w:sectPr>
      </w:pPr>
    </w:p>
    <w:p w14:paraId="05E6CD74" w14:textId="77777777" w:rsidR="009446CF" w:rsidRDefault="009446CF" w:rsidP="00DA28B2">
      <w:pPr>
        <w:pStyle w:val="Heading1nonumber"/>
      </w:pPr>
      <w:bookmarkStart w:id="0" w:name="_Toc290554218"/>
      <w:bookmarkStart w:id="1" w:name="_Toc299621183"/>
      <w:bookmarkStart w:id="2" w:name="_Toc299631411"/>
      <w:bookmarkStart w:id="3" w:name="_Toc299631471"/>
      <w:bookmarkStart w:id="4" w:name="_Toc299631561"/>
      <w:bookmarkStart w:id="5" w:name="_Toc299631638"/>
      <w:bookmarkStart w:id="6" w:name="_Toc137806434"/>
    </w:p>
    <w:p w14:paraId="68300484" w14:textId="77777777" w:rsidR="009446CF" w:rsidRDefault="009446CF" w:rsidP="00DA28B2">
      <w:pPr>
        <w:pStyle w:val="Heading1nonumber"/>
      </w:pPr>
    </w:p>
    <w:p w14:paraId="0BF1A5A6" w14:textId="77777777" w:rsidR="009446CF" w:rsidRDefault="009446CF" w:rsidP="00DA28B2">
      <w:pPr>
        <w:pStyle w:val="Heading1nonumber"/>
      </w:pPr>
    </w:p>
    <w:p w14:paraId="6C2675BC" w14:textId="77777777" w:rsidR="009446CF" w:rsidRDefault="009446CF" w:rsidP="00DA28B2">
      <w:pPr>
        <w:pStyle w:val="Heading1nonumber"/>
      </w:pPr>
    </w:p>
    <w:p w14:paraId="2BEB5ECF" w14:textId="77777777" w:rsidR="009446CF" w:rsidRDefault="009446CF" w:rsidP="00DA28B2">
      <w:pPr>
        <w:pStyle w:val="Heading1nonumber"/>
      </w:pPr>
    </w:p>
    <w:p w14:paraId="49BE669A" w14:textId="77777777" w:rsidR="009446CF" w:rsidRDefault="009446CF" w:rsidP="00DA28B2">
      <w:pPr>
        <w:pStyle w:val="Heading1nonumber"/>
      </w:pPr>
    </w:p>
    <w:bookmarkEnd w:id="0"/>
    <w:bookmarkEnd w:id="1"/>
    <w:bookmarkEnd w:id="2"/>
    <w:bookmarkEnd w:id="3"/>
    <w:bookmarkEnd w:id="4"/>
    <w:bookmarkEnd w:id="5"/>
    <w:bookmarkEnd w:id="6"/>
    <w:p w14:paraId="43114DF7" w14:textId="77777777" w:rsidR="00DA28B2" w:rsidRDefault="00DA28B2" w:rsidP="00941D35"/>
    <w:p w14:paraId="09E8D719" w14:textId="77777777" w:rsidR="00DA28B2" w:rsidRDefault="00DA28B2" w:rsidP="00941D35"/>
    <w:p w14:paraId="38C7ADDF" w14:textId="1F0C885A" w:rsidR="00DA28B2" w:rsidRDefault="00DA28B2" w:rsidP="00941D35"/>
    <w:p w14:paraId="5F661D8D" w14:textId="77777777" w:rsidR="00DA28B2" w:rsidRDefault="00DA28B2" w:rsidP="00941D35"/>
    <w:p w14:paraId="55C8AA31" w14:textId="77777777" w:rsidR="00756351" w:rsidRPr="006B4213" w:rsidRDefault="00756351" w:rsidP="00756351">
      <w:pPr>
        <w:pStyle w:val="Heading1nonumber"/>
      </w:pPr>
      <w:bookmarkStart w:id="7" w:name="_Toc238813243"/>
      <w:r w:rsidRPr="006B4213">
        <w:lastRenderedPageBreak/>
        <w:t>Abstract</w:t>
      </w:r>
      <w:bookmarkEnd w:id="7"/>
    </w:p>
    <w:p w14:paraId="0E3602B4" w14:textId="77777777" w:rsidR="00756351" w:rsidRDefault="00756351" w:rsidP="00756351">
      <w:r w:rsidRPr="00A507CA">
        <w:t xml:space="preserve">This report analyses a radiation incident at a research materials irradiation facility involving a cobalt-60 sealed source. A mechanical fault caused the source carrier to stop short of its fully shielded position, resulting in a maintenance technician being exposed to a higher-than-expected gamma radiation field. The report uses the cobalt-60 half-life, specific gamma-ray dose constant, inverse square law and reconstructed shielding factors to estimate the dose received by the technician. The calculated effective dose was approximately 17.3–41.2 mSv, which was consistent with the 34 mSv recorded by the technician’s electronic personal dosemeter (EPD). The </w:t>
      </w:r>
      <w:proofErr w:type="spellStart"/>
      <w:r w:rsidRPr="00A507CA">
        <w:t>thermoluminescent</w:t>
      </w:r>
      <w:proofErr w:type="spellEnd"/>
      <w:r w:rsidRPr="00A507CA">
        <w:t xml:space="preserve"> dosemeter (TLD) recorded 46 mSv, with the difference requiring further consideration due to the TLD being incorrectly positioned. The health implications, compliance with the Ionising Radiations Regulations 2017 and the event against relevant ONR Safety Assessment Principles are discussed. The report concludes that weaknesses in defence in depth and engineered safety barriers allowed the mechanical fault to progress into a personnel exposure. Recommendations are proposed to improve source interlocking, radiation monitoring, maintenance, operating procedures and safety culture </w:t>
      </w:r>
      <w:proofErr w:type="gramStart"/>
      <w:r w:rsidRPr="00A507CA">
        <w:t>in order to</w:t>
      </w:r>
      <w:proofErr w:type="gramEnd"/>
      <w:r w:rsidRPr="00A507CA">
        <w:t xml:space="preserve"> reduce the risk to ALARP.</w:t>
      </w:r>
    </w:p>
    <w:p w14:paraId="3FFAE01F" w14:textId="2B5FCE0A" w:rsidR="00DA28B2" w:rsidRDefault="00DA28B2" w:rsidP="004A0350"/>
    <w:p w14:paraId="1674E626" w14:textId="77777777" w:rsidR="00DA28B2" w:rsidRDefault="00DA28B2" w:rsidP="00941D35"/>
    <w:p w14:paraId="1DADEDF7" w14:textId="558AE45F" w:rsidR="00F2159F" w:rsidRDefault="00F2159F" w:rsidP="00AE480E"/>
    <w:p w14:paraId="039DADDE" w14:textId="77777777" w:rsidR="009446CF" w:rsidRDefault="009446CF" w:rsidP="00AE480E"/>
    <w:p w14:paraId="200C2AF2" w14:textId="77777777" w:rsidR="009446CF" w:rsidRDefault="009446CF" w:rsidP="00AE480E"/>
    <w:p w14:paraId="3E23C036" w14:textId="77777777" w:rsidR="009446CF" w:rsidRDefault="009446CF" w:rsidP="00AE480E"/>
    <w:p w14:paraId="7CD8C118" w14:textId="77777777" w:rsidR="009446CF" w:rsidRDefault="009446CF" w:rsidP="00AE480E"/>
    <w:p w14:paraId="721DB45C" w14:textId="77777777" w:rsidR="009446CF" w:rsidRDefault="009446CF" w:rsidP="00AE480E"/>
    <w:sdt>
      <w:sdtPr>
        <w:rPr>
          <w:rFonts w:ascii="Arial" w:eastAsia="Times New Roman" w:hAnsi="Arial" w:cs="Times New Roman"/>
          <w:b w:val="0"/>
          <w:bCs w:val="0"/>
          <w:color w:val="auto"/>
          <w:sz w:val="24"/>
          <w:szCs w:val="24"/>
          <w:lang w:val="en-GB" w:eastAsia="en-US"/>
        </w:rPr>
        <w:id w:val="1575556547"/>
        <w:docPartObj>
          <w:docPartGallery w:val="Table of Contents"/>
          <w:docPartUnique/>
        </w:docPartObj>
      </w:sdtPr>
      <w:sdtEndPr>
        <w:rPr>
          <w:noProof/>
        </w:rPr>
      </w:sdtEndPr>
      <w:sdtContent>
        <w:p w14:paraId="3AF70A09" w14:textId="3E0DB567" w:rsidR="00555700" w:rsidRDefault="00555700">
          <w:pPr>
            <w:pStyle w:val="TOCHeading"/>
          </w:pPr>
          <w:r>
            <w:t>Contents</w:t>
          </w:r>
        </w:p>
        <w:p w14:paraId="04ED58BE" w14:textId="18371988" w:rsidR="00756351" w:rsidRDefault="00555700">
          <w:pPr>
            <w:pStyle w:val="TOC1"/>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238813243" w:history="1">
            <w:r w:rsidR="00756351" w:rsidRPr="00206441">
              <w:rPr>
                <w:rStyle w:val="Hyperlink"/>
              </w:rPr>
              <w:t>Abstract</w:t>
            </w:r>
            <w:r w:rsidR="00756351">
              <w:rPr>
                <w:webHidden/>
              </w:rPr>
              <w:tab/>
            </w:r>
            <w:r w:rsidR="00756351">
              <w:rPr>
                <w:webHidden/>
              </w:rPr>
              <w:fldChar w:fldCharType="begin"/>
            </w:r>
            <w:r w:rsidR="00756351">
              <w:rPr>
                <w:webHidden/>
              </w:rPr>
              <w:instrText xml:space="preserve"> PAGEREF _Toc238813243 \h </w:instrText>
            </w:r>
            <w:r w:rsidR="00756351">
              <w:rPr>
                <w:webHidden/>
              </w:rPr>
            </w:r>
            <w:r w:rsidR="00756351">
              <w:rPr>
                <w:webHidden/>
              </w:rPr>
              <w:fldChar w:fldCharType="separate"/>
            </w:r>
            <w:r w:rsidR="00756351">
              <w:rPr>
                <w:webHidden/>
              </w:rPr>
              <w:t>2</w:t>
            </w:r>
            <w:r w:rsidR="00756351">
              <w:rPr>
                <w:webHidden/>
              </w:rPr>
              <w:fldChar w:fldCharType="end"/>
            </w:r>
          </w:hyperlink>
        </w:p>
        <w:p w14:paraId="2072209B" w14:textId="35F3FF82" w:rsidR="00756351" w:rsidRDefault="00756351">
          <w:pPr>
            <w:pStyle w:val="TOC1"/>
            <w:rPr>
              <w:rFonts w:asciiTheme="minorHAnsi" w:eastAsiaTheme="minorEastAsia" w:hAnsiTheme="minorHAnsi" w:cstheme="minorBidi"/>
              <w:kern w:val="2"/>
              <w:lang w:eastAsia="en-GB"/>
              <w14:ligatures w14:val="standardContextual"/>
            </w:rPr>
          </w:pPr>
          <w:hyperlink w:anchor="_Toc238813244" w:history="1">
            <w:r w:rsidRPr="00206441">
              <w:rPr>
                <w:rStyle w:val="Hyperlink"/>
              </w:rPr>
              <w:t>1 Introduction</w:t>
            </w:r>
            <w:r>
              <w:rPr>
                <w:webHidden/>
              </w:rPr>
              <w:tab/>
            </w:r>
            <w:r>
              <w:rPr>
                <w:webHidden/>
              </w:rPr>
              <w:fldChar w:fldCharType="begin"/>
            </w:r>
            <w:r>
              <w:rPr>
                <w:webHidden/>
              </w:rPr>
              <w:instrText xml:space="preserve"> PAGEREF _Toc238813244 \h </w:instrText>
            </w:r>
            <w:r>
              <w:rPr>
                <w:webHidden/>
              </w:rPr>
            </w:r>
            <w:r>
              <w:rPr>
                <w:webHidden/>
              </w:rPr>
              <w:fldChar w:fldCharType="separate"/>
            </w:r>
            <w:r>
              <w:rPr>
                <w:webHidden/>
              </w:rPr>
              <w:t>4</w:t>
            </w:r>
            <w:r>
              <w:rPr>
                <w:webHidden/>
              </w:rPr>
              <w:fldChar w:fldCharType="end"/>
            </w:r>
          </w:hyperlink>
        </w:p>
        <w:p w14:paraId="55599AE5" w14:textId="02B59C30"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45" w:history="1">
            <w:r w:rsidRPr="00206441">
              <w:rPr>
                <w:rStyle w:val="Hyperlink"/>
                <w:noProof/>
              </w:rPr>
              <w:t>1.1 Report outline</w:t>
            </w:r>
            <w:r>
              <w:rPr>
                <w:noProof/>
                <w:webHidden/>
              </w:rPr>
              <w:tab/>
            </w:r>
            <w:r>
              <w:rPr>
                <w:noProof/>
                <w:webHidden/>
              </w:rPr>
              <w:fldChar w:fldCharType="begin"/>
            </w:r>
            <w:r>
              <w:rPr>
                <w:noProof/>
                <w:webHidden/>
              </w:rPr>
              <w:instrText xml:space="preserve"> PAGEREF _Toc238813245 \h </w:instrText>
            </w:r>
            <w:r>
              <w:rPr>
                <w:noProof/>
                <w:webHidden/>
              </w:rPr>
            </w:r>
            <w:r>
              <w:rPr>
                <w:noProof/>
                <w:webHidden/>
              </w:rPr>
              <w:fldChar w:fldCharType="separate"/>
            </w:r>
            <w:r>
              <w:rPr>
                <w:noProof/>
                <w:webHidden/>
              </w:rPr>
              <w:t>4</w:t>
            </w:r>
            <w:r>
              <w:rPr>
                <w:noProof/>
                <w:webHidden/>
              </w:rPr>
              <w:fldChar w:fldCharType="end"/>
            </w:r>
          </w:hyperlink>
        </w:p>
        <w:p w14:paraId="6998330F" w14:textId="7F7AE1DE"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46" w:history="1">
            <w:r w:rsidRPr="00206441">
              <w:rPr>
                <w:rStyle w:val="Hyperlink"/>
                <w:noProof/>
              </w:rPr>
              <w:t>1.2 Cobalt-60 sealed source</w:t>
            </w:r>
            <w:r>
              <w:rPr>
                <w:noProof/>
                <w:webHidden/>
              </w:rPr>
              <w:tab/>
            </w:r>
            <w:r>
              <w:rPr>
                <w:noProof/>
                <w:webHidden/>
              </w:rPr>
              <w:fldChar w:fldCharType="begin"/>
            </w:r>
            <w:r>
              <w:rPr>
                <w:noProof/>
                <w:webHidden/>
              </w:rPr>
              <w:instrText xml:space="preserve"> PAGEREF _Toc238813246 \h </w:instrText>
            </w:r>
            <w:r>
              <w:rPr>
                <w:noProof/>
                <w:webHidden/>
              </w:rPr>
            </w:r>
            <w:r>
              <w:rPr>
                <w:noProof/>
                <w:webHidden/>
              </w:rPr>
              <w:fldChar w:fldCharType="separate"/>
            </w:r>
            <w:r>
              <w:rPr>
                <w:noProof/>
                <w:webHidden/>
              </w:rPr>
              <w:t>4</w:t>
            </w:r>
            <w:r>
              <w:rPr>
                <w:noProof/>
                <w:webHidden/>
              </w:rPr>
              <w:fldChar w:fldCharType="end"/>
            </w:r>
          </w:hyperlink>
        </w:p>
        <w:p w14:paraId="0EEBA78F" w14:textId="0580B6F8"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47" w:history="1">
            <w:r w:rsidRPr="00206441">
              <w:rPr>
                <w:rStyle w:val="Hyperlink"/>
                <w:noProof/>
              </w:rPr>
              <w:t>1.3 The Irradiator</w:t>
            </w:r>
            <w:r>
              <w:rPr>
                <w:noProof/>
                <w:webHidden/>
              </w:rPr>
              <w:tab/>
            </w:r>
            <w:r>
              <w:rPr>
                <w:noProof/>
                <w:webHidden/>
              </w:rPr>
              <w:fldChar w:fldCharType="begin"/>
            </w:r>
            <w:r>
              <w:rPr>
                <w:noProof/>
                <w:webHidden/>
              </w:rPr>
              <w:instrText xml:space="preserve"> PAGEREF _Toc238813247 \h </w:instrText>
            </w:r>
            <w:r>
              <w:rPr>
                <w:noProof/>
                <w:webHidden/>
              </w:rPr>
            </w:r>
            <w:r>
              <w:rPr>
                <w:noProof/>
                <w:webHidden/>
              </w:rPr>
              <w:fldChar w:fldCharType="separate"/>
            </w:r>
            <w:r>
              <w:rPr>
                <w:noProof/>
                <w:webHidden/>
              </w:rPr>
              <w:t>4</w:t>
            </w:r>
            <w:r>
              <w:rPr>
                <w:noProof/>
                <w:webHidden/>
              </w:rPr>
              <w:fldChar w:fldCharType="end"/>
            </w:r>
          </w:hyperlink>
        </w:p>
        <w:p w14:paraId="0187DC04" w14:textId="05A5FFC6" w:rsidR="00756351" w:rsidRDefault="00756351">
          <w:pPr>
            <w:pStyle w:val="TOC1"/>
            <w:rPr>
              <w:rFonts w:asciiTheme="minorHAnsi" w:eastAsiaTheme="minorEastAsia" w:hAnsiTheme="minorHAnsi" w:cstheme="minorBidi"/>
              <w:kern w:val="2"/>
              <w:lang w:eastAsia="en-GB"/>
              <w14:ligatures w14:val="standardContextual"/>
            </w:rPr>
          </w:pPr>
          <w:hyperlink w:anchor="_Toc238813248" w:history="1">
            <w:r w:rsidRPr="00206441">
              <w:rPr>
                <w:rStyle w:val="Hyperlink"/>
              </w:rPr>
              <w:t>2 Technical exposition</w:t>
            </w:r>
            <w:r>
              <w:rPr>
                <w:webHidden/>
              </w:rPr>
              <w:tab/>
            </w:r>
            <w:r>
              <w:rPr>
                <w:webHidden/>
              </w:rPr>
              <w:fldChar w:fldCharType="begin"/>
            </w:r>
            <w:r>
              <w:rPr>
                <w:webHidden/>
              </w:rPr>
              <w:instrText xml:space="preserve"> PAGEREF _Toc238813248 \h </w:instrText>
            </w:r>
            <w:r>
              <w:rPr>
                <w:webHidden/>
              </w:rPr>
            </w:r>
            <w:r>
              <w:rPr>
                <w:webHidden/>
              </w:rPr>
              <w:fldChar w:fldCharType="separate"/>
            </w:r>
            <w:r>
              <w:rPr>
                <w:webHidden/>
              </w:rPr>
              <w:t>5</w:t>
            </w:r>
            <w:r>
              <w:rPr>
                <w:webHidden/>
              </w:rPr>
              <w:fldChar w:fldCharType="end"/>
            </w:r>
          </w:hyperlink>
        </w:p>
        <w:p w14:paraId="5410285E" w14:textId="035DE87F"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49" w:history="1">
            <w:r w:rsidRPr="00206441">
              <w:rPr>
                <w:rStyle w:val="Hyperlink"/>
                <w:noProof/>
              </w:rPr>
              <w:t>2.1 Cobalt-60 Decay</w:t>
            </w:r>
            <w:r>
              <w:rPr>
                <w:noProof/>
                <w:webHidden/>
              </w:rPr>
              <w:tab/>
            </w:r>
            <w:r>
              <w:rPr>
                <w:noProof/>
                <w:webHidden/>
              </w:rPr>
              <w:fldChar w:fldCharType="begin"/>
            </w:r>
            <w:r>
              <w:rPr>
                <w:noProof/>
                <w:webHidden/>
              </w:rPr>
              <w:instrText xml:space="preserve"> PAGEREF _Toc238813249 \h </w:instrText>
            </w:r>
            <w:r>
              <w:rPr>
                <w:noProof/>
                <w:webHidden/>
              </w:rPr>
            </w:r>
            <w:r>
              <w:rPr>
                <w:noProof/>
                <w:webHidden/>
              </w:rPr>
              <w:fldChar w:fldCharType="separate"/>
            </w:r>
            <w:r>
              <w:rPr>
                <w:noProof/>
                <w:webHidden/>
              </w:rPr>
              <w:t>5</w:t>
            </w:r>
            <w:r>
              <w:rPr>
                <w:noProof/>
                <w:webHidden/>
              </w:rPr>
              <w:fldChar w:fldCharType="end"/>
            </w:r>
          </w:hyperlink>
        </w:p>
        <w:p w14:paraId="0AE990B8" w14:textId="3DE8FEC4"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50" w:history="1">
            <w:r w:rsidRPr="00206441">
              <w:rPr>
                <w:rStyle w:val="Hyperlink"/>
                <w:noProof/>
              </w:rPr>
              <w:t>2.2 Radioactive Decay (Half-life)</w:t>
            </w:r>
            <w:r>
              <w:rPr>
                <w:noProof/>
                <w:webHidden/>
              </w:rPr>
              <w:tab/>
            </w:r>
            <w:r>
              <w:rPr>
                <w:noProof/>
                <w:webHidden/>
              </w:rPr>
              <w:fldChar w:fldCharType="begin"/>
            </w:r>
            <w:r>
              <w:rPr>
                <w:noProof/>
                <w:webHidden/>
              </w:rPr>
              <w:instrText xml:space="preserve"> PAGEREF _Toc238813250 \h </w:instrText>
            </w:r>
            <w:r>
              <w:rPr>
                <w:noProof/>
                <w:webHidden/>
              </w:rPr>
            </w:r>
            <w:r>
              <w:rPr>
                <w:noProof/>
                <w:webHidden/>
              </w:rPr>
              <w:fldChar w:fldCharType="separate"/>
            </w:r>
            <w:r>
              <w:rPr>
                <w:noProof/>
                <w:webHidden/>
              </w:rPr>
              <w:t>6</w:t>
            </w:r>
            <w:r>
              <w:rPr>
                <w:noProof/>
                <w:webHidden/>
              </w:rPr>
              <w:fldChar w:fldCharType="end"/>
            </w:r>
          </w:hyperlink>
        </w:p>
        <w:p w14:paraId="3D61975E" w14:textId="5ED5003A"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51" w:history="1">
            <w:r w:rsidRPr="00206441">
              <w:rPr>
                <w:rStyle w:val="Hyperlink"/>
                <w:noProof/>
              </w:rPr>
              <w:t>2.3 Inverse Square Law and Point Source Dose Rate</w:t>
            </w:r>
            <w:r>
              <w:rPr>
                <w:noProof/>
                <w:webHidden/>
              </w:rPr>
              <w:tab/>
            </w:r>
            <w:r>
              <w:rPr>
                <w:noProof/>
                <w:webHidden/>
              </w:rPr>
              <w:fldChar w:fldCharType="begin"/>
            </w:r>
            <w:r>
              <w:rPr>
                <w:noProof/>
                <w:webHidden/>
              </w:rPr>
              <w:instrText xml:space="preserve"> PAGEREF _Toc238813251 \h </w:instrText>
            </w:r>
            <w:r>
              <w:rPr>
                <w:noProof/>
                <w:webHidden/>
              </w:rPr>
            </w:r>
            <w:r>
              <w:rPr>
                <w:noProof/>
                <w:webHidden/>
              </w:rPr>
              <w:fldChar w:fldCharType="separate"/>
            </w:r>
            <w:r>
              <w:rPr>
                <w:noProof/>
                <w:webHidden/>
              </w:rPr>
              <w:t>7</w:t>
            </w:r>
            <w:r>
              <w:rPr>
                <w:noProof/>
                <w:webHidden/>
              </w:rPr>
              <w:fldChar w:fldCharType="end"/>
            </w:r>
          </w:hyperlink>
        </w:p>
        <w:p w14:paraId="63F8D7A6" w14:textId="5E39D618"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52" w:history="1">
            <w:r w:rsidRPr="00206441">
              <w:rPr>
                <w:rStyle w:val="Hyperlink"/>
                <w:noProof/>
              </w:rPr>
              <w:t>2.4 Radiation Attenuation</w:t>
            </w:r>
            <w:r>
              <w:rPr>
                <w:noProof/>
                <w:webHidden/>
              </w:rPr>
              <w:tab/>
            </w:r>
            <w:r>
              <w:rPr>
                <w:noProof/>
                <w:webHidden/>
              </w:rPr>
              <w:fldChar w:fldCharType="begin"/>
            </w:r>
            <w:r>
              <w:rPr>
                <w:noProof/>
                <w:webHidden/>
              </w:rPr>
              <w:instrText xml:space="preserve"> PAGEREF _Toc238813252 \h </w:instrText>
            </w:r>
            <w:r>
              <w:rPr>
                <w:noProof/>
                <w:webHidden/>
              </w:rPr>
            </w:r>
            <w:r>
              <w:rPr>
                <w:noProof/>
                <w:webHidden/>
              </w:rPr>
              <w:fldChar w:fldCharType="separate"/>
            </w:r>
            <w:r>
              <w:rPr>
                <w:noProof/>
                <w:webHidden/>
              </w:rPr>
              <w:t>8</w:t>
            </w:r>
            <w:r>
              <w:rPr>
                <w:noProof/>
                <w:webHidden/>
              </w:rPr>
              <w:fldChar w:fldCharType="end"/>
            </w:r>
          </w:hyperlink>
        </w:p>
        <w:p w14:paraId="5C75E7B9" w14:textId="3CC46936"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53" w:history="1">
            <w:r w:rsidRPr="00206441">
              <w:rPr>
                <w:rStyle w:val="Hyperlink"/>
                <w:noProof/>
              </w:rPr>
              <w:t>2.5 Dose Quantity</w:t>
            </w:r>
            <w:r>
              <w:rPr>
                <w:noProof/>
                <w:webHidden/>
              </w:rPr>
              <w:tab/>
            </w:r>
            <w:r>
              <w:rPr>
                <w:noProof/>
                <w:webHidden/>
              </w:rPr>
              <w:fldChar w:fldCharType="begin"/>
            </w:r>
            <w:r>
              <w:rPr>
                <w:noProof/>
                <w:webHidden/>
              </w:rPr>
              <w:instrText xml:space="preserve"> PAGEREF _Toc238813253 \h </w:instrText>
            </w:r>
            <w:r>
              <w:rPr>
                <w:noProof/>
                <w:webHidden/>
              </w:rPr>
            </w:r>
            <w:r>
              <w:rPr>
                <w:noProof/>
                <w:webHidden/>
              </w:rPr>
              <w:fldChar w:fldCharType="separate"/>
            </w:r>
            <w:r>
              <w:rPr>
                <w:noProof/>
                <w:webHidden/>
              </w:rPr>
              <w:t>9</w:t>
            </w:r>
            <w:r>
              <w:rPr>
                <w:noProof/>
                <w:webHidden/>
              </w:rPr>
              <w:fldChar w:fldCharType="end"/>
            </w:r>
          </w:hyperlink>
        </w:p>
        <w:p w14:paraId="32479E0B" w14:textId="1CB9D27D" w:rsidR="00756351" w:rsidRDefault="0075635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8813254" w:history="1">
            <w:r w:rsidRPr="00206441">
              <w:rPr>
                <w:rStyle w:val="Hyperlink"/>
                <w:noProof/>
              </w:rPr>
              <w:t>2.5.1 Absorbed Dose</w:t>
            </w:r>
            <w:r>
              <w:rPr>
                <w:noProof/>
                <w:webHidden/>
              </w:rPr>
              <w:tab/>
            </w:r>
            <w:r>
              <w:rPr>
                <w:noProof/>
                <w:webHidden/>
              </w:rPr>
              <w:fldChar w:fldCharType="begin"/>
            </w:r>
            <w:r>
              <w:rPr>
                <w:noProof/>
                <w:webHidden/>
              </w:rPr>
              <w:instrText xml:space="preserve"> PAGEREF _Toc238813254 \h </w:instrText>
            </w:r>
            <w:r>
              <w:rPr>
                <w:noProof/>
                <w:webHidden/>
              </w:rPr>
            </w:r>
            <w:r>
              <w:rPr>
                <w:noProof/>
                <w:webHidden/>
              </w:rPr>
              <w:fldChar w:fldCharType="separate"/>
            </w:r>
            <w:r>
              <w:rPr>
                <w:noProof/>
                <w:webHidden/>
              </w:rPr>
              <w:t>9</w:t>
            </w:r>
            <w:r>
              <w:rPr>
                <w:noProof/>
                <w:webHidden/>
              </w:rPr>
              <w:fldChar w:fldCharType="end"/>
            </w:r>
          </w:hyperlink>
        </w:p>
        <w:p w14:paraId="0086CCD0" w14:textId="0D5EDCCF" w:rsidR="00756351" w:rsidRDefault="0075635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8813255" w:history="1">
            <w:r w:rsidRPr="00206441">
              <w:rPr>
                <w:rStyle w:val="Hyperlink"/>
                <w:noProof/>
              </w:rPr>
              <w:t>2.5.2 Equivalent Dose</w:t>
            </w:r>
            <w:r>
              <w:rPr>
                <w:noProof/>
                <w:webHidden/>
              </w:rPr>
              <w:tab/>
            </w:r>
            <w:r>
              <w:rPr>
                <w:noProof/>
                <w:webHidden/>
              </w:rPr>
              <w:fldChar w:fldCharType="begin"/>
            </w:r>
            <w:r>
              <w:rPr>
                <w:noProof/>
                <w:webHidden/>
              </w:rPr>
              <w:instrText xml:space="preserve"> PAGEREF _Toc238813255 \h </w:instrText>
            </w:r>
            <w:r>
              <w:rPr>
                <w:noProof/>
                <w:webHidden/>
              </w:rPr>
            </w:r>
            <w:r>
              <w:rPr>
                <w:noProof/>
                <w:webHidden/>
              </w:rPr>
              <w:fldChar w:fldCharType="separate"/>
            </w:r>
            <w:r>
              <w:rPr>
                <w:noProof/>
                <w:webHidden/>
              </w:rPr>
              <w:t>10</w:t>
            </w:r>
            <w:r>
              <w:rPr>
                <w:noProof/>
                <w:webHidden/>
              </w:rPr>
              <w:fldChar w:fldCharType="end"/>
            </w:r>
          </w:hyperlink>
        </w:p>
        <w:p w14:paraId="4E6BFF9C" w14:textId="26A92B35" w:rsidR="00756351" w:rsidRDefault="0075635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8813256" w:history="1">
            <w:r w:rsidRPr="00206441">
              <w:rPr>
                <w:rStyle w:val="Hyperlink"/>
                <w:noProof/>
              </w:rPr>
              <w:t>2.5.3 Effective Dose</w:t>
            </w:r>
            <w:r>
              <w:rPr>
                <w:noProof/>
                <w:webHidden/>
              </w:rPr>
              <w:tab/>
            </w:r>
            <w:r>
              <w:rPr>
                <w:noProof/>
                <w:webHidden/>
              </w:rPr>
              <w:fldChar w:fldCharType="begin"/>
            </w:r>
            <w:r>
              <w:rPr>
                <w:noProof/>
                <w:webHidden/>
              </w:rPr>
              <w:instrText xml:space="preserve"> PAGEREF _Toc238813256 \h </w:instrText>
            </w:r>
            <w:r>
              <w:rPr>
                <w:noProof/>
                <w:webHidden/>
              </w:rPr>
            </w:r>
            <w:r>
              <w:rPr>
                <w:noProof/>
                <w:webHidden/>
              </w:rPr>
              <w:fldChar w:fldCharType="separate"/>
            </w:r>
            <w:r>
              <w:rPr>
                <w:noProof/>
                <w:webHidden/>
              </w:rPr>
              <w:t>10</w:t>
            </w:r>
            <w:r>
              <w:rPr>
                <w:noProof/>
                <w:webHidden/>
              </w:rPr>
              <w:fldChar w:fldCharType="end"/>
            </w:r>
          </w:hyperlink>
        </w:p>
        <w:p w14:paraId="2039D86B" w14:textId="587AD89E" w:rsidR="00756351" w:rsidRDefault="0075635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8813257" w:history="1">
            <w:r w:rsidRPr="00206441">
              <w:rPr>
                <w:rStyle w:val="Hyperlink"/>
                <w:noProof/>
              </w:rPr>
              <w:t>2.5.4 Dose Rate</w:t>
            </w:r>
            <w:r>
              <w:rPr>
                <w:noProof/>
                <w:webHidden/>
              </w:rPr>
              <w:tab/>
            </w:r>
            <w:r>
              <w:rPr>
                <w:noProof/>
                <w:webHidden/>
              </w:rPr>
              <w:fldChar w:fldCharType="begin"/>
            </w:r>
            <w:r>
              <w:rPr>
                <w:noProof/>
                <w:webHidden/>
              </w:rPr>
              <w:instrText xml:space="preserve"> PAGEREF _Toc238813257 \h </w:instrText>
            </w:r>
            <w:r>
              <w:rPr>
                <w:noProof/>
                <w:webHidden/>
              </w:rPr>
            </w:r>
            <w:r>
              <w:rPr>
                <w:noProof/>
                <w:webHidden/>
              </w:rPr>
              <w:fldChar w:fldCharType="separate"/>
            </w:r>
            <w:r>
              <w:rPr>
                <w:noProof/>
                <w:webHidden/>
              </w:rPr>
              <w:t>11</w:t>
            </w:r>
            <w:r>
              <w:rPr>
                <w:noProof/>
                <w:webHidden/>
              </w:rPr>
              <w:fldChar w:fldCharType="end"/>
            </w:r>
          </w:hyperlink>
        </w:p>
        <w:p w14:paraId="66305085" w14:textId="397DE8B9" w:rsidR="00756351" w:rsidRDefault="00756351">
          <w:pPr>
            <w:pStyle w:val="TOC1"/>
            <w:rPr>
              <w:rFonts w:asciiTheme="minorHAnsi" w:eastAsiaTheme="minorEastAsia" w:hAnsiTheme="minorHAnsi" w:cstheme="minorBidi"/>
              <w:kern w:val="2"/>
              <w:lang w:eastAsia="en-GB"/>
              <w14:ligatures w14:val="standardContextual"/>
            </w:rPr>
          </w:pPr>
          <w:hyperlink w:anchor="_Toc238813258" w:history="1">
            <w:r w:rsidRPr="00206441">
              <w:rPr>
                <w:rStyle w:val="Hyperlink"/>
              </w:rPr>
              <w:t>3 Case analysis – narrative of the incident and dose reconstruction (see annex A for detailed calculations)</w:t>
            </w:r>
            <w:r>
              <w:rPr>
                <w:webHidden/>
              </w:rPr>
              <w:tab/>
            </w:r>
            <w:r>
              <w:rPr>
                <w:webHidden/>
              </w:rPr>
              <w:fldChar w:fldCharType="begin"/>
            </w:r>
            <w:r>
              <w:rPr>
                <w:webHidden/>
              </w:rPr>
              <w:instrText xml:space="preserve"> PAGEREF _Toc238813258 \h </w:instrText>
            </w:r>
            <w:r>
              <w:rPr>
                <w:webHidden/>
              </w:rPr>
            </w:r>
            <w:r>
              <w:rPr>
                <w:webHidden/>
              </w:rPr>
              <w:fldChar w:fldCharType="separate"/>
            </w:r>
            <w:r>
              <w:rPr>
                <w:webHidden/>
              </w:rPr>
              <w:t>11</w:t>
            </w:r>
            <w:r>
              <w:rPr>
                <w:webHidden/>
              </w:rPr>
              <w:fldChar w:fldCharType="end"/>
            </w:r>
          </w:hyperlink>
        </w:p>
        <w:p w14:paraId="668DDB60" w14:textId="2EEF2AF7"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59" w:history="1">
            <w:r w:rsidRPr="00206441">
              <w:rPr>
                <w:rStyle w:val="Hyperlink"/>
                <w:noProof/>
              </w:rPr>
              <w:t>3.1 The Incident January 17</w:t>
            </w:r>
            <w:r w:rsidRPr="00206441">
              <w:rPr>
                <w:rStyle w:val="Hyperlink"/>
                <w:noProof/>
                <w:vertAlign w:val="superscript"/>
              </w:rPr>
              <w:t>th</w:t>
            </w:r>
            <w:r w:rsidRPr="00206441">
              <w:rPr>
                <w:rStyle w:val="Hyperlink"/>
                <w:noProof/>
              </w:rPr>
              <w:t>, 2025</w:t>
            </w:r>
            <w:r>
              <w:rPr>
                <w:noProof/>
                <w:webHidden/>
              </w:rPr>
              <w:tab/>
            </w:r>
            <w:r>
              <w:rPr>
                <w:noProof/>
                <w:webHidden/>
              </w:rPr>
              <w:fldChar w:fldCharType="begin"/>
            </w:r>
            <w:r>
              <w:rPr>
                <w:noProof/>
                <w:webHidden/>
              </w:rPr>
              <w:instrText xml:space="preserve"> PAGEREF _Toc238813259 \h </w:instrText>
            </w:r>
            <w:r>
              <w:rPr>
                <w:noProof/>
                <w:webHidden/>
              </w:rPr>
            </w:r>
            <w:r>
              <w:rPr>
                <w:noProof/>
                <w:webHidden/>
              </w:rPr>
              <w:fldChar w:fldCharType="separate"/>
            </w:r>
            <w:r>
              <w:rPr>
                <w:noProof/>
                <w:webHidden/>
              </w:rPr>
              <w:t>11</w:t>
            </w:r>
            <w:r>
              <w:rPr>
                <w:noProof/>
                <w:webHidden/>
              </w:rPr>
              <w:fldChar w:fldCharType="end"/>
            </w:r>
          </w:hyperlink>
        </w:p>
        <w:p w14:paraId="6B25E2A4" w14:textId="20A4E615"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60" w:history="1">
            <w:r w:rsidRPr="00206441">
              <w:rPr>
                <w:rStyle w:val="Hyperlink"/>
                <w:noProof/>
              </w:rPr>
              <w:t>3.2 Source Activity at the Time of the Incident</w:t>
            </w:r>
            <w:r>
              <w:rPr>
                <w:noProof/>
                <w:webHidden/>
              </w:rPr>
              <w:tab/>
            </w:r>
            <w:r>
              <w:rPr>
                <w:noProof/>
                <w:webHidden/>
              </w:rPr>
              <w:fldChar w:fldCharType="begin"/>
            </w:r>
            <w:r>
              <w:rPr>
                <w:noProof/>
                <w:webHidden/>
              </w:rPr>
              <w:instrText xml:space="preserve"> PAGEREF _Toc238813260 \h </w:instrText>
            </w:r>
            <w:r>
              <w:rPr>
                <w:noProof/>
                <w:webHidden/>
              </w:rPr>
            </w:r>
            <w:r>
              <w:rPr>
                <w:noProof/>
                <w:webHidden/>
              </w:rPr>
              <w:fldChar w:fldCharType="separate"/>
            </w:r>
            <w:r>
              <w:rPr>
                <w:noProof/>
                <w:webHidden/>
              </w:rPr>
              <w:t>12</w:t>
            </w:r>
            <w:r>
              <w:rPr>
                <w:noProof/>
                <w:webHidden/>
              </w:rPr>
              <w:fldChar w:fldCharType="end"/>
            </w:r>
          </w:hyperlink>
        </w:p>
        <w:p w14:paraId="27749595" w14:textId="4440BD9E"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61" w:history="1">
            <w:r w:rsidRPr="00206441">
              <w:rPr>
                <w:rStyle w:val="Hyperlink"/>
                <w:noProof/>
              </w:rPr>
              <w:t>3.3 Unshielded Dose Rates</w:t>
            </w:r>
            <w:r>
              <w:rPr>
                <w:noProof/>
                <w:webHidden/>
              </w:rPr>
              <w:tab/>
            </w:r>
            <w:r>
              <w:rPr>
                <w:noProof/>
                <w:webHidden/>
              </w:rPr>
              <w:fldChar w:fldCharType="begin"/>
            </w:r>
            <w:r>
              <w:rPr>
                <w:noProof/>
                <w:webHidden/>
              </w:rPr>
              <w:instrText xml:space="preserve"> PAGEREF _Toc238813261 \h </w:instrText>
            </w:r>
            <w:r>
              <w:rPr>
                <w:noProof/>
                <w:webHidden/>
              </w:rPr>
            </w:r>
            <w:r>
              <w:rPr>
                <w:noProof/>
                <w:webHidden/>
              </w:rPr>
              <w:fldChar w:fldCharType="separate"/>
            </w:r>
            <w:r>
              <w:rPr>
                <w:noProof/>
                <w:webHidden/>
              </w:rPr>
              <w:t>12</w:t>
            </w:r>
            <w:r>
              <w:rPr>
                <w:noProof/>
                <w:webHidden/>
              </w:rPr>
              <w:fldChar w:fldCharType="end"/>
            </w:r>
          </w:hyperlink>
        </w:p>
        <w:p w14:paraId="3E9B2D1A" w14:textId="489467E7"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62" w:history="1">
            <w:r w:rsidRPr="00206441">
              <w:rPr>
                <w:rStyle w:val="Hyperlink"/>
                <w:noProof/>
              </w:rPr>
              <w:t>3.4 Dose During Initial Access Phase</w:t>
            </w:r>
            <w:r>
              <w:rPr>
                <w:noProof/>
                <w:webHidden/>
              </w:rPr>
              <w:tab/>
            </w:r>
            <w:r>
              <w:rPr>
                <w:noProof/>
                <w:webHidden/>
              </w:rPr>
              <w:fldChar w:fldCharType="begin"/>
            </w:r>
            <w:r>
              <w:rPr>
                <w:noProof/>
                <w:webHidden/>
              </w:rPr>
              <w:instrText xml:space="preserve"> PAGEREF _Toc238813262 \h </w:instrText>
            </w:r>
            <w:r>
              <w:rPr>
                <w:noProof/>
                <w:webHidden/>
              </w:rPr>
            </w:r>
            <w:r>
              <w:rPr>
                <w:noProof/>
                <w:webHidden/>
              </w:rPr>
              <w:fldChar w:fldCharType="separate"/>
            </w:r>
            <w:r>
              <w:rPr>
                <w:noProof/>
                <w:webHidden/>
              </w:rPr>
              <w:t>13</w:t>
            </w:r>
            <w:r>
              <w:rPr>
                <w:noProof/>
                <w:webHidden/>
              </w:rPr>
              <w:fldChar w:fldCharType="end"/>
            </w:r>
          </w:hyperlink>
        </w:p>
        <w:p w14:paraId="621E0C38" w14:textId="6AF2E88C"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63" w:history="1">
            <w:r w:rsidRPr="00206441">
              <w:rPr>
                <w:rStyle w:val="Hyperlink"/>
                <w:noProof/>
              </w:rPr>
              <w:t>3.5 Dose During Inspection Phase</w:t>
            </w:r>
            <w:r>
              <w:rPr>
                <w:noProof/>
                <w:webHidden/>
              </w:rPr>
              <w:tab/>
            </w:r>
            <w:r>
              <w:rPr>
                <w:noProof/>
                <w:webHidden/>
              </w:rPr>
              <w:fldChar w:fldCharType="begin"/>
            </w:r>
            <w:r>
              <w:rPr>
                <w:noProof/>
                <w:webHidden/>
              </w:rPr>
              <w:instrText xml:space="preserve"> PAGEREF _Toc238813263 \h </w:instrText>
            </w:r>
            <w:r>
              <w:rPr>
                <w:noProof/>
                <w:webHidden/>
              </w:rPr>
            </w:r>
            <w:r>
              <w:rPr>
                <w:noProof/>
                <w:webHidden/>
              </w:rPr>
              <w:fldChar w:fldCharType="separate"/>
            </w:r>
            <w:r>
              <w:rPr>
                <w:noProof/>
                <w:webHidden/>
              </w:rPr>
              <w:t>13</w:t>
            </w:r>
            <w:r>
              <w:rPr>
                <w:noProof/>
                <w:webHidden/>
              </w:rPr>
              <w:fldChar w:fldCharType="end"/>
            </w:r>
          </w:hyperlink>
        </w:p>
        <w:p w14:paraId="35C7AF04" w14:textId="66E345CB"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64" w:history="1">
            <w:r w:rsidRPr="00206441">
              <w:rPr>
                <w:rStyle w:val="Hyperlink"/>
                <w:noProof/>
              </w:rPr>
              <w:t>3.6 Equivalent and Effective Dose</w:t>
            </w:r>
            <w:r>
              <w:rPr>
                <w:noProof/>
                <w:webHidden/>
              </w:rPr>
              <w:tab/>
            </w:r>
            <w:r>
              <w:rPr>
                <w:noProof/>
                <w:webHidden/>
              </w:rPr>
              <w:fldChar w:fldCharType="begin"/>
            </w:r>
            <w:r>
              <w:rPr>
                <w:noProof/>
                <w:webHidden/>
              </w:rPr>
              <w:instrText xml:space="preserve"> PAGEREF _Toc238813264 \h </w:instrText>
            </w:r>
            <w:r>
              <w:rPr>
                <w:noProof/>
                <w:webHidden/>
              </w:rPr>
            </w:r>
            <w:r>
              <w:rPr>
                <w:noProof/>
                <w:webHidden/>
              </w:rPr>
              <w:fldChar w:fldCharType="separate"/>
            </w:r>
            <w:r>
              <w:rPr>
                <w:noProof/>
                <w:webHidden/>
              </w:rPr>
              <w:t>13</w:t>
            </w:r>
            <w:r>
              <w:rPr>
                <w:noProof/>
                <w:webHidden/>
              </w:rPr>
              <w:fldChar w:fldCharType="end"/>
            </w:r>
          </w:hyperlink>
        </w:p>
        <w:p w14:paraId="4891EACB" w14:textId="7510D7ED" w:rsidR="00756351" w:rsidRDefault="00756351">
          <w:pPr>
            <w:pStyle w:val="TOC1"/>
            <w:rPr>
              <w:rFonts w:asciiTheme="minorHAnsi" w:eastAsiaTheme="minorEastAsia" w:hAnsiTheme="minorHAnsi" w:cstheme="minorBidi"/>
              <w:kern w:val="2"/>
              <w:lang w:eastAsia="en-GB"/>
              <w14:ligatures w14:val="standardContextual"/>
            </w:rPr>
          </w:pPr>
          <w:hyperlink w:anchor="_Toc238813265" w:history="1">
            <w:r w:rsidRPr="00206441">
              <w:rPr>
                <w:rStyle w:val="Hyperlink"/>
              </w:rPr>
              <w:t>4 Discussion – interpretation of calculated doses and regulatory implications</w:t>
            </w:r>
            <w:r>
              <w:rPr>
                <w:webHidden/>
              </w:rPr>
              <w:tab/>
            </w:r>
            <w:r>
              <w:rPr>
                <w:webHidden/>
              </w:rPr>
              <w:fldChar w:fldCharType="begin"/>
            </w:r>
            <w:r>
              <w:rPr>
                <w:webHidden/>
              </w:rPr>
              <w:instrText xml:space="preserve"> PAGEREF _Toc238813265 \h </w:instrText>
            </w:r>
            <w:r>
              <w:rPr>
                <w:webHidden/>
              </w:rPr>
            </w:r>
            <w:r>
              <w:rPr>
                <w:webHidden/>
              </w:rPr>
              <w:fldChar w:fldCharType="separate"/>
            </w:r>
            <w:r>
              <w:rPr>
                <w:webHidden/>
              </w:rPr>
              <w:t>13</w:t>
            </w:r>
            <w:r>
              <w:rPr>
                <w:webHidden/>
              </w:rPr>
              <w:fldChar w:fldCharType="end"/>
            </w:r>
          </w:hyperlink>
        </w:p>
        <w:p w14:paraId="20E94C62" w14:textId="705B4944"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66" w:history="1">
            <w:r w:rsidRPr="00206441">
              <w:rPr>
                <w:rStyle w:val="Hyperlink"/>
                <w:noProof/>
              </w:rPr>
              <w:t>4.1 Calculated vs. Recorded Doses</w:t>
            </w:r>
            <w:r>
              <w:rPr>
                <w:noProof/>
                <w:webHidden/>
              </w:rPr>
              <w:tab/>
            </w:r>
            <w:r>
              <w:rPr>
                <w:noProof/>
                <w:webHidden/>
              </w:rPr>
              <w:fldChar w:fldCharType="begin"/>
            </w:r>
            <w:r>
              <w:rPr>
                <w:noProof/>
                <w:webHidden/>
              </w:rPr>
              <w:instrText xml:space="preserve"> PAGEREF _Toc238813266 \h </w:instrText>
            </w:r>
            <w:r>
              <w:rPr>
                <w:noProof/>
                <w:webHidden/>
              </w:rPr>
            </w:r>
            <w:r>
              <w:rPr>
                <w:noProof/>
                <w:webHidden/>
              </w:rPr>
              <w:fldChar w:fldCharType="separate"/>
            </w:r>
            <w:r>
              <w:rPr>
                <w:noProof/>
                <w:webHidden/>
              </w:rPr>
              <w:t>13</w:t>
            </w:r>
            <w:r>
              <w:rPr>
                <w:noProof/>
                <w:webHidden/>
              </w:rPr>
              <w:fldChar w:fldCharType="end"/>
            </w:r>
          </w:hyperlink>
        </w:p>
        <w:p w14:paraId="31240EE3" w14:textId="779AF39C" w:rsidR="00756351" w:rsidRDefault="0075635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8813267" w:history="1">
            <w:r w:rsidRPr="00206441">
              <w:rPr>
                <w:rStyle w:val="Hyperlink"/>
                <w:noProof/>
              </w:rPr>
              <w:t>4.1.1 Health Implications</w:t>
            </w:r>
            <w:r>
              <w:rPr>
                <w:noProof/>
                <w:webHidden/>
              </w:rPr>
              <w:tab/>
            </w:r>
            <w:r>
              <w:rPr>
                <w:noProof/>
                <w:webHidden/>
              </w:rPr>
              <w:fldChar w:fldCharType="begin"/>
            </w:r>
            <w:r>
              <w:rPr>
                <w:noProof/>
                <w:webHidden/>
              </w:rPr>
              <w:instrText xml:space="preserve"> PAGEREF _Toc238813267 \h </w:instrText>
            </w:r>
            <w:r>
              <w:rPr>
                <w:noProof/>
                <w:webHidden/>
              </w:rPr>
            </w:r>
            <w:r>
              <w:rPr>
                <w:noProof/>
                <w:webHidden/>
              </w:rPr>
              <w:fldChar w:fldCharType="separate"/>
            </w:r>
            <w:r>
              <w:rPr>
                <w:noProof/>
                <w:webHidden/>
              </w:rPr>
              <w:t>14</w:t>
            </w:r>
            <w:r>
              <w:rPr>
                <w:noProof/>
                <w:webHidden/>
              </w:rPr>
              <w:fldChar w:fldCharType="end"/>
            </w:r>
          </w:hyperlink>
        </w:p>
        <w:p w14:paraId="4F5BF8A6" w14:textId="75903254"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68" w:history="1">
            <w:r w:rsidRPr="00206441">
              <w:rPr>
                <w:rStyle w:val="Hyperlink"/>
                <w:noProof/>
              </w:rPr>
              <w:t>4.2 Regulatory implications</w:t>
            </w:r>
            <w:r>
              <w:rPr>
                <w:noProof/>
                <w:webHidden/>
              </w:rPr>
              <w:tab/>
            </w:r>
            <w:r>
              <w:rPr>
                <w:noProof/>
                <w:webHidden/>
              </w:rPr>
              <w:fldChar w:fldCharType="begin"/>
            </w:r>
            <w:r>
              <w:rPr>
                <w:noProof/>
                <w:webHidden/>
              </w:rPr>
              <w:instrText xml:space="preserve"> PAGEREF _Toc238813268 \h </w:instrText>
            </w:r>
            <w:r>
              <w:rPr>
                <w:noProof/>
                <w:webHidden/>
              </w:rPr>
            </w:r>
            <w:r>
              <w:rPr>
                <w:noProof/>
                <w:webHidden/>
              </w:rPr>
              <w:fldChar w:fldCharType="separate"/>
            </w:r>
            <w:r>
              <w:rPr>
                <w:noProof/>
                <w:webHidden/>
              </w:rPr>
              <w:t>14</w:t>
            </w:r>
            <w:r>
              <w:rPr>
                <w:noProof/>
                <w:webHidden/>
              </w:rPr>
              <w:fldChar w:fldCharType="end"/>
            </w:r>
          </w:hyperlink>
        </w:p>
        <w:p w14:paraId="165EDE82" w14:textId="5246343E"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69" w:history="1">
            <w:r w:rsidRPr="00206441">
              <w:rPr>
                <w:rStyle w:val="Hyperlink"/>
                <w:noProof/>
              </w:rPr>
              <w:t>4.3 Safety Assessment Principles (SAPs)</w:t>
            </w:r>
            <w:r>
              <w:rPr>
                <w:noProof/>
                <w:webHidden/>
              </w:rPr>
              <w:tab/>
            </w:r>
            <w:r>
              <w:rPr>
                <w:noProof/>
                <w:webHidden/>
              </w:rPr>
              <w:fldChar w:fldCharType="begin"/>
            </w:r>
            <w:r>
              <w:rPr>
                <w:noProof/>
                <w:webHidden/>
              </w:rPr>
              <w:instrText xml:space="preserve"> PAGEREF _Toc238813269 \h </w:instrText>
            </w:r>
            <w:r>
              <w:rPr>
                <w:noProof/>
                <w:webHidden/>
              </w:rPr>
            </w:r>
            <w:r>
              <w:rPr>
                <w:noProof/>
                <w:webHidden/>
              </w:rPr>
              <w:fldChar w:fldCharType="separate"/>
            </w:r>
            <w:r>
              <w:rPr>
                <w:noProof/>
                <w:webHidden/>
              </w:rPr>
              <w:t>15</w:t>
            </w:r>
            <w:r>
              <w:rPr>
                <w:noProof/>
                <w:webHidden/>
              </w:rPr>
              <w:fldChar w:fldCharType="end"/>
            </w:r>
          </w:hyperlink>
        </w:p>
        <w:p w14:paraId="508AF1C6" w14:textId="73545CB9" w:rsidR="00756351" w:rsidRDefault="00756351">
          <w:pPr>
            <w:pStyle w:val="TOC1"/>
            <w:rPr>
              <w:rFonts w:asciiTheme="minorHAnsi" w:eastAsiaTheme="minorEastAsia" w:hAnsiTheme="minorHAnsi" w:cstheme="minorBidi"/>
              <w:kern w:val="2"/>
              <w:lang w:eastAsia="en-GB"/>
              <w14:ligatures w14:val="standardContextual"/>
            </w:rPr>
          </w:pPr>
          <w:hyperlink w:anchor="_Toc238813270" w:history="1">
            <w:r w:rsidRPr="00206441">
              <w:rPr>
                <w:rStyle w:val="Hyperlink"/>
              </w:rPr>
              <w:t>5 Recommendations</w:t>
            </w:r>
            <w:r>
              <w:rPr>
                <w:webHidden/>
              </w:rPr>
              <w:tab/>
            </w:r>
            <w:r>
              <w:rPr>
                <w:webHidden/>
              </w:rPr>
              <w:fldChar w:fldCharType="begin"/>
            </w:r>
            <w:r>
              <w:rPr>
                <w:webHidden/>
              </w:rPr>
              <w:instrText xml:space="preserve"> PAGEREF _Toc238813270 \h </w:instrText>
            </w:r>
            <w:r>
              <w:rPr>
                <w:webHidden/>
              </w:rPr>
            </w:r>
            <w:r>
              <w:rPr>
                <w:webHidden/>
              </w:rPr>
              <w:fldChar w:fldCharType="separate"/>
            </w:r>
            <w:r>
              <w:rPr>
                <w:webHidden/>
              </w:rPr>
              <w:t>16</w:t>
            </w:r>
            <w:r>
              <w:rPr>
                <w:webHidden/>
              </w:rPr>
              <w:fldChar w:fldCharType="end"/>
            </w:r>
          </w:hyperlink>
        </w:p>
        <w:p w14:paraId="7D6A1CE1" w14:textId="7D7D5F33" w:rsidR="00756351" w:rsidRDefault="00756351">
          <w:pPr>
            <w:pStyle w:val="TOC1"/>
            <w:rPr>
              <w:rFonts w:asciiTheme="minorHAnsi" w:eastAsiaTheme="minorEastAsia" w:hAnsiTheme="minorHAnsi" w:cstheme="minorBidi"/>
              <w:kern w:val="2"/>
              <w:lang w:eastAsia="en-GB"/>
              <w14:ligatures w14:val="standardContextual"/>
            </w:rPr>
          </w:pPr>
          <w:hyperlink w:anchor="_Toc238813271" w:history="1">
            <w:r w:rsidRPr="00206441">
              <w:rPr>
                <w:rStyle w:val="Hyperlink"/>
              </w:rPr>
              <w:t>6 Conclusion</w:t>
            </w:r>
            <w:r>
              <w:rPr>
                <w:webHidden/>
              </w:rPr>
              <w:tab/>
            </w:r>
            <w:r>
              <w:rPr>
                <w:webHidden/>
              </w:rPr>
              <w:fldChar w:fldCharType="begin"/>
            </w:r>
            <w:r>
              <w:rPr>
                <w:webHidden/>
              </w:rPr>
              <w:instrText xml:space="preserve"> PAGEREF _Toc238813271 \h </w:instrText>
            </w:r>
            <w:r>
              <w:rPr>
                <w:webHidden/>
              </w:rPr>
            </w:r>
            <w:r>
              <w:rPr>
                <w:webHidden/>
              </w:rPr>
              <w:fldChar w:fldCharType="separate"/>
            </w:r>
            <w:r>
              <w:rPr>
                <w:webHidden/>
              </w:rPr>
              <w:t>17</w:t>
            </w:r>
            <w:r>
              <w:rPr>
                <w:webHidden/>
              </w:rPr>
              <w:fldChar w:fldCharType="end"/>
            </w:r>
          </w:hyperlink>
        </w:p>
        <w:p w14:paraId="6AE2EFC7" w14:textId="7B5C0E30" w:rsidR="00756351" w:rsidRDefault="00756351">
          <w:pPr>
            <w:pStyle w:val="TOC1"/>
            <w:rPr>
              <w:rFonts w:asciiTheme="minorHAnsi" w:eastAsiaTheme="minorEastAsia" w:hAnsiTheme="minorHAnsi" w:cstheme="minorBidi"/>
              <w:kern w:val="2"/>
              <w:lang w:eastAsia="en-GB"/>
              <w14:ligatures w14:val="standardContextual"/>
            </w:rPr>
          </w:pPr>
          <w:hyperlink w:anchor="_Toc238813272" w:history="1">
            <w:r w:rsidRPr="00206441">
              <w:rPr>
                <w:rStyle w:val="Hyperlink"/>
              </w:rPr>
              <w:t>7 References – Harvard style</w:t>
            </w:r>
            <w:r>
              <w:rPr>
                <w:webHidden/>
              </w:rPr>
              <w:tab/>
            </w:r>
            <w:r>
              <w:rPr>
                <w:webHidden/>
              </w:rPr>
              <w:fldChar w:fldCharType="begin"/>
            </w:r>
            <w:r>
              <w:rPr>
                <w:webHidden/>
              </w:rPr>
              <w:instrText xml:space="preserve"> PAGEREF _Toc238813272 \h </w:instrText>
            </w:r>
            <w:r>
              <w:rPr>
                <w:webHidden/>
              </w:rPr>
            </w:r>
            <w:r>
              <w:rPr>
                <w:webHidden/>
              </w:rPr>
              <w:fldChar w:fldCharType="separate"/>
            </w:r>
            <w:r>
              <w:rPr>
                <w:webHidden/>
              </w:rPr>
              <w:t>18</w:t>
            </w:r>
            <w:r>
              <w:rPr>
                <w:webHidden/>
              </w:rPr>
              <w:fldChar w:fldCharType="end"/>
            </w:r>
          </w:hyperlink>
        </w:p>
        <w:p w14:paraId="1F1591DE" w14:textId="35EDBE6D" w:rsidR="00756351" w:rsidRDefault="00756351">
          <w:pPr>
            <w:pStyle w:val="TOC1"/>
            <w:rPr>
              <w:rFonts w:asciiTheme="minorHAnsi" w:eastAsiaTheme="minorEastAsia" w:hAnsiTheme="minorHAnsi" w:cstheme="minorBidi"/>
              <w:kern w:val="2"/>
              <w:lang w:eastAsia="en-GB"/>
              <w14:ligatures w14:val="standardContextual"/>
            </w:rPr>
          </w:pPr>
          <w:hyperlink w:anchor="_Toc238813273" w:history="1">
            <w:r w:rsidRPr="00206441">
              <w:rPr>
                <w:rStyle w:val="Hyperlink"/>
              </w:rPr>
              <w:t>8 Annex A – detailed calculations</w:t>
            </w:r>
            <w:r>
              <w:rPr>
                <w:webHidden/>
              </w:rPr>
              <w:tab/>
            </w:r>
            <w:r>
              <w:rPr>
                <w:webHidden/>
              </w:rPr>
              <w:fldChar w:fldCharType="begin"/>
            </w:r>
            <w:r>
              <w:rPr>
                <w:webHidden/>
              </w:rPr>
              <w:instrText xml:space="preserve"> PAGEREF _Toc238813273 \h </w:instrText>
            </w:r>
            <w:r>
              <w:rPr>
                <w:webHidden/>
              </w:rPr>
            </w:r>
            <w:r>
              <w:rPr>
                <w:webHidden/>
              </w:rPr>
              <w:fldChar w:fldCharType="separate"/>
            </w:r>
            <w:r>
              <w:rPr>
                <w:webHidden/>
              </w:rPr>
              <w:t>19</w:t>
            </w:r>
            <w:r>
              <w:rPr>
                <w:webHidden/>
              </w:rPr>
              <w:fldChar w:fldCharType="end"/>
            </w:r>
          </w:hyperlink>
        </w:p>
        <w:p w14:paraId="1989ACC5" w14:textId="654C21C4"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74" w:history="1">
            <w:r w:rsidRPr="00206441">
              <w:rPr>
                <w:rStyle w:val="Hyperlink"/>
                <w:noProof/>
              </w:rPr>
              <w:t>8.1 Source Activity calculation</w:t>
            </w:r>
            <w:r>
              <w:rPr>
                <w:noProof/>
                <w:webHidden/>
              </w:rPr>
              <w:tab/>
            </w:r>
            <w:r>
              <w:rPr>
                <w:noProof/>
                <w:webHidden/>
              </w:rPr>
              <w:fldChar w:fldCharType="begin"/>
            </w:r>
            <w:r>
              <w:rPr>
                <w:noProof/>
                <w:webHidden/>
              </w:rPr>
              <w:instrText xml:space="preserve"> PAGEREF _Toc238813274 \h </w:instrText>
            </w:r>
            <w:r>
              <w:rPr>
                <w:noProof/>
                <w:webHidden/>
              </w:rPr>
            </w:r>
            <w:r>
              <w:rPr>
                <w:noProof/>
                <w:webHidden/>
              </w:rPr>
              <w:fldChar w:fldCharType="separate"/>
            </w:r>
            <w:r>
              <w:rPr>
                <w:noProof/>
                <w:webHidden/>
              </w:rPr>
              <w:t>19</w:t>
            </w:r>
            <w:r>
              <w:rPr>
                <w:noProof/>
                <w:webHidden/>
              </w:rPr>
              <w:fldChar w:fldCharType="end"/>
            </w:r>
          </w:hyperlink>
        </w:p>
        <w:p w14:paraId="51B5C11B" w14:textId="1F229A70"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75" w:history="1">
            <w:r w:rsidRPr="00206441">
              <w:rPr>
                <w:rStyle w:val="Hyperlink"/>
                <w:noProof/>
              </w:rPr>
              <w:t>8.2 Unshielded dose rates</w:t>
            </w:r>
            <w:r>
              <w:rPr>
                <w:noProof/>
                <w:webHidden/>
              </w:rPr>
              <w:tab/>
            </w:r>
            <w:r>
              <w:rPr>
                <w:noProof/>
                <w:webHidden/>
              </w:rPr>
              <w:fldChar w:fldCharType="begin"/>
            </w:r>
            <w:r>
              <w:rPr>
                <w:noProof/>
                <w:webHidden/>
              </w:rPr>
              <w:instrText xml:space="preserve"> PAGEREF _Toc238813275 \h </w:instrText>
            </w:r>
            <w:r>
              <w:rPr>
                <w:noProof/>
                <w:webHidden/>
              </w:rPr>
            </w:r>
            <w:r>
              <w:rPr>
                <w:noProof/>
                <w:webHidden/>
              </w:rPr>
              <w:fldChar w:fldCharType="separate"/>
            </w:r>
            <w:r>
              <w:rPr>
                <w:noProof/>
                <w:webHidden/>
              </w:rPr>
              <w:t>19</w:t>
            </w:r>
            <w:r>
              <w:rPr>
                <w:noProof/>
                <w:webHidden/>
              </w:rPr>
              <w:fldChar w:fldCharType="end"/>
            </w:r>
          </w:hyperlink>
        </w:p>
        <w:p w14:paraId="44BE03D9" w14:textId="3D975EAF"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76" w:history="1">
            <w:r w:rsidRPr="00206441">
              <w:rPr>
                <w:rStyle w:val="Hyperlink"/>
                <w:noProof/>
              </w:rPr>
              <w:t>8.3 Dose during Initial Access Phase</w:t>
            </w:r>
            <w:r>
              <w:rPr>
                <w:noProof/>
                <w:webHidden/>
              </w:rPr>
              <w:tab/>
            </w:r>
            <w:r>
              <w:rPr>
                <w:noProof/>
                <w:webHidden/>
              </w:rPr>
              <w:fldChar w:fldCharType="begin"/>
            </w:r>
            <w:r>
              <w:rPr>
                <w:noProof/>
                <w:webHidden/>
              </w:rPr>
              <w:instrText xml:space="preserve"> PAGEREF _Toc238813276 \h </w:instrText>
            </w:r>
            <w:r>
              <w:rPr>
                <w:noProof/>
                <w:webHidden/>
              </w:rPr>
            </w:r>
            <w:r>
              <w:rPr>
                <w:noProof/>
                <w:webHidden/>
              </w:rPr>
              <w:fldChar w:fldCharType="separate"/>
            </w:r>
            <w:r>
              <w:rPr>
                <w:noProof/>
                <w:webHidden/>
              </w:rPr>
              <w:t>20</w:t>
            </w:r>
            <w:r>
              <w:rPr>
                <w:noProof/>
                <w:webHidden/>
              </w:rPr>
              <w:fldChar w:fldCharType="end"/>
            </w:r>
          </w:hyperlink>
        </w:p>
        <w:p w14:paraId="48A669E8" w14:textId="0103C458"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77" w:history="1">
            <w:r w:rsidRPr="00206441">
              <w:rPr>
                <w:rStyle w:val="Hyperlink"/>
                <w:noProof/>
              </w:rPr>
              <w:t>8.4 Dose During Inspection Phase</w:t>
            </w:r>
            <w:r>
              <w:rPr>
                <w:noProof/>
                <w:webHidden/>
              </w:rPr>
              <w:tab/>
            </w:r>
            <w:r>
              <w:rPr>
                <w:noProof/>
                <w:webHidden/>
              </w:rPr>
              <w:fldChar w:fldCharType="begin"/>
            </w:r>
            <w:r>
              <w:rPr>
                <w:noProof/>
                <w:webHidden/>
              </w:rPr>
              <w:instrText xml:space="preserve"> PAGEREF _Toc238813277 \h </w:instrText>
            </w:r>
            <w:r>
              <w:rPr>
                <w:noProof/>
                <w:webHidden/>
              </w:rPr>
            </w:r>
            <w:r>
              <w:rPr>
                <w:noProof/>
                <w:webHidden/>
              </w:rPr>
              <w:fldChar w:fldCharType="separate"/>
            </w:r>
            <w:r>
              <w:rPr>
                <w:noProof/>
                <w:webHidden/>
              </w:rPr>
              <w:t>20</w:t>
            </w:r>
            <w:r>
              <w:rPr>
                <w:noProof/>
                <w:webHidden/>
              </w:rPr>
              <w:fldChar w:fldCharType="end"/>
            </w:r>
          </w:hyperlink>
        </w:p>
        <w:p w14:paraId="3339CD76" w14:textId="18456018" w:rsidR="00756351" w:rsidRDefault="00756351">
          <w:pPr>
            <w:pStyle w:val="TOC1"/>
            <w:rPr>
              <w:rFonts w:asciiTheme="minorHAnsi" w:eastAsiaTheme="minorEastAsia" w:hAnsiTheme="minorHAnsi" w:cstheme="minorBidi"/>
              <w:kern w:val="2"/>
              <w:lang w:eastAsia="en-GB"/>
              <w14:ligatures w14:val="standardContextual"/>
            </w:rPr>
          </w:pPr>
          <w:hyperlink w:anchor="_Toc238813278" w:history="1">
            <w:r w:rsidRPr="00206441">
              <w:rPr>
                <w:rStyle w:val="Hyperlink"/>
              </w:rPr>
              <w:t>9 Annex B – supplementary material</w:t>
            </w:r>
            <w:r>
              <w:rPr>
                <w:webHidden/>
              </w:rPr>
              <w:tab/>
            </w:r>
            <w:r>
              <w:rPr>
                <w:webHidden/>
              </w:rPr>
              <w:fldChar w:fldCharType="begin"/>
            </w:r>
            <w:r>
              <w:rPr>
                <w:webHidden/>
              </w:rPr>
              <w:instrText xml:space="preserve"> PAGEREF _Toc238813278 \h </w:instrText>
            </w:r>
            <w:r>
              <w:rPr>
                <w:webHidden/>
              </w:rPr>
            </w:r>
            <w:r>
              <w:rPr>
                <w:webHidden/>
              </w:rPr>
              <w:fldChar w:fldCharType="separate"/>
            </w:r>
            <w:r>
              <w:rPr>
                <w:webHidden/>
              </w:rPr>
              <w:t>21</w:t>
            </w:r>
            <w:r>
              <w:rPr>
                <w:webHidden/>
              </w:rPr>
              <w:fldChar w:fldCharType="end"/>
            </w:r>
          </w:hyperlink>
        </w:p>
        <w:p w14:paraId="4B8BFC16" w14:textId="42D54DEF"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79" w:history="1">
            <w:r w:rsidRPr="00206441">
              <w:rPr>
                <w:rStyle w:val="Hyperlink"/>
                <w:noProof/>
              </w:rPr>
              <w:t>9.1 Radiation Weighting Factors</w:t>
            </w:r>
            <w:r>
              <w:rPr>
                <w:noProof/>
                <w:webHidden/>
              </w:rPr>
              <w:tab/>
            </w:r>
            <w:r>
              <w:rPr>
                <w:noProof/>
                <w:webHidden/>
              </w:rPr>
              <w:fldChar w:fldCharType="begin"/>
            </w:r>
            <w:r>
              <w:rPr>
                <w:noProof/>
                <w:webHidden/>
              </w:rPr>
              <w:instrText xml:space="preserve"> PAGEREF _Toc238813279 \h </w:instrText>
            </w:r>
            <w:r>
              <w:rPr>
                <w:noProof/>
                <w:webHidden/>
              </w:rPr>
            </w:r>
            <w:r>
              <w:rPr>
                <w:noProof/>
                <w:webHidden/>
              </w:rPr>
              <w:fldChar w:fldCharType="separate"/>
            </w:r>
            <w:r>
              <w:rPr>
                <w:noProof/>
                <w:webHidden/>
              </w:rPr>
              <w:t>21</w:t>
            </w:r>
            <w:r>
              <w:rPr>
                <w:noProof/>
                <w:webHidden/>
              </w:rPr>
              <w:fldChar w:fldCharType="end"/>
            </w:r>
          </w:hyperlink>
        </w:p>
        <w:p w14:paraId="5452B820" w14:textId="1B096671"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80" w:history="1">
            <w:r w:rsidRPr="00206441">
              <w:rPr>
                <w:rStyle w:val="Hyperlink"/>
                <w:noProof/>
              </w:rPr>
              <w:t>9.2 ‌Tissue Weighting Factors</w:t>
            </w:r>
            <w:r>
              <w:rPr>
                <w:noProof/>
                <w:webHidden/>
              </w:rPr>
              <w:tab/>
            </w:r>
            <w:r>
              <w:rPr>
                <w:noProof/>
                <w:webHidden/>
              </w:rPr>
              <w:fldChar w:fldCharType="begin"/>
            </w:r>
            <w:r>
              <w:rPr>
                <w:noProof/>
                <w:webHidden/>
              </w:rPr>
              <w:instrText xml:space="preserve"> PAGEREF _Toc238813280 \h </w:instrText>
            </w:r>
            <w:r>
              <w:rPr>
                <w:noProof/>
                <w:webHidden/>
              </w:rPr>
            </w:r>
            <w:r>
              <w:rPr>
                <w:noProof/>
                <w:webHidden/>
              </w:rPr>
              <w:fldChar w:fldCharType="separate"/>
            </w:r>
            <w:r>
              <w:rPr>
                <w:noProof/>
                <w:webHidden/>
              </w:rPr>
              <w:t>22</w:t>
            </w:r>
            <w:r>
              <w:rPr>
                <w:noProof/>
                <w:webHidden/>
              </w:rPr>
              <w:fldChar w:fldCharType="end"/>
            </w:r>
          </w:hyperlink>
        </w:p>
        <w:p w14:paraId="046E7F31" w14:textId="217487A3" w:rsidR="00756351" w:rsidRDefault="00756351">
          <w:pPr>
            <w:pStyle w:val="TOC2"/>
            <w:rPr>
              <w:rFonts w:asciiTheme="minorHAnsi" w:eastAsiaTheme="minorEastAsia" w:hAnsiTheme="minorHAnsi" w:cstheme="minorBidi"/>
              <w:noProof/>
              <w:kern w:val="2"/>
              <w:lang w:eastAsia="en-GB"/>
              <w14:ligatures w14:val="standardContextual"/>
            </w:rPr>
          </w:pPr>
          <w:hyperlink w:anchor="_Toc238813281" w:history="1">
            <w:r w:rsidRPr="00206441">
              <w:rPr>
                <w:rStyle w:val="Hyperlink"/>
                <w:noProof/>
              </w:rPr>
              <w:t>9.3 EKP.3 Defence in Depth table</w:t>
            </w:r>
            <w:r>
              <w:rPr>
                <w:noProof/>
                <w:webHidden/>
              </w:rPr>
              <w:tab/>
            </w:r>
            <w:r>
              <w:rPr>
                <w:noProof/>
                <w:webHidden/>
              </w:rPr>
              <w:fldChar w:fldCharType="begin"/>
            </w:r>
            <w:r>
              <w:rPr>
                <w:noProof/>
                <w:webHidden/>
              </w:rPr>
              <w:instrText xml:space="preserve"> PAGEREF _Toc238813281 \h </w:instrText>
            </w:r>
            <w:r>
              <w:rPr>
                <w:noProof/>
                <w:webHidden/>
              </w:rPr>
            </w:r>
            <w:r>
              <w:rPr>
                <w:noProof/>
                <w:webHidden/>
              </w:rPr>
              <w:fldChar w:fldCharType="separate"/>
            </w:r>
            <w:r>
              <w:rPr>
                <w:noProof/>
                <w:webHidden/>
              </w:rPr>
              <w:t>22</w:t>
            </w:r>
            <w:r>
              <w:rPr>
                <w:noProof/>
                <w:webHidden/>
              </w:rPr>
              <w:fldChar w:fldCharType="end"/>
            </w:r>
          </w:hyperlink>
        </w:p>
        <w:p w14:paraId="3248DFE6" w14:textId="1E122CEE" w:rsidR="00555700" w:rsidRDefault="00555700">
          <w:r>
            <w:rPr>
              <w:b/>
              <w:bCs/>
              <w:noProof/>
            </w:rPr>
            <w:lastRenderedPageBreak/>
            <w:fldChar w:fldCharType="end"/>
          </w:r>
        </w:p>
      </w:sdtContent>
    </w:sdt>
    <w:p w14:paraId="1E0A1994" w14:textId="09206609" w:rsidR="00DA28B2" w:rsidRDefault="00DA28B2" w:rsidP="00941D35"/>
    <w:p w14:paraId="3FAFF259" w14:textId="6AE7C88D" w:rsidR="00C2478F" w:rsidRDefault="00C2478F" w:rsidP="00C2478F">
      <w:pPr>
        <w:pStyle w:val="Heading1"/>
      </w:pPr>
      <w:bookmarkStart w:id="8" w:name="_Toc51833420"/>
      <w:r>
        <w:t xml:space="preserve"> </w:t>
      </w:r>
      <w:bookmarkStart w:id="9" w:name="_Toc238813244"/>
      <w:r w:rsidRPr="00C2478F">
        <w:t>Introduction</w:t>
      </w:r>
      <w:bookmarkEnd w:id="9"/>
    </w:p>
    <w:p w14:paraId="2581E040" w14:textId="663DF98B" w:rsidR="001E7E15" w:rsidRDefault="001E7E15" w:rsidP="001E7E15">
      <w:pPr>
        <w:pStyle w:val="Heading2"/>
      </w:pPr>
      <w:bookmarkStart w:id="10" w:name="_Toc238813245"/>
      <w:r>
        <w:t>Report outline</w:t>
      </w:r>
      <w:bookmarkEnd w:id="10"/>
    </w:p>
    <w:p w14:paraId="4C59D52A" w14:textId="476262C8" w:rsidR="00AC7A15" w:rsidRPr="00AC7A15" w:rsidRDefault="00AC7A15" w:rsidP="00AC7A15">
      <w:r w:rsidRPr="00AC7A15">
        <w:t>This report will discuss an incident at a research materials irradiation facility that occurred on January 17th, 2025, resulting in a maintenance technician receiving a higher-than-expected radiation dose. The report includes an explanation of the dose calculations relevant to this incident, the health implications of the exposure, an assessment of compliance with the Ionising Radiations Regulations 2017 (IRR 2017) and relevant Office for Nuclear Regulation (ONR) requirements, and proportionate improvements that could be made in accordance with ALARP (as low as reasonably practicable) principles.</w:t>
      </w:r>
    </w:p>
    <w:p w14:paraId="42F1B2BB" w14:textId="67AD08C6" w:rsidR="001E7E15" w:rsidRDefault="001E7E15" w:rsidP="001E7E15">
      <w:pPr>
        <w:pStyle w:val="Heading2"/>
      </w:pPr>
      <w:bookmarkStart w:id="11" w:name="_Toc238813246"/>
      <w:r>
        <w:t>Cobalt</w:t>
      </w:r>
      <w:r w:rsidR="001C6EDC">
        <w:t>-</w:t>
      </w:r>
      <w:r>
        <w:t>60 sealed source</w:t>
      </w:r>
      <w:bookmarkEnd w:id="11"/>
    </w:p>
    <w:p w14:paraId="2CBBA93F" w14:textId="1D106204" w:rsidR="00952633" w:rsidRPr="00952633" w:rsidRDefault="00952633" w:rsidP="00952633">
      <w:r w:rsidRPr="00952633">
        <w:t xml:space="preserve">The facility used cobalt-60 sealed source pencils arranged in a cylindrical carrier rack. Cobalt-60 is commonly used in sealed-source irradiators due to its high specific activity. Activity is defined as the rate at which radioactive nuclei undergo decay and is measured in becquerels (Bq), while specific activity is the activity per unit mass. Cobalt-60 decays by beta decay to nickel-60, emitting two high-energy gamma photons (1.17 MeV and 1.33 MeV) which are highly penetrating. These characteristics make cobalt-60 well suited to sealed-source irradiators, as a high activity can be contained within a relatively small source while the penetrating gamma radiation can effectively irradiate dense materials. The </w:t>
      </w:r>
      <w:r w:rsidR="00F24E0A" w:rsidRPr="00952633">
        <w:t>5.27</w:t>
      </w:r>
      <w:r w:rsidR="00F24E0A">
        <w:t>-year</w:t>
      </w:r>
      <w:r w:rsidRPr="00952633">
        <w:t xml:space="preserve"> half-life also provides a practical balance between source longevity and radiation output.</w:t>
      </w:r>
    </w:p>
    <w:p w14:paraId="09128BF5" w14:textId="2FF1E452" w:rsidR="00542BEC" w:rsidRDefault="00542BEC" w:rsidP="00542BEC">
      <w:pPr>
        <w:pStyle w:val="Heading2"/>
      </w:pPr>
      <w:bookmarkStart w:id="12" w:name="_Toc238813247"/>
      <w:r>
        <w:t>The Irradiator</w:t>
      </w:r>
      <w:bookmarkEnd w:id="12"/>
    </w:p>
    <w:p w14:paraId="01B09015" w14:textId="04D229D9" w:rsidR="00542BEC" w:rsidRDefault="00604DC6" w:rsidP="00542BEC">
      <w:r>
        <w:t>The following is a</w:t>
      </w:r>
      <w:r w:rsidR="00FF35DD">
        <w:t xml:space="preserve"> description of the Irradiator as provided in the incident report document:</w:t>
      </w:r>
    </w:p>
    <w:p w14:paraId="743C3E01" w14:textId="1B86AAF6" w:rsidR="00FF35DD" w:rsidRDefault="00FF35DD" w:rsidP="00542BEC">
      <w:r>
        <w:t>“</w:t>
      </w:r>
      <w:r w:rsidRPr="00FF35DD">
        <w:t xml:space="preserve">The irradiator comprises a heavily shielded irradiation cell with the source carrier mounted on a vertically translating mechanism. In normal operation, the source </w:t>
      </w:r>
      <w:r w:rsidRPr="00FF35DD">
        <w:lastRenderedPageBreak/>
        <w:t>is returned to a fully shielded position within the irradiator base before access is permitted.</w:t>
      </w:r>
      <w:r>
        <w:t>”</w:t>
      </w:r>
    </w:p>
    <w:p w14:paraId="249D9ABA" w14:textId="4AC5928F" w:rsidR="00FF35DD" w:rsidRDefault="00EE0223" w:rsidP="00542BEC">
      <w:r w:rsidRPr="00EE0223">
        <w:rPr>
          <w:noProof/>
        </w:rPr>
        <w:drawing>
          <wp:inline distT="0" distB="0" distL="0" distR="0" wp14:anchorId="18945E61" wp14:editId="24A1B422">
            <wp:extent cx="5400040" cy="4937760"/>
            <wp:effectExtent l="0" t="0" r="0" b="0"/>
            <wp:docPr id="427429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29881" name=""/>
                    <pic:cNvPicPr/>
                  </pic:nvPicPr>
                  <pic:blipFill rotWithShape="1">
                    <a:blip r:embed="rId13"/>
                    <a:srcRect b="3018"/>
                    <a:stretch>
                      <a:fillRect/>
                    </a:stretch>
                  </pic:blipFill>
                  <pic:spPr bwMode="auto">
                    <a:xfrm>
                      <a:off x="0" y="0"/>
                      <a:ext cx="5400040" cy="4937760"/>
                    </a:xfrm>
                    <a:prstGeom prst="rect">
                      <a:avLst/>
                    </a:prstGeom>
                    <a:ln>
                      <a:noFill/>
                    </a:ln>
                    <a:extLst>
                      <a:ext uri="{53640926-AAD7-44D8-BBD7-CCE9431645EC}">
                        <a14:shadowObscured xmlns:a14="http://schemas.microsoft.com/office/drawing/2010/main"/>
                      </a:ext>
                    </a:extLst>
                  </pic:spPr>
                </pic:pic>
              </a:graphicData>
            </a:graphic>
          </wp:inline>
        </w:drawing>
      </w:r>
    </w:p>
    <w:p w14:paraId="3E8C72F9" w14:textId="7EB7B3AB" w:rsidR="00EE0223" w:rsidRPr="00542BEC" w:rsidRDefault="00EE0223" w:rsidP="00EE0223">
      <w:pPr>
        <w:pStyle w:val="Caption"/>
      </w:pPr>
      <w:bookmarkStart w:id="13" w:name="_Ref235199870"/>
      <w:r>
        <w:t xml:space="preserve">Figure </w:t>
      </w:r>
      <w:r w:rsidR="005566CC">
        <w:fldChar w:fldCharType="begin"/>
      </w:r>
      <w:r w:rsidR="005566CC">
        <w:instrText xml:space="preserve"> SEQ Figure \* ARABIC </w:instrText>
      </w:r>
      <w:r w:rsidR="005566CC">
        <w:fldChar w:fldCharType="separate"/>
      </w:r>
      <w:r w:rsidR="005566CC">
        <w:rPr>
          <w:noProof/>
        </w:rPr>
        <w:t>1</w:t>
      </w:r>
      <w:r w:rsidR="005566CC">
        <w:rPr>
          <w:noProof/>
        </w:rPr>
        <w:fldChar w:fldCharType="end"/>
      </w:r>
      <w:bookmarkEnd w:id="13"/>
      <w:r>
        <w:t>: AI generated Vertical Irradiator Diagram</w:t>
      </w:r>
    </w:p>
    <w:p w14:paraId="77524FBC" w14:textId="6CC7943E" w:rsidR="00C2478F" w:rsidRDefault="00C2478F" w:rsidP="00C2478F">
      <w:pPr>
        <w:pStyle w:val="Heading1"/>
      </w:pPr>
      <w:r>
        <w:t xml:space="preserve"> </w:t>
      </w:r>
      <w:bookmarkStart w:id="14" w:name="_Toc238813248"/>
      <w:r w:rsidRPr="00C2478F">
        <w:t>Technical exposition</w:t>
      </w:r>
      <w:bookmarkEnd w:id="14"/>
    </w:p>
    <w:p w14:paraId="00D0D001" w14:textId="2731CF4C" w:rsidR="00842361" w:rsidRDefault="00842361" w:rsidP="00842361">
      <w:pPr>
        <w:pStyle w:val="Heading2"/>
      </w:pPr>
      <w:bookmarkStart w:id="15" w:name="_Toc238813249"/>
      <w:r>
        <w:t>Cobalt-60 Decay</w:t>
      </w:r>
      <w:bookmarkEnd w:id="15"/>
    </w:p>
    <w:p w14:paraId="14AAB517" w14:textId="25C365CD" w:rsidR="00F450B7" w:rsidRPr="00F450B7" w:rsidRDefault="00F450B7" w:rsidP="00F450B7">
      <w:r w:rsidRPr="00F450B7">
        <w:t>As stated in the introduction, cobalt-60 undergoes beta-minus decay where one of its neutrons transforms into a proton, emitting an electron (beta particle) and an antineutrino and forming nickel-60. The resulting nickel-60 nucleus is initially in an excited state and releases this excess energy through the emission of two high-energy gamma photons (1.17 MeV and 1.33 MeV).</w:t>
      </w:r>
    </w:p>
    <w:p w14:paraId="795DABBE" w14:textId="106AE42B" w:rsidR="001647BB" w:rsidRPr="00842361" w:rsidRDefault="001647BB" w:rsidP="00842361">
      <w:r>
        <w:rPr>
          <w:noProof/>
        </w:rPr>
        <w:lastRenderedPageBreak/>
        <w:drawing>
          <wp:inline distT="0" distB="0" distL="0" distR="0" wp14:anchorId="7A02A7C2" wp14:editId="4F23178B">
            <wp:extent cx="4221480" cy="3108960"/>
            <wp:effectExtent l="0" t="0" r="7620" b="0"/>
            <wp:docPr id="2044869061" name="Picture 2" descr="Decay diagram for Co-60 wid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cay diagram for Co-60 widt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1480" cy="3108960"/>
                    </a:xfrm>
                    <a:prstGeom prst="rect">
                      <a:avLst/>
                    </a:prstGeom>
                    <a:noFill/>
                    <a:ln>
                      <a:noFill/>
                    </a:ln>
                  </pic:spPr>
                </pic:pic>
              </a:graphicData>
            </a:graphic>
          </wp:inline>
        </w:drawing>
      </w:r>
      <w:r w:rsidR="00D86B36">
        <w:t>)</w:t>
      </w:r>
    </w:p>
    <w:p w14:paraId="51003B24" w14:textId="3AE2DB80" w:rsidR="008D710F" w:rsidRDefault="001647BB" w:rsidP="001647BB">
      <w:pPr>
        <w:pStyle w:val="Caption"/>
      </w:pPr>
      <w:bookmarkStart w:id="16" w:name="_Ref235287452"/>
      <w:r>
        <w:t xml:space="preserve">Figure </w:t>
      </w:r>
      <w:r w:rsidR="005566CC">
        <w:fldChar w:fldCharType="begin"/>
      </w:r>
      <w:r w:rsidR="005566CC">
        <w:instrText xml:space="preserve"> SEQ Figure \* ARABIC </w:instrText>
      </w:r>
      <w:r w:rsidR="005566CC">
        <w:fldChar w:fldCharType="separate"/>
      </w:r>
      <w:r w:rsidR="005566CC">
        <w:rPr>
          <w:noProof/>
        </w:rPr>
        <w:t>2</w:t>
      </w:r>
      <w:r w:rsidR="005566CC">
        <w:rPr>
          <w:noProof/>
        </w:rPr>
        <w:fldChar w:fldCharType="end"/>
      </w:r>
      <w:bookmarkEnd w:id="16"/>
      <w:r>
        <w:t>: Cobalt-60 Decay</w:t>
      </w:r>
      <w:r w:rsidR="00F450B7">
        <w:t xml:space="preserve"> </w:t>
      </w:r>
      <w:r w:rsidR="00F450B7">
        <w:t>(</w:t>
      </w:r>
      <w:r w:rsidR="00F450B7" w:rsidRPr="001647BB">
        <w:rPr>
          <w:rFonts w:cs="Arial"/>
          <w:lang w:eastAsia="en-GB"/>
        </w:rPr>
        <w:t xml:space="preserve">Ann, K. (2025). </w:t>
      </w:r>
      <w:r w:rsidR="00F450B7" w:rsidRPr="001647BB">
        <w:rPr>
          <w:rFonts w:cs="Arial"/>
          <w:i/>
          <w:iCs/>
          <w:lang w:eastAsia="en-GB"/>
        </w:rPr>
        <w:t>UCSB Physics</w:t>
      </w:r>
      <w:r w:rsidR="00F450B7" w:rsidRPr="001647BB">
        <w:rPr>
          <w:rFonts w:cs="Arial"/>
          <w:lang w:eastAsia="en-GB"/>
        </w:rPr>
        <w:t>.</w:t>
      </w:r>
      <w:r w:rsidR="00F450B7">
        <w:t>)</w:t>
      </w:r>
    </w:p>
    <w:p w14:paraId="4E94A0E1" w14:textId="20EF63C4" w:rsidR="00D86B36" w:rsidRDefault="00F450B7" w:rsidP="00D86B36">
      <w:r w:rsidRPr="00F450B7">
        <w:t>Although beta particles are emitted, they are not sufficiently penetrating to escape the cobalt-60 sealed source pencil casing (Charles, M.W., 2007). Therefore, the calculations relevant to this report will only include the highly penetrating gamma radiation.</w:t>
      </w:r>
    </w:p>
    <w:p w14:paraId="6F4EEA1F" w14:textId="2307102A" w:rsidR="009F57EE" w:rsidRDefault="009F57EE" w:rsidP="009F57EE">
      <w:pPr>
        <w:pStyle w:val="Heading2"/>
      </w:pPr>
      <w:bookmarkStart w:id="17" w:name="_Toc238813250"/>
      <w:r>
        <w:t>Radioactive Decay (Half-life)</w:t>
      </w:r>
      <w:bookmarkEnd w:id="17"/>
    </w:p>
    <w:p w14:paraId="2E5D9BEB" w14:textId="7E528945" w:rsidR="00F450B7" w:rsidRPr="00F450B7" w:rsidRDefault="00F450B7" w:rsidP="00F450B7">
      <w:r w:rsidRPr="00F450B7">
        <w:t>The number of unstable nuclei in a radioactive isotope decreases exponentially over time. The activity of the source at the time of the incident was not supplied and therefore needs to be calculated using the radioactive decay law (</w:t>
      </w:r>
      <w:proofErr w:type="spellStart"/>
      <w:r w:rsidRPr="00F450B7">
        <w:t>LibreTexts</w:t>
      </w:r>
      <w:proofErr w:type="spellEnd"/>
      <w:r w:rsidRPr="00F450B7">
        <w:t>, 2016).</w:t>
      </w:r>
    </w:p>
    <w:p w14:paraId="4F99BB0E" w14:textId="77138A03" w:rsidR="003660A9" w:rsidRPr="00C461F2" w:rsidRDefault="00C461F2" w:rsidP="003660A9">
      <w:pPr>
        <w:rPr>
          <w:sz w:val="36"/>
          <w:szCs w:val="36"/>
        </w:rPr>
      </w:pPr>
      <m:oMathPara>
        <m:oMath>
          <m:r>
            <w:rPr>
              <w:rFonts w:ascii="Cambria Math" w:hAnsi="Cambria Math"/>
              <w:sz w:val="36"/>
              <w:szCs w:val="36"/>
            </w:rPr>
            <m:t>A=</m:t>
          </m:r>
          <m:sSub>
            <m:sSubPr>
              <m:ctrlPr>
                <w:rPr>
                  <w:rFonts w:ascii="Cambria Math" w:hAnsi="Cambria Math"/>
                  <w:i/>
                  <w:sz w:val="36"/>
                  <w:szCs w:val="36"/>
                </w:rPr>
              </m:ctrlPr>
            </m:sSubPr>
            <m:e>
              <m:r>
                <w:rPr>
                  <w:rFonts w:ascii="Cambria Math" w:hAnsi="Cambria Math"/>
                  <w:sz w:val="36"/>
                  <w:szCs w:val="36"/>
                </w:rPr>
                <m:t>A</m:t>
              </m:r>
            </m:e>
            <m:sub>
              <m:r>
                <w:rPr>
                  <w:rFonts w:ascii="Cambria Math" w:hAnsi="Cambria Math"/>
                  <w:sz w:val="36"/>
                  <w:szCs w:val="36"/>
                </w:rPr>
                <m:t>0</m:t>
              </m:r>
            </m:sub>
          </m:sSub>
          <m:sSup>
            <m:sSupPr>
              <m:ctrlPr>
                <w:rPr>
                  <w:rFonts w:ascii="Cambria Math" w:hAnsi="Cambria Math"/>
                  <w:i/>
                  <w:sz w:val="36"/>
                  <w:szCs w:val="36"/>
                </w:rPr>
              </m:ctrlPr>
            </m:sSupPr>
            <m:e>
              <m:r>
                <w:rPr>
                  <w:rFonts w:ascii="Cambria Math" w:hAnsi="Cambria Math"/>
                  <w:sz w:val="36"/>
                  <w:szCs w:val="36"/>
                </w:rPr>
                <m:t>e</m:t>
              </m:r>
            </m:e>
            <m:sup>
              <m:r>
                <w:rPr>
                  <w:rFonts w:ascii="Cambria Math" w:hAnsi="Cambria Math"/>
                  <w:sz w:val="36"/>
                  <w:szCs w:val="36"/>
                </w:rPr>
                <m:t>-λt</m:t>
              </m:r>
            </m:sup>
          </m:sSup>
        </m:oMath>
      </m:oMathPara>
    </w:p>
    <w:p w14:paraId="31037E3E" w14:textId="50C005C0" w:rsidR="00C461F2" w:rsidRDefault="00C461F2" w:rsidP="00C461F2">
      <w:pPr>
        <w:pStyle w:val="Caption"/>
        <w:ind w:left="3600"/>
      </w:pPr>
      <w:r>
        <w:t xml:space="preserve">Equation </w:t>
      </w:r>
      <w:r w:rsidR="001677E4">
        <w:fldChar w:fldCharType="begin"/>
      </w:r>
      <w:r w:rsidR="001677E4">
        <w:instrText xml:space="preserve"> SEQ Equation \* ARABIC </w:instrText>
      </w:r>
      <w:r w:rsidR="001677E4">
        <w:fldChar w:fldCharType="separate"/>
      </w:r>
      <w:r w:rsidR="001677E4">
        <w:rPr>
          <w:noProof/>
        </w:rPr>
        <w:t>1</w:t>
      </w:r>
      <w:r w:rsidR="001677E4">
        <w:rPr>
          <w:noProof/>
        </w:rPr>
        <w:fldChar w:fldCharType="end"/>
      </w:r>
      <w:r>
        <w:t xml:space="preserve">: Radioactive Decay Law </w:t>
      </w:r>
      <w:r w:rsidR="002B4182">
        <w:t>–</w:t>
      </w:r>
      <w:r>
        <w:t xml:space="preserve"> Activity</w:t>
      </w:r>
    </w:p>
    <w:p w14:paraId="405FC3AF" w14:textId="5C2BC8A4" w:rsidR="002B4182" w:rsidRDefault="002B4182" w:rsidP="002B4182">
      <w:r>
        <w:t>Where:</w:t>
      </w:r>
    </w:p>
    <w:p w14:paraId="71AE9BBA" w14:textId="56DD47F1" w:rsidR="002B4182" w:rsidRDefault="002B4182" w:rsidP="002B4182">
      <w:r>
        <w:t>A = Activity</w:t>
      </w:r>
    </w:p>
    <w:p w14:paraId="3FA7A6A4" w14:textId="1423FF56" w:rsidR="00F450B7" w:rsidRPr="00F450B7" w:rsidRDefault="00F450B7" w:rsidP="002B4182">
      <w:r>
        <w:t>A</w:t>
      </w:r>
      <w:r>
        <w:rPr>
          <w:vertAlign w:val="subscript"/>
        </w:rPr>
        <w:t>0</w:t>
      </w:r>
      <w:r>
        <w:t xml:space="preserve"> = Initial Activity</w:t>
      </w:r>
    </w:p>
    <w:p w14:paraId="4C58153F" w14:textId="4D816B4F" w:rsidR="002B4182" w:rsidRDefault="002B6D43" w:rsidP="002B4182">
      <w:r w:rsidRPr="002B6D43">
        <w:lastRenderedPageBreak/>
        <w:t>λ</w:t>
      </w:r>
      <w:r w:rsidR="002B4182">
        <w:t xml:space="preserve"> = </w:t>
      </w:r>
      <w:r w:rsidR="001D2F10">
        <w:t>decay constant</w:t>
      </w:r>
    </w:p>
    <w:p w14:paraId="6D9B3061" w14:textId="6F6B0C53" w:rsidR="002B6D43" w:rsidRDefault="002B6D43" w:rsidP="002B4182">
      <w:r>
        <w:t>t = time</w:t>
      </w:r>
    </w:p>
    <w:p w14:paraId="304837BC" w14:textId="1484616A" w:rsidR="002B6D43" w:rsidRDefault="00BA220A" w:rsidP="00BA220A">
      <w:pPr>
        <w:pStyle w:val="Heading2"/>
      </w:pPr>
      <w:bookmarkStart w:id="18" w:name="_Toc238813251"/>
      <w:r>
        <w:t>Inverse Square Law and Point Source Dose Rate</w:t>
      </w:r>
      <w:bookmarkEnd w:id="18"/>
    </w:p>
    <w:p w14:paraId="6AA44F2E" w14:textId="4650ED28" w:rsidR="00BA220A" w:rsidRDefault="009D5648" w:rsidP="00BA220A">
      <w:r>
        <w:t>The dose rate from a point source can be estimated using the following equation:</w:t>
      </w:r>
    </w:p>
    <w:p w14:paraId="54218C57" w14:textId="37B6A61C" w:rsidR="009D5648" w:rsidRDefault="009D5648" w:rsidP="00BA220A">
      <m:oMathPara>
        <m:oMath>
          <m:r>
            <w:rPr>
              <w:rFonts w:ascii="Cambria Math" w:hAnsi="Cambria Math"/>
            </w:rPr>
            <m:t>D=</m:t>
          </m:r>
          <m:f>
            <m:fPr>
              <m:ctrlPr>
                <w:rPr>
                  <w:rFonts w:ascii="Cambria Math" w:hAnsi="Cambria Math"/>
                  <w:i/>
                </w:rPr>
              </m:ctrlPr>
            </m:fPr>
            <m:num>
              <m:r>
                <m:rPr>
                  <m:sty m:val="p"/>
                </m:rPr>
                <w:rPr>
                  <w:rFonts w:ascii="Cambria Math" w:hAnsi="Cambria Math"/>
                </w:rPr>
                <m:t>Γ</m:t>
              </m:r>
              <m:r>
                <w:rPr>
                  <w:rFonts w:ascii="Cambria Math" w:hAnsi="Cambria Math"/>
                </w:rPr>
                <m:t>A</m:t>
              </m:r>
            </m:num>
            <m:den>
              <m:sSup>
                <m:sSupPr>
                  <m:ctrlPr>
                    <w:rPr>
                      <w:rFonts w:ascii="Cambria Math" w:hAnsi="Cambria Math"/>
                      <w:i/>
                    </w:rPr>
                  </m:ctrlPr>
                </m:sSupPr>
                <m:e>
                  <m:r>
                    <w:rPr>
                      <w:rFonts w:ascii="Cambria Math" w:hAnsi="Cambria Math"/>
                    </w:rPr>
                    <m:t>d</m:t>
                  </m:r>
                </m:e>
                <m:sup>
                  <m:r>
                    <w:rPr>
                      <w:rFonts w:ascii="Cambria Math" w:hAnsi="Cambria Math"/>
                    </w:rPr>
                    <m:t>2</m:t>
                  </m:r>
                </m:sup>
              </m:sSup>
            </m:den>
          </m:f>
        </m:oMath>
      </m:oMathPara>
    </w:p>
    <w:p w14:paraId="0683644C" w14:textId="248212E7" w:rsidR="009D5648" w:rsidRDefault="009D5648" w:rsidP="009D5648">
      <w:pPr>
        <w:pStyle w:val="Caption"/>
        <w:ind w:left="4320"/>
      </w:pPr>
      <w:r>
        <w:t xml:space="preserve">Equation </w:t>
      </w:r>
      <w:r w:rsidR="001677E4">
        <w:fldChar w:fldCharType="begin"/>
      </w:r>
      <w:r w:rsidR="001677E4">
        <w:instrText xml:space="preserve"> SEQ Equation \* ARABIC </w:instrText>
      </w:r>
      <w:r w:rsidR="001677E4">
        <w:fldChar w:fldCharType="separate"/>
      </w:r>
      <w:r w:rsidR="001677E4">
        <w:rPr>
          <w:noProof/>
        </w:rPr>
        <w:t>2</w:t>
      </w:r>
      <w:r w:rsidR="001677E4">
        <w:rPr>
          <w:noProof/>
        </w:rPr>
        <w:fldChar w:fldCharType="end"/>
      </w:r>
      <w:r>
        <w:t>: Dose rate of a point source</w:t>
      </w:r>
    </w:p>
    <w:p w14:paraId="2AB8A7CE" w14:textId="5E78F80B" w:rsidR="009D5648" w:rsidRDefault="009D5648" w:rsidP="009D5648">
      <w:r>
        <w:t>Where:</w:t>
      </w:r>
    </w:p>
    <w:p w14:paraId="1AC259E4" w14:textId="6F02390F" w:rsidR="009D5648" w:rsidRDefault="009D5648" w:rsidP="009D5648">
      <w:r>
        <w:t>D = Dose rate</w:t>
      </w:r>
    </w:p>
    <w:p w14:paraId="056D8CF9" w14:textId="54528298" w:rsidR="009D5648" w:rsidRDefault="009D5648" w:rsidP="009D5648">
      <w:r w:rsidRPr="009D5648">
        <w:t>Γ</w:t>
      </w:r>
      <w:r>
        <w:t xml:space="preserve"> = Specific Gamma-Ray Dose Constant</w:t>
      </w:r>
    </w:p>
    <w:p w14:paraId="4A16A1B6" w14:textId="0BFCF7B1" w:rsidR="009D5648" w:rsidRDefault="009D5648" w:rsidP="009D5648">
      <w:r>
        <w:t xml:space="preserve">A = </w:t>
      </w:r>
      <w:proofErr w:type="spellStart"/>
      <w:r>
        <w:t>Acitivty</w:t>
      </w:r>
      <w:proofErr w:type="spellEnd"/>
    </w:p>
    <w:p w14:paraId="3F356F56" w14:textId="208275FF" w:rsidR="009D5648" w:rsidRDefault="009D5648" w:rsidP="009D5648">
      <w:r>
        <w:t>d = Distance</w:t>
      </w:r>
    </w:p>
    <w:p w14:paraId="2EF833BE" w14:textId="1E77D1F6" w:rsidR="009D5648" w:rsidRDefault="009D5648" w:rsidP="009D5648">
      <w:pPr>
        <w:rPr>
          <w:rFonts w:cs="Arial"/>
          <w:lang w:eastAsia="en-GB"/>
        </w:rPr>
      </w:pPr>
      <w:r>
        <w:t xml:space="preserve">For this report the specific gamma-ray rate constant of Co-60 will be referenced   from </w:t>
      </w:r>
      <w:r w:rsidRPr="009D5648">
        <w:t>computed ICRP 107 gamma and x-ray emission data and ICRP 116 dose coefficients, with units of mSv h</w:t>
      </w:r>
      <w:r w:rsidRPr="009D5648">
        <w:rPr>
          <w:rFonts w:ascii="Cambria Math" w:hAnsi="Cambria Math" w:cs="Cambria Math"/>
        </w:rPr>
        <w:t>⁻</w:t>
      </w:r>
      <w:r w:rsidRPr="009D5648">
        <w:rPr>
          <w:rFonts w:cs="Arial"/>
        </w:rPr>
        <w:t>¹</w:t>
      </w:r>
      <w:r w:rsidRPr="009D5648">
        <w:t xml:space="preserve"> MBq</w:t>
      </w:r>
      <w:r w:rsidRPr="009D5648">
        <w:rPr>
          <w:rFonts w:ascii="Cambria Math" w:hAnsi="Cambria Math" w:cs="Cambria Math"/>
        </w:rPr>
        <w:t>⁻</w:t>
      </w:r>
      <w:r w:rsidRPr="009D5648">
        <w:rPr>
          <w:rFonts w:cs="Arial"/>
        </w:rPr>
        <w:t>¹</w:t>
      </w:r>
      <w:r>
        <w:t xml:space="preserve"> contained within the </w:t>
      </w:r>
      <w:r w:rsidRPr="00260970">
        <w:rPr>
          <w:rFonts w:cs="Arial"/>
          <w:lang w:eastAsia="en-GB"/>
        </w:rPr>
        <w:t>Osti.gov. (2017).</w:t>
      </w:r>
      <w:r>
        <w:rPr>
          <w:rFonts w:cs="Arial"/>
          <w:lang w:eastAsia="en-GB"/>
        </w:rPr>
        <w:t xml:space="preserve"> </w:t>
      </w:r>
      <w:r w:rsidRPr="00260970">
        <w:rPr>
          <w:rFonts w:cs="Arial"/>
          <w:i/>
          <w:iCs/>
          <w:lang w:eastAsia="en-GB"/>
        </w:rPr>
        <w:t xml:space="preserve">Specific Gamma-Ray Dose Constants with Current Emission Data </w:t>
      </w:r>
      <w:r w:rsidRPr="00260970">
        <w:rPr>
          <w:rFonts w:cs="Arial"/>
          <w:lang w:eastAsia="en-GB"/>
        </w:rPr>
        <w:t>[online]</w:t>
      </w:r>
      <w:r>
        <w:rPr>
          <w:rFonts w:cs="Arial"/>
          <w:lang w:eastAsia="en-GB"/>
        </w:rPr>
        <w:t>. The rate constants for isotopes in the Osti document were calculated at 1 metre from the source.</w:t>
      </w:r>
    </w:p>
    <w:p w14:paraId="54EA5899" w14:textId="2CE32DB2" w:rsidR="00A148AB" w:rsidRDefault="00A148AB" w:rsidP="009D5648">
      <w:pPr>
        <w:rPr>
          <w:rFonts w:cs="Arial"/>
          <w:lang w:eastAsia="en-GB"/>
        </w:rPr>
      </w:pPr>
      <w:r w:rsidRPr="00A148AB">
        <w:rPr>
          <w:rFonts w:cs="Arial"/>
          <w:lang w:eastAsia="en-GB"/>
        </w:rPr>
        <w:t>The inverse square law states that radiation intensity, including dose rate, is inversely proportional to the square of the distance from a point source. Therefore, once the dose rate at 1 metre has been identified, the inverse square law can be used to estimate the dose rate at different distances from the source.</w:t>
      </w:r>
    </w:p>
    <w:p w14:paraId="49A4BD2B" w14:textId="4FF14326" w:rsidR="002456D5" w:rsidRDefault="002456D5" w:rsidP="009D5648">
      <w:pPr>
        <w:rPr>
          <w:rFonts w:cs="Arial"/>
          <w:lang w:eastAsia="en-GB"/>
        </w:rPr>
      </w:pPr>
      <m:oMathPara>
        <m:oMath>
          <m:r>
            <w:rPr>
              <w:rFonts w:ascii="Cambria Math" w:hAnsi="Cambria Math" w:cs="Arial"/>
              <w:lang w:eastAsia="en-GB"/>
            </w:rPr>
            <m:t xml:space="preserve">I ∝ </m:t>
          </m:r>
          <m:f>
            <m:fPr>
              <m:ctrlPr>
                <w:rPr>
                  <w:rFonts w:ascii="Cambria Math" w:hAnsi="Cambria Math" w:cs="Arial"/>
                  <w:i/>
                  <w:lang w:eastAsia="en-GB"/>
                </w:rPr>
              </m:ctrlPr>
            </m:fPr>
            <m:num>
              <m:r>
                <w:rPr>
                  <w:rFonts w:ascii="Cambria Math" w:hAnsi="Cambria Math" w:cs="Arial"/>
                  <w:lang w:eastAsia="en-GB"/>
                </w:rPr>
                <m:t>1</m:t>
              </m:r>
            </m:num>
            <m:den>
              <m:sSup>
                <m:sSupPr>
                  <m:ctrlPr>
                    <w:rPr>
                      <w:rFonts w:ascii="Cambria Math" w:hAnsi="Cambria Math" w:cs="Arial"/>
                      <w:i/>
                      <w:lang w:eastAsia="en-GB"/>
                    </w:rPr>
                  </m:ctrlPr>
                </m:sSupPr>
                <m:e>
                  <m:r>
                    <w:rPr>
                      <w:rFonts w:ascii="Cambria Math" w:hAnsi="Cambria Math" w:cs="Arial"/>
                      <w:lang w:eastAsia="en-GB"/>
                    </w:rPr>
                    <m:t>d</m:t>
                  </m:r>
                </m:e>
                <m:sup>
                  <m:r>
                    <w:rPr>
                      <w:rFonts w:ascii="Cambria Math" w:hAnsi="Cambria Math" w:cs="Arial"/>
                      <w:lang w:eastAsia="en-GB"/>
                    </w:rPr>
                    <m:t>2</m:t>
                  </m:r>
                </m:sup>
              </m:sSup>
            </m:den>
          </m:f>
        </m:oMath>
      </m:oMathPara>
    </w:p>
    <w:p w14:paraId="3645A9EE" w14:textId="035A23B1" w:rsidR="009D5648" w:rsidRDefault="002456D5" w:rsidP="002456D5">
      <w:pPr>
        <w:pStyle w:val="Caption"/>
        <w:ind w:left="5040"/>
      </w:pPr>
      <w:r>
        <w:t xml:space="preserve">Equation </w:t>
      </w:r>
      <w:r w:rsidR="001677E4">
        <w:fldChar w:fldCharType="begin"/>
      </w:r>
      <w:r w:rsidR="001677E4">
        <w:instrText xml:space="preserve"> SEQ Equation \* ARABIC </w:instrText>
      </w:r>
      <w:r w:rsidR="001677E4">
        <w:fldChar w:fldCharType="separate"/>
      </w:r>
      <w:r w:rsidR="001677E4">
        <w:rPr>
          <w:noProof/>
        </w:rPr>
        <w:t>3</w:t>
      </w:r>
      <w:r w:rsidR="001677E4">
        <w:rPr>
          <w:noProof/>
        </w:rPr>
        <w:fldChar w:fldCharType="end"/>
      </w:r>
      <w:r>
        <w:t>: Inverse Square Law</w:t>
      </w:r>
    </w:p>
    <w:p w14:paraId="2F19A4D4" w14:textId="6DEEB041" w:rsidR="002B33B0" w:rsidRDefault="002B33B0" w:rsidP="002B33B0">
      <w:r>
        <w:t>Where:</w:t>
      </w:r>
    </w:p>
    <w:p w14:paraId="275FA482" w14:textId="0A327B1F" w:rsidR="002B33B0" w:rsidRDefault="002B33B0" w:rsidP="002B33B0">
      <w:r>
        <w:lastRenderedPageBreak/>
        <w:t>I = Intensity</w:t>
      </w:r>
    </w:p>
    <w:p w14:paraId="0DA75E77" w14:textId="3ACB24E0" w:rsidR="002B33B0" w:rsidRDefault="002B33B0" w:rsidP="002B33B0">
      <w:pPr>
        <w:rPr>
          <w:rFonts w:cs="Arial"/>
        </w:rPr>
      </w:pPr>
      <w:r w:rsidRPr="002B33B0">
        <w:rPr>
          <w:rFonts w:ascii="Cambria Math" w:hAnsi="Cambria Math" w:cs="Cambria Math"/>
        </w:rPr>
        <w:t>∝</w:t>
      </w:r>
      <w:r>
        <w:rPr>
          <w:rFonts w:ascii="Cambria Math" w:hAnsi="Cambria Math" w:cs="Cambria Math"/>
        </w:rPr>
        <w:t xml:space="preserve"> = </w:t>
      </w:r>
      <w:r w:rsidRPr="002B33B0">
        <w:rPr>
          <w:rFonts w:cs="Arial"/>
        </w:rPr>
        <w:t>proportional to</w:t>
      </w:r>
    </w:p>
    <w:p w14:paraId="7FA91E99" w14:textId="7232BB92" w:rsidR="002B33B0" w:rsidRDefault="002B33B0" w:rsidP="002B33B0">
      <w:pPr>
        <w:rPr>
          <w:rFonts w:cs="Arial"/>
        </w:rPr>
      </w:pPr>
      <w:r>
        <w:rPr>
          <w:rFonts w:cs="Arial"/>
        </w:rPr>
        <w:t>d = distance</w:t>
      </w:r>
    </w:p>
    <w:p w14:paraId="6420DA79" w14:textId="16420B92" w:rsidR="00E37E49" w:rsidRDefault="001A620E" w:rsidP="00E37E49">
      <w:pPr>
        <w:pStyle w:val="Heading2"/>
      </w:pPr>
      <w:bookmarkStart w:id="19" w:name="_Toc238813252"/>
      <w:r>
        <w:t>Radiation Attenuation</w:t>
      </w:r>
      <w:bookmarkEnd w:id="19"/>
    </w:p>
    <w:p w14:paraId="5AAEEA86" w14:textId="77777777" w:rsidR="00A148AB" w:rsidRDefault="00A148AB" w:rsidP="00A148AB">
      <w:r>
        <w:t>Despite being highly penetrating, gamma radiation is attenuated as it passes through matter. Attenuation is the reduction in radiation intensity due to interactions between gamma-ray photons and the shielding material, principally through absorption and scattering. Dense materials such as lead, steel and reinforced concrete provide high levels of attenuation and are therefore used as biological shielding to reduce external radiation dose.</w:t>
      </w:r>
    </w:p>
    <w:p w14:paraId="456BF106" w14:textId="77777777" w:rsidR="00A148AB" w:rsidRDefault="00A148AB" w:rsidP="00A148AB">
      <w:r>
        <w:t>The reduction in radiation intensity due to shielding can be calculated using the exponential attenuation equation when the shielding material, its thickness and its linear attenuation coefficient are known. Alternatively, when the number of half-value layers (HVLs) is known, attenuation can be calculated using the HVL equation.</w:t>
      </w:r>
    </w:p>
    <w:p w14:paraId="5C457415" w14:textId="7A595493" w:rsidR="00A148AB" w:rsidRPr="00A148AB" w:rsidRDefault="00A148AB" w:rsidP="00A148AB">
      <w:r>
        <w:t>Gamma-ray photons also undergo Compton scattering within shielding material. During this interaction, a gamma photon transfers part of its energy to an electron and is deflected with reduced energy. This contributes to a complex radiation field that can be difficult to model accurately (Malcolm C. et al., 2004).</w:t>
      </w:r>
    </w:p>
    <w:p w14:paraId="2440E449" w14:textId="77CF94CC" w:rsidR="005566CC" w:rsidRDefault="005566CC" w:rsidP="001A620E">
      <w:r>
        <w:rPr>
          <w:noProof/>
        </w:rPr>
        <w:lastRenderedPageBreak/>
        <w:drawing>
          <wp:inline distT="0" distB="0" distL="0" distR="0" wp14:anchorId="0FC073B5" wp14:editId="75DBFBA0">
            <wp:extent cx="3942178" cy="4038600"/>
            <wp:effectExtent l="0" t="0" r="1270" b="0"/>
            <wp:docPr id="1595546579" name="Picture 3" descr="X-ray Interactions with Matter | Radiology 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ray Interactions with Matter | Radiology Ke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5311" cy="4041810"/>
                    </a:xfrm>
                    <a:prstGeom prst="rect">
                      <a:avLst/>
                    </a:prstGeom>
                    <a:noFill/>
                    <a:ln>
                      <a:noFill/>
                    </a:ln>
                  </pic:spPr>
                </pic:pic>
              </a:graphicData>
            </a:graphic>
          </wp:inline>
        </w:drawing>
      </w:r>
    </w:p>
    <w:p w14:paraId="27EE1868" w14:textId="4D53FD1C" w:rsidR="005566CC" w:rsidRDefault="005566CC" w:rsidP="005566CC">
      <w:pPr>
        <w:pStyle w:val="Caption"/>
      </w:pPr>
      <w:r>
        <w:t xml:space="preserve">Figure </w:t>
      </w:r>
      <w:r>
        <w:fldChar w:fldCharType="begin"/>
      </w:r>
      <w:r>
        <w:instrText xml:space="preserve"> SEQ Figure \* ARABIC </w:instrText>
      </w:r>
      <w:r>
        <w:fldChar w:fldCharType="separate"/>
      </w:r>
      <w:r>
        <w:rPr>
          <w:noProof/>
        </w:rPr>
        <w:t>3</w:t>
      </w:r>
      <w:r>
        <w:rPr>
          <w:noProof/>
        </w:rPr>
        <w:fldChar w:fldCharType="end"/>
      </w:r>
      <w:r>
        <w:t>: Compton Scattering (Image from radiologykey.com)</w:t>
      </w:r>
    </w:p>
    <w:p w14:paraId="5D7CB357" w14:textId="46E0D745" w:rsidR="00D56475" w:rsidRPr="00D56475" w:rsidRDefault="00D56475" w:rsidP="00D56475">
      <w:r w:rsidRPr="00D56475">
        <w:t>For the purposes of this report, the attenuation values determined during the post-incident reconstruction are used directly. The reconstructed radiation field was estimated to be 8–14% of the nominal unshielded dose rate at 1.8 m and 12–18% at 0.8 m. These attenuation factors are assumed to incorporate the effects of shielding geometry, source positioning and scattered radiation.</w:t>
      </w:r>
    </w:p>
    <w:p w14:paraId="7282B57F" w14:textId="5318B7FB" w:rsidR="00053C4A" w:rsidRDefault="00D4402A" w:rsidP="00053C4A">
      <w:pPr>
        <w:pStyle w:val="Heading2"/>
      </w:pPr>
      <w:bookmarkStart w:id="20" w:name="_Toc238813253"/>
      <w:r>
        <w:t>Dose Quantity</w:t>
      </w:r>
      <w:bookmarkEnd w:id="20"/>
    </w:p>
    <w:p w14:paraId="4E1CCB23" w14:textId="22AEE410" w:rsidR="00C37991" w:rsidRPr="00C37991" w:rsidRDefault="00C37991" w:rsidP="00C37991">
      <w:r w:rsidRPr="00C37991">
        <w:t>The ICRP uses absorbed dose as the fundamental physical quantity from which equivalent dose and effective dose are derived. Weighting factors are then applied to account for differences in biological effects between radiation types and sensitivities between tissues (ICRP 103).</w:t>
      </w:r>
    </w:p>
    <w:p w14:paraId="020B10C9" w14:textId="13D4EFE9" w:rsidR="00D4402A" w:rsidRDefault="00D4402A" w:rsidP="00D4402A">
      <w:pPr>
        <w:pStyle w:val="Heading3"/>
      </w:pPr>
      <w:bookmarkStart w:id="21" w:name="_Toc238813254"/>
      <w:r>
        <w:t>Absorbed Dose</w:t>
      </w:r>
      <w:bookmarkEnd w:id="21"/>
    </w:p>
    <w:p w14:paraId="7AAA8062" w14:textId="085D6AA9" w:rsidR="00120A7D" w:rsidRPr="00120A7D" w:rsidRDefault="00120A7D" w:rsidP="00120A7D">
      <w:r w:rsidRPr="00120A7D">
        <w:t>Absorbed dose is the amount of energy imparted by ionising radiation per unit mass. Its SI unit is J kg</w:t>
      </w:r>
      <w:r w:rsidRPr="00120A7D">
        <w:rPr>
          <w:rFonts w:ascii="Cambria Math" w:hAnsi="Cambria Math" w:cs="Cambria Math"/>
        </w:rPr>
        <w:t>⁻</w:t>
      </w:r>
      <w:r w:rsidRPr="00120A7D">
        <w:rPr>
          <w:rFonts w:cs="Arial"/>
        </w:rPr>
        <w:t>¹</w:t>
      </w:r>
      <w:r w:rsidRPr="00120A7D">
        <w:t>, known as the Gray (Gy).</w:t>
      </w:r>
    </w:p>
    <w:p w14:paraId="103E2617" w14:textId="28969A7D" w:rsidR="00D63821" w:rsidRPr="00D63821" w:rsidRDefault="00D63821" w:rsidP="00D4402A">
      <m:oMathPara>
        <m:oMath>
          <m:r>
            <w:rPr>
              <w:rFonts w:ascii="Cambria Math" w:hAnsi="Cambria Math"/>
            </w:rPr>
            <w:lastRenderedPageBreak/>
            <m:t xml:space="preserve">D= </m:t>
          </m:r>
          <m:f>
            <m:fPr>
              <m:ctrlPr>
                <w:rPr>
                  <w:rFonts w:ascii="Cambria Math" w:hAnsi="Cambria Math"/>
                  <w:i/>
                </w:rPr>
              </m:ctrlPr>
            </m:fPr>
            <m:num>
              <m:acc>
                <m:accPr>
                  <m:chr m:val="̅"/>
                  <m:ctrlPr>
                    <w:rPr>
                      <w:rFonts w:ascii="Cambria Math" w:hAnsi="Cambria Math"/>
                      <w:i/>
                    </w:rPr>
                  </m:ctrlPr>
                </m:accPr>
                <m:e>
                  <m:r>
                    <w:rPr>
                      <w:rFonts w:ascii="Cambria Math" w:hAnsi="Cambria Math"/>
                    </w:rPr>
                    <m:t>ε</m:t>
                  </m:r>
                </m:e>
              </m:acc>
            </m:num>
            <m:den>
              <m:r>
                <w:rPr>
                  <w:rFonts w:ascii="Cambria Math" w:hAnsi="Cambria Math"/>
                </w:rPr>
                <m:t>m</m:t>
              </m:r>
            </m:den>
          </m:f>
        </m:oMath>
      </m:oMathPara>
    </w:p>
    <w:p w14:paraId="639961BC" w14:textId="726858EC" w:rsidR="00D63821" w:rsidRDefault="00D63821" w:rsidP="00D63821">
      <w:pPr>
        <w:pStyle w:val="Caption"/>
        <w:ind w:left="5040"/>
      </w:pPr>
      <w:r>
        <w:t xml:space="preserve">Equation </w:t>
      </w:r>
      <w:r w:rsidR="001677E4">
        <w:fldChar w:fldCharType="begin"/>
      </w:r>
      <w:r w:rsidR="001677E4">
        <w:instrText xml:space="preserve"> SEQ Equation \* ARABIC </w:instrText>
      </w:r>
      <w:r w:rsidR="001677E4">
        <w:fldChar w:fldCharType="separate"/>
      </w:r>
      <w:r w:rsidR="001677E4">
        <w:rPr>
          <w:noProof/>
        </w:rPr>
        <w:t>4</w:t>
      </w:r>
      <w:r w:rsidR="001677E4">
        <w:rPr>
          <w:noProof/>
        </w:rPr>
        <w:fldChar w:fldCharType="end"/>
      </w:r>
      <w:r>
        <w:t>: Absorbed Dose</w:t>
      </w:r>
    </w:p>
    <w:p w14:paraId="3BBEED6E" w14:textId="2D15CEB5" w:rsidR="00D63821" w:rsidRDefault="00D63821" w:rsidP="00D63821">
      <w:r>
        <w:t>Where:</w:t>
      </w:r>
    </w:p>
    <w:p w14:paraId="1558B3FC" w14:textId="2F8FF8A1" w:rsidR="00D63821" w:rsidRDefault="00D63821" w:rsidP="00D63821">
      <w:r>
        <w:t>D = Absorbed Dose</w:t>
      </w:r>
    </w:p>
    <w:p w14:paraId="1BBAF53D" w14:textId="31C34EDF" w:rsidR="00D63821" w:rsidRDefault="00D63821" w:rsidP="00D63821">
      <w:r>
        <w:rPr>
          <w:rFonts w:cs="Arial"/>
        </w:rPr>
        <w:t>ἐ</w:t>
      </w:r>
      <w:r>
        <w:t xml:space="preserve"> = </w:t>
      </w:r>
      <w:r w:rsidR="00120A7D">
        <w:t>M</w:t>
      </w:r>
      <w:r>
        <w:t>ean energy imparted</w:t>
      </w:r>
    </w:p>
    <w:p w14:paraId="288BFD0D" w14:textId="4D58D67F" w:rsidR="00D63821" w:rsidRDefault="00D63821" w:rsidP="00D63821">
      <w:r>
        <w:t xml:space="preserve">m = </w:t>
      </w:r>
      <w:r w:rsidR="00120A7D">
        <w:t>M</w:t>
      </w:r>
      <w:r>
        <w:t>ass</w:t>
      </w:r>
    </w:p>
    <w:p w14:paraId="640E13CD" w14:textId="5C9FC36E" w:rsidR="00D63821" w:rsidRDefault="00D63821" w:rsidP="00D63821">
      <w:pPr>
        <w:pStyle w:val="Heading3"/>
      </w:pPr>
      <w:bookmarkStart w:id="22" w:name="_Toc238813255"/>
      <w:r>
        <w:t>Equivalent Dose</w:t>
      </w:r>
      <w:bookmarkEnd w:id="22"/>
    </w:p>
    <w:p w14:paraId="7CDAB7F9" w14:textId="4A2D978E" w:rsidR="00F93055" w:rsidRDefault="00F93055" w:rsidP="00F93055">
      <w:r>
        <w:t>The Equivalent Dose is the average absorbed dose</w:t>
      </w:r>
      <w:r w:rsidR="004F5629">
        <w:t xml:space="preserve"> of a specific type of radiation</w:t>
      </w:r>
      <w:r>
        <w:t xml:space="preserve"> to a specific </w:t>
      </w:r>
      <w:r w:rsidR="004F5629">
        <w:t>organ or tissue. Types of radiation and specific organs or tissue ha</w:t>
      </w:r>
      <w:r w:rsidR="0029311B">
        <w:t>s</w:t>
      </w:r>
      <w:r w:rsidR="004F5629">
        <w:t xml:space="preserve"> their own weighting factors which can be seen in their corresponding tables in Annex B.</w:t>
      </w:r>
      <w:r w:rsidR="003F6A59">
        <w:t xml:space="preserve"> The SI unit for Equivalent dose is </w:t>
      </w:r>
      <w:r w:rsidR="00EA5025">
        <w:t>J Kg</w:t>
      </w:r>
      <w:r w:rsidR="00EA5025">
        <w:rPr>
          <w:vertAlign w:val="superscript"/>
        </w:rPr>
        <w:t>-1</w:t>
      </w:r>
      <w:r w:rsidR="00EA5025">
        <w:t xml:space="preserve"> and are called Sievert (Sv)</w:t>
      </w:r>
      <w:r w:rsidR="00594682">
        <w:t xml:space="preserve"> (ICRP103).</w:t>
      </w:r>
    </w:p>
    <w:p w14:paraId="2B54F6C7" w14:textId="40213B1B" w:rsidR="00594682" w:rsidRPr="00EA5025" w:rsidRDefault="00000000" w:rsidP="00F93055">
      <m:oMathPara>
        <m:oMath>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R</m:t>
              </m:r>
            </m:sub>
            <m:sup/>
            <m:e>
              <m:sSub>
                <m:sSubPr>
                  <m:ctrlPr>
                    <w:rPr>
                      <w:rFonts w:ascii="Cambria Math" w:hAnsi="Cambria Math"/>
                      <w:i/>
                    </w:rPr>
                  </m:ctrlPr>
                </m:sSubPr>
                <m:e>
                  <m:r>
                    <w:rPr>
                      <w:rFonts w:ascii="Cambria Math" w:hAnsi="Cambria Math"/>
                    </w:rPr>
                    <m:t>w</m:t>
                  </m:r>
                </m:e>
                <m:sub>
                  <m:r>
                    <w:rPr>
                      <w:rFonts w:ascii="Cambria Math" w:hAnsi="Cambria Math"/>
                    </w:rPr>
                    <m:t>R</m:t>
                  </m:r>
                </m:sub>
              </m:sSub>
              <m:sSub>
                <m:sSubPr>
                  <m:ctrlPr>
                    <w:rPr>
                      <w:rFonts w:ascii="Cambria Math" w:hAnsi="Cambria Math"/>
                      <w:i/>
                    </w:rPr>
                  </m:ctrlPr>
                </m:sSubPr>
                <m:e>
                  <m:r>
                    <w:rPr>
                      <w:rFonts w:ascii="Cambria Math" w:hAnsi="Cambria Math"/>
                    </w:rPr>
                    <m:t>D</m:t>
                  </m:r>
                </m:e>
                <m:sub>
                  <m:r>
                    <w:rPr>
                      <w:rFonts w:ascii="Cambria Math" w:hAnsi="Cambria Math"/>
                    </w:rPr>
                    <m:t>T,R</m:t>
                  </m:r>
                </m:sub>
              </m:sSub>
            </m:e>
          </m:nary>
        </m:oMath>
      </m:oMathPara>
    </w:p>
    <w:p w14:paraId="45545177" w14:textId="71D77869" w:rsidR="00D63821" w:rsidRDefault="00594682" w:rsidP="00594682">
      <w:pPr>
        <w:pStyle w:val="Caption"/>
        <w:ind w:left="5040"/>
      </w:pPr>
      <w:r>
        <w:t xml:space="preserve">Equation </w:t>
      </w:r>
      <w:r w:rsidR="001677E4">
        <w:fldChar w:fldCharType="begin"/>
      </w:r>
      <w:r w:rsidR="001677E4">
        <w:instrText xml:space="preserve"> SEQ Equation \* ARABIC </w:instrText>
      </w:r>
      <w:r w:rsidR="001677E4">
        <w:fldChar w:fldCharType="separate"/>
      </w:r>
      <w:r w:rsidR="001677E4">
        <w:rPr>
          <w:noProof/>
        </w:rPr>
        <w:t>5</w:t>
      </w:r>
      <w:r w:rsidR="001677E4">
        <w:rPr>
          <w:noProof/>
        </w:rPr>
        <w:fldChar w:fldCharType="end"/>
      </w:r>
      <w:r>
        <w:t>: Equivalent Dose</w:t>
      </w:r>
    </w:p>
    <w:p w14:paraId="2CB3C0D4" w14:textId="19706017" w:rsidR="004C7F82" w:rsidRDefault="004C7F82" w:rsidP="004C7F82">
      <w:r>
        <w:t>Where:</w:t>
      </w:r>
    </w:p>
    <w:p w14:paraId="692A2571" w14:textId="784F553E" w:rsidR="004C7F82" w:rsidRDefault="004C7F82" w:rsidP="004C7F82">
      <w:r>
        <w:t>H</w:t>
      </w:r>
      <w:r>
        <w:rPr>
          <w:vertAlign w:val="subscript"/>
        </w:rPr>
        <w:t xml:space="preserve">T </w:t>
      </w:r>
      <w:r>
        <w:t>= Equivalent Dose</w:t>
      </w:r>
    </w:p>
    <w:p w14:paraId="5C09F3B2" w14:textId="3ABBA97E" w:rsidR="004C7F82" w:rsidRDefault="004C7F82" w:rsidP="004C7F82">
      <w:r>
        <w:t>R = Type of radiation</w:t>
      </w:r>
    </w:p>
    <w:p w14:paraId="341492A5" w14:textId="07DD9E2E" w:rsidR="004C7F82" w:rsidRDefault="004C7F82" w:rsidP="004C7F82">
      <w:r>
        <w:t>W</w:t>
      </w:r>
      <w:r>
        <w:rPr>
          <w:vertAlign w:val="subscript"/>
        </w:rPr>
        <w:t>R</w:t>
      </w:r>
      <w:r>
        <w:t xml:space="preserve"> = Radiation Weighting Factor</w:t>
      </w:r>
    </w:p>
    <w:p w14:paraId="6C3F278F" w14:textId="21E06C17" w:rsidR="004C7F82" w:rsidRDefault="004C7F82" w:rsidP="004C7F82">
      <w:proofErr w:type="gramStart"/>
      <w:r>
        <w:t>D</w:t>
      </w:r>
      <w:r>
        <w:rPr>
          <w:vertAlign w:val="subscript"/>
        </w:rPr>
        <w:t>T,R</w:t>
      </w:r>
      <w:proofErr w:type="gramEnd"/>
      <w:r>
        <w:t xml:space="preserve"> = Average Absorbed Dose in the volume of specific organ or tissue due </w:t>
      </w:r>
      <w:r w:rsidR="00DD1DE7">
        <w:t>to the</w:t>
      </w:r>
      <w:r>
        <w:t xml:space="preserve"> type of radiation</w:t>
      </w:r>
    </w:p>
    <w:p w14:paraId="10E8131C" w14:textId="54021C18" w:rsidR="00DD1DE7" w:rsidRDefault="00DD1DE7" w:rsidP="00DD1DE7">
      <w:pPr>
        <w:pStyle w:val="Heading3"/>
      </w:pPr>
      <w:bookmarkStart w:id="23" w:name="_Toc238813256"/>
      <w:r>
        <w:t>Effective Dose</w:t>
      </w:r>
      <w:bookmarkEnd w:id="23"/>
    </w:p>
    <w:p w14:paraId="5673DFB0" w14:textId="4A66E07D" w:rsidR="00CA09B6" w:rsidRPr="00CA09B6" w:rsidRDefault="00CA09B6" w:rsidP="00CA09B6">
      <w:r w:rsidRPr="00CA09B6">
        <w:t>Effective dose accounts for differences in the sensitivity of organs and tissues to stochastic health effects.</w:t>
      </w:r>
    </w:p>
    <w:p w14:paraId="7F0561F6" w14:textId="0CDC765D" w:rsidR="00825A99" w:rsidRPr="00EA5025" w:rsidRDefault="00825A99" w:rsidP="00825A99">
      <m:oMathPara>
        <m:oMath>
          <m:r>
            <w:rPr>
              <w:rFonts w:ascii="Cambria Math" w:hAnsi="Cambria Math"/>
            </w:rPr>
            <w:lastRenderedPageBreak/>
            <m:t xml:space="preserve">E= </m:t>
          </m:r>
          <m:nary>
            <m:naryPr>
              <m:chr m:val="∑"/>
              <m:limLoc m:val="undOvr"/>
              <m:ctrlPr>
                <w:rPr>
                  <w:rFonts w:ascii="Cambria Math" w:hAnsi="Cambria Math"/>
                  <w:i/>
                </w:rPr>
              </m:ctrlPr>
            </m:naryPr>
            <m:sub>
              <m:r>
                <w:rPr>
                  <w:rFonts w:ascii="Cambria Math" w:hAnsi="Cambria Math"/>
                </w:rPr>
                <m:t>T</m:t>
              </m:r>
            </m:sub>
            <m:sup/>
            <m:e>
              <m:sSub>
                <m:sSubPr>
                  <m:ctrlPr>
                    <w:rPr>
                      <w:rFonts w:ascii="Cambria Math" w:hAnsi="Cambria Math"/>
                      <w:i/>
                    </w:rPr>
                  </m:ctrlPr>
                </m:sSubPr>
                <m:e>
                  <m:r>
                    <w:rPr>
                      <w:rFonts w:ascii="Cambria Math" w:hAnsi="Cambria Math"/>
                    </w:rPr>
                    <m:t>w</m:t>
                  </m:r>
                </m:e>
                <m:sub>
                  <m:r>
                    <w:rPr>
                      <w:rFonts w:ascii="Cambria Math" w:hAnsi="Cambria Math"/>
                    </w:rPr>
                    <m:t>T</m:t>
                  </m:r>
                </m:sub>
              </m:sSub>
              <m:sSub>
                <m:sSubPr>
                  <m:ctrlPr>
                    <w:rPr>
                      <w:rFonts w:ascii="Cambria Math" w:hAnsi="Cambria Math"/>
                      <w:i/>
                    </w:rPr>
                  </m:ctrlPr>
                </m:sSubPr>
                <m:e>
                  <m:r>
                    <w:rPr>
                      <w:rFonts w:ascii="Cambria Math" w:hAnsi="Cambria Math"/>
                    </w:rPr>
                    <m:t>H</m:t>
                  </m:r>
                </m:e>
                <m:sub>
                  <m:r>
                    <w:rPr>
                      <w:rFonts w:ascii="Cambria Math" w:hAnsi="Cambria Math"/>
                    </w:rPr>
                    <m:t>T</m:t>
                  </m:r>
                </m:sub>
              </m:sSub>
            </m:e>
          </m:nary>
        </m:oMath>
      </m:oMathPara>
    </w:p>
    <w:p w14:paraId="6DB8A6E4" w14:textId="46C6C045" w:rsidR="00642541" w:rsidRDefault="00642541" w:rsidP="00642541">
      <w:pPr>
        <w:pStyle w:val="Caption"/>
        <w:ind w:left="5040" w:firstLine="720"/>
      </w:pPr>
      <w:r>
        <w:t xml:space="preserve">Equation </w:t>
      </w:r>
      <w:r w:rsidR="001677E4">
        <w:fldChar w:fldCharType="begin"/>
      </w:r>
      <w:r w:rsidR="001677E4">
        <w:instrText xml:space="preserve"> SEQ Equation \* ARABIC </w:instrText>
      </w:r>
      <w:r w:rsidR="001677E4">
        <w:fldChar w:fldCharType="separate"/>
      </w:r>
      <w:r w:rsidR="001677E4">
        <w:rPr>
          <w:noProof/>
        </w:rPr>
        <w:t>6</w:t>
      </w:r>
      <w:r w:rsidR="001677E4">
        <w:rPr>
          <w:noProof/>
        </w:rPr>
        <w:fldChar w:fldCharType="end"/>
      </w:r>
      <w:r>
        <w:t>: Effective Dose</w:t>
      </w:r>
    </w:p>
    <w:p w14:paraId="49CAAAC0" w14:textId="5105FC9B" w:rsidR="00825A99" w:rsidRDefault="00825A99" w:rsidP="000115FB">
      <w:r>
        <w:t>Where:</w:t>
      </w:r>
    </w:p>
    <w:p w14:paraId="70F4BB1F" w14:textId="3C16E74F" w:rsidR="00825A99" w:rsidRDefault="00825A99" w:rsidP="000115FB">
      <w:r>
        <w:t>E = Effective dose</w:t>
      </w:r>
    </w:p>
    <w:p w14:paraId="0B0AE277" w14:textId="405319AE" w:rsidR="00825A99" w:rsidRDefault="00825A99" w:rsidP="000115FB">
      <w:r>
        <w:t>W</w:t>
      </w:r>
      <w:r>
        <w:rPr>
          <w:vertAlign w:val="subscript"/>
        </w:rPr>
        <w:t xml:space="preserve">T </w:t>
      </w:r>
      <w:r>
        <w:t>= Tissue Weighting Factors</w:t>
      </w:r>
    </w:p>
    <w:p w14:paraId="42D7CA17" w14:textId="6F9FAB44" w:rsidR="00825A99" w:rsidRPr="00825A99" w:rsidRDefault="00825A99" w:rsidP="000115FB">
      <w:r>
        <w:t>H</w:t>
      </w:r>
      <w:r>
        <w:rPr>
          <w:vertAlign w:val="subscript"/>
        </w:rPr>
        <w:t>T</w:t>
      </w:r>
      <w:r>
        <w:t xml:space="preserve"> = Equivalent dose</w:t>
      </w:r>
    </w:p>
    <w:p w14:paraId="475B68EC" w14:textId="4EEA4B8A" w:rsidR="000115FB" w:rsidRPr="000115FB" w:rsidRDefault="000115FB" w:rsidP="000115FB">
      <w:r>
        <w:t xml:space="preserve"> </w:t>
      </w:r>
    </w:p>
    <w:p w14:paraId="7EA399E7" w14:textId="78C1A2E1" w:rsidR="00D0654C" w:rsidRDefault="00D0654C" w:rsidP="00D0654C">
      <w:pPr>
        <w:pStyle w:val="Heading3"/>
      </w:pPr>
      <w:bookmarkStart w:id="24" w:name="_Toc238813257"/>
      <w:r>
        <w:t>Dose Rate</w:t>
      </w:r>
      <w:bookmarkEnd w:id="24"/>
    </w:p>
    <w:p w14:paraId="2717E44A" w14:textId="74D9CE5B" w:rsidR="00CA09B6" w:rsidRPr="00CA09B6" w:rsidRDefault="00CA09B6" w:rsidP="00CA09B6">
      <w:r>
        <w:t>Dose rate is the rate at which ionising radiation dose is received and is commonly expressed in mSv h</w:t>
      </w:r>
      <w:r>
        <w:rPr>
          <w:rFonts w:ascii="Cambria Math" w:hAnsi="Cambria Math" w:cs="Cambria Math"/>
        </w:rPr>
        <w:t>⁻</w:t>
      </w:r>
      <w:r>
        <w:rPr>
          <w:rFonts w:cs="Arial"/>
        </w:rPr>
        <w:t>¹</w:t>
      </w:r>
      <w:r>
        <w:t>. Dose is related to dose rate and exposure time by:</w:t>
      </w:r>
    </w:p>
    <w:p w14:paraId="4EF1E2E2" w14:textId="1ABCA21C" w:rsidR="001677E4" w:rsidRDefault="001677E4" w:rsidP="009B17D4">
      <m:oMathPara>
        <m:oMath>
          <m:r>
            <w:rPr>
              <w:rFonts w:ascii="Cambria Math" w:hAnsi="Cambria Math"/>
            </w:rPr>
            <m:t xml:space="preserve">Dose Rate= </m:t>
          </m:r>
          <m:f>
            <m:fPr>
              <m:ctrlPr>
                <w:rPr>
                  <w:rFonts w:ascii="Cambria Math" w:hAnsi="Cambria Math"/>
                  <w:i/>
                </w:rPr>
              </m:ctrlPr>
            </m:fPr>
            <m:num>
              <m:r>
                <w:rPr>
                  <w:rFonts w:ascii="Cambria Math" w:hAnsi="Cambria Math"/>
                </w:rPr>
                <m:t>Dose</m:t>
              </m:r>
            </m:num>
            <m:den>
              <m:r>
                <w:rPr>
                  <w:rFonts w:ascii="Cambria Math" w:hAnsi="Cambria Math"/>
                </w:rPr>
                <m:t>Time</m:t>
              </m:r>
            </m:den>
          </m:f>
        </m:oMath>
      </m:oMathPara>
    </w:p>
    <w:p w14:paraId="20C4E9E5" w14:textId="2B020AC0" w:rsidR="001677E4" w:rsidRPr="009B17D4" w:rsidRDefault="001677E4" w:rsidP="001677E4">
      <w:pPr>
        <w:pStyle w:val="Caption"/>
      </w:pPr>
      <w:r>
        <w:t xml:space="preserve"> </w:t>
      </w:r>
      <w:r>
        <w:tab/>
      </w:r>
      <w:r>
        <w:tab/>
      </w:r>
      <w:r>
        <w:tab/>
      </w:r>
      <w:r>
        <w:tab/>
      </w:r>
      <w:r>
        <w:tab/>
      </w:r>
      <w:r>
        <w:tab/>
      </w:r>
      <w:r>
        <w:tab/>
      </w:r>
      <w:r>
        <w:tab/>
        <w:t xml:space="preserve">Equation </w:t>
      </w:r>
      <w:r>
        <w:fldChar w:fldCharType="begin"/>
      </w:r>
      <w:r>
        <w:instrText xml:space="preserve"> SEQ Equation \* ARABIC </w:instrText>
      </w:r>
      <w:r>
        <w:fldChar w:fldCharType="separate"/>
      </w:r>
      <w:r>
        <w:rPr>
          <w:noProof/>
        </w:rPr>
        <w:t>7</w:t>
      </w:r>
      <w:r>
        <w:rPr>
          <w:noProof/>
        </w:rPr>
        <w:fldChar w:fldCharType="end"/>
      </w:r>
      <w:r>
        <w:t>: Dose Rate</w:t>
      </w:r>
    </w:p>
    <w:p w14:paraId="0D5D17A5" w14:textId="77777777" w:rsidR="00D0654C" w:rsidRPr="00D0654C" w:rsidRDefault="00D0654C" w:rsidP="00D0654C"/>
    <w:p w14:paraId="50E68629" w14:textId="38EE3E5E" w:rsidR="00C2478F" w:rsidRDefault="00C2478F" w:rsidP="00C2478F">
      <w:pPr>
        <w:pStyle w:val="Heading1"/>
      </w:pPr>
      <w:r>
        <w:t xml:space="preserve"> </w:t>
      </w:r>
      <w:bookmarkStart w:id="25" w:name="_Toc238813258"/>
      <w:r w:rsidRPr="00C2478F">
        <w:t>Case analysis – narrative of the incident and dose reconstruction</w:t>
      </w:r>
      <w:r w:rsidR="007D72FA">
        <w:t xml:space="preserve"> (see annex A for detailed calculations)</w:t>
      </w:r>
      <w:bookmarkEnd w:id="25"/>
    </w:p>
    <w:p w14:paraId="5D58F015" w14:textId="3C4A1AE5" w:rsidR="00E46438" w:rsidRDefault="00E46438" w:rsidP="00E46438">
      <w:pPr>
        <w:pStyle w:val="Heading2"/>
      </w:pPr>
      <w:bookmarkStart w:id="26" w:name="_Toc238813259"/>
      <w:r>
        <w:t>The Incident January 17</w:t>
      </w:r>
      <w:r w:rsidRPr="00E46438">
        <w:rPr>
          <w:vertAlign w:val="superscript"/>
        </w:rPr>
        <w:t>th</w:t>
      </w:r>
      <w:r>
        <w:t>, 2025</w:t>
      </w:r>
      <w:bookmarkEnd w:id="26"/>
    </w:p>
    <w:p w14:paraId="4236491C" w14:textId="77777777" w:rsidR="004F167A" w:rsidRDefault="004F167A" w:rsidP="004F167A">
      <w:r>
        <w:t>During the week prior to the incident, the irradiator was placed in maintenance test mode to investigate hesitation in the downward travel mechanism. Wear debris and slight misalignment in the carrier assembly were also noted, increasing the likelihood of the source failing to become fully seated in the shielded position.</w:t>
      </w:r>
    </w:p>
    <w:p w14:paraId="7F8811E3" w14:textId="77777777" w:rsidR="004F167A" w:rsidRDefault="004F167A" w:rsidP="004F167A">
      <w:r>
        <w:t xml:space="preserve">On the day of the incident, the irradiator had not returned to a fully shielded position but had been left in maintenance mode. Staff misinterpreted the system </w:t>
      </w:r>
      <w:r>
        <w:lastRenderedPageBreak/>
        <w:t>information as a routine error and authorised access to the maintenance vestibule.</w:t>
      </w:r>
    </w:p>
    <w:p w14:paraId="3570FDDB" w14:textId="3BC21875" w:rsidR="004F167A" w:rsidRPr="004F167A" w:rsidRDefault="004F167A" w:rsidP="004F167A">
      <w:r>
        <w:t>A supervisor carried out a gamma survey in the concrete labyrinth and obtained a reading of approximately 8 µSv h</w:t>
      </w:r>
      <w:r>
        <w:rPr>
          <w:rFonts w:ascii="Cambria Math" w:hAnsi="Cambria Math" w:cs="Cambria Math"/>
        </w:rPr>
        <w:t>⁻</w:t>
      </w:r>
      <w:r>
        <w:rPr>
          <w:rFonts w:cs="Arial"/>
        </w:rPr>
        <w:t>¹</w:t>
      </w:r>
      <w:r>
        <w:t>. A maintenance technician then entered the vestibule, unaware that the irradiator was not fully shielded. The technician's EPD alarmed at 100 µSv h</w:t>
      </w:r>
      <w:r>
        <w:rPr>
          <w:rFonts w:ascii="Cambria Math" w:hAnsi="Cambria Math" w:cs="Cambria Math"/>
        </w:rPr>
        <w:t>⁻</w:t>
      </w:r>
      <w:r>
        <w:rPr>
          <w:rFonts w:cs="Arial"/>
        </w:rPr>
        <w:t>¹</w:t>
      </w:r>
      <w:r>
        <w:t xml:space="preserve"> while moving through the labyrinth. Due to a blocked ear, the technician initially did not identify the source of the alarm and only withdrew after noticing the flashing indicator on the EPD.</w:t>
      </w:r>
    </w:p>
    <w:p w14:paraId="26A1200C" w14:textId="6B518D06" w:rsidR="000462E3" w:rsidRDefault="000462E3" w:rsidP="00ED649A">
      <w:r>
        <w:t>Post incident reconstruction indicated the following for the technician:</w:t>
      </w:r>
    </w:p>
    <w:p w14:paraId="225114DF" w14:textId="0B831281" w:rsidR="000462E3" w:rsidRDefault="000462E3" w:rsidP="00ED649A">
      <w:r>
        <w:t>Initial access phase</w:t>
      </w:r>
    </w:p>
    <w:p w14:paraId="75088F4A" w14:textId="70956DCB" w:rsidR="000462E3" w:rsidRDefault="000462E3" w:rsidP="000462E3">
      <w:pPr>
        <w:pStyle w:val="ListParagraph"/>
        <w:numPr>
          <w:ilvl w:val="0"/>
          <w:numId w:val="35"/>
        </w:numPr>
      </w:pPr>
      <w:r>
        <w:t xml:space="preserve">Inside maintenance Vestibule for approximately </w:t>
      </w:r>
      <w:r w:rsidR="003F0233">
        <w:t xml:space="preserve">70 - </w:t>
      </w:r>
      <w:r>
        <w:t>100</w:t>
      </w:r>
      <w:r w:rsidR="000152B9">
        <w:t xml:space="preserve"> </w:t>
      </w:r>
      <w:r>
        <w:t>s</w:t>
      </w:r>
    </w:p>
    <w:p w14:paraId="38016468" w14:textId="368F7774" w:rsidR="000462E3" w:rsidRDefault="000462E3" w:rsidP="000462E3">
      <w:pPr>
        <w:pStyle w:val="ListParagraph"/>
        <w:numPr>
          <w:ilvl w:val="0"/>
          <w:numId w:val="35"/>
        </w:numPr>
      </w:pPr>
      <w:r>
        <w:t>Torso distance from source 1.8</w:t>
      </w:r>
      <w:r w:rsidR="000152B9">
        <w:t xml:space="preserve"> </w:t>
      </w:r>
      <w:r>
        <w:t>m</w:t>
      </w:r>
    </w:p>
    <w:p w14:paraId="3FFAB6E6" w14:textId="503F0C62" w:rsidR="000462E3" w:rsidRDefault="000152B9" w:rsidP="000462E3">
      <w:pPr>
        <w:pStyle w:val="ListParagraph"/>
        <w:numPr>
          <w:ilvl w:val="0"/>
          <w:numId w:val="35"/>
        </w:numPr>
      </w:pPr>
      <w:r>
        <w:t>S</w:t>
      </w:r>
      <w:r w:rsidR="000462E3">
        <w:t xml:space="preserve">hielding at this distance provided </w:t>
      </w:r>
      <w:r w:rsidRPr="000152B9">
        <w:t>approximately 8–14% of the nominal unshielded dose rate</w:t>
      </w:r>
      <w:r>
        <w:t>.</w:t>
      </w:r>
    </w:p>
    <w:p w14:paraId="53000B01" w14:textId="60458DBE" w:rsidR="000152B9" w:rsidRDefault="000152B9" w:rsidP="000152B9">
      <w:r>
        <w:t>Close inspection phase</w:t>
      </w:r>
    </w:p>
    <w:p w14:paraId="3DFD4FDD" w14:textId="5A972B35" w:rsidR="000152B9" w:rsidRDefault="000152B9" w:rsidP="000152B9">
      <w:pPr>
        <w:pStyle w:val="ListParagraph"/>
        <w:numPr>
          <w:ilvl w:val="0"/>
          <w:numId w:val="36"/>
        </w:numPr>
      </w:pPr>
      <w:r>
        <w:t xml:space="preserve">Approximately </w:t>
      </w:r>
      <w:r w:rsidR="003F0233">
        <w:t xml:space="preserve">8 - </w:t>
      </w:r>
      <w:r>
        <w:t>12 s</w:t>
      </w:r>
    </w:p>
    <w:p w14:paraId="488E45BE" w14:textId="2BCDA2CA" w:rsidR="000152B9" w:rsidRDefault="000152B9" w:rsidP="000152B9">
      <w:pPr>
        <w:pStyle w:val="ListParagraph"/>
        <w:numPr>
          <w:ilvl w:val="0"/>
          <w:numId w:val="36"/>
        </w:numPr>
      </w:pPr>
      <w:r>
        <w:t>Torso distance from source 0.8 m</w:t>
      </w:r>
    </w:p>
    <w:p w14:paraId="7C35CF70" w14:textId="7278460C" w:rsidR="000152B9" w:rsidRPr="00ED649A" w:rsidRDefault="000152B9" w:rsidP="000152B9">
      <w:pPr>
        <w:pStyle w:val="ListParagraph"/>
        <w:numPr>
          <w:ilvl w:val="0"/>
          <w:numId w:val="36"/>
        </w:numPr>
      </w:pPr>
      <w:r>
        <w:t xml:space="preserve">Shielding at this distance provided </w:t>
      </w:r>
      <w:r w:rsidRPr="000152B9">
        <w:t xml:space="preserve">approximately </w:t>
      </w:r>
      <w:r>
        <w:t>12</w:t>
      </w:r>
      <w:r w:rsidRPr="000152B9">
        <w:t>–1</w:t>
      </w:r>
      <w:r>
        <w:t>8</w:t>
      </w:r>
      <w:r w:rsidRPr="000152B9">
        <w:t>% of the nominal unshielded dose rate</w:t>
      </w:r>
      <w:r>
        <w:t>.</w:t>
      </w:r>
    </w:p>
    <w:p w14:paraId="4BB6784E" w14:textId="6C82855A" w:rsidR="00E46438" w:rsidRDefault="008E0125" w:rsidP="008E0125">
      <w:pPr>
        <w:pStyle w:val="Heading2"/>
      </w:pPr>
      <w:bookmarkStart w:id="27" w:name="_Toc238813260"/>
      <w:r>
        <w:t xml:space="preserve">Source Activity at the </w:t>
      </w:r>
      <w:r w:rsidR="000F5572">
        <w:t>T</w:t>
      </w:r>
      <w:r>
        <w:t xml:space="preserve">ime of the </w:t>
      </w:r>
      <w:r w:rsidR="000F5572">
        <w:t>I</w:t>
      </w:r>
      <w:r>
        <w:t>ncident</w:t>
      </w:r>
      <w:bookmarkEnd w:id="27"/>
    </w:p>
    <w:p w14:paraId="7BAF784B" w14:textId="1659C8C2" w:rsidR="008E0125" w:rsidRDefault="0084430A" w:rsidP="008E0125">
      <w:r>
        <w:t xml:space="preserve">Around 6 years since the initial certified activity of 140 </w:t>
      </w:r>
      <w:proofErr w:type="spellStart"/>
      <w:r>
        <w:t>TBq</w:t>
      </w:r>
      <w:proofErr w:type="spellEnd"/>
      <w:r>
        <w:t>.</w:t>
      </w:r>
    </w:p>
    <w:p w14:paraId="3D990F15" w14:textId="5E32351A" w:rsidR="0084430A" w:rsidRDefault="0084430A" w:rsidP="008E0125">
      <w:r>
        <w:t xml:space="preserve">Approximate activity on at the time of incident = 63.6 </w:t>
      </w:r>
      <w:proofErr w:type="spellStart"/>
      <w:r>
        <w:t>TBq</w:t>
      </w:r>
      <w:proofErr w:type="spellEnd"/>
      <w:r>
        <w:t>.</w:t>
      </w:r>
    </w:p>
    <w:p w14:paraId="7E7B3D88" w14:textId="40F7570E" w:rsidR="0084430A" w:rsidRDefault="0084430A" w:rsidP="0084430A">
      <w:pPr>
        <w:pStyle w:val="Heading2"/>
      </w:pPr>
      <w:bookmarkStart w:id="28" w:name="_Toc238813261"/>
      <w:r>
        <w:t xml:space="preserve">Unshielded Dose </w:t>
      </w:r>
      <w:r w:rsidR="000F5572">
        <w:t>R</w:t>
      </w:r>
      <w:r>
        <w:t>ate</w:t>
      </w:r>
      <w:r w:rsidR="00DD533B">
        <w:t>s</w:t>
      </w:r>
      <w:bookmarkEnd w:id="28"/>
    </w:p>
    <w:p w14:paraId="3D5E9235" w14:textId="09C06B53" w:rsidR="0084430A" w:rsidRDefault="00DD533B" w:rsidP="0084430A">
      <w:r>
        <w:t xml:space="preserve">At 1 metre </w:t>
      </w:r>
      <w:r w:rsidR="00C1536C">
        <w:t xml:space="preserve">= approximately </w:t>
      </w:r>
      <w:r w:rsidR="000F5572">
        <w:t xml:space="preserve">19.4 </w:t>
      </w:r>
      <w:r w:rsidR="000F5572" w:rsidRPr="0084430A">
        <w:t>S</w:t>
      </w:r>
      <w:r w:rsidR="000F5572">
        <w:t>ieverts per hour.</w:t>
      </w:r>
    </w:p>
    <w:p w14:paraId="5465DCF4" w14:textId="193071BD" w:rsidR="00DD533B" w:rsidRDefault="00DD533B" w:rsidP="0084430A">
      <w:r>
        <w:t>At 1.8 metres using inverse square law =</w:t>
      </w:r>
      <w:r w:rsidR="00C1536C">
        <w:t xml:space="preserve"> approximately 6 </w:t>
      </w:r>
      <w:r w:rsidR="00C1536C" w:rsidRPr="0084430A">
        <w:t>S</w:t>
      </w:r>
      <w:r w:rsidR="00C1536C">
        <w:t>ieverts per hour.</w:t>
      </w:r>
    </w:p>
    <w:p w14:paraId="195346C8" w14:textId="15A3BB7B" w:rsidR="00DD533B" w:rsidRDefault="00DD533B" w:rsidP="0084430A">
      <w:r>
        <w:t xml:space="preserve">At 0.8 metres using inverse square law = </w:t>
      </w:r>
      <w:r w:rsidR="00C1536C">
        <w:t xml:space="preserve">approximately 30.3 </w:t>
      </w:r>
      <w:r w:rsidR="00C1536C" w:rsidRPr="0084430A">
        <w:t>S</w:t>
      </w:r>
      <w:r w:rsidR="00C1536C">
        <w:t>ieverts per hour.</w:t>
      </w:r>
    </w:p>
    <w:p w14:paraId="7A8FCBDE" w14:textId="4868A649" w:rsidR="000F5572" w:rsidRPr="0084430A" w:rsidRDefault="00934C76" w:rsidP="000F5572">
      <w:pPr>
        <w:pStyle w:val="Heading2"/>
      </w:pPr>
      <w:bookmarkStart w:id="29" w:name="_Toc238813262"/>
      <w:r>
        <w:lastRenderedPageBreak/>
        <w:t>Dose During Initial Access Phase</w:t>
      </w:r>
      <w:bookmarkEnd w:id="29"/>
    </w:p>
    <w:p w14:paraId="5C2DA57B" w14:textId="382FDD02" w:rsidR="0084430A" w:rsidRDefault="00934C76" w:rsidP="008E0125">
      <w:r>
        <w:t xml:space="preserve">Because the technician was in this phase for between 70 and 100 seconds </w:t>
      </w:r>
      <w:r w:rsidR="00042CB2">
        <w:t>with between 8% and 14% of the nominal dose rate a minimum and maximum estimation have been calculated. The same approach will be used for the inspection phase.</w:t>
      </w:r>
    </w:p>
    <w:p w14:paraId="1F4141DF" w14:textId="1CE181FB" w:rsidR="00423030" w:rsidRDefault="00423030" w:rsidP="008E0125">
      <w:r>
        <w:t>Minimum Dose = 9.3 mSv</w:t>
      </w:r>
    </w:p>
    <w:p w14:paraId="5D815397" w14:textId="0463D06F" w:rsidR="00423030" w:rsidRDefault="00423030" w:rsidP="008E0125">
      <w:r>
        <w:t>Maximum Dose = 23.2 mSv</w:t>
      </w:r>
    </w:p>
    <w:p w14:paraId="048FCDB5" w14:textId="357B19B1" w:rsidR="00423030" w:rsidRPr="00423030" w:rsidRDefault="00423030" w:rsidP="00423030">
      <w:pPr>
        <w:pStyle w:val="Heading2"/>
      </w:pPr>
      <w:bookmarkStart w:id="30" w:name="_Toc238813263"/>
      <w:r>
        <w:t>Dose During Inspection Phase</w:t>
      </w:r>
      <w:bookmarkEnd w:id="30"/>
    </w:p>
    <w:p w14:paraId="00810B72" w14:textId="1A5CBEB6" w:rsidR="00E46438" w:rsidRDefault="00423030" w:rsidP="00E46438">
      <w:r>
        <w:t>Minimum Dose = 8 mSv</w:t>
      </w:r>
    </w:p>
    <w:p w14:paraId="43F70DC5" w14:textId="38419CCF" w:rsidR="00423030" w:rsidRDefault="00423030" w:rsidP="00E46438">
      <w:r>
        <w:t>Maximum Dose = 18 mSv</w:t>
      </w:r>
    </w:p>
    <w:p w14:paraId="7B82FEEA" w14:textId="4FAFFCAF" w:rsidR="00423030" w:rsidRDefault="00423030" w:rsidP="00423030">
      <w:pPr>
        <w:pStyle w:val="Heading2"/>
      </w:pPr>
      <w:bookmarkStart w:id="31" w:name="_Toc238813264"/>
      <w:r>
        <w:t>Equivalent and Effective Dose</w:t>
      </w:r>
      <w:bookmarkEnd w:id="31"/>
    </w:p>
    <w:p w14:paraId="4AF9ED68" w14:textId="3EDCE416" w:rsidR="00423030" w:rsidRDefault="005700AF" w:rsidP="00423030">
      <w:r>
        <w:t>It can be reasonably assumed that the technician received the</w:t>
      </w:r>
      <w:r w:rsidR="009D127F">
        <w:t xml:space="preserve"> gamma radiation</w:t>
      </w:r>
      <w:r>
        <w:t xml:space="preserve"> dose to their entire body therefore the</w:t>
      </w:r>
      <w:r w:rsidR="00DC54D9">
        <w:t xml:space="preserve"> absorbed (Gy),</w:t>
      </w:r>
      <w:r>
        <w:t xml:space="preserve"> equivalent</w:t>
      </w:r>
      <w:r w:rsidR="00DC54D9">
        <w:t xml:space="preserve"> (Sv)</w:t>
      </w:r>
      <w:r>
        <w:t xml:space="preserve"> and the effective</w:t>
      </w:r>
      <w:r w:rsidR="00DC54D9">
        <w:t xml:space="preserve"> (Sv)</w:t>
      </w:r>
      <w:r>
        <w:t xml:space="preserve"> dose can be calculated using the weighting factor of 1.</w:t>
      </w:r>
    </w:p>
    <w:p w14:paraId="2CD4E560" w14:textId="58FDFC2B" w:rsidR="005700AF" w:rsidRDefault="005700AF" w:rsidP="00423030">
      <w:r>
        <w:t xml:space="preserve">Sum of both phases minimum effective dose = </w:t>
      </w:r>
      <w:r w:rsidRPr="006C3339">
        <w:rPr>
          <w:b/>
          <w:bCs/>
        </w:rPr>
        <w:t>Approximately 17.3 mSv</w:t>
      </w:r>
    </w:p>
    <w:p w14:paraId="6D68BCF4" w14:textId="2E707153" w:rsidR="005700AF" w:rsidRPr="006C3339" w:rsidRDefault="005700AF" w:rsidP="00423030">
      <w:pPr>
        <w:rPr>
          <w:b/>
          <w:bCs/>
        </w:rPr>
      </w:pPr>
      <w:r>
        <w:t xml:space="preserve">Sum of both phases maximum effective dose = </w:t>
      </w:r>
      <w:r w:rsidRPr="006C3339">
        <w:rPr>
          <w:b/>
          <w:bCs/>
        </w:rPr>
        <w:t>Approximately 41.2 mSv</w:t>
      </w:r>
    </w:p>
    <w:p w14:paraId="597185E2" w14:textId="77777777" w:rsidR="00E46438" w:rsidRPr="00E46438" w:rsidRDefault="00E46438" w:rsidP="00E46438"/>
    <w:p w14:paraId="13525D8D" w14:textId="7EB8EE50" w:rsidR="005E4CC2" w:rsidRDefault="00C2478F" w:rsidP="00C2478F">
      <w:pPr>
        <w:pStyle w:val="Heading1"/>
      </w:pPr>
      <w:r>
        <w:t xml:space="preserve"> </w:t>
      </w:r>
      <w:bookmarkStart w:id="32" w:name="_Toc238813265"/>
      <w:r w:rsidRPr="00C2478F">
        <w:t xml:space="preserve">Discussion – interpretation of calculated doses </w:t>
      </w:r>
      <w:r w:rsidR="00D13628" w:rsidRPr="00C2478F">
        <w:t>and</w:t>
      </w:r>
      <w:r w:rsidR="00D13628">
        <w:t xml:space="preserve"> </w:t>
      </w:r>
      <w:r w:rsidRPr="00C2478F">
        <w:t>regulatory implications</w:t>
      </w:r>
      <w:bookmarkEnd w:id="32"/>
    </w:p>
    <w:p w14:paraId="6570DBFC" w14:textId="1157BA7C" w:rsidR="00FF5B5D" w:rsidRDefault="00FF5B5D" w:rsidP="00FF5B5D">
      <w:pPr>
        <w:pStyle w:val="Heading2"/>
      </w:pPr>
      <w:bookmarkStart w:id="33" w:name="_Toc238813266"/>
      <w:r>
        <w:t>Calculated vs. Recorded Doses</w:t>
      </w:r>
      <w:bookmarkEnd w:id="33"/>
    </w:p>
    <w:p w14:paraId="07CFEBCE" w14:textId="77777777" w:rsidR="00E84ABD" w:rsidRDefault="00E84ABD" w:rsidP="00E84ABD">
      <w:r>
        <w:t>Post-incident dosimetry indicated an EPD dose of 34 mSv, an EPD peak dose rate of 3.2 Sv h</w:t>
      </w:r>
      <w:r>
        <w:rPr>
          <w:rFonts w:ascii="Cambria Math" w:hAnsi="Cambria Math" w:cs="Cambria Math"/>
        </w:rPr>
        <w:t>⁻</w:t>
      </w:r>
      <w:r>
        <w:rPr>
          <w:rFonts w:cs="Arial"/>
        </w:rPr>
        <w:t>¹</w:t>
      </w:r>
      <w:r>
        <w:t xml:space="preserve"> and a TLD dose of 46 mSv. The EPD dose falls within the reconstructed dose range of approximately 17.3</w:t>
      </w:r>
      <w:r>
        <w:rPr>
          <w:rFonts w:cs="Arial"/>
        </w:rPr>
        <w:t>–</w:t>
      </w:r>
      <w:r>
        <w:t>41.2 mSv, while the peak dose rate is close to the reconstructed minimum dose rate at 0.8 m of 3.64 Sv h</w:t>
      </w:r>
      <w:r>
        <w:rPr>
          <w:rFonts w:ascii="Cambria Math" w:hAnsi="Cambria Math" w:cs="Cambria Math"/>
        </w:rPr>
        <w:t>⁻</w:t>
      </w:r>
      <w:r>
        <w:rPr>
          <w:rFonts w:cs="Arial"/>
        </w:rPr>
        <w:t>¹</w:t>
      </w:r>
      <w:r>
        <w:t>.</w:t>
      </w:r>
    </w:p>
    <w:p w14:paraId="6567AA97" w14:textId="6B068855" w:rsidR="00E84ABD" w:rsidRPr="00E84ABD" w:rsidRDefault="00E84ABD" w:rsidP="00E84ABD">
      <w:r>
        <w:t xml:space="preserve">The TLD result is approximately 4.8 mSv above the maximum reconstructed dose. However, the technician was wearing the TLD at waist level rather than at </w:t>
      </w:r>
      <w:r>
        <w:lastRenderedPageBreak/>
        <w:t>the chest/torso position. This introduces additional uncertainty because the radiation field was spatially non-uniform. Further investigation could therefore include a more detailed assessment of the cylindrical source geometry, a reassessment of the shielding attenuation, confirmation of the technician's exposure time and verification that elevated radiation levels were not present elsewhere in the labyrinth.</w:t>
      </w:r>
    </w:p>
    <w:p w14:paraId="23813644" w14:textId="291856E3" w:rsidR="00992961" w:rsidRDefault="00992961" w:rsidP="00992961">
      <w:pPr>
        <w:pStyle w:val="Heading3"/>
      </w:pPr>
      <w:bookmarkStart w:id="34" w:name="_Toc238813267"/>
      <w:r>
        <w:t>Health Implications</w:t>
      </w:r>
      <w:bookmarkEnd w:id="34"/>
    </w:p>
    <w:p w14:paraId="3B4F0ED4" w14:textId="36D0ACA3" w:rsidR="00A104DE" w:rsidRPr="00A104DE" w:rsidRDefault="00A104DE" w:rsidP="00A104DE">
      <w:r w:rsidRPr="00A104DE">
        <w:t>The reconstructed and recorded doses of approximately 17.3–46 mSv are below the levels normally associated with acute radiation effects such as skin reddening, burns or acute radiation syndrome. The main health implication is therefore an increase in stochastic risk, particularly the lifetime risk of radiation-induced cancer. Using the ICRP 103 risk coefficient of 4.2% per Sievert for adult workers, the exposure represents a less than 1% increase in lifetime cancer risk. Although this increase is relatively small, the exposure remains significant from a radiological protection perspective.</w:t>
      </w:r>
    </w:p>
    <w:p w14:paraId="4435A346" w14:textId="53621F98" w:rsidR="00FF5B5D" w:rsidRDefault="00FF5B5D" w:rsidP="00FF5B5D">
      <w:pPr>
        <w:pStyle w:val="Heading2"/>
      </w:pPr>
      <w:bookmarkStart w:id="35" w:name="_Toc238813268"/>
      <w:r>
        <w:t>Regulatory implications</w:t>
      </w:r>
      <w:bookmarkEnd w:id="35"/>
    </w:p>
    <w:p w14:paraId="4D4F288A" w14:textId="7CEA7644" w:rsidR="00FF5B5D" w:rsidRDefault="00FF5B5D" w:rsidP="00FF5B5D">
      <w:r>
        <w:t xml:space="preserve">The annual </w:t>
      </w:r>
      <w:r w:rsidR="009536F7">
        <w:t>effective</w:t>
      </w:r>
      <w:r>
        <w:t xml:space="preserve"> dose</w:t>
      </w:r>
      <w:r w:rsidR="009536F7">
        <w:t xml:space="preserve"> limit</w:t>
      </w:r>
      <w:r>
        <w:t xml:space="preserve"> according to IRR 2017 for an employee is 20 mSv annually. The technician surpassed the annual dose limit during the incident</w:t>
      </w:r>
      <w:r w:rsidR="00B932C0">
        <w:t xml:space="preserve">. According to </w:t>
      </w:r>
      <w:r w:rsidR="00E41B95">
        <w:t>regulation</w:t>
      </w:r>
      <w:r w:rsidR="00B932C0">
        <w:t xml:space="preserve"> 24. Dosimetry for accidents etc for any person receiving an ionising radiation equivalent dose greater than 15 mSv caused by an accident the employer must arrange for a dose assessment from the approved dosimetry service and for a record to be kept for the assessment for at least 30 years (IRR 2017). According to the report the employer arranged for the service, and it was reported to the HSE in accordance with the regulations. </w:t>
      </w:r>
      <w:r w:rsidR="00E41B95">
        <w:t>For the technician to be able to continue working in an environment where they are exposed to ionising radiation after the incident the employer must then prove they have taken all the steps necessary to comply with IRR 2017 regulations 12 and 24.</w:t>
      </w:r>
    </w:p>
    <w:p w14:paraId="1D2CC2AE" w14:textId="77777777" w:rsidR="00456F76" w:rsidRDefault="00D13628" w:rsidP="00FF5B5D">
      <w:r>
        <w:t xml:space="preserve">Under the licence </w:t>
      </w:r>
      <w:r w:rsidR="00381F2D">
        <w:t>conditions (LC) set out by the Office for Nuclear Regulation (ONR) the licence could be audited for infractions against</w:t>
      </w:r>
      <w:r w:rsidR="00456F76">
        <w:t>:</w:t>
      </w:r>
      <w:r w:rsidR="00381F2D">
        <w:t xml:space="preserve"> </w:t>
      </w:r>
    </w:p>
    <w:p w14:paraId="6F3840FB" w14:textId="77777777" w:rsidR="00456F76" w:rsidRPr="00456F76" w:rsidRDefault="00381F2D" w:rsidP="00FF5B5D">
      <w:pPr>
        <w:rPr>
          <w:b/>
          <w:bCs/>
        </w:rPr>
      </w:pPr>
      <w:r w:rsidRPr="00456F76">
        <w:rPr>
          <w:b/>
          <w:bCs/>
        </w:rPr>
        <w:t xml:space="preserve">LC10: Training </w:t>
      </w:r>
    </w:p>
    <w:p w14:paraId="3E744DF9" w14:textId="38CB70E9" w:rsidR="00D13628" w:rsidRDefault="00381F2D" w:rsidP="00FF5B5D">
      <w:r>
        <w:lastRenderedPageBreak/>
        <w:t>as the operators were unaware of the error codes presented by the system during maintenance mode and although minor, technicians were not wearing their TLD correctly.</w:t>
      </w:r>
      <w:r w:rsidR="005351AA">
        <w:t xml:space="preserve"> </w:t>
      </w:r>
    </w:p>
    <w:p w14:paraId="44AE2B8C" w14:textId="5A656FD6" w:rsidR="00D13628" w:rsidRDefault="00456F76" w:rsidP="00456F76">
      <w:pPr>
        <w:tabs>
          <w:tab w:val="left" w:pos="1776"/>
        </w:tabs>
        <w:rPr>
          <w:b/>
          <w:bCs/>
        </w:rPr>
      </w:pPr>
      <w:r w:rsidRPr="00456F76">
        <w:rPr>
          <w:b/>
          <w:bCs/>
        </w:rPr>
        <w:t>LC23/24</w:t>
      </w:r>
      <w:r>
        <w:rPr>
          <w:b/>
          <w:bCs/>
        </w:rPr>
        <w:t>: Operating Rules</w:t>
      </w:r>
    </w:p>
    <w:p w14:paraId="5651C4BE" w14:textId="228FFB57" w:rsidR="00456F76" w:rsidRDefault="00456F76" w:rsidP="00456F76">
      <w:pPr>
        <w:tabs>
          <w:tab w:val="left" w:pos="1776"/>
        </w:tabs>
      </w:pPr>
      <w:r>
        <w:t>W</w:t>
      </w:r>
      <w:r w:rsidR="005351AA">
        <w:t>ere</w:t>
      </w:r>
      <w:r>
        <w:t xml:space="preserve"> appropriate operating instructions in place to safely assess that the maintenance vestibule was safe to enter. The location the supervisor took a gamma survey at which recorded </w:t>
      </w:r>
      <w:r w:rsidRPr="00456F76">
        <w:t>8 µSv h</w:t>
      </w:r>
      <w:r w:rsidRPr="00456F76">
        <w:rPr>
          <w:rFonts w:ascii="Cambria Math" w:hAnsi="Cambria Math" w:cs="Cambria Math"/>
        </w:rPr>
        <w:t>⁻</w:t>
      </w:r>
      <w:r w:rsidRPr="00456F76">
        <w:rPr>
          <w:rFonts w:cs="Arial"/>
        </w:rPr>
        <w:t>¹</w:t>
      </w:r>
      <w:r>
        <w:t xml:space="preserve"> was likely not appropriate for forming a judgment involving the technicians safety.</w:t>
      </w:r>
    </w:p>
    <w:p w14:paraId="098728A2" w14:textId="4CC94F78" w:rsidR="00456F76" w:rsidRDefault="00456F76" w:rsidP="00456F76">
      <w:pPr>
        <w:tabs>
          <w:tab w:val="left" w:pos="1776"/>
        </w:tabs>
        <w:rPr>
          <w:b/>
          <w:bCs/>
        </w:rPr>
      </w:pPr>
      <w:r>
        <w:rPr>
          <w:b/>
          <w:bCs/>
        </w:rPr>
        <w:t>LC27: Safety Mechanisms Devices and Circuits</w:t>
      </w:r>
    </w:p>
    <w:p w14:paraId="629BC424" w14:textId="64D6CD9F" w:rsidR="00456F76" w:rsidRDefault="005351AA" w:rsidP="00456F76">
      <w:pPr>
        <w:tabs>
          <w:tab w:val="left" w:pos="1776"/>
        </w:tabs>
      </w:pPr>
      <w:r>
        <w:t>Why was the technician able to enter the maintenance vestibule despite the system displaying errors? Furthermore, was the system safe despite the wear and tear on the carrier guide assembly.</w:t>
      </w:r>
    </w:p>
    <w:p w14:paraId="38FA70F2" w14:textId="0EDA3880" w:rsidR="00556FCC" w:rsidRDefault="00556FCC" w:rsidP="00556FCC">
      <w:pPr>
        <w:pStyle w:val="Heading2"/>
      </w:pPr>
      <w:bookmarkStart w:id="36" w:name="_Toc238813269"/>
      <w:r>
        <w:t>Safety Assessment Principles (SAPs)</w:t>
      </w:r>
      <w:bookmarkEnd w:id="36"/>
    </w:p>
    <w:p w14:paraId="3DBE3EC9" w14:textId="0C58E9E1" w:rsidR="00556FCC" w:rsidRDefault="00556FCC" w:rsidP="00556FCC">
      <w:pPr>
        <w:rPr>
          <w:b/>
          <w:bCs/>
        </w:rPr>
      </w:pPr>
      <w:r>
        <w:rPr>
          <w:b/>
          <w:bCs/>
        </w:rPr>
        <w:t>EKP.3 – Defence in Depth</w:t>
      </w:r>
    </w:p>
    <w:p w14:paraId="070592F8" w14:textId="17E40A6B" w:rsidR="004C21E5" w:rsidRPr="004C21E5" w:rsidRDefault="004C21E5" w:rsidP="00556FCC">
      <w:r w:rsidRPr="004C21E5">
        <w:t>Defence in depth requires multiple independent barriers to prevent faults progressing into accidents (ONR, 2014). The incident indicates that this principle was not adequately implemented. The mechanical failure of the source positioning system should have been contained by subsequent independent barriers, such as source-position indication, access interlocking and radiation monitoring. Instead, access depended on the operator correctly interpreting the system error and communicating the hazard to the technician.</w:t>
      </w:r>
    </w:p>
    <w:p w14:paraId="6173C068" w14:textId="40787AF1" w:rsidR="00CE6372" w:rsidRDefault="00CE6372" w:rsidP="00556FCC">
      <w:pPr>
        <w:rPr>
          <w:b/>
          <w:bCs/>
        </w:rPr>
      </w:pPr>
      <w:r>
        <w:rPr>
          <w:b/>
          <w:bCs/>
        </w:rPr>
        <w:t>EDR.1 – Engineering Principles: Design for Reliability</w:t>
      </w:r>
    </w:p>
    <w:p w14:paraId="6E06E675" w14:textId="0C20E771" w:rsidR="0090183B" w:rsidRPr="0090183B" w:rsidRDefault="0090183B" w:rsidP="00556FCC">
      <w:r w:rsidRPr="0090183B">
        <w:t xml:space="preserve">EDR.1 requires structures, systems and components to be designed to be inherently safe or fail in a safe manner, with potential failure modes identified where appropriate (ONR, 2014). The irradiator did not fail in a safe manner because the source could stop short of the fully shielded position while access remained possible. The previously identified wear and misalignment also suggest </w:t>
      </w:r>
      <w:r w:rsidRPr="0090183B">
        <w:lastRenderedPageBreak/>
        <w:t>that the failure mode required greater consideration within maintenance and safety assessment arrangements.</w:t>
      </w:r>
    </w:p>
    <w:p w14:paraId="634DB30A" w14:textId="2678EE58" w:rsidR="00CE6372" w:rsidRDefault="00CE6372" w:rsidP="00556FCC">
      <w:pPr>
        <w:rPr>
          <w:b/>
          <w:bCs/>
        </w:rPr>
      </w:pPr>
      <w:r>
        <w:rPr>
          <w:b/>
          <w:bCs/>
        </w:rPr>
        <w:t xml:space="preserve">MS.1 </w:t>
      </w:r>
      <w:r w:rsidR="0096267E">
        <w:rPr>
          <w:b/>
          <w:bCs/>
        </w:rPr>
        <w:t>–</w:t>
      </w:r>
      <w:r>
        <w:rPr>
          <w:b/>
          <w:bCs/>
        </w:rPr>
        <w:t xml:space="preserve"> </w:t>
      </w:r>
      <w:r w:rsidR="0096267E">
        <w:rPr>
          <w:b/>
          <w:bCs/>
        </w:rPr>
        <w:t>Leadership and Management for Safety</w:t>
      </w:r>
    </w:p>
    <w:p w14:paraId="66393567" w14:textId="77777777" w:rsidR="00655102" w:rsidRPr="00655102" w:rsidRDefault="00655102" w:rsidP="00655102">
      <w:r w:rsidRPr="00655102">
        <w:t>MS.1 requires leaders to maintain high standards of safety and the characteristics of a high reliability organisation (ONR, 2014). The incident indicates weaknesses in training, communication and safety culture. Operators did not correctly interpret the maintenance-mode information, the supervisor's radiation survey was not representative of the technician's working position, and the technician's hearing problem was not identified as a factor affecting response to the EPD alarm.</w:t>
      </w:r>
    </w:p>
    <w:p w14:paraId="648C8A15" w14:textId="2E821F53" w:rsidR="00655102" w:rsidRPr="00655102" w:rsidRDefault="00655102" w:rsidP="00655102">
      <w:r w:rsidRPr="00655102">
        <w:t>Overall, the incident demonstrates weaknesses across engineering, procedural and human barriers rather than a single isolated equipment failure.</w:t>
      </w:r>
    </w:p>
    <w:p w14:paraId="626CCC44" w14:textId="0072D129" w:rsidR="00C2478F" w:rsidRDefault="00C2478F" w:rsidP="005351AA">
      <w:pPr>
        <w:pStyle w:val="Heading1"/>
      </w:pPr>
      <w:bookmarkStart w:id="37" w:name="_Toc238813270"/>
      <w:r w:rsidRPr="00C2478F">
        <w:t>Recommendations</w:t>
      </w:r>
      <w:bookmarkEnd w:id="37"/>
    </w:p>
    <w:p w14:paraId="7C6A4B3D" w14:textId="77777777" w:rsidR="00840E62" w:rsidRDefault="00840E62" w:rsidP="00840E62">
      <w:r>
        <w:t>To reduce the risk of further incidents to As Low as Reasonably Practicable (ALARP), the recommendations are primarily focused on improving engineered barriers and reducing reliance on the human element.</w:t>
      </w:r>
    </w:p>
    <w:p w14:paraId="5AD00741" w14:textId="1AD25762" w:rsidR="00840E62" w:rsidRDefault="00840E62" w:rsidP="00840E62">
      <w:pPr>
        <w:pStyle w:val="ListParagraph"/>
        <w:numPr>
          <w:ilvl w:val="0"/>
          <w:numId w:val="41"/>
        </w:numPr>
      </w:pPr>
      <w:r w:rsidRPr="00840E62">
        <w:rPr>
          <w:b/>
          <w:bCs/>
        </w:rPr>
        <w:t>Prevent access to the maintenance vestibule unless the source is confirmed to be fully shielded</w:t>
      </w:r>
      <w:r w:rsidRPr="00840E62">
        <w:rPr>
          <w:b/>
          <w:bCs/>
        </w:rPr>
        <w:t xml:space="preserve"> - </w:t>
      </w:r>
      <w:r>
        <w:t>An independent interlock should prevent access following a source-position fault.</w:t>
      </w:r>
    </w:p>
    <w:p w14:paraId="79B33D59" w14:textId="136851AB" w:rsidR="00840E62" w:rsidRDefault="00840E62" w:rsidP="00840E62">
      <w:pPr>
        <w:pStyle w:val="ListParagraph"/>
        <w:numPr>
          <w:ilvl w:val="0"/>
          <w:numId w:val="41"/>
        </w:numPr>
      </w:pPr>
      <w:r w:rsidRPr="00840E62">
        <w:rPr>
          <w:b/>
          <w:bCs/>
        </w:rPr>
        <w:t>Improve the irradiator design so that mechanical failure results in a safe condition</w:t>
      </w:r>
      <w:r w:rsidRPr="00840E62">
        <w:rPr>
          <w:b/>
          <w:bCs/>
        </w:rPr>
        <w:t xml:space="preserve"> -</w:t>
      </w:r>
      <w:r w:rsidRPr="00840E62">
        <w:rPr>
          <w:b/>
          <w:bCs/>
        </w:rPr>
        <w:t xml:space="preserve"> </w:t>
      </w:r>
      <w:r>
        <w:t>The source positioning mechanism should fail towards the fully shielded position and safety-significant components should be subject to appropriate inspection and preventative maintenance.</w:t>
      </w:r>
    </w:p>
    <w:p w14:paraId="6C457F62" w14:textId="71333410" w:rsidR="00840E62" w:rsidRDefault="00840E62" w:rsidP="00840E62">
      <w:pPr>
        <w:pStyle w:val="ListParagraph"/>
        <w:numPr>
          <w:ilvl w:val="0"/>
          <w:numId w:val="41"/>
        </w:numPr>
      </w:pPr>
      <w:r w:rsidRPr="00840E62">
        <w:rPr>
          <w:b/>
          <w:bCs/>
        </w:rPr>
        <w:t>Provide accurate source-position indication and fixed radiation monitoring</w:t>
      </w:r>
      <w:r w:rsidRPr="00840E62">
        <w:rPr>
          <w:b/>
          <w:bCs/>
        </w:rPr>
        <w:t xml:space="preserve"> - </w:t>
      </w:r>
      <w:r>
        <w:t>Clear visual indication of the physical source position and a fixed radiation monitor at the access point would provide independent confirmation of the radiation condition before entry.</w:t>
      </w:r>
    </w:p>
    <w:p w14:paraId="4134BCC6" w14:textId="522C46BE" w:rsidR="00840E62" w:rsidRDefault="00840E62" w:rsidP="00840E62">
      <w:pPr>
        <w:pStyle w:val="ListParagraph"/>
        <w:numPr>
          <w:ilvl w:val="0"/>
          <w:numId w:val="41"/>
        </w:numPr>
      </w:pPr>
      <w:r w:rsidRPr="00840E62">
        <w:rPr>
          <w:b/>
          <w:bCs/>
        </w:rPr>
        <w:t>Improve SQEP and operating procedures</w:t>
      </w:r>
      <w:r w:rsidRPr="00840E62">
        <w:rPr>
          <w:b/>
          <w:bCs/>
        </w:rPr>
        <w:t xml:space="preserve"> -</w:t>
      </w:r>
      <w:r>
        <w:t xml:space="preserve"> Operators and maintenance personnel should understand error codes, maintenance mode, radiation alarms and the actions required when an abnormal source position is </w:t>
      </w:r>
      <w:r>
        <w:lastRenderedPageBreak/>
        <w:t>indicated. Radiation surveys should also be carried out at locations representative of the technician's actual working position.</w:t>
      </w:r>
    </w:p>
    <w:p w14:paraId="5939CC9A" w14:textId="0E9D9D82" w:rsidR="003B655D" w:rsidRPr="003B655D" w:rsidRDefault="00840E62" w:rsidP="00840E62">
      <w:pPr>
        <w:pStyle w:val="ListParagraph"/>
        <w:numPr>
          <w:ilvl w:val="0"/>
          <w:numId w:val="41"/>
        </w:numPr>
      </w:pPr>
      <w:r w:rsidRPr="00840E62">
        <w:rPr>
          <w:b/>
          <w:bCs/>
        </w:rPr>
        <w:t>Review safety culture and learning from experience</w:t>
      </w:r>
      <w:r w:rsidRPr="00840E62">
        <w:rPr>
          <w:b/>
          <w:bCs/>
        </w:rPr>
        <w:t xml:space="preserve"> -</w:t>
      </w:r>
      <w:r>
        <w:t xml:space="preserve"> Personnel should understand the importance of reporting conditions that could affect safe working, such as impaired hearing, and should feel able to raise safety concerns. The incident should also be used to review similar irradiator systems for comparable failure modes.</w:t>
      </w:r>
    </w:p>
    <w:p w14:paraId="7B913B98" w14:textId="22053EB6" w:rsidR="005D48C4" w:rsidRDefault="00556FCC" w:rsidP="005D48C4">
      <w:pPr>
        <w:pStyle w:val="Heading1"/>
      </w:pPr>
      <w:bookmarkStart w:id="38" w:name="_Toc238813271"/>
      <w:r>
        <w:t>Conclusion</w:t>
      </w:r>
      <w:bookmarkEnd w:id="38"/>
    </w:p>
    <w:p w14:paraId="273A4493" w14:textId="77777777" w:rsidR="00840E62" w:rsidRDefault="00840E62" w:rsidP="00840E62">
      <w:r>
        <w:t>The purpose of this report was to analyse a radiation incident involving a cobalt-60 sealed-source irradiator which resulted in a technician receiving a higher-than-expected dose of gamma radiation.</w:t>
      </w:r>
    </w:p>
    <w:p w14:paraId="304966A3" w14:textId="77777777" w:rsidR="00840E62" w:rsidRDefault="00840E62" w:rsidP="00840E62">
      <w:r>
        <w:t>The dose reconstruction estimated an exposure of approximately 17.3–41.2 mSv, which is consistent with the EPD recorded dose of 34 mSv. The TLD recorded 46 mSv, with the difference likely requiring further investigation due to uncertainty in the reconstructed radiation field and the TLD being worn at waist level. The exposure is not expected to result in acute radiation effects, but it represents a significant occupational exposure and a small increase in lifetime stochastic risk.</w:t>
      </w:r>
    </w:p>
    <w:p w14:paraId="3318C283" w14:textId="77777777" w:rsidR="00840E62" w:rsidRDefault="00840E62" w:rsidP="00840E62">
      <w:r>
        <w:t>The incident identified weaknesses in the facility's defence in depth, engineering reliability, operating arrangements and safety culture. The most significant finding is that the mechanical failure of the source positioning system was not adequately contained by independent safety barriers, allowing access while the source remained incompletely shielded.</w:t>
      </w:r>
    </w:p>
    <w:p w14:paraId="7EA59B57" w14:textId="6A341173" w:rsidR="00840E62" w:rsidRPr="00840E62" w:rsidRDefault="00840E62" w:rsidP="00840E62">
      <w:r>
        <w:t>The current arrangement is therefore unlikely to demonstrate ALARP. Independent source-position interlocking, fail-safe source positioning, improved radiation monitoring, preventative maintenance, improved operating procedures and stronger safety culture would reduce reliance on human intervention and reduce the likelihood and consequences of a similar incident.</w:t>
      </w:r>
    </w:p>
    <w:p w14:paraId="57B3585A" w14:textId="77777777" w:rsidR="008B0FC6" w:rsidRPr="005D48C4" w:rsidRDefault="008B0FC6" w:rsidP="005D48C4"/>
    <w:p w14:paraId="724C86FA" w14:textId="716E6FFF" w:rsidR="00C2478F" w:rsidRDefault="00C2478F" w:rsidP="00C2478F">
      <w:pPr>
        <w:pStyle w:val="Heading1"/>
      </w:pPr>
      <w:bookmarkStart w:id="39" w:name="_Toc238813272"/>
      <w:r w:rsidRPr="00C2478F">
        <w:lastRenderedPageBreak/>
        <w:t>References – Harvard style</w:t>
      </w:r>
      <w:bookmarkEnd w:id="39"/>
    </w:p>
    <w:p w14:paraId="061F7D34" w14:textId="78EF4F1D" w:rsidR="00443C49" w:rsidRDefault="00443C49" w:rsidP="00443C49">
      <w:pPr>
        <w:spacing w:before="0" w:line="360" w:lineRule="atLeast"/>
        <w:jc w:val="left"/>
        <w:rPr>
          <w:rFonts w:cs="Arial"/>
          <w:lang w:eastAsia="en-GB"/>
        </w:rPr>
      </w:pPr>
      <w:r>
        <w:rPr>
          <w:rFonts w:cs="Arial"/>
          <w:lang w:eastAsia="en-GB"/>
        </w:rPr>
        <w:t xml:space="preserve">Malcolm C, Peter M, Nobuhiro S, Nobuhiko S, and Arun B (2004). </w:t>
      </w:r>
      <w:r>
        <w:rPr>
          <w:rFonts w:cs="Arial"/>
          <w:i/>
          <w:iCs/>
          <w:lang w:eastAsia="en-GB"/>
        </w:rPr>
        <w:t xml:space="preserve">X-ray Compton Scattering. </w:t>
      </w:r>
      <w:r>
        <w:rPr>
          <w:rFonts w:cs="Arial"/>
          <w:lang w:eastAsia="en-GB"/>
        </w:rPr>
        <w:t>OUP Oxford.</w:t>
      </w:r>
      <w:r>
        <w:rPr>
          <w:rFonts w:cs="Arial"/>
          <w:i/>
          <w:iCs/>
          <w:lang w:eastAsia="en-GB"/>
        </w:rPr>
        <w:t xml:space="preserve"> </w:t>
      </w:r>
      <w:r>
        <w:rPr>
          <w:rFonts w:cs="Arial"/>
          <w:lang w:eastAsia="en-GB"/>
        </w:rPr>
        <w:t xml:space="preserve">[online] p22,23. </w:t>
      </w:r>
    </w:p>
    <w:p w14:paraId="1A3B8879" w14:textId="77777777" w:rsidR="00443C49" w:rsidRDefault="00443C49" w:rsidP="00443C49">
      <w:pPr>
        <w:spacing w:before="0" w:line="360" w:lineRule="atLeast"/>
        <w:jc w:val="left"/>
        <w:rPr>
          <w:rFonts w:cs="Arial"/>
          <w:lang w:eastAsia="en-GB"/>
        </w:rPr>
      </w:pPr>
    </w:p>
    <w:p w14:paraId="5111FCBF" w14:textId="1674CF25" w:rsidR="00443C49" w:rsidRDefault="00443C49" w:rsidP="00443C49">
      <w:pPr>
        <w:spacing w:before="0" w:line="360" w:lineRule="atLeast"/>
        <w:jc w:val="left"/>
        <w:rPr>
          <w:rFonts w:cs="Arial"/>
          <w:lang w:eastAsia="en-GB"/>
        </w:rPr>
      </w:pPr>
      <w:r w:rsidRPr="001647BB">
        <w:rPr>
          <w:rFonts w:cs="Arial"/>
          <w:lang w:eastAsia="en-GB"/>
        </w:rPr>
        <w:t xml:space="preserve">, K. (2025). </w:t>
      </w:r>
      <w:r w:rsidRPr="001647BB">
        <w:rPr>
          <w:rFonts w:cs="Arial"/>
          <w:i/>
          <w:iCs/>
          <w:lang w:eastAsia="en-GB"/>
        </w:rPr>
        <w:t>UCSB Physics</w:t>
      </w:r>
      <w:r w:rsidRPr="001647BB">
        <w:rPr>
          <w:rFonts w:cs="Arial"/>
          <w:lang w:eastAsia="en-GB"/>
        </w:rPr>
        <w:t>. [online] Ucsb.edu. Available at: https://ilg.physics.ucsb.edu/Courses/20/20CL/index.html?linkfile=RA20CL [Accessed 18 July 2026].</w:t>
      </w:r>
    </w:p>
    <w:p w14:paraId="19571D1F" w14:textId="77777777" w:rsidR="00A25C25" w:rsidRDefault="00A25C25" w:rsidP="00A25C25">
      <w:pPr>
        <w:spacing w:before="0" w:line="360" w:lineRule="atLeast"/>
        <w:jc w:val="left"/>
        <w:rPr>
          <w:rFonts w:cs="Arial"/>
          <w:lang w:eastAsia="en-GB"/>
        </w:rPr>
      </w:pPr>
    </w:p>
    <w:p w14:paraId="67FB032F" w14:textId="23B607D4" w:rsidR="00A25C25" w:rsidRDefault="00A25C25" w:rsidP="00A25C25">
      <w:pPr>
        <w:spacing w:before="0" w:line="360" w:lineRule="atLeast"/>
        <w:jc w:val="left"/>
        <w:rPr>
          <w:rFonts w:cs="Arial"/>
          <w:lang w:eastAsia="en-GB"/>
        </w:rPr>
      </w:pPr>
      <w:r w:rsidRPr="005A44D1">
        <w:rPr>
          <w:rFonts w:cs="Arial"/>
          <w:lang w:eastAsia="en-GB"/>
        </w:rPr>
        <w:t xml:space="preserve">Charles, M.W. (2007). ICRP Publication 103: Recommendations of the ICRP. </w:t>
      </w:r>
      <w:r w:rsidRPr="005A44D1">
        <w:rPr>
          <w:rFonts w:cs="Arial"/>
          <w:i/>
          <w:iCs/>
          <w:lang w:eastAsia="en-GB"/>
        </w:rPr>
        <w:t>Radiation Protection Dosimetry</w:t>
      </w:r>
      <w:r w:rsidRPr="005A44D1">
        <w:rPr>
          <w:rFonts w:cs="Arial"/>
          <w:lang w:eastAsia="en-GB"/>
        </w:rPr>
        <w:t>, [online] 129(4), pp.500–507. doi:10.1093/</w:t>
      </w:r>
      <w:proofErr w:type="spellStart"/>
      <w:r w:rsidRPr="005A44D1">
        <w:rPr>
          <w:rFonts w:cs="Arial"/>
          <w:lang w:eastAsia="en-GB"/>
        </w:rPr>
        <w:t>rpd</w:t>
      </w:r>
      <w:proofErr w:type="spellEnd"/>
      <w:r w:rsidRPr="005A44D1">
        <w:rPr>
          <w:rFonts w:cs="Arial"/>
          <w:lang w:eastAsia="en-GB"/>
        </w:rPr>
        <w:t>/ncn187.</w:t>
      </w:r>
    </w:p>
    <w:p w14:paraId="5BCDC769" w14:textId="77777777" w:rsidR="00A25C25" w:rsidRDefault="00A25C25" w:rsidP="00FF35DD">
      <w:pPr>
        <w:spacing w:before="0" w:line="360" w:lineRule="atLeast"/>
        <w:jc w:val="left"/>
        <w:rPr>
          <w:rFonts w:cs="Arial"/>
          <w:lang w:eastAsia="en-GB"/>
        </w:rPr>
      </w:pPr>
    </w:p>
    <w:p w14:paraId="02368521" w14:textId="3E04DE37" w:rsidR="00FF35DD" w:rsidRDefault="00FF35DD" w:rsidP="00FF35DD">
      <w:pPr>
        <w:spacing w:before="0" w:line="360" w:lineRule="atLeast"/>
        <w:jc w:val="left"/>
        <w:rPr>
          <w:rFonts w:cs="Arial"/>
          <w:lang w:eastAsia="en-GB"/>
        </w:rPr>
      </w:pPr>
      <w:r w:rsidRPr="00FF35DD">
        <w:rPr>
          <w:rFonts w:cs="Arial"/>
          <w:lang w:eastAsia="en-GB"/>
        </w:rPr>
        <w:t xml:space="preserve">Radiacode.com. (2025). </w:t>
      </w:r>
      <w:r w:rsidRPr="00FF35DD">
        <w:rPr>
          <w:rFonts w:cs="Arial"/>
          <w:i/>
          <w:iCs/>
          <w:lang w:eastAsia="en-GB"/>
        </w:rPr>
        <w:t>Cobalt-60</w:t>
      </w:r>
      <w:r w:rsidRPr="00FF35DD">
        <w:rPr>
          <w:rFonts w:cs="Arial"/>
          <w:lang w:eastAsia="en-GB"/>
        </w:rPr>
        <w:t>. [online] Available at: https://www.radiacode.com/isotope/co-60?lang=en [Accessed 17 July 2026].</w:t>
      </w:r>
    </w:p>
    <w:p w14:paraId="69006081" w14:textId="77777777" w:rsidR="005A44D1" w:rsidRDefault="005A44D1" w:rsidP="005A44D1">
      <w:pPr>
        <w:spacing w:before="0" w:line="360" w:lineRule="atLeast"/>
        <w:jc w:val="left"/>
        <w:rPr>
          <w:rFonts w:cs="Arial"/>
          <w:lang w:eastAsia="en-GB"/>
        </w:rPr>
      </w:pPr>
    </w:p>
    <w:p w14:paraId="5B930373" w14:textId="77777777" w:rsidR="00C461F2" w:rsidRDefault="00C461F2" w:rsidP="00C461F2">
      <w:pPr>
        <w:spacing w:before="0" w:line="360" w:lineRule="atLeast"/>
        <w:jc w:val="left"/>
        <w:rPr>
          <w:rFonts w:cs="Arial"/>
          <w:lang w:eastAsia="en-GB"/>
        </w:rPr>
      </w:pPr>
      <w:proofErr w:type="spellStart"/>
      <w:r w:rsidRPr="00C461F2">
        <w:rPr>
          <w:rFonts w:cs="Arial"/>
          <w:lang w:eastAsia="en-GB"/>
        </w:rPr>
        <w:t>LibreTexts</w:t>
      </w:r>
      <w:proofErr w:type="spellEnd"/>
      <w:r w:rsidRPr="00C461F2">
        <w:rPr>
          <w:rFonts w:cs="Arial"/>
          <w:lang w:eastAsia="en-GB"/>
        </w:rPr>
        <w:t xml:space="preserve"> (2016). </w:t>
      </w:r>
      <w:r w:rsidRPr="00C461F2">
        <w:rPr>
          <w:rFonts w:cs="Arial"/>
          <w:i/>
          <w:iCs/>
          <w:lang w:eastAsia="en-GB"/>
        </w:rPr>
        <w:t>10.4: Radioactive Decay</w:t>
      </w:r>
      <w:r w:rsidRPr="00C461F2">
        <w:rPr>
          <w:rFonts w:cs="Arial"/>
          <w:lang w:eastAsia="en-GB"/>
        </w:rPr>
        <w:t xml:space="preserve">. [online] Physics </w:t>
      </w:r>
      <w:proofErr w:type="spellStart"/>
      <w:r w:rsidRPr="00C461F2">
        <w:rPr>
          <w:rFonts w:cs="Arial"/>
          <w:lang w:eastAsia="en-GB"/>
        </w:rPr>
        <w:t>LibreTexts</w:t>
      </w:r>
      <w:proofErr w:type="spellEnd"/>
      <w:r w:rsidRPr="00C461F2">
        <w:rPr>
          <w:rFonts w:cs="Arial"/>
          <w:lang w:eastAsia="en-GB"/>
        </w:rPr>
        <w:t>. Available at: https://phys.libretexts.org/Bookshelves/University_Physics/University_Physics_(OpenStax)/University_Physics_III_-_Optics_and_Modern_Physics_(OpenStax)/10%3A__Nuclear_Physics/10.04%3A_Radioactive_Decay [Accessed 18 July 2026].</w:t>
      </w:r>
    </w:p>
    <w:p w14:paraId="7DA35443" w14:textId="77777777" w:rsidR="00260970" w:rsidRDefault="00260970" w:rsidP="00C461F2">
      <w:pPr>
        <w:spacing w:before="0" w:line="360" w:lineRule="atLeast"/>
        <w:jc w:val="left"/>
        <w:rPr>
          <w:rFonts w:cs="Arial"/>
          <w:lang w:eastAsia="en-GB"/>
        </w:rPr>
      </w:pPr>
    </w:p>
    <w:p w14:paraId="7F74FA60" w14:textId="04B8636A" w:rsidR="00260970" w:rsidRPr="00260970" w:rsidRDefault="00260970" w:rsidP="00260970">
      <w:pPr>
        <w:spacing w:before="0" w:line="360" w:lineRule="atLeast"/>
        <w:jc w:val="left"/>
        <w:rPr>
          <w:rFonts w:cs="Arial"/>
          <w:lang w:eastAsia="en-GB"/>
        </w:rPr>
      </w:pPr>
      <w:r w:rsidRPr="00260970">
        <w:rPr>
          <w:rFonts w:cs="Arial"/>
          <w:lang w:eastAsia="en-GB"/>
        </w:rPr>
        <w:t>Osti.gov. (2017).</w:t>
      </w:r>
      <w:r>
        <w:rPr>
          <w:rFonts w:cs="Arial"/>
          <w:lang w:eastAsia="en-GB"/>
        </w:rPr>
        <w:t xml:space="preserve"> </w:t>
      </w:r>
      <w:r w:rsidRPr="00260970">
        <w:rPr>
          <w:rFonts w:cs="Arial"/>
          <w:i/>
          <w:iCs/>
          <w:lang w:eastAsia="en-GB"/>
        </w:rPr>
        <w:t xml:space="preserve">Specific Gamma-Ray Dose Constants with Current Emission Data </w:t>
      </w:r>
      <w:r w:rsidRPr="00260970">
        <w:rPr>
          <w:rFonts w:cs="Arial"/>
          <w:lang w:eastAsia="en-GB"/>
        </w:rPr>
        <w:t>[</w:t>
      </w:r>
      <w:proofErr w:type="gramStart"/>
      <w:r w:rsidRPr="00260970">
        <w:rPr>
          <w:rFonts w:cs="Arial"/>
          <w:lang w:eastAsia="en-GB"/>
        </w:rPr>
        <w:t>online</w:t>
      </w:r>
      <w:proofErr w:type="gramEnd"/>
      <w:r w:rsidRPr="00260970">
        <w:rPr>
          <w:rFonts w:cs="Arial"/>
          <w:lang w:eastAsia="en-GB"/>
        </w:rPr>
        <w:t>] Available at: https://www.osti.gov/pages/servlets/purl/1607209 [Accessed 22 July 2026].</w:t>
      </w:r>
    </w:p>
    <w:p w14:paraId="455F8F1B" w14:textId="77777777" w:rsidR="00260970" w:rsidRPr="00C461F2" w:rsidRDefault="00260970" w:rsidP="00C461F2">
      <w:pPr>
        <w:spacing w:before="0" w:line="360" w:lineRule="atLeast"/>
        <w:jc w:val="left"/>
        <w:rPr>
          <w:rFonts w:cs="Arial"/>
          <w:lang w:eastAsia="en-GB"/>
        </w:rPr>
      </w:pPr>
    </w:p>
    <w:p w14:paraId="13BBB34B" w14:textId="77777777" w:rsidR="009D5648" w:rsidRPr="009D5648" w:rsidRDefault="009D5648" w:rsidP="009D5648">
      <w:pPr>
        <w:spacing w:before="0" w:line="360" w:lineRule="atLeast"/>
        <w:jc w:val="left"/>
        <w:rPr>
          <w:rFonts w:cs="Arial"/>
          <w:lang w:eastAsia="en-GB"/>
        </w:rPr>
      </w:pPr>
      <w:r w:rsidRPr="009D5648">
        <w:rPr>
          <w:rFonts w:cs="Arial"/>
          <w:lang w:eastAsia="en-GB"/>
        </w:rPr>
        <w:t>Chapter 5 Slide 1 H-117 -Introductory Health Physics External Dose Calculations. (n.d.). [online] Available at: https://www.nrc.gov/docs/ML1121/ML11210B521.pdf [Accessed 22 July 2026].</w:t>
      </w:r>
    </w:p>
    <w:p w14:paraId="1B70A69E" w14:textId="77777777" w:rsidR="00DD115D" w:rsidRDefault="00DD115D" w:rsidP="009D5648">
      <w:pPr>
        <w:spacing w:before="0" w:line="360" w:lineRule="atLeast"/>
        <w:jc w:val="left"/>
        <w:rPr>
          <w:rFonts w:cs="Arial"/>
          <w:lang w:eastAsia="en-GB"/>
        </w:rPr>
      </w:pPr>
    </w:p>
    <w:p w14:paraId="190504BF" w14:textId="6098CB31" w:rsidR="00CD3D65" w:rsidRDefault="00CD3D65" w:rsidP="00FF35DD">
      <w:pPr>
        <w:spacing w:before="0" w:line="360" w:lineRule="atLeast"/>
        <w:jc w:val="left"/>
        <w:rPr>
          <w:rFonts w:cs="Arial"/>
          <w:lang w:eastAsia="en-GB"/>
        </w:rPr>
      </w:pPr>
      <w:r w:rsidRPr="00CD3D65">
        <w:rPr>
          <w:rFonts w:cs="Arial"/>
          <w:lang w:eastAsia="en-GB"/>
        </w:rPr>
        <w:t>UK Government (2017) Ionising Radiations Regulations 2017, SI 2017/1075. [online] Available at: https://www.legislation.gov.uk/uksi/2017/1075 (Accessed: 1</w:t>
      </w:r>
      <w:r w:rsidR="00ED349B">
        <w:rPr>
          <w:rFonts w:cs="Arial"/>
          <w:lang w:eastAsia="en-GB"/>
        </w:rPr>
        <w:t>7</w:t>
      </w:r>
      <w:r w:rsidRPr="00CD3D65">
        <w:rPr>
          <w:rFonts w:cs="Arial"/>
          <w:lang w:eastAsia="en-GB"/>
        </w:rPr>
        <w:t xml:space="preserve"> July 2026).</w:t>
      </w:r>
    </w:p>
    <w:p w14:paraId="0CBA3482" w14:textId="77777777" w:rsidR="00C96189" w:rsidRDefault="00C96189" w:rsidP="00C96189">
      <w:pPr>
        <w:spacing w:before="0" w:line="360" w:lineRule="atLeast"/>
        <w:jc w:val="left"/>
        <w:rPr>
          <w:rFonts w:cs="Arial"/>
          <w:lang w:eastAsia="en-GB"/>
        </w:rPr>
      </w:pPr>
    </w:p>
    <w:p w14:paraId="29A976B9" w14:textId="3B574564" w:rsidR="00C96189" w:rsidRPr="00C96189" w:rsidRDefault="00C96189" w:rsidP="00C96189">
      <w:pPr>
        <w:spacing w:before="0" w:line="360" w:lineRule="atLeast"/>
        <w:jc w:val="left"/>
        <w:rPr>
          <w:rFonts w:cs="Arial"/>
          <w:lang w:eastAsia="en-GB"/>
        </w:rPr>
      </w:pPr>
      <w:r w:rsidRPr="00C96189">
        <w:rPr>
          <w:rFonts w:cs="Arial"/>
          <w:lang w:eastAsia="en-GB"/>
        </w:rPr>
        <w:t xml:space="preserve">ONR (2017). </w:t>
      </w:r>
      <w:r w:rsidRPr="00A25C25">
        <w:rPr>
          <w:rFonts w:cs="Arial"/>
          <w:lang w:eastAsia="en-GB"/>
        </w:rPr>
        <w:t xml:space="preserve">Licence condition handbook </w:t>
      </w:r>
      <w:r w:rsidR="00A25C25" w:rsidRPr="00A25C25">
        <w:rPr>
          <w:rFonts w:cs="Arial"/>
          <w:lang w:eastAsia="en-GB"/>
        </w:rPr>
        <w:t>the</w:t>
      </w:r>
      <w:r w:rsidRPr="00A25C25">
        <w:rPr>
          <w:rFonts w:cs="Arial"/>
          <w:lang w:eastAsia="en-GB"/>
        </w:rPr>
        <w:t xml:space="preserve"> standard licence conditions attached to nuclear site licences.</w:t>
      </w:r>
      <w:r w:rsidRPr="00C96189">
        <w:rPr>
          <w:rFonts w:cs="Arial"/>
          <w:lang w:eastAsia="en-GB"/>
        </w:rPr>
        <w:t xml:space="preserve"> [online] Available at: </w:t>
      </w:r>
      <w:r w:rsidRPr="00C96189">
        <w:rPr>
          <w:rFonts w:cs="Arial"/>
          <w:lang w:eastAsia="en-GB"/>
        </w:rPr>
        <w:lastRenderedPageBreak/>
        <w:t>https://www.onr.org.uk/media/gixbe2br/licence-condition-handbook.pdf [Accessed 23 Aug. 2026].</w:t>
      </w:r>
    </w:p>
    <w:p w14:paraId="7FCD3DF3" w14:textId="77777777" w:rsidR="00C96189" w:rsidRDefault="00C96189" w:rsidP="00FF35DD">
      <w:pPr>
        <w:spacing w:before="0" w:line="360" w:lineRule="atLeast"/>
        <w:jc w:val="left"/>
        <w:rPr>
          <w:rFonts w:cs="Arial"/>
          <w:lang w:eastAsia="en-GB"/>
        </w:rPr>
      </w:pPr>
    </w:p>
    <w:p w14:paraId="09A04D7E" w14:textId="0DD7F25B" w:rsidR="007E0C7E" w:rsidRPr="007E0C7E" w:rsidRDefault="007E0C7E" w:rsidP="007E0C7E">
      <w:pPr>
        <w:spacing w:before="0" w:line="360" w:lineRule="atLeast"/>
        <w:jc w:val="left"/>
        <w:rPr>
          <w:rFonts w:cs="Arial"/>
          <w:lang w:eastAsia="en-GB"/>
        </w:rPr>
      </w:pPr>
      <w:r>
        <w:rPr>
          <w:rFonts w:cs="Arial"/>
          <w:lang w:eastAsia="en-GB"/>
        </w:rPr>
        <w:t xml:space="preserve">ONR (2014). </w:t>
      </w:r>
      <w:r w:rsidRPr="007E0C7E">
        <w:rPr>
          <w:rFonts w:cs="Arial"/>
          <w:lang w:eastAsia="en-GB"/>
        </w:rPr>
        <w:t>SAFETY ASSESSMENT PRINCIPLES FOR NUCLEAR FACILITIES. [online] Available at: https://www.onr.org.uk/media/pobf24xm/saps2014.pdf [Accessed 23 Aug. 2026].</w:t>
      </w:r>
    </w:p>
    <w:p w14:paraId="471365DD" w14:textId="77777777" w:rsidR="007E0C7E" w:rsidRPr="00FF35DD" w:rsidRDefault="007E0C7E" w:rsidP="00FF35DD">
      <w:pPr>
        <w:spacing w:before="0" w:line="360" w:lineRule="atLeast"/>
        <w:jc w:val="left"/>
        <w:rPr>
          <w:rFonts w:cs="Arial"/>
          <w:lang w:eastAsia="en-GB"/>
        </w:rPr>
      </w:pPr>
    </w:p>
    <w:p w14:paraId="0D54D4E0" w14:textId="77777777" w:rsidR="00FF35DD" w:rsidRPr="00FF35DD" w:rsidRDefault="00FF35DD" w:rsidP="00FF35DD"/>
    <w:p w14:paraId="67AECD08" w14:textId="77777777" w:rsidR="00C2478F" w:rsidRDefault="00C2478F" w:rsidP="00C2478F">
      <w:pPr>
        <w:pStyle w:val="Heading1"/>
      </w:pPr>
      <w:r>
        <w:t xml:space="preserve"> </w:t>
      </w:r>
      <w:bookmarkStart w:id="40" w:name="_Toc238813273"/>
      <w:r w:rsidRPr="00C2478F">
        <w:t>Annex A – detailed calculations</w:t>
      </w:r>
      <w:bookmarkEnd w:id="40"/>
    </w:p>
    <w:p w14:paraId="60241500" w14:textId="6D7EC319" w:rsidR="00E12437" w:rsidRDefault="00E12437" w:rsidP="00E12437">
      <w:pPr>
        <w:pStyle w:val="Heading2"/>
      </w:pPr>
      <w:bookmarkStart w:id="41" w:name="_Toc238813274"/>
      <w:r>
        <w:t>Source Activity calculation</w:t>
      </w:r>
      <w:bookmarkEnd w:id="41"/>
    </w:p>
    <w:p w14:paraId="2C32B02A" w14:textId="7F83FE5D" w:rsidR="00CF47E9" w:rsidRDefault="00CF47E9" w:rsidP="00E12437">
      <w:r>
        <w:t xml:space="preserve">Initial activity = 140 </w:t>
      </w:r>
      <w:proofErr w:type="spellStart"/>
      <w:r>
        <w:t>TBq</w:t>
      </w:r>
      <w:proofErr w:type="spellEnd"/>
    </w:p>
    <w:p w14:paraId="7758C806" w14:textId="20565CCC" w:rsidR="00E12437" w:rsidRDefault="00CF47E9" w:rsidP="00E12437">
      <w:r>
        <w:t>Cobalt-60 T</w:t>
      </w:r>
      <w:r>
        <w:rPr>
          <w:vertAlign w:val="subscript"/>
        </w:rPr>
        <w:t>1/2</w:t>
      </w:r>
      <w:r>
        <w:t xml:space="preserve"> = 5.27 years</w:t>
      </w:r>
    </w:p>
    <w:p w14:paraId="6D598464" w14:textId="6DCF38B5" w:rsidR="00CF47E9" w:rsidRDefault="00CF47E9" w:rsidP="00E12437">
      <w:r w:rsidRPr="00CF47E9">
        <w:t>λ</w:t>
      </w:r>
      <w:r>
        <w:t xml:space="preserve"> = </w:t>
      </w:r>
      <w:proofErr w:type="gramStart"/>
      <w:r>
        <w:t>ln(</w:t>
      </w:r>
      <w:proofErr w:type="gramEnd"/>
      <w:r>
        <w:t>2) / 5.27 = 0.1315</w:t>
      </w:r>
    </w:p>
    <w:p w14:paraId="0C90120F" w14:textId="2504E6AA" w:rsidR="0084430A" w:rsidRDefault="0084430A" w:rsidP="00E12437">
      <w:r>
        <w:t>A = 140e</w:t>
      </w:r>
      <w:r>
        <w:rPr>
          <w:vertAlign w:val="superscript"/>
        </w:rPr>
        <w:t>-(0.</w:t>
      </w:r>
      <w:proofErr w:type="gramStart"/>
      <w:r>
        <w:rPr>
          <w:vertAlign w:val="superscript"/>
        </w:rPr>
        <w:t>1315)*</w:t>
      </w:r>
      <w:proofErr w:type="gramEnd"/>
      <w:r>
        <w:rPr>
          <w:vertAlign w:val="superscript"/>
        </w:rPr>
        <w:t>(6)</w:t>
      </w:r>
      <w:r>
        <w:t xml:space="preserve"> = 63.5 </w:t>
      </w:r>
      <w:proofErr w:type="spellStart"/>
      <w:r>
        <w:t>TBq</w:t>
      </w:r>
      <w:proofErr w:type="spellEnd"/>
    </w:p>
    <w:p w14:paraId="78E73313" w14:textId="70FC700A" w:rsidR="0084430A" w:rsidRDefault="0084430A" w:rsidP="0084430A">
      <w:pPr>
        <w:pStyle w:val="Heading2"/>
      </w:pPr>
      <w:bookmarkStart w:id="42" w:name="_Toc238813275"/>
      <w:r>
        <w:t>Unshielded dose rate</w:t>
      </w:r>
      <w:r w:rsidR="00DD533B">
        <w:t>s</w:t>
      </w:r>
      <w:bookmarkEnd w:id="42"/>
    </w:p>
    <w:p w14:paraId="6C683189" w14:textId="339491CB" w:rsidR="0084430A" w:rsidRDefault="0084430A" w:rsidP="0084430A">
      <w:r>
        <w:t xml:space="preserve">Cobalt-60 – Gamma rate constant = </w:t>
      </w:r>
      <w:r w:rsidRPr="0084430A">
        <w:t>3.062 × 10</w:t>
      </w:r>
      <w:r>
        <w:rPr>
          <w:vertAlign w:val="superscript"/>
        </w:rPr>
        <w:t>-4</w:t>
      </w:r>
      <w:r>
        <w:t xml:space="preserve"> </w:t>
      </w:r>
      <w:r w:rsidRPr="0084430A">
        <w:t>mSv h</w:t>
      </w:r>
      <w:r>
        <w:rPr>
          <w:vertAlign w:val="superscript"/>
        </w:rPr>
        <w:t>-1</w:t>
      </w:r>
      <w:r w:rsidRPr="0084430A">
        <w:t xml:space="preserve"> MBq</w:t>
      </w:r>
      <w:r>
        <w:rPr>
          <w:vertAlign w:val="superscript"/>
        </w:rPr>
        <w:t>-1</w:t>
      </w:r>
    </w:p>
    <w:p w14:paraId="423128A8" w14:textId="7F9A1BF0" w:rsidR="0084430A" w:rsidRDefault="0084430A" w:rsidP="0084430A">
      <w:r>
        <w:t>Activity = 63.5 x 10</w:t>
      </w:r>
      <w:r>
        <w:rPr>
          <w:vertAlign w:val="superscript"/>
        </w:rPr>
        <w:t>6</w:t>
      </w:r>
      <w:r>
        <w:t xml:space="preserve"> MBq</w:t>
      </w:r>
    </w:p>
    <w:p w14:paraId="5A21EBCC" w14:textId="5783E25B" w:rsidR="0084430A" w:rsidRDefault="0084430A" w:rsidP="0084430A">
      <w:r>
        <w:t>Distance = 1m</w:t>
      </w:r>
    </w:p>
    <w:p w14:paraId="1526C106" w14:textId="71B6B417" w:rsidR="0084430A" w:rsidRDefault="0084430A" w:rsidP="0084430A">
      <w:pPr>
        <w:rPr>
          <w:vertAlign w:val="superscript"/>
        </w:rPr>
      </w:pPr>
      <w:r>
        <w:t>D = (3.062 x 10</w:t>
      </w:r>
      <w:r>
        <w:rPr>
          <w:vertAlign w:val="superscript"/>
        </w:rPr>
        <w:t>-4</w:t>
      </w:r>
      <w:r>
        <w:t>) * (</w:t>
      </w:r>
      <w:r w:rsidR="006862B5">
        <w:t>63.5 x 10</w:t>
      </w:r>
      <w:r w:rsidR="006862B5">
        <w:rPr>
          <w:vertAlign w:val="superscript"/>
        </w:rPr>
        <w:t>6</w:t>
      </w:r>
      <w:r w:rsidR="006862B5">
        <w:t xml:space="preserve">) = 19444 </w:t>
      </w:r>
      <w:r w:rsidR="006862B5" w:rsidRPr="0084430A">
        <w:t>mSv h</w:t>
      </w:r>
      <w:r w:rsidR="006862B5">
        <w:rPr>
          <w:vertAlign w:val="superscript"/>
        </w:rPr>
        <w:t>-1</w:t>
      </w:r>
    </w:p>
    <w:p w14:paraId="555400AB" w14:textId="04306260" w:rsidR="006862B5" w:rsidRPr="00E16786" w:rsidRDefault="006862B5" w:rsidP="0084430A">
      <w:pPr>
        <w:rPr>
          <w:b/>
          <w:bCs/>
        </w:rPr>
      </w:pPr>
      <w:r w:rsidRPr="00E16786">
        <w:rPr>
          <w:b/>
          <w:bCs/>
        </w:rPr>
        <w:t>19.4 Sv h</w:t>
      </w:r>
      <w:r w:rsidRPr="00E16786">
        <w:rPr>
          <w:b/>
          <w:bCs/>
          <w:vertAlign w:val="superscript"/>
        </w:rPr>
        <w:t>-1</w:t>
      </w:r>
    </w:p>
    <w:p w14:paraId="23F368A4" w14:textId="09E297C3" w:rsidR="00E16786" w:rsidRDefault="00E16786" w:rsidP="0084430A">
      <w:r>
        <w:t>Distance = 1.8m</w:t>
      </w:r>
    </w:p>
    <w:p w14:paraId="6C50BD78" w14:textId="77777777" w:rsidR="00125487" w:rsidRPr="00E16786" w:rsidRDefault="00E16786" w:rsidP="00125487">
      <w:pPr>
        <w:rPr>
          <w:b/>
          <w:bCs/>
        </w:rPr>
      </w:pPr>
      <w:r>
        <w:t>19.4 * (1/1.8)</w:t>
      </w:r>
      <w:r>
        <w:rPr>
          <w:vertAlign w:val="superscript"/>
        </w:rPr>
        <w:t>2</w:t>
      </w:r>
      <w:r>
        <w:t xml:space="preserve"> = </w:t>
      </w:r>
      <w:r w:rsidR="00125487" w:rsidRPr="00125487">
        <w:rPr>
          <w:b/>
          <w:bCs/>
        </w:rPr>
        <w:t>6 Sv h</w:t>
      </w:r>
      <w:r w:rsidR="00125487" w:rsidRPr="00125487">
        <w:rPr>
          <w:b/>
          <w:bCs/>
          <w:vertAlign w:val="superscript"/>
        </w:rPr>
        <w:t>-1</w:t>
      </w:r>
    </w:p>
    <w:p w14:paraId="69A7EA1C" w14:textId="78A44975" w:rsidR="00E16786" w:rsidRDefault="00125487" w:rsidP="0084430A">
      <w:r>
        <w:t xml:space="preserve"> Distance = 0.8m</w:t>
      </w:r>
    </w:p>
    <w:p w14:paraId="74CDC777" w14:textId="7B583D8B" w:rsidR="00125487" w:rsidRDefault="00125487" w:rsidP="0084430A">
      <w:pPr>
        <w:rPr>
          <w:b/>
          <w:bCs/>
          <w:vertAlign w:val="superscript"/>
        </w:rPr>
      </w:pPr>
      <w:r>
        <w:t>19.4 * (1/0.8)</w:t>
      </w:r>
      <w:r>
        <w:rPr>
          <w:vertAlign w:val="superscript"/>
        </w:rPr>
        <w:t>2</w:t>
      </w:r>
      <w:r>
        <w:t xml:space="preserve"> = </w:t>
      </w:r>
      <w:r>
        <w:rPr>
          <w:b/>
          <w:bCs/>
        </w:rPr>
        <w:t>30</w:t>
      </w:r>
      <w:r w:rsidR="00C1536C">
        <w:rPr>
          <w:b/>
          <w:bCs/>
        </w:rPr>
        <w:t>.3</w:t>
      </w:r>
      <w:r>
        <w:rPr>
          <w:b/>
          <w:bCs/>
        </w:rPr>
        <w:t xml:space="preserve"> </w:t>
      </w:r>
      <w:r w:rsidRPr="00125487">
        <w:rPr>
          <w:b/>
          <w:bCs/>
        </w:rPr>
        <w:t>Sv h</w:t>
      </w:r>
      <w:r w:rsidRPr="00125487">
        <w:rPr>
          <w:b/>
          <w:bCs/>
          <w:vertAlign w:val="superscript"/>
        </w:rPr>
        <w:t>-1</w:t>
      </w:r>
    </w:p>
    <w:p w14:paraId="32DBD755" w14:textId="6AC95DAB" w:rsidR="00497694" w:rsidRDefault="00497694" w:rsidP="00497694">
      <w:pPr>
        <w:pStyle w:val="Heading2"/>
      </w:pPr>
      <w:bookmarkStart w:id="43" w:name="_Toc238813276"/>
      <w:r>
        <w:lastRenderedPageBreak/>
        <w:t>Dose</w:t>
      </w:r>
      <w:r w:rsidR="00144A17">
        <w:t xml:space="preserve"> during Initial Access Phase</w:t>
      </w:r>
      <w:bookmarkEnd w:id="43"/>
    </w:p>
    <w:p w14:paraId="18FAA306" w14:textId="3F144C10" w:rsidR="00144A17" w:rsidRDefault="00144A17" w:rsidP="00144A17">
      <w:pPr>
        <w:rPr>
          <w:b/>
          <w:bCs/>
        </w:rPr>
      </w:pPr>
      <w:r>
        <w:rPr>
          <w:b/>
          <w:bCs/>
        </w:rPr>
        <w:t>Minimum shielding</w:t>
      </w:r>
    </w:p>
    <w:p w14:paraId="6899F869" w14:textId="38368024" w:rsidR="00144A17" w:rsidRDefault="00144A17" w:rsidP="00144A17">
      <w:pPr>
        <w:rPr>
          <w:b/>
          <w:bCs/>
          <w:vertAlign w:val="superscript"/>
        </w:rPr>
      </w:pPr>
      <w:r>
        <w:t xml:space="preserve">Dose rate = 6 * 0.08 = </w:t>
      </w:r>
      <w:r w:rsidRPr="00144A17">
        <w:rPr>
          <w:b/>
          <w:bCs/>
        </w:rPr>
        <w:t>0.48 Sv h</w:t>
      </w:r>
      <w:r w:rsidRPr="00144A17">
        <w:rPr>
          <w:b/>
          <w:bCs/>
          <w:vertAlign w:val="superscript"/>
        </w:rPr>
        <w:t>-1</w:t>
      </w:r>
    </w:p>
    <w:p w14:paraId="0263B0AC" w14:textId="30561F48" w:rsidR="00144A17" w:rsidRDefault="00144A17" w:rsidP="00144A17">
      <w:pPr>
        <w:rPr>
          <w:b/>
          <w:bCs/>
        </w:rPr>
      </w:pPr>
      <w:r>
        <w:rPr>
          <w:b/>
          <w:bCs/>
        </w:rPr>
        <w:t>Maximum shielding</w:t>
      </w:r>
    </w:p>
    <w:p w14:paraId="2F077511" w14:textId="121127A8" w:rsidR="00144A17" w:rsidRDefault="00144A17" w:rsidP="00144A17">
      <w:pPr>
        <w:rPr>
          <w:b/>
          <w:bCs/>
        </w:rPr>
      </w:pPr>
      <w:r>
        <w:t xml:space="preserve">Dose rate = 6 * 0.14 = </w:t>
      </w:r>
      <w:r w:rsidRPr="00144A17">
        <w:rPr>
          <w:b/>
          <w:bCs/>
        </w:rPr>
        <w:t>0.</w:t>
      </w:r>
      <w:r>
        <w:rPr>
          <w:b/>
          <w:bCs/>
        </w:rPr>
        <w:t>84</w:t>
      </w:r>
      <w:r w:rsidRPr="00144A17">
        <w:rPr>
          <w:b/>
          <w:bCs/>
        </w:rPr>
        <w:t xml:space="preserve"> Sv h</w:t>
      </w:r>
      <w:r w:rsidRPr="00144A17">
        <w:rPr>
          <w:b/>
          <w:bCs/>
          <w:vertAlign w:val="superscript"/>
        </w:rPr>
        <w:t>-1</w:t>
      </w:r>
    </w:p>
    <w:p w14:paraId="08AD542E" w14:textId="59A26661" w:rsidR="00144A17" w:rsidRPr="00681021" w:rsidRDefault="00144A17" w:rsidP="00144A17">
      <w:r>
        <w:rPr>
          <w:b/>
          <w:bCs/>
        </w:rPr>
        <w:t>Initial access phase dose rate range = 0.48 – 0.84 Sv h</w:t>
      </w:r>
      <w:r>
        <w:rPr>
          <w:b/>
          <w:bCs/>
          <w:vertAlign w:val="superscript"/>
        </w:rPr>
        <w:t>-1</w:t>
      </w:r>
      <w:r w:rsidR="00681021">
        <w:t xml:space="preserve"> (480 – 840 mSv h</w:t>
      </w:r>
      <w:r w:rsidR="00681021">
        <w:rPr>
          <w:vertAlign w:val="superscript"/>
        </w:rPr>
        <w:t>-1</w:t>
      </w:r>
      <w:r w:rsidR="00681021">
        <w:t>)</w:t>
      </w:r>
    </w:p>
    <w:p w14:paraId="1C1571FD" w14:textId="11749F6E" w:rsidR="00144A17" w:rsidRDefault="00681021" w:rsidP="00144A17">
      <w:pPr>
        <w:rPr>
          <w:b/>
          <w:bCs/>
        </w:rPr>
      </w:pPr>
      <w:r>
        <w:rPr>
          <w:b/>
          <w:bCs/>
        </w:rPr>
        <w:t>Convert seconds to hours</w:t>
      </w:r>
    </w:p>
    <w:p w14:paraId="3A37F241" w14:textId="07442792" w:rsidR="00681021" w:rsidRDefault="00681021" w:rsidP="00144A17">
      <w:r>
        <w:t>70 seconds = 70/3600 = 0.0194 hours</w:t>
      </w:r>
    </w:p>
    <w:p w14:paraId="34C295F9" w14:textId="5CAC1FB8" w:rsidR="00681021" w:rsidRDefault="00681021" w:rsidP="00144A17">
      <w:r>
        <w:t>100 seconds = 100/3600 = 0.0277 hours</w:t>
      </w:r>
    </w:p>
    <w:p w14:paraId="6F364622" w14:textId="48C20AD2" w:rsidR="00681021" w:rsidRDefault="00681021" w:rsidP="00144A17">
      <w:pPr>
        <w:rPr>
          <w:b/>
          <w:bCs/>
        </w:rPr>
      </w:pPr>
      <w:r>
        <w:rPr>
          <w:b/>
          <w:bCs/>
        </w:rPr>
        <w:t>Calculate the Dose</w:t>
      </w:r>
    </w:p>
    <w:p w14:paraId="4E54BB0F" w14:textId="018EA5C3" w:rsidR="00144A17" w:rsidRPr="00681021" w:rsidRDefault="00681021" w:rsidP="00144A17">
      <w:pPr>
        <w:rPr>
          <w:b/>
          <w:bCs/>
        </w:rPr>
      </w:pPr>
      <w:r>
        <w:t xml:space="preserve">Minimum Dose = 0.48 * 0.0194 = 0.0093 Sv = </w:t>
      </w:r>
      <w:r w:rsidRPr="00681021">
        <w:rPr>
          <w:b/>
          <w:bCs/>
        </w:rPr>
        <w:t>9.3 mSv</w:t>
      </w:r>
    </w:p>
    <w:p w14:paraId="543AF479" w14:textId="5A2AB23A" w:rsidR="00681021" w:rsidRDefault="00681021" w:rsidP="00144A17">
      <w:pPr>
        <w:rPr>
          <w:b/>
          <w:bCs/>
        </w:rPr>
      </w:pPr>
      <w:r>
        <w:t xml:space="preserve">Maximum Dose = 0.84 * 0.0277 = 0.0232 Sv = </w:t>
      </w:r>
      <w:r w:rsidRPr="00681021">
        <w:rPr>
          <w:b/>
          <w:bCs/>
        </w:rPr>
        <w:t>23.2 mSv</w:t>
      </w:r>
    </w:p>
    <w:p w14:paraId="4670FDA8" w14:textId="3C9941C3" w:rsidR="00681021" w:rsidRDefault="00681021" w:rsidP="00681021">
      <w:pPr>
        <w:pStyle w:val="Heading2"/>
      </w:pPr>
      <w:bookmarkStart w:id="44" w:name="_Toc238813277"/>
      <w:r>
        <w:t>Dose During Inspection Phase</w:t>
      </w:r>
      <w:bookmarkEnd w:id="44"/>
    </w:p>
    <w:p w14:paraId="10F28F3E" w14:textId="77777777" w:rsidR="00EF0AB7" w:rsidRDefault="00EF0AB7" w:rsidP="00EF0AB7">
      <w:pPr>
        <w:rPr>
          <w:b/>
          <w:bCs/>
        </w:rPr>
      </w:pPr>
      <w:r>
        <w:rPr>
          <w:b/>
          <w:bCs/>
        </w:rPr>
        <w:t>Minimum shielding</w:t>
      </w:r>
    </w:p>
    <w:p w14:paraId="446DF81E" w14:textId="54793AA2" w:rsidR="00EF0AB7" w:rsidRDefault="00EF0AB7" w:rsidP="00EF0AB7">
      <w:pPr>
        <w:rPr>
          <w:b/>
          <w:bCs/>
          <w:vertAlign w:val="superscript"/>
        </w:rPr>
      </w:pPr>
      <w:r>
        <w:t xml:space="preserve">Dose rate = 30.3 * 0.12 = </w:t>
      </w:r>
      <w:r>
        <w:rPr>
          <w:b/>
          <w:bCs/>
        </w:rPr>
        <w:t>3.64</w:t>
      </w:r>
      <w:r w:rsidRPr="00144A17">
        <w:rPr>
          <w:b/>
          <w:bCs/>
        </w:rPr>
        <w:t xml:space="preserve"> Sv h</w:t>
      </w:r>
      <w:r w:rsidRPr="00144A17">
        <w:rPr>
          <w:b/>
          <w:bCs/>
          <w:vertAlign w:val="superscript"/>
        </w:rPr>
        <w:t>-1</w:t>
      </w:r>
    </w:p>
    <w:p w14:paraId="49D47263" w14:textId="77777777" w:rsidR="00EF0AB7" w:rsidRDefault="00EF0AB7" w:rsidP="00EF0AB7">
      <w:pPr>
        <w:rPr>
          <w:b/>
          <w:bCs/>
        </w:rPr>
      </w:pPr>
      <w:r>
        <w:rPr>
          <w:b/>
          <w:bCs/>
        </w:rPr>
        <w:t>Maximum shielding</w:t>
      </w:r>
    </w:p>
    <w:p w14:paraId="7635117C" w14:textId="23CE0305" w:rsidR="00EF0AB7" w:rsidRDefault="00EF0AB7" w:rsidP="00EF0AB7">
      <w:pPr>
        <w:rPr>
          <w:b/>
          <w:bCs/>
        </w:rPr>
      </w:pPr>
      <w:r>
        <w:t xml:space="preserve">Dose rate = 30.3 * 0.18 = </w:t>
      </w:r>
      <w:r>
        <w:rPr>
          <w:b/>
          <w:bCs/>
        </w:rPr>
        <w:t>5.45</w:t>
      </w:r>
      <w:r w:rsidRPr="00144A17">
        <w:rPr>
          <w:b/>
          <w:bCs/>
        </w:rPr>
        <w:t xml:space="preserve"> Sv h</w:t>
      </w:r>
      <w:r w:rsidRPr="00144A17">
        <w:rPr>
          <w:b/>
          <w:bCs/>
          <w:vertAlign w:val="superscript"/>
        </w:rPr>
        <w:t>-1</w:t>
      </w:r>
    </w:p>
    <w:p w14:paraId="6CECB3DC" w14:textId="410EF82B" w:rsidR="00EF0AB7" w:rsidRPr="00681021" w:rsidRDefault="00EF0AB7" w:rsidP="00EF0AB7">
      <w:r>
        <w:rPr>
          <w:b/>
          <w:bCs/>
        </w:rPr>
        <w:t>Initial access phase dose rate range = 3.64 – 5.45 Sv h</w:t>
      </w:r>
      <w:r>
        <w:rPr>
          <w:b/>
          <w:bCs/>
          <w:vertAlign w:val="superscript"/>
        </w:rPr>
        <w:t>-1</w:t>
      </w:r>
      <w:r>
        <w:t xml:space="preserve"> (3640 – 5450 mSv h</w:t>
      </w:r>
      <w:r>
        <w:rPr>
          <w:vertAlign w:val="superscript"/>
        </w:rPr>
        <w:t>-1</w:t>
      </w:r>
      <w:r>
        <w:t>)</w:t>
      </w:r>
    </w:p>
    <w:p w14:paraId="4FBCFBD4" w14:textId="77777777" w:rsidR="00EF0AB7" w:rsidRDefault="00EF0AB7" w:rsidP="00EF0AB7">
      <w:pPr>
        <w:rPr>
          <w:b/>
          <w:bCs/>
        </w:rPr>
      </w:pPr>
      <w:r>
        <w:rPr>
          <w:b/>
          <w:bCs/>
        </w:rPr>
        <w:t>Convert seconds to hours</w:t>
      </w:r>
    </w:p>
    <w:p w14:paraId="2015C610" w14:textId="5F4B58AC" w:rsidR="00EF0AB7" w:rsidRDefault="002B65A1" w:rsidP="00EF0AB7">
      <w:r>
        <w:t>8</w:t>
      </w:r>
      <w:r w:rsidR="00EF0AB7">
        <w:t xml:space="preserve"> seconds = </w:t>
      </w:r>
      <w:r w:rsidR="00EF2B7F">
        <w:t>8</w:t>
      </w:r>
      <w:r w:rsidR="00EF0AB7">
        <w:t>/3600 = 0.0</w:t>
      </w:r>
      <w:r w:rsidR="00EF2B7F">
        <w:t>022</w:t>
      </w:r>
      <w:r w:rsidR="00EF0AB7">
        <w:t xml:space="preserve"> hours</w:t>
      </w:r>
    </w:p>
    <w:p w14:paraId="7E5C29AD" w14:textId="02493005" w:rsidR="00EF0AB7" w:rsidRDefault="002B65A1" w:rsidP="00EF0AB7">
      <w:r>
        <w:t>12</w:t>
      </w:r>
      <w:r w:rsidR="00EF0AB7">
        <w:t xml:space="preserve"> seconds = </w:t>
      </w:r>
      <w:r w:rsidR="00EF2B7F">
        <w:t>12</w:t>
      </w:r>
      <w:r w:rsidR="00EF0AB7">
        <w:t xml:space="preserve">/3600 = </w:t>
      </w:r>
      <w:r w:rsidR="00EF2B7F">
        <w:t>0.0033</w:t>
      </w:r>
      <w:r w:rsidR="00EF0AB7">
        <w:t xml:space="preserve"> hours</w:t>
      </w:r>
    </w:p>
    <w:p w14:paraId="30B7D832" w14:textId="77777777" w:rsidR="00EF0AB7" w:rsidRDefault="00EF0AB7" w:rsidP="00EF0AB7">
      <w:pPr>
        <w:rPr>
          <w:b/>
          <w:bCs/>
        </w:rPr>
      </w:pPr>
      <w:r>
        <w:rPr>
          <w:b/>
          <w:bCs/>
        </w:rPr>
        <w:t>Calculate the Dose</w:t>
      </w:r>
    </w:p>
    <w:p w14:paraId="17EDC3DE" w14:textId="3E7FAFC5" w:rsidR="00EF0AB7" w:rsidRPr="00681021" w:rsidRDefault="00EF0AB7" w:rsidP="00EF0AB7">
      <w:pPr>
        <w:rPr>
          <w:b/>
          <w:bCs/>
        </w:rPr>
      </w:pPr>
      <w:r>
        <w:lastRenderedPageBreak/>
        <w:t xml:space="preserve">Minimum Dose = </w:t>
      </w:r>
      <w:r w:rsidR="00B8711F">
        <w:t>3.64</w:t>
      </w:r>
      <w:r>
        <w:t xml:space="preserve"> * 0.0</w:t>
      </w:r>
      <w:r w:rsidR="00B8711F">
        <w:t>022</w:t>
      </w:r>
      <w:r>
        <w:t xml:space="preserve"> = 0.00</w:t>
      </w:r>
      <w:r w:rsidR="00B8711F">
        <w:t>8</w:t>
      </w:r>
      <w:r>
        <w:t xml:space="preserve"> Sv = </w:t>
      </w:r>
      <w:r w:rsidR="00B8711F">
        <w:rPr>
          <w:b/>
          <w:bCs/>
        </w:rPr>
        <w:t>8</w:t>
      </w:r>
      <w:r w:rsidRPr="00681021">
        <w:rPr>
          <w:b/>
          <w:bCs/>
        </w:rPr>
        <w:t xml:space="preserve"> mSv</w:t>
      </w:r>
    </w:p>
    <w:p w14:paraId="177FDCFD" w14:textId="40039990" w:rsidR="00EF0AB7" w:rsidRDefault="00EF0AB7" w:rsidP="00EF0AB7">
      <w:pPr>
        <w:rPr>
          <w:b/>
          <w:bCs/>
        </w:rPr>
      </w:pPr>
      <w:r>
        <w:t xml:space="preserve">Maximum Dose = </w:t>
      </w:r>
      <w:r w:rsidR="00B8711F">
        <w:t>5.45</w:t>
      </w:r>
      <w:r>
        <w:t xml:space="preserve"> * 0.0</w:t>
      </w:r>
      <w:r w:rsidR="00B8711F">
        <w:t>033</w:t>
      </w:r>
      <w:r>
        <w:t xml:space="preserve"> = 0.0</w:t>
      </w:r>
      <w:r w:rsidR="00B8711F">
        <w:t>18</w:t>
      </w:r>
      <w:r>
        <w:t xml:space="preserve"> Sv = </w:t>
      </w:r>
      <w:r w:rsidR="00B8711F">
        <w:rPr>
          <w:b/>
          <w:bCs/>
        </w:rPr>
        <w:t>18</w:t>
      </w:r>
      <w:r w:rsidRPr="00681021">
        <w:rPr>
          <w:b/>
          <w:bCs/>
        </w:rPr>
        <w:t xml:space="preserve"> mSv</w:t>
      </w:r>
    </w:p>
    <w:p w14:paraId="75AA00F2" w14:textId="77777777" w:rsidR="00EF0AB7" w:rsidRPr="00EF0AB7" w:rsidRDefault="00EF0AB7" w:rsidP="00EF0AB7"/>
    <w:p w14:paraId="3AC1679B" w14:textId="64E869E1" w:rsidR="00C2478F" w:rsidRDefault="00C2478F" w:rsidP="00C2478F">
      <w:pPr>
        <w:pStyle w:val="Heading1"/>
      </w:pPr>
      <w:bookmarkStart w:id="45" w:name="_Toc238813278"/>
      <w:r w:rsidRPr="00C2478F">
        <w:t>Annex B – supplementary material</w:t>
      </w:r>
      <w:bookmarkEnd w:id="45"/>
    </w:p>
    <w:p w14:paraId="761B30EB" w14:textId="65C22113" w:rsidR="0029311B" w:rsidRPr="0029311B" w:rsidRDefault="0029311B" w:rsidP="0029311B">
      <w:pPr>
        <w:pStyle w:val="Heading2"/>
      </w:pPr>
      <w:bookmarkStart w:id="46" w:name="_Toc238813279"/>
      <w:r>
        <w:t>Radiation Weighting Factors</w:t>
      </w:r>
      <w:bookmarkEnd w:id="46"/>
    </w:p>
    <w:p w14:paraId="77207E34" w14:textId="77590AD5" w:rsidR="0029311B" w:rsidRPr="0029311B" w:rsidRDefault="0029311B" w:rsidP="0029311B">
      <w:r w:rsidRPr="0029311B">
        <w:rPr>
          <w:noProof/>
        </w:rPr>
        <w:drawing>
          <wp:inline distT="0" distB="0" distL="0" distR="0" wp14:anchorId="2E0175C1" wp14:editId="7BCF0C1E">
            <wp:extent cx="4427220" cy="3334214"/>
            <wp:effectExtent l="0" t="0" r="0" b="0"/>
            <wp:docPr id="143845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5495" name=""/>
                    <pic:cNvPicPr/>
                  </pic:nvPicPr>
                  <pic:blipFill>
                    <a:blip r:embed="rId16"/>
                    <a:stretch>
                      <a:fillRect/>
                    </a:stretch>
                  </pic:blipFill>
                  <pic:spPr>
                    <a:xfrm>
                      <a:off x="0" y="0"/>
                      <a:ext cx="4430695" cy="3336831"/>
                    </a:xfrm>
                    <a:prstGeom prst="rect">
                      <a:avLst/>
                    </a:prstGeom>
                  </pic:spPr>
                </pic:pic>
              </a:graphicData>
            </a:graphic>
          </wp:inline>
        </w:drawing>
      </w:r>
    </w:p>
    <w:p w14:paraId="43667ECE" w14:textId="253068EC" w:rsidR="00104D71" w:rsidRPr="00104D71" w:rsidRDefault="00104D71" w:rsidP="0029311B">
      <w:pPr>
        <w:pStyle w:val="Heading2"/>
      </w:pPr>
      <w:bookmarkStart w:id="47" w:name="_Toc238813280"/>
      <w:r w:rsidRPr="00104D71">
        <w:lastRenderedPageBreak/>
        <w:t>‌</w:t>
      </w:r>
      <w:r w:rsidR="0029311B">
        <w:t>Tissue Weighting Factors</w:t>
      </w:r>
      <w:bookmarkEnd w:id="47"/>
    </w:p>
    <w:p w14:paraId="05660EBD" w14:textId="57CA9341" w:rsidR="00104D71" w:rsidRPr="009D1056" w:rsidRDefault="0029311B" w:rsidP="009D1056">
      <w:pPr>
        <w:ind w:left="1440" w:hanging="1440"/>
      </w:pPr>
      <w:r w:rsidRPr="0029311B">
        <w:rPr>
          <w:noProof/>
        </w:rPr>
        <w:drawing>
          <wp:inline distT="0" distB="0" distL="0" distR="0" wp14:anchorId="117FFC82" wp14:editId="48BC553A">
            <wp:extent cx="4914900" cy="3171629"/>
            <wp:effectExtent l="0" t="0" r="0" b="0"/>
            <wp:docPr id="156917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174802" name=""/>
                    <pic:cNvPicPr/>
                  </pic:nvPicPr>
                  <pic:blipFill>
                    <a:blip r:embed="rId17"/>
                    <a:stretch>
                      <a:fillRect/>
                    </a:stretch>
                  </pic:blipFill>
                  <pic:spPr>
                    <a:xfrm>
                      <a:off x="0" y="0"/>
                      <a:ext cx="4922527" cy="3176551"/>
                    </a:xfrm>
                    <a:prstGeom prst="rect">
                      <a:avLst/>
                    </a:prstGeom>
                  </pic:spPr>
                </pic:pic>
              </a:graphicData>
            </a:graphic>
          </wp:inline>
        </w:drawing>
      </w:r>
    </w:p>
    <w:p w14:paraId="47484A61" w14:textId="6417DE98" w:rsidR="009D1056" w:rsidRPr="00DC6705" w:rsidRDefault="009D1056" w:rsidP="00DC6705">
      <w:pPr>
        <w:ind w:left="1440" w:hanging="1440"/>
      </w:pPr>
    </w:p>
    <w:p w14:paraId="47527F6F" w14:textId="77777777" w:rsidR="00836A95" w:rsidRDefault="00836A95" w:rsidP="00836A95"/>
    <w:p w14:paraId="4A0408E2" w14:textId="77777777" w:rsidR="00DC6705" w:rsidRDefault="00556FCC" w:rsidP="00556FCC">
      <w:pPr>
        <w:pStyle w:val="Heading2"/>
      </w:pPr>
      <w:bookmarkStart w:id="48" w:name="_Toc238813281"/>
      <w:r>
        <w:t>EKP.3 Defence in Depth table</w:t>
      </w:r>
      <w:bookmarkEnd w:id="48"/>
    </w:p>
    <w:p w14:paraId="671F8ECF" w14:textId="1492DB08" w:rsidR="00556FCC" w:rsidRPr="00556FCC" w:rsidRDefault="00556FCC" w:rsidP="00556FCC">
      <w:pPr>
        <w:sectPr w:rsidR="00556FCC" w:rsidRPr="00556FCC" w:rsidSect="009E182F">
          <w:headerReference w:type="default" r:id="rId18"/>
          <w:type w:val="continuous"/>
          <w:pgSz w:w="11906" w:h="16838" w:code="9"/>
          <w:pgMar w:top="1701" w:right="1701" w:bottom="1701" w:left="1701" w:header="709" w:footer="851" w:gutter="0"/>
          <w:cols w:space="708"/>
          <w:docGrid w:linePitch="360"/>
        </w:sectPr>
      </w:pPr>
      <w:r w:rsidRPr="00556FCC">
        <w:rPr>
          <w:noProof/>
        </w:rPr>
        <w:drawing>
          <wp:inline distT="0" distB="0" distL="0" distR="0" wp14:anchorId="60E97588" wp14:editId="31608896">
            <wp:extent cx="5400040" cy="3574415"/>
            <wp:effectExtent l="0" t="0" r="0" b="6985"/>
            <wp:docPr id="707918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18099" name=""/>
                    <pic:cNvPicPr/>
                  </pic:nvPicPr>
                  <pic:blipFill>
                    <a:blip r:embed="rId19"/>
                    <a:stretch>
                      <a:fillRect/>
                    </a:stretch>
                  </pic:blipFill>
                  <pic:spPr>
                    <a:xfrm>
                      <a:off x="0" y="0"/>
                      <a:ext cx="5400040" cy="3574415"/>
                    </a:xfrm>
                    <a:prstGeom prst="rect">
                      <a:avLst/>
                    </a:prstGeom>
                  </pic:spPr>
                </pic:pic>
              </a:graphicData>
            </a:graphic>
          </wp:inline>
        </w:drawing>
      </w:r>
    </w:p>
    <w:bookmarkEnd w:id="8"/>
    <w:p w14:paraId="1CE8359E" w14:textId="7588BC9E" w:rsidR="00716EFB" w:rsidRPr="00716EFB" w:rsidRDefault="00716EFB" w:rsidP="00716EFB">
      <w:pPr>
        <w:tabs>
          <w:tab w:val="left" w:pos="2820"/>
        </w:tabs>
        <w:sectPr w:rsidR="00716EFB" w:rsidRPr="00716EFB" w:rsidSect="009E182F">
          <w:headerReference w:type="default" r:id="rId20"/>
          <w:type w:val="continuous"/>
          <w:pgSz w:w="11906" w:h="16838" w:code="9"/>
          <w:pgMar w:top="1701" w:right="1701" w:bottom="1701" w:left="1701" w:header="709" w:footer="851" w:gutter="0"/>
          <w:cols w:space="708"/>
          <w:docGrid w:linePitch="360"/>
        </w:sectPr>
      </w:pPr>
    </w:p>
    <w:p w14:paraId="7D416371" w14:textId="77777777" w:rsidR="003A5815" w:rsidRDefault="003A5815" w:rsidP="00BE1C94">
      <w:pPr>
        <w:pStyle w:val="BodyText"/>
        <w:sectPr w:rsidR="003A5815" w:rsidSect="009E182F">
          <w:type w:val="continuous"/>
          <w:pgSz w:w="11906" w:h="16838" w:code="9"/>
          <w:pgMar w:top="1701" w:right="1701" w:bottom="1701" w:left="1701" w:header="709" w:footer="851" w:gutter="0"/>
          <w:cols w:space="708"/>
          <w:docGrid w:linePitch="360"/>
        </w:sectPr>
      </w:pPr>
    </w:p>
    <w:p w14:paraId="7704283E" w14:textId="77777777" w:rsidR="00716EFB" w:rsidRPr="00716EFB" w:rsidRDefault="00716EFB" w:rsidP="00716EFB"/>
    <w:sectPr w:rsidR="00716EFB" w:rsidRPr="00716EFB" w:rsidSect="009E182F">
      <w:type w:val="continuous"/>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A89ED" w14:textId="77777777" w:rsidR="00DF3BD9" w:rsidRDefault="00DF3BD9">
      <w:r>
        <w:separator/>
      </w:r>
    </w:p>
  </w:endnote>
  <w:endnote w:type="continuationSeparator" w:id="0">
    <w:p w14:paraId="61EE4932" w14:textId="77777777" w:rsidR="00DF3BD9" w:rsidRDefault="00DF3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191AB" w14:textId="77777777" w:rsidR="00DF3BD9" w:rsidRDefault="00DF3BD9">
      <w:r>
        <w:separator/>
      </w:r>
    </w:p>
  </w:footnote>
  <w:footnote w:type="continuationSeparator" w:id="0">
    <w:p w14:paraId="4AD72A1A" w14:textId="77777777" w:rsidR="00DF3BD9" w:rsidRDefault="00DF3B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649D"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9288"/>
        </w:tabs>
        <w:ind w:left="9288"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15044"/>
    <w:multiLevelType w:val="hybridMultilevel"/>
    <w:tmpl w:val="2FFE9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AE5A02"/>
    <w:multiLevelType w:val="multilevel"/>
    <w:tmpl w:val="7EACF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3"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7AA1631"/>
    <w:multiLevelType w:val="hybridMultilevel"/>
    <w:tmpl w:val="677C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9"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0"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BB64BC"/>
    <w:multiLevelType w:val="hybridMultilevel"/>
    <w:tmpl w:val="A124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5" w15:restartNumberingAfterBreak="0">
    <w:nsid w:val="3DBF1B9C"/>
    <w:multiLevelType w:val="hybridMultilevel"/>
    <w:tmpl w:val="CA780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7" w15:restartNumberingAfterBreak="0">
    <w:nsid w:val="43B23B16"/>
    <w:multiLevelType w:val="hybridMultilevel"/>
    <w:tmpl w:val="08364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D24261"/>
    <w:multiLevelType w:val="hybridMultilevel"/>
    <w:tmpl w:val="66DA3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4C0D99"/>
    <w:multiLevelType w:val="hybridMultilevel"/>
    <w:tmpl w:val="D00AC5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4"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6"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9"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0"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9"/>
  </w:num>
  <w:num w:numId="2" w16cid:durableId="1489785511">
    <w:abstractNumId w:val="22"/>
  </w:num>
  <w:num w:numId="3" w16cid:durableId="905871091">
    <w:abstractNumId w:val="17"/>
  </w:num>
  <w:num w:numId="4" w16cid:durableId="534970395">
    <w:abstractNumId w:val="12"/>
  </w:num>
  <w:num w:numId="5" w16cid:durableId="38435229">
    <w:abstractNumId w:val="38"/>
  </w:num>
  <w:num w:numId="6" w16cid:durableId="2057730824">
    <w:abstractNumId w:val="24"/>
  </w:num>
  <w:num w:numId="7" w16cid:durableId="1675720074">
    <w:abstractNumId w:val="28"/>
  </w:num>
  <w:num w:numId="8" w16cid:durableId="1014383751">
    <w:abstractNumId w:val="19"/>
  </w:num>
  <w:num w:numId="9" w16cid:durableId="201672474">
    <w:abstractNumId w:val="35"/>
  </w:num>
  <w:num w:numId="10" w16cid:durableId="256066161">
    <w:abstractNumId w:val="40"/>
  </w:num>
  <w:num w:numId="11" w16cid:durableId="2087680663">
    <w:abstractNumId w:val="15"/>
  </w:num>
  <w:num w:numId="12" w16cid:durableId="2044011657">
    <w:abstractNumId w:val="26"/>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7"/>
  </w:num>
  <w:num w:numId="24" w16cid:durableId="657152095">
    <w:abstractNumId w:val="13"/>
  </w:num>
  <w:num w:numId="25" w16cid:durableId="649095097">
    <w:abstractNumId w:val="31"/>
  </w:num>
  <w:num w:numId="26" w16cid:durableId="2025472307">
    <w:abstractNumId w:val="14"/>
  </w:num>
  <w:num w:numId="27" w16cid:durableId="732191785">
    <w:abstractNumId w:val="33"/>
  </w:num>
  <w:num w:numId="28" w16cid:durableId="1293512764">
    <w:abstractNumId w:val="18"/>
  </w:num>
  <w:num w:numId="29" w16cid:durableId="1552501508">
    <w:abstractNumId w:val="36"/>
  </w:num>
  <w:num w:numId="30" w16cid:durableId="1990475844">
    <w:abstractNumId w:val="34"/>
  </w:num>
  <w:num w:numId="31" w16cid:durableId="1087464949">
    <w:abstractNumId w:val="20"/>
  </w:num>
  <w:num w:numId="32" w16cid:durableId="516886674">
    <w:abstractNumId w:val="32"/>
  </w:num>
  <w:num w:numId="33" w16cid:durableId="1720863631">
    <w:abstractNumId w:val="23"/>
  </w:num>
  <w:num w:numId="34" w16cid:durableId="317274048">
    <w:abstractNumId w:val="30"/>
  </w:num>
  <w:num w:numId="35" w16cid:durableId="2066219786">
    <w:abstractNumId w:val="21"/>
  </w:num>
  <w:num w:numId="36" w16cid:durableId="1487817278">
    <w:abstractNumId w:val="10"/>
  </w:num>
  <w:num w:numId="37" w16cid:durableId="1038240558">
    <w:abstractNumId w:val="11"/>
  </w:num>
  <w:num w:numId="38" w16cid:durableId="1925869149">
    <w:abstractNumId w:val="27"/>
  </w:num>
  <w:num w:numId="39" w16cid:durableId="1944612135">
    <w:abstractNumId w:val="25"/>
  </w:num>
  <w:num w:numId="40" w16cid:durableId="499276957">
    <w:abstractNumId w:val="29"/>
  </w:num>
  <w:num w:numId="41" w16cid:durableId="12785610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0A1"/>
    <w:rsid w:val="000010AD"/>
    <w:rsid w:val="00010E0E"/>
    <w:rsid w:val="000115FB"/>
    <w:rsid w:val="000146A5"/>
    <w:rsid w:val="000152B9"/>
    <w:rsid w:val="00015A13"/>
    <w:rsid w:val="00016BC8"/>
    <w:rsid w:val="000177D6"/>
    <w:rsid w:val="000258B8"/>
    <w:rsid w:val="0003188E"/>
    <w:rsid w:val="000355E2"/>
    <w:rsid w:val="00042CB2"/>
    <w:rsid w:val="00043C7D"/>
    <w:rsid w:val="00045D6F"/>
    <w:rsid w:val="000462E3"/>
    <w:rsid w:val="00053C4A"/>
    <w:rsid w:val="000560E5"/>
    <w:rsid w:val="00062211"/>
    <w:rsid w:val="00063CEE"/>
    <w:rsid w:val="00065259"/>
    <w:rsid w:val="00065A60"/>
    <w:rsid w:val="00067512"/>
    <w:rsid w:val="00071CD5"/>
    <w:rsid w:val="00076E6C"/>
    <w:rsid w:val="00086305"/>
    <w:rsid w:val="00097727"/>
    <w:rsid w:val="000A4407"/>
    <w:rsid w:val="000B2CE6"/>
    <w:rsid w:val="000B6677"/>
    <w:rsid w:val="000C6559"/>
    <w:rsid w:val="000D3236"/>
    <w:rsid w:val="000D3AB7"/>
    <w:rsid w:val="000D46D8"/>
    <w:rsid w:val="000E1E14"/>
    <w:rsid w:val="000E5531"/>
    <w:rsid w:val="000F3FC7"/>
    <w:rsid w:val="000F5572"/>
    <w:rsid w:val="000F5578"/>
    <w:rsid w:val="00104D71"/>
    <w:rsid w:val="00120A7D"/>
    <w:rsid w:val="00124DA3"/>
    <w:rsid w:val="00125487"/>
    <w:rsid w:val="00126903"/>
    <w:rsid w:val="00130109"/>
    <w:rsid w:val="00131134"/>
    <w:rsid w:val="00132B6A"/>
    <w:rsid w:val="00144A17"/>
    <w:rsid w:val="00144BA0"/>
    <w:rsid w:val="00145332"/>
    <w:rsid w:val="00150532"/>
    <w:rsid w:val="001507DE"/>
    <w:rsid w:val="001647BB"/>
    <w:rsid w:val="001661C1"/>
    <w:rsid w:val="001677E4"/>
    <w:rsid w:val="00171953"/>
    <w:rsid w:val="001850E2"/>
    <w:rsid w:val="00187AAB"/>
    <w:rsid w:val="001915A5"/>
    <w:rsid w:val="00196CAA"/>
    <w:rsid w:val="00197CB5"/>
    <w:rsid w:val="001A620E"/>
    <w:rsid w:val="001B0633"/>
    <w:rsid w:val="001B63F7"/>
    <w:rsid w:val="001C1A69"/>
    <w:rsid w:val="001C2208"/>
    <w:rsid w:val="001C23E5"/>
    <w:rsid w:val="001C2CD1"/>
    <w:rsid w:val="001C6EDC"/>
    <w:rsid w:val="001D1974"/>
    <w:rsid w:val="001D2F10"/>
    <w:rsid w:val="001D2FAF"/>
    <w:rsid w:val="001D636A"/>
    <w:rsid w:val="001D7982"/>
    <w:rsid w:val="001E0043"/>
    <w:rsid w:val="001E00D5"/>
    <w:rsid w:val="001E388D"/>
    <w:rsid w:val="001E7302"/>
    <w:rsid w:val="001E7E15"/>
    <w:rsid w:val="001F1539"/>
    <w:rsid w:val="001F3055"/>
    <w:rsid w:val="001F41DE"/>
    <w:rsid w:val="001F7EBB"/>
    <w:rsid w:val="00201798"/>
    <w:rsid w:val="00204473"/>
    <w:rsid w:val="002075A7"/>
    <w:rsid w:val="002120B5"/>
    <w:rsid w:val="002121F3"/>
    <w:rsid w:val="00214978"/>
    <w:rsid w:val="00224C6D"/>
    <w:rsid w:val="00224E7F"/>
    <w:rsid w:val="00230B99"/>
    <w:rsid w:val="00232B80"/>
    <w:rsid w:val="00243313"/>
    <w:rsid w:val="002456D5"/>
    <w:rsid w:val="00245DA7"/>
    <w:rsid w:val="00246995"/>
    <w:rsid w:val="0025099B"/>
    <w:rsid w:val="002536A1"/>
    <w:rsid w:val="00260970"/>
    <w:rsid w:val="0026409A"/>
    <w:rsid w:val="00267F4D"/>
    <w:rsid w:val="0027267D"/>
    <w:rsid w:val="00285034"/>
    <w:rsid w:val="0029311B"/>
    <w:rsid w:val="002959CD"/>
    <w:rsid w:val="00297AFB"/>
    <w:rsid w:val="002A306B"/>
    <w:rsid w:val="002A5491"/>
    <w:rsid w:val="002A7DD0"/>
    <w:rsid w:val="002B0693"/>
    <w:rsid w:val="002B133F"/>
    <w:rsid w:val="002B33B0"/>
    <w:rsid w:val="002B4182"/>
    <w:rsid w:val="002B5347"/>
    <w:rsid w:val="002B65A1"/>
    <w:rsid w:val="002B6D43"/>
    <w:rsid w:val="002B7456"/>
    <w:rsid w:val="002B7B28"/>
    <w:rsid w:val="002C4B9F"/>
    <w:rsid w:val="002D05CE"/>
    <w:rsid w:val="002D4A7B"/>
    <w:rsid w:val="002E07BE"/>
    <w:rsid w:val="002F535D"/>
    <w:rsid w:val="002F7211"/>
    <w:rsid w:val="00304798"/>
    <w:rsid w:val="0031145C"/>
    <w:rsid w:val="003500A4"/>
    <w:rsid w:val="00351E83"/>
    <w:rsid w:val="003550A0"/>
    <w:rsid w:val="003563A1"/>
    <w:rsid w:val="0035720C"/>
    <w:rsid w:val="00361EFD"/>
    <w:rsid w:val="003660A9"/>
    <w:rsid w:val="0037068D"/>
    <w:rsid w:val="00372935"/>
    <w:rsid w:val="00381F2D"/>
    <w:rsid w:val="00393F05"/>
    <w:rsid w:val="00396269"/>
    <w:rsid w:val="0039688C"/>
    <w:rsid w:val="00397F04"/>
    <w:rsid w:val="003A5815"/>
    <w:rsid w:val="003B075E"/>
    <w:rsid w:val="003B1C9F"/>
    <w:rsid w:val="003B2155"/>
    <w:rsid w:val="003B655D"/>
    <w:rsid w:val="003D3F0B"/>
    <w:rsid w:val="003D67F2"/>
    <w:rsid w:val="003F0233"/>
    <w:rsid w:val="003F67A2"/>
    <w:rsid w:val="003F6A59"/>
    <w:rsid w:val="004015E2"/>
    <w:rsid w:val="00404309"/>
    <w:rsid w:val="0041231E"/>
    <w:rsid w:val="0041685B"/>
    <w:rsid w:val="00423030"/>
    <w:rsid w:val="00423974"/>
    <w:rsid w:val="00423DB3"/>
    <w:rsid w:val="004318D6"/>
    <w:rsid w:val="00443A69"/>
    <w:rsid w:val="00443C49"/>
    <w:rsid w:val="00444121"/>
    <w:rsid w:val="00445061"/>
    <w:rsid w:val="00445556"/>
    <w:rsid w:val="00450D7C"/>
    <w:rsid w:val="004534AC"/>
    <w:rsid w:val="00456F76"/>
    <w:rsid w:val="00460314"/>
    <w:rsid w:val="0046152D"/>
    <w:rsid w:val="004747AF"/>
    <w:rsid w:val="0049044D"/>
    <w:rsid w:val="0049076B"/>
    <w:rsid w:val="00490F2B"/>
    <w:rsid w:val="004956B4"/>
    <w:rsid w:val="00497694"/>
    <w:rsid w:val="004A0350"/>
    <w:rsid w:val="004A1164"/>
    <w:rsid w:val="004A133A"/>
    <w:rsid w:val="004B5597"/>
    <w:rsid w:val="004B5D2E"/>
    <w:rsid w:val="004C03F0"/>
    <w:rsid w:val="004C21E5"/>
    <w:rsid w:val="004C2C9C"/>
    <w:rsid w:val="004C7F82"/>
    <w:rsid w:val="004D0A7A"/>
    <w:rsid w:val="004D265B"/>
    <w:rsid w:val="004D5EBD"/>
    <w:rsid w:val="004E7AF1"/>
    <w:rsid w:val="004F167A"/>
    <w:rsid w:val="004F5629"/>
    <w:rsid w:val="005064F6"/>
    <w:rsid w:val="00506599"/>
    <w:rsid w:val="005125CD"/>
    <w:rsid w:val="005134B3"/>
    <w:rsid w:val="005176B0"/>
    <w:rsid w:val="0052247A"/>
    <w:rsid w:val="005244BB"/>
    <w:rsid w:val="00524E57"/>
    <w:rsid w:val="005304A9"/>
    <w:rsid w:val="005351AA"/>
    <w:rsid w:val="00541950"/>
    <w:rsid w:val="00542BEC"/>
    <w:rsid w:val="00543179"/>
    <w:rsid w:val="00547EA4"/>
    <w:rsid w:val="005528A4"/>
    <w:rsid w:val="00555700"/>
    <w:rsid w:val="005558A3"/>
    <w:rsid w:val="005566CC"/>
    <w:rsid w:val="00556FCC"/>
    <w:rsid w:val="0056507A"/>
    <w:rsid w:val="005700AF"/>
    <w:rsid w:val="00571D27"/>
    <w:rsid w:val="005800F4"/>
    <w:rsid w:val="00594682"/>
    <w:rsid w:val="00596B30"/>
    <w:rsid w:val="005A29B0"/>
    <w:rsid w:val="005A44D1"/>
    <w:rsid w:val="005C0AF1"/>
    <w:rsid w:val="005C6C9C"/>
    <w:rsid w:val="005C6FA2"/>
    <w:rsid w:val="005D48C4"/>
    <w:rsid w:val="005D4968"/>
    <w:rsid w:val="005D68D1"/>
    <w:rsid w:val="005E3ACA"/>
    <w:rsid w:val="005E4B39"/>
    <w:rsid w:val="005E4CC2"/>
    <w:rsid w:val="005F53C0"/>
    <w:rsid w:val="005F72A8"/>
    <w:rsid w:val="00600F1E"/>
    <w:rsid w:val="00604DC6"/>
    <w:rsid w:val="0060776D"/>
    <w:rsid w:val="0061442A"/>
    <w:rsid w:val="006159AA"/>
    <w:rsid w:val="00620197"/>
    <w:rsid w:val="00623A81"/>
    <w:rsid w:val="00626744"/>
    <w:rsid w:val="0062728E"/>
    <w:rsid w:val="00630593"/>
    <w:rsid w:val="006342AB"/>
    <w:rsid w:val="00635FCF"/>
    <w:rsid w:val="00637E49"/>
    <w:rsid w:val="00642541"/>
    <w:rsid w:val="006454D8"/>
    <w:rsid w:val="00647725"/>
    <w:rsid w:val="00655102"/>
    <w:rsid w:val="0065601E"/>
    <w:rsid w:val="006573D9"/>
    <w:rsid w:val="006575E8"/>
    <w:rsid w:val="006606A0"/>
    <w:rsid w:val="006717C5"/>
    <w:rsid w:val="00671FA2"/>
    <w:rsid w:val="00681021"/>
    <w:rsid w:val="00684F95"/>
    <w:rsid w:val="00685088"/>
    <w:rsid w:val="006862B5"/>
    <w:rsid w:val="00687E8F"/>
    <w:rsid w:val="00693975"/>
    <w:rsid w:val="006A0CD0"/>
    <w:rsid w:val="006A19EC"/>
    <w:rsid w:val="006A3182"/>
    <w:rsid w:val="006A519B"/>
    <w:rsid w:val="006A797F"/>
    <w:rsid w:val="006B54C5"/>
    <w:rsid w:val="006C3339"/>
    <w:rsid w:val="006C6C98"/>
    <w:rsid w:val="006D680A"/>
    <w:rsid w:val="006E7473"/>
    <w:rsid w:val="006F48A8"/>
    <w:rsid w:val="006F6F09"/>
    <w:rsid w:val="00700D30"/>
    <w:rsid w:val="0070144B"/>
    <w:rsid w:val="00704BF3"/>
    <w:rsid w:val="0070544E"/>
    <w:rsid w:val="00706FC0"/>
    <w:rsid w:val="00715BF3"/>
    <w:rsid w:val="00716EFB"/>
    <w:rsid w:val="00720589"/>
    <w:rsid w:val="007240B6"/>
    <w:rsid w:val="00735256"/>
    <w:rsid w:val="0074028C"/>
    <w:rsid w:val="00745E48"/>
    <w:rsid w:val="00747900"/>
    <w:rsid w:val="0075020C"/>
    <w:rsid w:val="00751BC0"/>
    <w:rsid w:val="00756351"/>
    <w:rsid w:val="00761B38"/>
    <w:rsid w:val="00765348"/>
    <w:rsid w:val="00786FB3"/>
    <w:rsid w:val="00792A54"/>
    <w:rsid w:val="00795AC0"/>
    <w:rsid w:val="007A5657"/>
    <w:rsid w:val="007A5A05"/>
    <w:rsid w:val="007B28A8"/>
    <w:rsid w:val="007C4B41"/>
    <w:rsid w:val="007D48F0"/>
    <w:rsid w:val="007D72FA"/>
    <w:rsid w:val="007E0C7E"/>
    <w:rsid w:val="007E17A6"/>
    <w:rsid w:val="007F0255"/>
    <w:rsid w:val="007F10F9"/>
    <w:rsid w:val="007F186D"/>
    <w:rsid w:val="007F5C55"/>
    <w:rsid w:val="00801843"/>
    <w:rsid w:val="00805AAA"/>
    <w:rsid w:val="00806B8E"/>
    <w:rsid w:val="00807610"/>
    <w:rsid w:val="00807CDF"/>
    <w:rsid w:val="008172ED"/>
    <w:rsid w:val="00825A99"/>
    <w:rsid w:val="00830238"/>
    <w:rsid w:val="00833618"/>
    <w:rsid w:val="00835E1B"/>
    <w:rsid w:val="00836A95"/>
    <w:rsid w:val="00837448"/>
    <w:rsid w:val="00840E62"/>
    <w:rsid w:val="00842143"/>
    <w:rsid w:val="00842361"/>
    <w:rsid w:val="008428F4"/>
    <w:rsid w:val="0084430A"/>
    <w:rsid w:val="008462C0"/>
    <w:rsid w:val="00851ADB"/>
    <w:rsid w:val="00862FE0"/>
    <w:rsid w:val="00875B58"/>
    <w:rsid w:val="00876ECB"/>
    <w:rsid w:val="0088087A"/>
    <w:rsid w:val="00884ECE"/>
    <w:rsid w:val="008906BD"/>
    <w:rsid w:val="00892845"/>
    <w:rsid w:val="008B0FC6"/>
    <w:rsid w:val="008B6ABF"/>
    <w:rsid w:val="008B72AE"/>
    <w:rsid w:val="008B731F"/>
    <w:rsid w:val="008B7DAF"/>
    <w:rsid w:val="008C08FC"/>
    <w:rsid w:val="008C56B9"/>
    <w:rsid w:val="008D00C5"/>
    <w:rsid w:val="008D0F71"/>
    <w:rsid w:val="008D1F23"/>
    <w:rsid w:val="008D5D60"/>
    <w:rsid w:val="008D5DD7"/>
    <w:rsid w:val="008D5E4C"/>
    <w:rsid w:val="008D710F"/>
    <w:rsid w:val="008E0125"/>
    <w:rsid w:val="008E5A35"/>
    <w:rsid w:val="008E7822"/>
    <w:rsid w:val="008F0A2B"/>
    <w:rsid w:val="008F2598"/>
    <w:rsid w:val="0090183B"/>
    <w:rsid w:val="00904A21"/>
    <w:rsid w:val="00922BCA"/>
    <w:rsid w:val="009244D9"/>
    <w:rsid w:val="00925B40"/>
    <w:rsid w:val="009330E2"/>
    <w:rsid w:val="0093381A"/>
    <w:rsid w:val="00934C76"/>
    <w:rsid w:val="009404A4"/>
    <w:rsid w:val="0094060A"/>
    <w:rsid w:val="00941D35"/>
    <w:rsid w:val="009446CF"/>
    <w:rsid w:val="00947B2C"/>
    <w:rsid w:val="009504C2"/>
    <w:rsid w:val="0095056F"/>
    <w:rsid w:val="00952633"/>
    <w:rsid w:val="009536F7"/>
    <w:rsid w:val="00953C54"/>
    <w:rsid w:val="009616E1"/>
    <w:rsid w:val="0096267E"/>
    <w:rsid w:val="00974BD2"/>
    <w:rsid w:val="00981858"/>
    <w:rsid w:val="009848C9"/>
    <w:rsid w:val="00992961"/>
    <w:rsid w:val="00995B4F"/>
    <w:rsid w:val="00996FFA"/>
    <w:rsid w:val="009A31E8"/>
    <w:rsid w:val="009B17D4"/>
    <w:rsid w:val="009B52E2"/>
    <w:rsid w:val="009B68EF"/>
    <w:rsid w:val="009B7734"/>
    <w:rsid w:val="009C1F82"/>
    <w:rsid w:val="009D1056"/>
    <w:rsid w:val="009D127F"/>
    <w:rsid w:val="009D5648"/>
    <w:rsid w:val="009E182F"/>
    <w:rsid w:val="009E4CDC"/>
    <w:rsid w:val="009F0A0C"/>
    <w:rsid w:val="009F42D6"/>
    <w:rsid w:val="009F4F9E"/>
    <w:rsid w:val="009F57EE"/>
    <w:rsid w:val="00A0329E"/>
    <w:rsid w:val="00A03662"/>
    <w:rsid w:val="00A104DE"/>
    <w:rsid w:val="00A128AB"/>
    <w:rsid w:val="00A148AB"/>
    <w:rsid w:val="00A226AF"/>
    <w:rsid w:val="00A2477F"/>
    <w:rsid w:val="00A259D4"/>
    <w:rsid w:val="00A25C25"/>
    <w:rsid w:val="00A25E3F"/>
    <w:rsid w:val="00A25F68"/>
    <w:rsid w:val="00A33D5D"/>
    <w:rsid w:val="00A3640E"/>
    <w:rsid w:val="00A36F61"/>
    <w:rsid w:val="00A4387B"/>
    <w:rsid w:val="00A507CA"/>
    <w:rsid w:val="00A633BD"/>
    <w:rsid w:val="00A651C5"/>
    <w:rsid w:val="00A66351"/>
    <w:rsid w:val="00A916EE"/>
    <w:rsid w:val="00A950BE"/>
    <w:rsid w:val="00A95671"/>
    <w:rsid w:val="00AA1E42"/>
    <w:rsid w:val="00AA2009"/>
    <w:rsid w:val="00AA4D83"/>
    <w:rsid w:val="00AA61F1"/>
    <w:rsid w:val="00AC7A15"/>
    <w:rsid w:val="00AD1A00"/>
    <w:rsid w:val="00AD3BE2"/>
    <w:rsid w:val="00AD6D75"/>
    <w:rsid w:val="00AE0236"/>
    <w:rsid w:val="00AE480E"/>
    <w:rsid w:val="00AF06B9"/>
    <w:rsid w:val="00B03D9F"/>
    <w:rsid w:val="00B1530F"/>
    <w:rsid w:val="00B16DAA"/>
    <w:rsid w:val="00B17824"/>
    <w:rsid w:val="00B20072"/>
    <w:rsid w:val="00B20B2C"/>
    <w:rsid w:val="00B237DB"/>
    <w:rsid w:val="00B2492B"/>
    <w:rsid w:val="00B24F3C"/>
    <w:rsid w:val="00B30745"/>
    <w:rsid w:val="00B40908"/>
    <w:rsid w:val="00B451E9"/>
    <w:rsid w:val="00B516D8"/>
    <w:rsid w:val="00B53E08"/>
    <w:rsid w:val="00B62048"/>
    <w:rsid w:val="00B765F2"/>
    <w:rsid w:val="00B77263"/>
    <w:rsid w:val="00B8711F"/>
    <w:rsid w:val="00B8752D"/>
    <w:rsid w:val="00B92074"/>
    <w:rsid w:val="00B932C0"/>
    <w:rsid w:val="00B94E35"/>
    <w:rsid w:val="00B96699"/>
    <w:rsid w:val="00B9798F"/>
    <w:rsid w:val="00BA0D4C"/>
    <w:rsid w:val="00BA220A"/>
    <w:rsid w:val="00BA279E"/>
    <w:rsid w:val="00BA5321"/>
    <w:rsid w:val="00BB6B5E"/>
    <w:rsid w:val="00BC00B2"/>
    <w:rsid w:val="00BC3A86"/>
    <w:rsid w:val="00BC4978"/>
    <w:rsid w:val="00BD005C"/>
    <w:rsid w:val="00BD2A70"/>
    <w:rsid w:val="00BD6791"/>
    <w:rsid w:val="00BE1C94"/>
    <w:rsid w:val="00BE77DE"/>
    <w:rsid w:val="00BF4B1B"/>
    <w:rsid w:val="00BF5778"/>
    <w:rsid w:val="00C04DD4"/>
    <w:rsid w:val="00C05426"/>
    <w:rsid w:val="00C10332"/>
    <w:rsid w:val="00C141E8"/>
    <w:rsid w:val="00C1536C"/>
    <w:rsid w:val="00C23009"/>
    <w:rsid w:val="00C2478F"/>
    <w:rsid w:val="00C25D18"/>
    <w:rsid w:val="00C27103"/>
    <w:rsid w:val="00C37991"/>
    <w:rsid w:val="00C37B2E"/>
    <w:rsid w:val="00C4482E"/>
    <w:rsid w:val="00C44DF7"/>
    <w:rsid w:val="00C461F2"/>
    <w:rsid w:val="00C473DF"/>
    <w:rsid w:val="00C52F9C"/>
    <w:rsid w:val="00C53236"/>
    <w:rsid w:val="00C626AF"/>
    <w:rsid w:val="00C62DD8"/>
    <w:rsid w:val="00C658CA"/>
    <w:rsid w:val="00C67916"/>
    <w:rsid w:val="00C71D1F"/>
    <w:rsid w:val="00C82E8D"/>
    <w:rsid w:val="00C90A14"/>
    <w:rsid w:val="00C90C53"/>
    <w:rsid w:val="00C96189"/>
    <w:rsid w:val="00CA09B6"/>
    <w:rsid w:val="00CA229C"/>
    <w:rsid w:val="00CA7AF4"/>
    <w:rsid w:val="00CC21F1"/>
    <w:rsid w:val="00CD3D65"/>
    <w:rsid w:val="00CD6BE3"/>
    <w:rsid w:val="00CD7166"/>
    <w:rsid w:val="00CE31FA"/>
    <w:rsid w:val="00CE3F44"/>
    <w:rsid w:val="00CE6372"/>
    <w:rsid w:val="00CF1060"/>
    <w:rsid w:val="00CF47E9"/>
    <w:rsid w:val="00CF66E5"/>
    <w:rsid w:val="00CF6AA9"/>
    <w:rsid w:val="00D00922"/>
    <w:rsid w:val="00D03288"/>
    <w:rsid w:val="00D03E8E"/>
    <w:rsid w:val="00D04795"/>
    <w:rsid w:val="00D0654C"/>
    <w:rsid w:val="00D06F07"/>
    <w:rsid w:val="00D135C3"/>
    <w:rsid w:val="00D13628"/>
    <w:rsid w:val="00D17008"/>
    <w:rsid w:val="00D233FE"/>
    <w:rsid w:val="00D234C6"/>
    <w:rsid w:val="00D23D5B"/>
    <w:rsid w:val="00D333B2"/>
    <w:rsid w:val="00D34064"/>
    <w:rsid w:val="00D3428A"/>
    <w:rsid w:val="00D351A6"/>
    <w:rsid w:val="00D3724C"/>
    <w:rsid w:val="00D4402A"/>
    <w:rsid w:val="00D46F66"/>
    <w:rsid w:val="00D507DF"/>
    <w:rsid w:val="00D52AC3"/>
    <w:rsid w:val="00D54B4D"/>
    <w:rsid w:val="00D56475"/>
    <w:rsid w:val="00D63821"/>
    <w:rsid w:val="00D729DB"/>
    <w:rsid w:val="00D847A3"/>
    <w:rsid w:val="00D86B36"/>
    <w:rsid w:val="00DA28B2"/>
    <w:rsid w:val="00DA7B8C"/>
    <w:rsid w:val="00DB0932"/>
    <w:rsid w:val="00DB2638"/>
    <w:rsid w:val="00DB331D"/>
    <w:rsid w:val="00DC54D9"/>
    <w:rsid w:val="00DC6705"/>
    <w:rsid w:val="00DC6E45"/>
    <w:rsid w:val="00DD115D"/>
    <w:rsid w:val="00DD1DE7"/>
    <w:rsid w:val="00DD3DA3"/>
    <w:rsid w:val="00DD533B"/>
    <w:rsid w:val="00DE4B07"/>
    <w:rsid w:val="00DE6401"/>
    <w:rsid w:val="00DF3BD9"/>
    <w:rsid w:val="00DF6781"/>
    <w:rsid w:val="00E004BA"/>
    <w:rsid w:val="00E025DC"/>
    <w:rsid w:val="00E02A00"/>
    <w:rsid w:val="00E06505"/>
    <w:rsid w:val="00E1141B"/>
    <w:rsid w:val="00E12437"/>
    <w:rsid w:val="00E16786"/>
    <w:rsid w:val="00E17857"/>
    <w:rsid w:val="00E27131"/>
    <w:rsid w:val="00E27644"/>
    <w:rsid w:val="00E367E5"/>
    <w:rsid w:val="00E37E49"/>
    <w:rsid w:val="00E37F83"/>
    <w:rsid w:val="00E41B95"/>
    <w:rsid w:val="00E4239D"/>
    <w:rsid w:val="00E4497B"/>
    <w:rsid w:val="00E45891"/>
    <w:rsid w:val="00E46438"/>
    <w:rsid w:val="00E51647"/>
    <w:rsid w:val="00E53D4B"/>
    <w:rsid w:val="00E60686"/>
    <w:rsid w:val="00E66614"/>
    <w:rsid w:val="00E66CF8"/>
    <w:rsid w:val="00E71C90"/>
    <w:rsid w:val="00E75826"/>
    <w:rsid w:val="00E8030E"/>
    <w:rsid w:val="00E81DD4"/>
    <w:rsid w:val="00E84ABD"/>
    <w:rsid w:val="00E93965"/>
    <w:rsid w:val="00E94B76"/>
    <w:rsid w:val="00E94F51"/>
    <w:rsid w:val="00E94FC1"/>
    <w:rsid w:val="00EA3654"/>
    <w:rsid w:val="00EA5025"/>
    <w:rsid w:val="00EB311A"/>
    <w:rsid w:val="00EB3B94"/>
    <w:rsid w:val="00EB47D6"/>
    <w:rsid w:val="00EC42E2"/>
    <w:rsid w:val="00EC4663"/>
    <w:rsid w:val="00EC473B"/>
    <w:rsid w:val="00EC746C"/>
    <w:rsid w:val="00ED349B"/>
    <w:rsid w:val="00ED499B"/>
    <w:rsid w:val="00ED649A"/>
    <w:rsid w:val="00ED6B84"/>
    <w:rsid w:val="00EE0223"/>
    <w:rsid w:val="00EE07F2"/>
    <w:rsid w:val="00EE2EB2"/>
    <w:rsid w:val="00EE36CA"/>
    <w:rsid w:val="00EE763F"/>
    <w:rsid w:val="00EF0AB7"/>
    <w:rsid w:val="00EF21A6"/>
    <w:rsid w:val="00EF2B7F"/>
    <w:rsid w:val="00EF35D7"/>
    <w:rsid w:val="00EF5C69"/>
    <w:rsid w:val="00F04B3C"/>
    <w:rsid w:val="00F15523"/>
    <w:rsid w:val="00F16E24"/>
    <w:rsid w:val="00F2159F"/>
    <w:rsid w:val="00F234AD"/>
    <w:rsid w:val="00F23B85"/>
    <w:rsid w:val="00F24E0A"/>
    <w:rsid w:val="00F32ADB"/>
    <w:rsid w:val="00F33B50"/>
    <w:rsid w:val="00F4072F"/>
    <w:rsid w:val="00F42539"/>
    <w:rsid w:val="00F44E18"/>
    <w:rsid w:val="00F450B7"/>
    <w:rsid w:val="00F4729A"/>
    <w:rsid w:val="00F509C2"/>
    <w:rsid w:val="00F551D0"/>
    <w:rsid w:val="00F64C0E"/>
    <w:rsid w:val="00F65825"/>
    <w:rsid w:val="00F70D29"/>
    <w:rsid w:val="00F718E3"/>
    <w:rsid w:val="00F719A0"/>
    <w:rsid w:val="00F72FA5"/>
    <w:rsid w:val="00F73103"/>
    <w:rsid w:val="00F73DA6"/>
    <w:rsid w:val="00F8102F"/>
    <w:rsid w:val="00F84DA7"/>
    <w:rsid w:val="00F86DFA"/>
    <w:rsid w:val="00F93055"/>
    <w:rsid w:val="00F9322B"/>
    <w:rsid w:val="00F936C7"/>
    <w:rsid w:val="00F9476A"/>
    <w:rsid w:val="00FA09EB"/>
    <w:rsid w:val="00FA46DB"/>
    <w:rsid w:val="00FA55B5"/>
    <w:rsid w:val="00FA7F7D"/>
    <w:rsid w:val="00FB6B73"/>
    <w:rsid w:val="00FB6BE4"/>
    <w:rsid w:val="00FB6FAA"/>
    <w:rsid w:val="00FC0EEC"/>
    <w:rsid w:val="00FC5C88"/>
    <w:rsid w:val="00FE19CF"/>
    <w:rsid w:val="00FE7279"/>
    <w:rsid w:val="00FE7B73"/>
    <w:rsid w:val="00FF2483"/>
    <w:rsid w:val="00FF2553"/>
    <w:rsid w:val="00FF3216"/>
    <w:rsid w:val="00FF35DD"/>
    <w:rsid w:val="00FF5B5D"/>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D729DB"/>
    <w:rPr>
      <w:color w:val="605E5C"/>
      <w:shd w:val="clear" w:color="auto" w:fill="E1DFDD"/>
    </w:rPr>
  </w:style>
  <w:style w:type="character" w:styleId="PlaceholderText">
    <w:name w:val="Placeholder Text"/>
    <w:basedOn w:val="DefaultParagraphFont"/>
    <w:uiPriority w:val="99"/>
    <w:semiHidden/>
    <w:rsid w:val="008D710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5623">
      <w:bodyDiv w:val="1"/>
      <w:marLeft w:val="0"/>
      <w:marRight w:val="0"/>
      <w:marTop w:val="0"/>
      <w:marBottom w:val="0"/>
      <w:divBdr>
        <w:top w:val="none" w:sz="0" w:space="0" w:color="auto"/>
        <w:left w:val="none" w:sz="0" w:space="0" w:color="auto"/>
        <w:bottom w:val="none" w:sz="0" w:space="0" w:color="auto"/>
        <w:right w:val="none" w:sz="0" w:space="0" w:color="auto"/>
      </w:divBdr>
      <w:divsChild>
        <w:div w:id="1576620989">
          <w:marLeft w:val="0"/>
          <w:marRight w:val="720"/>
          <w:marTop w:val="0"/>
          <w:marBottom w:val="0"/>
          <w:divBdr>
            <w:top w:val="none" w:sz="0" w:space="0" w:color="auto"/>
            <w:left w:val="none" w:sz="0" w:space="0" w:color="auto"/>
            <w:bottom w:val="none" w:sz="0" w:space="0" w:color="auto"/>
            <w:right w:val="none" w:sz="0" w:space="0" w:color="auto"/>
          </w:divBdr>
        </w:div>
        <w:div w:id="137958935">
          <w:marLeft w:val="0"/>
          <w:marRight w:val="0"/>
          <w:marTop w:val="0"/>
          <w:marBottom w:val="0"/>
          <w:divBdr>
            <w:top w:val="none" w:sz="0" w:space="0" w:color="auto"/>
            <w:left w:val="none" w:sz="0" w:space="0" w:color="auto"/>
            <w:bottom w:val="none" w:sz="0" w:space="0" w:color="auto"/>
            <w:right w:val="none" w:sz="0" w:space="0" w:color="auto"/>
          </w:divBdr>
        </w:div>
      </w:divsChild>
    </w:div>
    <w:div w:id="231235652">
      <w:bodyDiv w:val="1"/>
      <w:marLeft w:val="0"/>
      <w:marRight w:val="0"/>
      <w:marTop w:val="0"/>
      <w:marBottom w:val="0"/>
      <w:divBdr>
        <w:top w:val="none" w:sz="0" w:space="0" w:color="auto"/>
        <w:left w:val="none" w:sz="0" w:space="0" w:color="auto"/>
        <w:bottom w:val="none" w:sz="0" w:space="0" w:color="auto"/>
        <w:right w:val="none" w:sz="0" w:space="0" w:color="auto"/>
      </w:divBdr>
      <w:divsChild>
        <w:div w:id="1885172657">
          <w:marLeft w:val="0"/>
          <w:marRight w:val="720"/>
          <w:marTop w:val="0"/>
          <w:marBottom w:val="0"/>
          <w:divBdr>
            <w:top w:val="none" w:sz="0" w:space="0" w:color="auto"/>
            <w:left w:val="none" w:sz="0" w:space="0" w:color="auto"/>
            <w:bottom w:val="none" w:sz="0" w:space="0" w:color="auto"/>
            <w:right w:val="none" w:sz="0" w:space="0" w:color="auto"/>
          </w:divBdr>
        </w:div>
        <w:div w:id="2017147865">
          <w:marLeft w:val="0"/>
          <w:marRight w:val="0"/>
          <w:marTop w:val="0"/>
          <w:marBottom w:val="0"/>
          <w:divBdr>
            <w:top w:val="none" w:sz="0" w:space="0" w:color="auto"/>
            <w:left w:val="none" w:sz="0" w:space="0" w:color="auto"/>
            <w:bottom w:val="none" w:sz="0" w:space="0" w:color="auto"/>
            <w:right w:val="none" w:sz="0" w:space="0" w:color="auto"/>
          </w:divBdr>
        </w:div>
      </w:divsChild>
    </w:div>
    <w:div w:id="307133553">
      <w:bodyDiv w:val="1"/>
      <w:marLeft w:val="0"/>
      <w:marRight w:val="0"/>
      <w:marTop w:val="0"/>
      <w:marBottom w:val="0"/>
      <w:divBdr>
        <w:top w:val="none" w:sz="0" w:space="0" w:color="auto"/>
        <w:left w:val="none" w:sz="0" w:space="0" w:color="auto"/>
        <w:bottom w:val="none" w:sz="0" w:space="0" w:color="auto"/>
        <w:right w:val="none" w:sz="0" w:space="0" w:color="auto"/>
      </w:divBdr>
      <w:divsChild>
        <w:div w:id="415444892">
          <w:marLeft w:val="0"/>
          <w:marRight w:val="720"/>
          <w:marTop w:val="0"/>
          <w:marBottom w:val="0"/>
          <w:divBdr>
            <w:top w:val="none" w:sz="0" w:space="0" w:color="auto"/>
            <w:left w:val="none" w:sz="0" w:space="0" w:color="auto"/>
            <w:bottom w:val="none" w:sz="0" w:space="0" w:color="auto"/>
            <w:right w:val="none" w:sz="0" w:space="0" w:color="auto"/>
          </w:divBdr>
        </w:div>
        <w:div w:id="60297411">
          <w:marLeft w:val="0"/>
          <w:marRight w:val="0"/>
          <w:marTop w:val="0"/>
          <w:marBottom w:val="0"/>
          <w:divBdr>
            <w:top w:val="none" w:sz="0" w:space="0" w:color="auto"/>
            <w:left w:val="none" w:sz="0" w:space="0" w:color="auto"/>
            <w:bottom w:val="none" w:sz="0" w:space="0" w:color="auto"/>
            <w:right w:val="none" w:sz="0" w:space="0" w:color="auto"/>
          </w:divBdr>
        </w:div>
      </w:divsChild>
    </w:div>
    <w:div w:id="308554545">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51349971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21371544">
      <w:bodyDiv w:val="1"/>
      <w:marLeft w:val="0"/>
      <w:marRight w:val="0"/>
      <w:marTop w:val="0"/>
      <w:marBottom w:val="0"/>
      <w:divBdr>
        <w:top w:val="none" w:sz="0" w:space="0" w:color="auto"/>
        <w:left w:val="none" w:sz="0" w:space="0" w:color="auto"/>
        <w:bottom w:val="none" w:sz="0" w:space="0" w:color="auto"/>
        <w:right w:val="none" w:sz="0" w:space="0" w:color="auto"/>
      </w:divBdr>
      <w:divsChild>
        <w:div w:id="1870028932">
          <w:marLeft w:val="0"/>
          <w:marRight w:val="720"/>
          <w:marTop w:val="0"/>
          <w:marBottom w:val="0"/>
          <w:divBdr>
            <w:top w:val="none" w:sz="0" w:space="0" w:color="auto"/>
            <w:left w:val="none" w:sz="0" w:space="0" w:color="auto"/>
            <w:bottom w:val="none" w:sz="0" w:space="0" w:color="auto"/>
            <w:right w:val="none" w:sz="0" w:space="0" w:color="auto"/>
          </w:divBdr>
        </w:div>
        <w:div w:id="1605307227">
          <w:marLeft w:val="0"/>
          <w:marRight w:val="0"/>
          <w:marTop w:val="0"/>
          <w:marBottom w:val="0"/>
          <w:divBdr>
            <w:top w:val="none" w:sz="0" w:space="0" w:color="auto"/>
            <w:left w:val="none" w:sz="0" w:space="0" w:color="auto"/>
            <w:bottom w:val="none" w:sz="0" w:space="0" w:color="auto"/>
            <w:right w:val="none" w:sz="0" w:space="0" w:color="auto"/>
          </w:divBdr>
        </w:div>
      </w:divsChild>
    </w:div>
    <w:div w:id="734401640">
      <w:bodyDiv w:val="1"/>
      <w:marLeft w:val="0"/>
      <w:marRight w:val="0"/>
      <w:marTop w:val="0"/>
      <w:marBottom w:val="0"/>
      <w:divBdr>
        <w:top w:val="none" w:sz="0" w:space="0" w:color="auto"/>
        <w:left w:val="none" w:sz="0" w:space="0" w:color="auto"/>
        <w:bottom w:val="none" w:sz="0" w:space="0" w:color="auto"/>
        <w:right w:val="none" w:sz="0" w:space="0" w:color="auto"/>
      </w:divBdr>
      <w:divsChild>
        <w:div w:id="308218230">
          <w:marLeft w:val="0"/>
          <w:marRight w:val="720"/>
          <w:marTop w:val="0"/>
          <w:marBottom w:val="0"/>
          <w:divBdr>
            <w:top w:val="none" w:sz="0" w:space="0" w:color="auto"/>
            <w:left w:val="none" w:sz="0" w:space="0" w:color="auto"/>
            <w:bottom w:val="none" w:sz="0" w:space="0" w:color="auto"/>
            <w:right w:val="none" w:sz="0" w:space="0" w:color="auto"/>
          </w:divBdr>
        </w:div>
        <w:div w:id="226427391">
          <w:marLeft w:val="0"/>
          <w:marRight w:val="0"/>
          <w:marTop w:val="0"/>
          <w:marBottom w:val="0"/>
          <w:divBdr>
            <w:top w:val="none" w:sz="0" w:space="0" w:color="auto"/>
            <w:left w:val="none" w:sz="0" w:space="0" w:color="auto"/>
            <w:bottom w:val="none" w:sz="0" w:space="0" w:color="auto"/>
            <w:right w:val="none" w:sz="0" w:space="0" w:color="auto"/>
          </w:divBdr>
        </w:div>
      </w:divsChild>
    </w:div>
    <w:div w:id="892041228">
      <w:bodyDiv w:val="1"/>
      <w:marLeft w:val="0"/>
      <w:marRight w:val="0"/>
      <w:marTop w:val="0"/>
      <w:marBottom w:val="0"/>
      <w:divBdr>
        <w:top w:val="none" w:sz="0" w:space="0" w:color="auto"/>
        <w:left w:val="none" w:sz="0" w:space="0" w:color="auto"/>
        <w:bottom w:val="none" w:sz="0" w:space="0" w:color="auto"/>
        <w:right w:val="none" w:sz="0" w:space="0" w:color="auto"/>
      </w:divBdr>
    </w:div>
    <w:div w:id="936015943">
      <w:bodyDiv w:val="1"/>
      <w:marLeft w:val="0"/>
      <w:marRight w:val="0"/>
      <w:marTop w:val="0"/>
      <w:marBottom w:val="0"/>
      <w:divBdr>
        <w:top w:val="none" w:sz="0" w:space="0" w:color="auto"/>
        <w:left w:val="none" w:sz="0" w:space="0" w:color="auto"/>
        <w:bottom w:val="none" w:sz="0" w:space="0" w:color="auto"/>
        <w:right w:val="none" w:sz="0" w:space="0" w:color="auto"/>
      </w:divBdr>
    </w:div>
    <w:div w:id="953288523">
      <w:bodyDiv w:val="1"/>
      <w:marLeft w:val="0"/>
      <w:marRight w:val="0"/>
      <w:marTop w:val="0"/>
      <w:marBottom w:val="0"/>
      <w:divBdr>
        <w:top w:val="none" w:sz="0" w:space="0" w:color="auto"/>
        <w:left w:val="none" w:sz="0" w:space="0" w:color="auto"/>
        <w:bottom w:val="none" w:sz="0" w:space="0" w:color="auto"/>
        <w:right w:val="none" w:sz="0" w:space="0" w:color="auto"/>
      </w:divBdr>
      <w:divsChild>
        <w:div w:id="2095976105">
          <w:marLeft w:val="0"/>
          <w:marRight w:val="720"/>
          <w:marTop w:val="0"/>
          <w:marBottom w:val="0"/>
          <w:divBdr>
            <w:top w:val="none" w:sz="0" w:space="0" w:color="auto"/>
            <w:left w:val="none" w:sz="0" w:space="0" w:color="auto"/>
            <w:bottom w:val="none" w:sz="0" w:space="0" w:color="auto"/>
            <w:right w:val="none" w:sz="0" w:space="0" w:color="auto"/>
          </w:divBdr>
        </w:div>
        <w:div w:id="1993828988">
          <w:marLeft w:val="0"/>
          <w:marRight w:val="0"/>
          <w:marTop w:val="0"/>
          <w:marBottom w:val="0"/>
          <w:divBdr>
            <w:top w:val="none" w:sz="0" w:space="0" w:color="auto"/>
            <w:left w:val="none" w:sz="0" w:space="0" w:color="auto"/>
            <w:bottom w:val="none" w:sz="0" w:space="0" w:color="auto"/>
            <w:right w:val="none" w:sz="0" w:space="0" w:color="auto"/>
          </w:divBdr>
        </w:div>
      </w:divsChild>
    </w:div>
    <w:div w:id="1082331899">
      <w:bodyDiv w:val="1"/>
      <w:marLeft w:val="0"/>
      <w:marRight w:val="0"/>
      <w:marTop w:val="0"/>
      <w:marBottom w:val="0"/>
      <w:divBdr>
        <w:top w:val="none" w:sz="0" w:space="0" w:color="auto"/>
        <w:left w:val="none" w:sz="0" w:space="0" w:color="auto"/>
        <w:bottom w:val="none" w:sz="0" w:space="0" w:color="auto"/>
        <w:right w:val="none" w:sz="0" w:space="0" w:color="auto"/>
      </w:divBdr>
      <w:divsChild>
        <w:div w:id="688260079">
          <w:marLeft w:val="0"/>
          <w:marRight w:val="720"/>
          <w:marTop w:val="0"/>
          <w:marBottom w:val="0"/>
          <w:divBdr>
            <w:top w:val="none" w:sz="0" w:space="0" w:color="auto"/>
            <w:left w:val="none" w:sz="0" w:space="0" w:color="auto"/>
            <w:bottom w:val="none" w:sz="0" w:space="0" w:color="auto"/>
            <w:right w:val="none" w:sz="0" w:space="0" w:color="auto"/>
          </w:divBdr>
        </w:div>
        <w:div w:id="1939175341">
          <w:marLeft w:val="0"/>
          <w:marRight w:val="0"/>
          <w:marTop w:val="0"/>
          <w:marBottom w:val="0"/>
          <w:divBdr>
            <w:top w:val="none" w:sz="0" w:space="0" w:color="auto"/>
            <w:left w:val="none" w:sz="0" w:space="0" w:color="auto"/>
            <w:bottom w:val="none" w:sz="0" w:space="0" w:color="auto"/>
            <w:right w:val="none" w:sz="0" w:space="0" w:color="auto"/>
          </w:divBdr>
        </w:div>
      </w:divsChild>
    </w:div>
    <w:div w:id="1086806011">
      <w:bodyDiv w:val="1"/>
      <w:marLeft w:val="0"/>
      <w:marRight w:val="0"/>
      <w:marTop w:val="0"/>
      <w:marBottom w:val="0"/>
      <w:divBdr>
        <w:top w:val="none" w:sz="0" w:space="0" w:color="auto"/>
        <w:left w:val="none" w:sz="0" w:space="0" w:color="auto"/>
        <w:bottom w:val="none" w:sz="0" w:space="0" w:color="auto"/>
        <w:right w:val="none" w:sz="0" w:space="0" w:color="auto"/>
      </w:divBdr>
    </w:div>
    <w:div w:id="1165785926">
      <w:bodyDiv w:val="1"/>
      <w:marLeft w:val="0"/>
      <w:marRight w:val="0"/>
      <w:marTop w:val="0"/>
      <w:marBottom w:val="0"/>
      <w:divBdr>
        <w:top w:val="none" w:sz="0" w:space="0" w:color="auto"/>
        <w:left w:val="none" w:sz="0" w:space="0" w:color="auto"/>
        <w:bottom w:val="none" w:sz="0" w:space="0" w:color="auto"/>
        <w:right w:val="none" w:sz="0" w:space="0" w:color="auto"/>
      </w:divBdr>
    </w:div>
    <w:div w:id="1176458571">
      <w:bodyDiv w:val="1"/>
      <w:marLeft w:val="0"/>
      <w:marRight w:val="0"/>
      <w:marTop w:val="0"/>
      <w:marBottom w:val="0"/>
      <w:divBdr>
        <w:top w:val="none" w:sz="0" w:space="0" w:color="auto"/>
        <w:left w:val="none" w:sz="0" w:space="0" w:color="auto"/>
        <w:bottom w:val="none" w:sz="0" w:space="0" w:color="auto"/>
        <w:right w:val="none" w:sz="0" w:space="0" w:color="auto"/>
      </w:divBdr>
    </w:div>
    <w:div w:id="1231501036">
      <w:bodyDiv w:val="1"/>
      <w:marLeft w:val="0"/>
      <w:marRight w:val="0"/>
      <w:marTop w:val="0"/>
      <w:marBottom w:val="0"/>
      <w:divBdr>
        <w:top w:val="none" w:sz="0" w:space="0" w:color="auto"/>
        <w:left w:val="none" w:sz="0" w:space="0" w:color="auto"/>
        <w:bottom w:val="none" w:sz="0" w:space="0" w:color="auto"/>
        <w:right w:val="none" w:sz="0" w:space="0" w:color="auto"/>
      </w:divBdr>
      <w:divsChild>
        <w:div w:id="1720472989">
          <w:marLeft w:val="0"/>
          <w:marRight w:val="720"/>
          <w:marTop w:val="0"/>
          <w:marBottom w:val="0"/>
          <w:divBdr>
            <w:top w:val="none" w:sz="0" w:space="0" w:color="auto"/>
            <w:left w:val="none" w:sz="0" w:space="0" w:color="auto"/>
            <w:bottom w:val="none" w:sz="0" w:space="0" w:color="auto"/>
            <w:right w:val="none" w:sz="0" w:space="0" w:color="auto"/>
          </w:divBdr>
        </w:div>
        <w:div w:id="258565819">
          <w:marLeft w:val="0"/>
          <w:marRight w:val="0"/>
          <w:marTop w:val="0"/>
          <w:marBottom w:val="0"/>
          <w:divBdr>
            <w:top w:val="none" w:sz="0" w:space="0" w:color="auto"/>
            <w:left w:val="none" w:sz="0" w:space="0" w:color="auto"/>
            <w:bottom w:val="none" w:sz="0" w:space="0" w:color="auto"/>
            <w:right w:val="none" w:sz="0" w:space="0" w:color="auto"/>
          </w:divBdr>
        </w:div>
      </w:divsChild>
    </w:div>
    <w:div w:id="1262445885">
      <w:bodyDiv w:val="1"/>
      <w:marLeft w:val="0"/>
      <w:marRight w:val="0"/>
      <w:marTop w:val="0"/>
      <w:marBottom w:val="0"/>
      <w:divBdr>
        <w:top w:val="none" w:sz="0" w:space="0" w:color="auto"/>
        <w:left w:val="none" w:sz="0" w:space="0" w:color="auto"/>
        <w:bottom w:val="none" w:sz="0" w:space="0" w:color="auto"/>
        <w:right w:val="none" w:sz="0" w:space="0" w:color="auto"/>
      </w:divBdr>
    </w:div>
    <w:div w:id="1286621493">
      <w:bodyDiv w:val="1"/>
      <w:marLeft w:val="0"/>
      <w:marRight w:val="0"/>
      <w:marTop w:val="0"/>
      <w:marBottom w:val="0"/>
      <w:divBdr>
        <w:top w:val="none" w:sz="0" w:space="0" w:color="auto"/>
        <w:left w:val="none" w:sz="0" w:space="0" w:color="auto"/>
        <w:bottom w:val="none" w:sz="0" w:space="0" w:color="auto"/>
        <w:right w:val="none" w:sz="0" w:space="0" w:color="auto"/>
      </w:divBdr>
    </w:div>
    <w:div w:id="1356930311">
      <w:bodyDiv w:val="1"/>
      <w:marLeft w:val="0"/>
      <w:marRight w:val="0"/>
      <w:marTop w:val="0"/>
      <w:marBottom w:val="0"/>
      <w:divBdr>
        <w:top w:val="none" w:sz="0" w:space="0" w:color="auto"/>
        <w:left w:val="none" w:sz="0" w:space="0" w:color="auto"/>
        <w:bottom w:val="none" w:sz="0" w:space="0" w:color="auto"/>
        <w:right w:val="none" w:sz="0" w:space="0" w:color="auto"/>
      </w:divBdr>
      <w:divsChild>
        <w:div w:id="2142534270">
          <w:marLeft w:val="0"/>
          <w:marRight w:val="720"/>
          <w:marTop w:val="0"/>
          <w:marBottom w:val="0"/>
          <w:divBdr>
            <w:top w:val="none" w:sz="0" w:space="0" w:color="auto"/>
            <w:left w:val="none" w:sz="0" w:space="0" w:color="auto"/>
            <w:bottom w:val="none" w:sz="0" w:space="0" w:color="auto"/>
            <w:right w:val="none" w:sz="0" w:space="0" w:color="auto"/>
          </w:divBdr>
        </w:div>
        <w:div w:id="1698123253">
          <w:marLeft w:val="0"/>
          <w:marRight w:val="0"/>
          <w:marTop w:val="0"/>
          <w:marBottom w:val="0"/>
          <w:divBdr>
            <w:top w:val="none" w:sz="0" w:space="0" w:color="auto"/>
            <w:left w:val="none" w:sz="0" w:space="0" w:color="auto"/>
            <w:bottom w:val="none" w:sz="0" w:space="0" w:color="auto"/>
            <w:right w:val="none" w:sz="0" w:space="0" w:color="auto"/>
          </w:divBdr>
        </w:div>
      </w:divsChild>
    </w:div>
    <w:div w:id="1483698817">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764454833">
      <w:bodyDiv w:val="1"/>
      <w:marLeft w:val="0"/>
      <w:marRight w:val="0"/>
      <w:marTop w:val="0"/>
      <w:marBottom w:val="0"/>
      <w:divBdr>
        <w:top w:val="none" w:sz="0" w:space="0" w:color="auto"/>
        <w:left w:val="none" w:sz="0" w:space="0" w:color="auto"/>
        <w:bottom w:val="none" w:sz="0" w:space="0" w:color="auto"/>
        <w:right w:val="none" w:sz="0" w:space="0" w:color="auto"/>
      </w:divBdr>
    </w:div>
    <w:div w:id="1770538317">
      <w:bodyDiv w:val="1"/>
      <w:marLeft w:val="0"/>
      <w:marRight w:val="0"/>
      <w:marTop w:val="0"/>
      <w:marBottom w:val="0"/>
      <w:divBdr>
        <w:top w:val="none" w:sz="0" w:space="0" w:color="auto"/>
        <w:left w:val="none" w:sz="0" w:space="0" w:color="auto"/>
        <w:bottom w:val="none" w:sz="0" w:space="0" w:color="auto"/>
        <w:right w:val="none" w:sz="0" w:space="0" w:color="auto"/>
      </w:divBdr>
    </w:div>
    <w:div w:id="1967731244">
      <w:bodyDiv w:val="1"/>
      <w:marLeft w:val="0"/>
      <w:marRight w:val="0"/>
      <w:marTop w:val="0"/>
      <w:marBottom w:val="0"/>
      <w:divBdr>
        <w:top w:val="none" w:sz="0" w:space="0" w:color="auto"/>
        <w:left w:val="none" w:sz="0" w:space="0" w:color="auto"/>
        <w:bottom w:val="none" w:sz="0" w:space="0" w:color="auto"/>
        <w:right w:val="none" w:sz="0" w:space="0" w:color="auto"/>
      </w:divBdr>
      <w:divsChild>
        <w:div w:id="543710117">
          <w:marLeft w:val="0"/>
          <w:marRight w:val="720"/>
          <w:marTop w:val="0"/>
          <w:marBottom w:val="0"/>
          <w:divBdr>
            <w:top w:val="none" w:sz="0" w:space="0" w:color="auto"/>
            <w:left w:val="none" w:sz="0" w:space="0" w:color="auto"/>
            <w:bottom w:val="none" w:sz="0" w:space="0" w:color="auto"/>
            <w:right w:val="none" w:sz="0" w:space="0" w:color="auto"/>
          </w:divBdr>
        </w:div>
        <w:div w:id="1520007223">
          <w:marLeft w:val="0"/>
          <w:marRight w:val="0"/>
          <w:marTop w:val="0"/>
          <w:marBottom w:val="0"/>
          <w:divBdr>
            <w:top w:val="none" w:sz="0" w:space="0" w:color="auto"/>
            <w:left w:val="none" w:sz="0" w:space="0" w:color="auto"/>
            <w:bottom w:val="none" w:sz="0" w:space="0" w:color="auto"/>
            <w:right w:val="none" w:sz="0" w:space="0" w:color="auto"/>
          </w:divBdr>
        </w:div>
      </w:divsChild>
    </w:div>
    <w:div w:id="1981956502">
      <w:bodyDiv w:val="1"/>
      <w:marLeft w:val="0"/>
      <w:marRight w:val="0"/>
      <w:marTop w:val="0"/>
      <w:marBottom w:val="0"/>
      <w:divBdr>
        <w:top w:val="none" w:sz="0" w:space="0" w:color="auto"/>
        <w:left w:val="none" w:sz="0" w:space="0" w:color="auto"/>
        <w:bottom w:val="none" w:sz="0" w:space="0" w:color="auto"/>
        <w:right w:val="none" w:sz="0" w:space="0" w:color="auto"/>
      </w:divBdr>
      <w:divsChild>
        <w:div w:id="934434161">
          <w:marLeft w:val="0"/>
          <w:marRight w:val="720"/>
          <w:marTop w:val="0"/>
          <w:marBottom w:val="0"/>
          <w:divBdr>
            <w:top w:val="none" w:sz="0" w:space="0" w:color="auto"/>
            <w:left w:val="none" w:sz="0" w:space="0" w:color="auto"/>
            <w:bottom w:val="none" w:sz="0" w:space="0" w:color="auto"/>
            <w:right w:val="none" w:sz="0" w:space="0" w:color="auto"/>
          </w:divBdr>
        </w:div>
        <w:div w:id="1746031131">
          <w:marLeft w:val="0"/>
          <w:marRight w:val="0"/>
          <w:marTop w:val="0"/>
          <w:marBottom w:val="0"/>
          <w:divBdr>
            <w:top w:val="none" w:sz="0" w:space="0" w:color="auto"/>
            <w:left w:val="none" w:sz="0" w:space="0" w:color="auto"/>
            <w:bottom w:val="none" w:sz="0" w:space="0" w:color="auto"/>
            <w:right w:val="none" w:sz="0" w:space="0" w:color="auto"/>
          </w:divBdr>
        </w:div>
      </w:divsChild>
    </w:div>
    <w:div w:id="2128691134">
      <w:bodyDiv w:val="1"/>
      <w:marLeft w:val="0"/>
      <w:marRight w:val="0"/>
      <w:marTop w:val="0"/>
      <w:marBottom w:val="0"/>
      <w:divBdr>
        <w:top w:val="none" w:sz="0" w:space="0" w:color="auto"/>
        <w:left w:val="none" w:sz="0" w:space="0" w:color="auto"/>
        <w:bottom w:val="none" w:sz="0" w:space="0" w:color="auto"/>
        <w:right w:val="none" w:sz="0" w:space="0" w:color="auto"/>
      </w:divBdr>
      <w:divsChild>
        <w:div w:id="1034162162">
          <w:marLeft w:val="0"/>
          <w:marRight w:val="720"/>
          <w:marTop w:val="0"/>
          <w:marBottom w:val="0"/>
          <w:divBdr>
            <w:top w:val="none" w:sz="0" w:space="0" w:color="auto"/>
            <w:left w:val="none" w:sz="0" w:space="0" w:color="auto"/>
            <w:bottom w:val="none" w:sz="0" w:space="0" w:color="auto"/>
            <w:right w:val="none" w:sz="0" w:space="0" w:color="auto"/>
          </w:divBdr>
        </w:div>
        <w:div w:id="1342200838">
          <w:marLeft w:val="0"/>
          <w:marRight w:val="0"/>
          <w:marTop w:val="0"/>
          <w:marBottom w:val="0"/>
          <w:divBdr>
            <w:top w:val="none" w:sz="0" w:space="0" w:color="auto"/>
            <w:left w:val="none" w:sz="0" w:space="0" w:color="auto"/>
            <w:bottom w:val="none" w:sz="0" w:space="0" w:color="auto"/>
            <w:right w:val="none" w:sz="0" w:space="0" w:color="auto"/>
          </w:divBdr>
        </w:div>
      </w:divsChild>
    </w:div>
    <w:div w:id="214167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18386</TotalTime>
  <Pages>23</Pages>
  <Words>4044</Words>
  <Characters>23056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Alun Morris (2314593)</cp:lastModifiedBy>
  <cp:revision>220</cp:revision>
  <cp:lastPrinted>2025-04-03T13:36:00Z</cp:lastPrinted>
  <dcterms:created xsi:type="dcterms:W3CDTF">2025-03-20T11:31:00Z</dcterms:created>
  <dcterms:modified xsi:type="dcterms:W3CDTF">2026-08-28T11:40:00Z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