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6016083" w14:textId="2DE06851" w:rsidR="00FE71A2" w:rsidRDefault="00FE71A2">
      <w:pPr>
        <w:widowControl w:val="0"/>
        <w:pBdr>
          <w:top w:val="nil"/>
          <w:left w:val="nil"/>
          <w:bottom w:val="nil"/>
          <w:right w:val="nil"/>
          <w:between w:val="nil"/>
        </w:pBdr>
        <w:spacing w:line="276" w:lineRule="auto"/>
        <w:rPr>
          <w:rFonts w:ascii="Arial" w:eastAsia="Arial" w:hAnsi="Arial" w:cs="Arial"/>
          <w:color w:val="000000"/>
          <w:sz w:val="22"/>
          <w:szCs w:val="22"/>
        </w:rPr>
      </w:pPr>
      <w:r>
        <w:rPr>
          <w:rFonts w:ascii="Arial" w:eastAsia="Arial" w:hAnsi="Arial" w:cs="Arial"/>
          <w:color w:val="000000"/>
          <w:sz w:val="22"/>
          <w:szCs w:val="22"/>
        </w:rPr>
        <w:t>NAME:  RACHEAL MONISOLA BECKER.            -    STUDENT NUMBER 2310797</w:t>
      </w:r>
    </w:p>
    <w:tbl>
      <w:tblPr>
        <w:tblStyle w:val="a"/>
        <w:tblW w:w="15538"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179"/>
        <w:gridCol w:w="5179"/>
        <w:gridCol w:w="5180"/>
      </w:tblGrid>
      <w:tr w:rsidR="00B22575" w14:paraId="62452A8C" w14:textId="77777777">
        <w:tc>
          <w:tcPr>
            <w:tcW w:w="10358" w:type="dxa"/>
            <w:gridSpan w:val="2"/>
            <w:tcBorders>
              <w:top w:val="nil"/>
              <w:left w:val="nil"/>
              <w:bottom w:val="nil"/>
              <w:right w:val="nil"/>
            </w:tcBorders>
            <w:shd w:val="clear" w:color="auto" w:fill="1A3A5C"/>
            <w:tcMar>
              <w:top w:w="202" w:type="dxa"/>
              <w:left w:w="259" w:type="dxa"/>
              <w:bottom w:w="202" w:type="dxa"/>
              <w:right w:w="144" w:type="dxa"/>
            </w:tcMar>
            <w:vAlign w:val="center"/>
          </w:tcPr>
          <w:p w14:paraId="4C37F447" w14:textId="77777777" w:rsidR="00B22575" w:rsidRDefault="00202C04">
            <w:pPr>
              <w:spacing w:after="60"/>
            </w:pPr>
            <w:r>
              <w:rPr>
                <w:rFonts w:ascii="Calibri" w:eastAsia="Calibri" w:hAnsi="Calibri" w:cs="Calibri"/>
                <w:b/>
                <w:bCs/>
                <w:color w:val="FFFFFF"/>
                <w:sz w:val="34"/>
                <w:szCs w:val="34"/>
              </w:rPr>
              <w:t>A Critical Investigation into Elderly Care Provision</w:t>
            </w:r>
          </w:p>
          <w:p w14:paraId="19A316C5" w14:textId="77777777" w:rsidR="00B22575" w:rsidRDefault="00202C04">
            <w:pPr>
              <w:spacing w:after="60"/>
            </w:pPr>
            <w:r>
              <w:rPr>
                <w:rFonts w:ascii="Calibri" w:eastAsia="Calibri" w:hAnsi="Calibri" w:cs="Calibri"/>
                <w:b/>
                <w:bCs/>
                <w:color w:val="7FD4E0"/>
                <w:sz w:val="34"/>
                <w:szCs w:val="34"/>
              </w:rPr>
              <w:t>in West Midlands Residential Care Homes</w:t>
            </w:r>
          </w:p>
          <w:p w14:paraId="20AD4847" w14:textId="77777777" w:rsidR="00B22575" w:rsidRDefault="00202C04">
            <w:pPr>
              <w:spacing w:before="40"/>
            </w:pPr>
            <w:r>
              <w:rPr>
                <w:rFonts w:ascii="Calibri" w:eastAsia="Calibri" w:hAnsi="Calibri" w:cs="Calibri"/>
                <w:b/>
                <w:bCs/>
                <w:color w:val="FFFFFF"/>
                <w:sz w:val="17"/>
                <w:szCs w:val="17"/>
                <w:shd w:val="clear" w:color="auto" w:fill="0B7A8A"/>
              </w:rPr>
              <w:t xml:space="preserve">  BSc (Hons) Health and Social Care  </w:t>
            </w:r>
            <w:r>
              <w:t xml:space="preserve">  </w:t>
            </w:r>
            <w:r>
              <w:rPr>
                <w:rFonts w:ascii="Calibri" w:eastAsia="Calibri" w:hAnsi="Calibri" w:cs="Calibri"/>
                <w:b/>
                <w:bCs/>
                <w:color w:val="FFFFFF"/>
                <w:sz w:val="17"/>
                <w:szCs w:val="17"/>
                <w:shd w:val="clear" w:color="auto" w:fill="2A7D4F"/>
              </w:rPr>
              <w:t xml:space="preserve">  BMHP6020 Independent Project  </w:t>
            </w:r>
            <w:r>
              <w:t xml:space="preserve">  </w:t>
            </w:r>
            <w:r>
              <w:rPr>
                <w:rFonts w:ascii="Calibri" w:eastAsia="Calibri" w:hAnsi="Calibri" w:cs="Calibri"/>
                <w:b/>
                <w:bCs/>
                <w:color w:val="FFFFFF"/>
                <w:sz w:val="17"/>
                <w:szCs w:val="17"/>
                <w:shd w:val="clear" w:color="auto" w:fill="6C3483"/>
              </w:rPr>
              <w:t xml:space="preserve">  Element 2: Academic Methods Poster  </w:t>
            </w:r>
          </w:p>
        </w:tc>
        <w:tc>
          <w:tcPr>
            <w:tcW w:w="5180" w:type="dxa"/>
            <w:tcBorders>
              <w:top w:val="nil"/>
              <w:left w:val="nil"/>
              <w:bottom w:val="nil"/>
              <w:right w:val="nil"/>
            </w:tcBorders>
            <w:shd w:val="clear" w:color="auto" w:fill="0E6B8E"/>
            <w:tcMar>
              <w:top w:w="115" w:type="dxa"/>
              <w:left w:w="115" w:type="dxa"/>
              <w:bottom w:w="115" w:type="dxa"/>
              <w:right w:w="115" w:type="dxa"/>
            </w:tcMar>
            <w:vAlign w:val="center"/>
          </w:tcPr>
          <w:p w14:paraId="32BA94ED" w14:textId="77777777" w:rsidR="00B22575" w:rsidRDefault="00202C04">
            <w:pPr>
              <w:jc w:val="center"/>
            </w:pPr>
            <w:r>
              <w:rPr>
                <w:noProof/>
              </w:rPr>
              <w:drawing>
                <wp:inline distT="0" distB="0" distL="0" distR="0" wp14:anchorId="567C234B" wp14:editId="7362E503">
                  <wp:extent cx="2190750" cy="9525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
                          <a:srcRect/>
                          <a:stretch>
                            <a:fillRect/>
                          </a:stretch>
                        </pic:blipFill>
                        <pic:spPr>
                          <a:xfrm>
                            <a:off x="0" y="0"/>
                            <a:ext cx="2190750" cy="952500"/>
                          </a:xfrm>
                          <a:prstGeom prst="rect">
                            <a:avLst/>
                          </a:prstGeom>
                          <a:ln/>
                        </pic:spPr>
                      </pic:pic>
                    </a:graphicData>
                  </a:graphic>
                </wp:inline>
              </w:drawing>
            </w:r>
          </w:p>
          <w:p w14:paraId="3AF0065D" w14:textId="77777777" w:rsidR="00B22575" w:rsidRDefault="00202C04">
            <w:pPr>
              <w:spacing w:before="40"/>
              <w:jc w:val="center"/>
              <w:rPr>
                <w:b/>
                <w:bCs/>
              </w:rPr>
            </w:pPr>
            <w:r>
              <w:rPr>
                <w:rFonts w:ascii="Calibri" w:eastAsia="Calibri" w:hAnsi="Calibri" w:cs="Calibri"/>
                <w:b/>
                <w:bCs/>
                <w:i/>
                <w:iCs/>
                <w:sz w:val="14"/>
                <w:szCs w:val="14"/>
              </w:rPr>
              <w:t>University of Wales Trinity Saint David</w:t>
            </w:r>
          </w:p>
          <w:p w14:paraId="2530F574" w14:textId="77777777" w:rsidR="00B22575" w:rsidRDefault="00202C04">
            <w:pPr>
              <w:spacing w:before="10"/>
              <w:jc w:val="center"/>
              <w:rPr>
                <w:b/>
                <w:bCs/>
              </w:rPr>
            </w:pPr>
            <w:r>
              <w:rPr>
                <w:rFonts w:ascii="Calibri" w:eastAsia="Calibri" w:hAnsi="Calibri" w:cs="Calibri"/>
                <w:b/>
                <w:bCs/>
                <w:i/>
                <w:iCs/>
                <w:sz w:val="12"/>
                <w:szCs w:val="12"/>
              </w:rPr>
              <w:t xml:space="preserve">Fig. </w:t>
            </w:r>
            <w:proofErr w:type="gramStart"/>
            <w:r>
              <w:rPr>
                <w:rFonts w:ascii="Calibri" w:eastAsia="Calibri" w:hAnsi="Calibri" w:cs="Calibri"/>
                <w:b/>
                <w:bCs/>
                <w:i/>
                <w:iCs/>
                <w:sz w:val="12"/>
                <w:szCs w:val="12"/>
              </w:rPr>
              <w:t>0  (</w:t>
            </w:r>
            <w:proofErr w:type="gramEnd"/>
            <w:r>
              <w:rPr>
                <w:rFonts w:ascii="Calibri" w:eastAsia="Calibri" w:hAnsi="Calibri" w:cs="Calibri"/>
                <w:b/>
                <w:bCs/>
                <w:i/>
                <w:iCs/>
                <w:sz w:val="12"/>
                <w:szCs w:val="12"/>
              </w:rPr>
              <w:t>Simons-Voss, n.d.)</w:t>
            </w:r>
          </w:p>
        </w:tc>
      </w:tr>
      <w:tr w:rsidR="00B22575" w14:paraId="4179B739" w14:textId="77777777">
        <w:tc>
          <w:tcPr>
            <w:tcW w:w="5179" w:type="dxa"/>
            <w:tcBorders>
              <w:top w:val="single" w:sz="4" w:space="0" w:color="CCDDEE"/>
              <w:left w:val="single" w:sz="4" w:space="0" w:color="CCDDEE"/>
              <w:bottom w:val="single" w:sz="4" w:space="0" w:color="CCDDEE"/>
              <w:right w:val="single" w:sz="4" w:space="0" w:color="CCDDEE"/>
            </w:tcBorders>
            <w:shd w:val="clear" w:color="auto" w:fill="E8F7F9"/>
            <w:tcMar>
              <w:top w:w="144" w:type="dxa"/>
              <w:left w:w="173" w:type="dxa"/>
              <w:bottom w:w="144" w:type="dxa"/>
              <w:right w:w="173" w:type="dxa"/>
            </w:tcMar>
          </w:tcPr>
          <w:p w14:paraId="127E1AAC" w14:textId="77777777" w:rsidR="00B22575" w:rsidRDefault="00202C04">
            <w:pPr>
              <w:spacing w:after="80"/>
            </w:pPr>
            <w:r>
              <w:rPr>
                <w:b/>
                <w:bCs/>
                <w:color w:val="FFFFFF"/>
                <w:sz w:val="16"/>
                <w:szCs w:val="16"/>
                <w:shd w:val="clear" w:color="auto" w:fill="0B7A8A"/>
              </w:rPr>
              <w:t xml:space="preserve">  01  </w:t>
            </w:r>
            <w:r>
              <w:t xml:space="preserve">  </w:t>
            </w:r>
            <w:r>
              <w:rPr>
                <w:rFonts w:ascii="Calibri" w:eastAsia="Calibri" w:hAnsi="Calibri" w:cs="Calibri"/>
                <w:b/>
                <w:bCs/>
                <w:color w:val="0B7A8A"/>
                <w:sz w:val="18"/>
                <w:szCs w:val="18"/>
              </w:rPr>
              <w:t>INTRODUCTION &amp; RESEARCH AIM</w:t>
            </w:r>
          </w:p>
          <w:p w14:paraId="0AD1FBD9" w14:textId="77777777" w:rsidR="00B22575" w:rsidRDefault="00202C04">
            <w:pPr>
              <w:spacing w:before="60" w:after="40"/>
              <w:jc w:val="center"/>
            </w:pPr>
            <w:r>
              <w:rPr>
                <w:noProof/>
              </w:rPr>
              <w:drawing>
                <wp:inline distT="0" distB="0" distL="0" distR="0" wp14:anchorId="33F88C17" wp14:editId="61232CB0">
                  <wp:extent cx="1905000" cy="104775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5"/>
                          <a:srcRect/>
                          <a:stretch>
                            <a:fillRect/>
                          </a:stretch>
                        </pic:blipFill>
                        <pic:spPr>
                          <a:xfrm>
                            <a:off x="0" y="0"/>
                            <a:ext cx="1905000" cy="1047750"/>
                          </a:xfrm>
                          <a:prstGeom prst="rect">
                            <a:avLst/>
                          </a:prstGeom>
                          <a:ln/>
                        </pic:spPr>
                      </pic:pic>
                    </a:graphicData>
                  </a:graphic>
                </wp:inline>
              </w:drawing>
            </w:r>
          </w:p>
          <w:p w14:paraId="34B7729F" w14:textId="77777777" w:rsidR="00B22575" w:rsidRDefault="00202C04">
            <w:pPr>
              <w:spacing w:after="80"/>
              <w:jc w:val="center"/>
              <w:rPr>
                <w:b/>
                <w:bCs/>
              </w:rPr>
            </w:pPr>
            <w:r>
              <w:rPr>
                <w:b/>
                <w:bCs/>
                <w:i/>
                <w:iCs/>
                <w:sz w:val="14"/>
                <w:szCs w:val="14"/>
              </w:rPr>
              <w:t xml:space="preserve">Fig. </w:t>
            </w:r>
            <w:proofErr w:type="gramStart"/>
            <w:r>
              <w:rPr>
                <w:b/>
                <w:bCs/>
                <w:i/>
                <w:iCs/>
                <w:sz w:val="14"/>
                <w:szCs w:val="14"/>
              </w:rPr>
              <w:t>1  Everyday</w:t>
            </w:r>
            <w:proofErr w:type="gramEnd"/>
            <w:r>
              <w:rPr>
                <w:b/>
                <w:bCs/>
                <w:i/>
                <w:iCs/>
                <w:sz w:val="14"/>
                <w:szCs w:val="14"/>
              </w:rPr>
              <w:t xml:space="preserve"> life in residential care (Medium, n.d.)</w:t>
            </w:r>
          </w:p>
          <w:p w14:paraId="7CB51FD7" w14:textId="77777777" w:rsidR="00B22575" w:rsidRDefault="00202C04">
            <w:pPr>
              <w:spacing w:before="40" w:after="60"/>
            </w:pPr>
            <w:r>
              <w:rPr>
                <w:rFonts w:ascii="Calibri" w:eastAsia="Calibri" w:hAnsi="Calibri" w:cs="Calibri"/>
                <w:color w:val="2D3A4A"/>
                <w:sz w:val="18"/>
                <w:szCs w:val="18"/>
              </w:rPr>
              <w:t>This study aims to critically examine the quality of care provided to elderly residents in West Midlands residential care homes, focusing on service gaps, policy implementation, and improvements for residents’ wellbeing and dignity.</w:t>
            </w:r>
          </w:p>
          <w:p w14:paraId="4B937264" w14:textId="77777777" w:rsidR="00B22575" w:rsidRDefault="00202C04">
            <w:pPr>
              <w:spacing w:before="40" w:after="40"/>
            </w:pPr>
            <w:r>
              <w:rPr>
                <w:rFonts w:ascii="Calibri" w:eastAsia="Calibri" w:hAnsi="Calibri" w:cs="Calibri"/>
                <w:color w:val="0B7A8A"/>
                <w:sz w:val="18"/>
                <w:szCs w:val="18"/>
              </w:rPr>
              <w:t>‘The motivating impulse of a dissertation is to identify, analyse and contribute to a significant problem.’</w:t>
            </w:r>
          </w:p>
          <w:p w14:paraId="729846C2" w14:textId="77777777" w:rsidR="00B22575" w:rsidRDefault="00202C04">
            <w:pPr>
              <w:spacing w:before="30" w:after="30"/>
              <w:ind w:left="216" w:hanging="173"/>
            </w:pPr>
            <w:proofErr w:type="gramStart"/>
            <w:r>
              <w:rPr>
                <w:b/>
                <w:bCs/>
                <w:color w:val="0B7A8A"/>
                <w:sz w:val="17"/>
                <w:szCs w:val="17"/>
              </w:rPr>
              <w:t xml:space="preserve">▸  </w:t>
            </w:r>
            <w:r>
              <w:rPr>
                <w:rFonts w:ascii="Calibri" w:eastAsia="Calibri" w:hAnsi="Calibri" w:cs="Calibri"/>
                <w:color w:val="333333"/>
                <w:sz w:val="17"/>
                <w:szCs w:val="17"/>
              </w:rPr>
              <w:t>Critically</w:t>
            </w:r>
            <w:proofErr w:type="gramEnd"/>
            <w:r>
              <w:rPr>
                <w:rFonts w:ascii="Calibri" w:eastAsia="Calibri" w:hAnsi="Calibri" w:cs="Calibri"/>
                <w:color w:val="333333"/>
                <w:sz w:val="17"/>
                <w:szCs w:val="17"/>
              </w:rPr>
              <w:t xml:space="preserve"> examine care quality standards</w:t>
            </w:r>
          </w:p>
          <w:p w14:paraId="56DF77E9" w14:textId="77777777" w:rsidR="00B22575" w:rsidRDefault="00202C04">
            <w:pPr>
              <w:spacing w:before="30" w:after="30"/>
              <w:ind w:left="216" w:hanging="173"/>
            </w:pPr>
            <w:proofErr w:type="gramStart"/>
            <w:r>
              <w:rPr>
                <w:b/>
                <w:bCs/>
                <w:color w:val="0B7A8A"/>
                <w:sz w:val="17"/>
                <w:szCs w:val="17"/>
              </w:rPr>
              <w:t xml:space="preserve">▸  </w:t>
            </w:r>
            <w:r>
              <w:rPr>
                <w:rFonts w:ascii="Calibri" w:eastAsia="Calibri" w:hAnsi="Calibri" w:cs="Calibri"/>
                <w:color w:val="333333"/>
                <w:sz w:val="17"/>
                <w:szCs w:val="17"/>
              </w:rPr>
              <w:t>Identify</w:t>
            </w:r>
            <w:proofErr w:type="gramEnd"/>
            <w:r>
              <w:rPr>
                <w:rFonts w:ascii="Calibri" w:eastAsia="Calibri" w:hAnsi="Calibri" w:cs="Calibri"/>
                <w:color w:val="333333"/>
                <w:sz w:val="17"/>
                <w:szCs w:val="17"/>
              </w:rPr>
              <w:t xml:space="preserve"> policy-to-practice gaps in the region</w:t>
            </w:r>
          </w:p>
          <w:p w14:paraId="56081403" w14:textId="77777777" w:rsidR="00B22575" w:rsidRDefault="00202C04">
            <w:pPr>
              <w:spacing w:before="30" w:after="30"/>
              <w:ind w:left="216" w:hanging="173"/>
            </w:pPr>
            <w:proofErr w:type="gramStart"/>
            <w:r>
              <w:rPr>
                <w:b/>
                <w:bCs/>
                <w:color w:val="0B7A8A"/>
                <w:sz w:val="17"/>
                <w:szCs w:val="17"/>
              </w:rPr>
              <w:t xml:space="preserve">▸  </w:t>
            </w:r>
            <w:r>
              <w:rPr>
                <w:rFonts w:ascii="Calibri" w:eastAsia="Calibri" w:hAnsi="Calibri" w:cs="Calibri"/>
                <w:color w:val="333333"/>
                <w:sz w:val="17"/>
                <w:szCs w:val="17"/>
              </w:rPr>
              <w:t>Propose</w:t>
            </w:r>
            <w:proofErr w:type="gramEnd"/>
            <w:r>
              <w:rPr>
                <w:rFonts w:ascii="Calibri" w:eastAsia="Calibri" w:hAnsi="Calibri" w:cs="Calibri"/>
                <w:color w:val="333333"/>
                <w:sz w:val="17"/>
                <w:szCs w:val="17"/>
              </w:rPr>
              <w:t xml:space="preserve"> realistic service improvements</w:t>
            </w:r>
          </w:p>
          <w:p w14:paraId="0EF4A649" w14:textId="77777777" w:rsidR="00B22575" w:rsidRDefault="00202C04">
            <w:pPr>
              <w:spacing w:before="50"/>
            </w:pPr>
            <w:r>
              <w:rPr>
                <w:rFonts w:ascii="Calibri" w:eastAsia="Calibri" w:hAnsi="Calibri" w:cs="Calibri"/>
                <w:sz w:val="18"/>
                <w:szCs w:val="18"/>
              </w:rPr>
              <w:t>(Kingston et al., 2018; Towers et al., 2020)</w:t>
            </w:r>
          </w:p>
        </w:tc>
        <w:tc>
          <w:tcPr>
            <w:tcW w:w="5179" w:type="dxa"/>
            <w:tcBorders>
              <w:top w:val="single" w:sz="4" w:space="0" w:color="CCDDEE"/>
              <w:left w:val="single" w:sz="4" w:space="0" w:color="CCDDEE"/>
              <w:bottom w:val="single" w:sz="4" w:space="0" w:color="CCDDEE"/>
              <w:right w:val="single" w:sz="4" w:space="0" w:color="CCDDEE"/>
            </w:tcBorders>
            <w:shd w:val="clear" w:color="auto" w:fill="EBF0F7"/>
            <w:tcMar>
              <w:top w:w="144" w:type="dxa"/>
              <w:left w:w="173" w:type="dxa"/>
              <w:bottom w:w="144" w:type="dxa"/>
              <w:right w:w="173" w:type="dxa"/>
            </w:tcMar>
          </w:tcPr>
          <w:p w14:paraId="5A9C0746" w14:textId="77777777" w:rsidR="00B22575" w:rsidRDefault="00202C04">
            <w:pPr>
              <w:spacing w:after="80"/>
            </w:pPr>
            <w:r>
              <w:rPr>
                <w:b/>
                <w:bCs/>
                <w:color w:val="FFFFFF"/>
                <w:sz w:val="16"/>
                <w:szCs w:val="16"/>
                <w:shd w:val="clear" w:color="auto" w:fill="1A3A5C"/>
              </w:rPr>
              <w:t xml:space="preserve">  02  </w:t>
            </w:r>
            <w:r>
              <w:t xml:space="preserve">  </w:t>
            </w:r>
            <w:r>
              <w:rPr>
                <w:rFonts w:ascii="Calibri" w:eastAsia="Calibri" w:hAnsi="Calibri" w:cs="Calibri"/>
                <w:b/>
                <w:bCs/>
                <w:color w:val="1A3A5C"/>
                <w:sz w:val="18"/>
                <w:szCs w:val="18"/>
              </w:rPr>
              <w:t>WHY SECONDARY RESEARCH?</w:t>
            </w:r>
          </w:p>
          <w:p w14:paraId="2ECFF095" w14:textId="77777777" w:rsidR="00B22575" w:rsidRDefault="00202C04">
            <w:pPr>
              <w:spacing w:before="60" w:after="40"/>
              <w:jc w:val="center"/>
            </w:pPr>
            <w:r>
              <w:rPr>
                <w:noProof/>
              </w:rPr>
              <w:drawing>
                <wp:inline distT="0" distB="0" distL="0" distR="0" wp14:anchorId="1D765014" wp14:editId="5EEAD792">
                  <wp:extent cx="1905000" cy="104775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a:stretch>
                            <a:fillRect/>
                          </a:stretch>
                        </pic:blipFill>
                        <pic:spPr>
                          <a:xfrm>
                            <a:off x="0" y="0"/>
                            <a:ext cx="1905000" cy="1047750"/>
                          </a:xfrm>
                          <a:prstGeom prst="rect">
                            <a:avLst/>
                          </a:prstGeom>
                          <a:ln/>
                        </pic:spPr>
                      </pic:pic>
                    </a:graphicData>
                  </a:graphic>
                </wp:inline>
              </w:drawing>
            </w:r>
          </w:p>
          <w:p w14:paraId="7A4D4A09" w14:textId="77777777" w:rsidR="00B22575" w:rsidRDefault="00202C04">
            <w:pPr>
              <w:spacing w:after="80"/>
              <w:jc w:val="center"/>
            </w:pPr>
            <w:r>
              <w:rPr>
                <w:i/>
                <w:iCs/>
                <w:sz w:val="14"/>
                <w:szCs w:val="14"/>
              </w:rPr>
              <w:t>Fig. 2 Systematic review process (ResearchGate, n.d.)</w:t>
            </w:r>
          </w:p>
          <w:p w14:paraId="021E272C" w14:textId="77777777" w:rsidR="00B22575" w:rsidRDefault="00202C04">
            <w:pPr>
              <w:spacing w:before="40" w:after="60"/>
            </w:pPr>
            <w:r>
              <w:rPr>
                <w:rFonts w:ascii="Calibri" w:eastAsia="Calibri" w:hAnsi="Calibri" w:cs="Calibri"/>
                <w:color w:val="2D3A4A"/>
                <w:sz w:val="18"/>
                <w:szCs w:val="18"/>
              </w:rPr>
              <w:t>A secondary research design was chosen because a large, fragmented body of published work already exists on elderly residential care across journals, government reports, and regulatory data. Bringing it together through narrative review is the most practical approach.</w:t>
            </w:r>
          </w:p>
          <w:p w14:paraId="59D165AD" w14:textId="77777777" w:rsidR="00B22575" w:rsidRDefault="00202C04">
            <w:pPr>
              <w:spacing w:before="30" w:after="30"/>
              <w:ind w:left="216" w:hanging="173"/>
            </w:pPr>
            <w:proofErr w:type="gramStart"/>
            <w:r>
              <w:rPr>
                <w:b/>
                <w:bCs/>
                <w:color w:val="1A3A5C"/>
                <w:sz w:val="17"/>
                <w:szCs w:val="17"/>
              </w:rPr>
              <w:t xml:space="preserve">▸  </w:t>
            </w:r>
            <w:r>
              <w:rPr>
                <w:rFonts w:ascii="Calibri" w:eastAsia="Calibri" w:hAnsi="Calibri" w:cs="Calibri"/>
                <w:color w:val="333333"/>
                <w:sz w:val="17"/>
                <w:szCs w:val="17"/>
              </w:rPr>
              <w:t>Synthesises</w:t>
            </w:r>
            <w:proofErr w:type="gramEnd"/>
            <w:r>
              <w:rPr>
                <w:rFonts w:ascii="Calibri" w:eastAsia="Calibri" w:hAnsi="Calibri" w:cs="Calibri"/>
                <w:color w:val="333333"/>
                <w:sz w:val="17"/>
                <w:szCs w:val="17"/>
              </w:rPr>
              <w:t xml:space="preserve"> fragmented evidence efficiently</w:t>
            </w:r>
          </w:p>
          <w:p w14:paraId="51367B82" w14:textId="77777777" w:rsidR="00B22575" w:rsidRDefault="00202C04">
            <w:pPr>
              <w:spacing w:before="30" w:after="30"/>
              <w:ind w:left="216" w:hanging="173"/>
            </w:pPr>
            <w:proofErr w:type="gramStart"/>
            <w:r>
              <w:rPr>
                <w:b/>
                <w:bCs/>
                <w:color w:val="1A3A5C"/>
                <w:sz w:val="17"/>
                <w:szCs w:val="17"/>
              </w:rPr>
              <w:t xml:space="preserve">▸  </w:t>
            </w:r>
            <w:r>
              <w:rPr>
                <w:rFonts w:ascii="Calibri" w:eastAsia="Calibri" w:hAnsi="Calibri" w:cs="Calibri"/>
                <w:color w:val="333333"/>
                <w:sz w:val="17"/>
                <w:szCs w:val="17"/>
              </w:rPr>
              <w:t>Avoids</w:t>
            </w:r>
            <w:proofErr w:type="gramEnd"/>
            <w:r>
              <w:rPr>
                <w:rFonts w:ascii="Calibri" w:eastAsia="Calibri" w:hAnsi="Calibri" w:cs="Calibri"/>
                <w:color w:val="333333"/>
                <w:sz w:val="17"/>
                <w:szCs w:val="17"/>
              </w:rPr>
              <w:t xml:space="preserve"> ethical complications of direct data collection from vulnerable adults</w:t>
            </w:r>
          </w:p>
          <w:p w14:paraId="322D1D05" w14:textId="77777777" w:rsidR="00B22575" w:rsidRDefault="00202C04">
            <w:pPr>
              <w:spacing w:before="30" w:after="30"/>
              <w:ind w:left="216" w:hanging="173"/>
            </w:pPr>
            <w:proofErr w:type="gramStart"/>
            <w:r>
              <w:rPr>
                <w:b/>
                <w:bCs/>
                <w:color w:val="1A3A5C"/>
                <w:sz w:val="17"/>
                <w:szCs w:val="17"/>
              </w:rPr>
              <w:t xml:space="preserve">▸  </w:t>
            </w:r>
            <w:r>
              <w:rPr>
                <w:rFonts w:ascii="Calibri" w:eastAsia="Calibri" w:hAnsi="Calibri" w:cs="Calibri"/>
                <w:color w:val="333333"/>
                <w:sz w:val="17"/>
                <w:szCs w:val="17"/>
              </w:rPr>
              <w:t>No</w:t>
            </w:r>
            <w:proofErr w:type="gramEnd"/>
            <w:r>
              <w:rPr>
                <w:rFonts w:ascii="Calibri" w:eastAsia="Calibri" w:hAnsi="Calibri" w:cs="Calibri"/>
                <w:color w:val="333333"/>
                <w:sz w:val="17"/>
                <w:szCs w:val="17"/>
              </w:rPr>
              <w:t xml:space="preserve"> institutional consent required</w:t>
            </w:r>
          </w:p>
          <w:p w14:paraId="07BF06C9" w14:textId="77777777" w:rsidR="00B22575" w:rsidRDefault="00202C04">
            <w:pPr>
              <w:spacing w:before="30" w:after="30"/>
              <w:ind w:left="216" w:hanging="173"/>
            </w:pPr>
            <w:proofErr w:type="gramStart"/>
            <w:r>
              <w:rPr>
                <w:b/>
                <w:bCs/>
                <w:color w:val="1A3A5C"/>
                <w:sz w:val="17"/>
                <w:szCs w:val="17"/>
              </w:rPr>
              <w:t xml:space="preserve">▸  </w:t>
            </w:r>
            <w:r>
              <w:rPr>
                <w:rFonts w:ascii="Calibri" w:eastAsia="Calibri" w:hAnsi="Calibri" w:cs="Calibri"/>
                <w:color w:val="333333"/>
                <w:sz w:val="17"/>
                <w:szCs w:val="17"/>
              </w:rPr>
              <w:t>Broad</w:t>
            </w:r>
            <w:proofErr w:type="gramEnd"/>
            <w:r>
              <w:rPr>
                <w:rFonts w:ascii="Calibri" w:eastAsia="Calibri" w:hAnsi="Calibri" w:cs="Calibri"/>
                <w:color w:val="333333"/>
                <w:sz w:val="17"/>
                <w:szCs w:val="17"/>
              </w:rPr>
              <w:t>, contextualised examination possible (Johnston, 2017)</w:t>
            </w:r>
          </w:p>
        </w:tc>
        <w:tc>
          <w:tcPr>
            <w:tcW w:w="5180" w:type="dxa"/>
            <w:tcBorders>
              <w:top w:val="single" w:sz="4" w:space="0" w:color="CCDDEE"/>
              <w:left w:val="single" w:sz="4" w:space="0" w:color="CCDDEE"/>
              <w:bottom w:val="single" w:sz="4" w:space="0" w:color="CCDDEE"/>
              <w:right w:val="single" w:sz="4" w:space="0" w:color="CCDDEE"/>
            </w:tcBorders>
            <w:shd w:val="clear" w:color="auto" w:fill="EBF7F0"/>
            <w:tcMar>
              <w:top w:w="144" w:type="dxa"/>
              <w:left w:w="173" w:type="dxa"/>
              <w:bottom w:w="144" w:type="dxa"/>
              <w:right w:w="173" w:type="dxa"/>
            </w:tcMar>
          </w:tcPr>
          <w:p w14:paraId="467408D0" w14:textId="77777777" w:rsidR="00B22575" w:rsidRDefault="00202C04">
            <w:pPr>
              <w:spacing w:after="80"/>
            </w:pPr>
            <w:r>
              <w:rPr>
                <w:b/>
                <w:bCs/>
                <w:color w:val="FFFFFF"/>
                <w:sz w:val="16"/>
                <w:szCs w:val="16"/>
                <w:shd w:val="clear" w:color="auto" w:fill="2A7D4F"/>
              </w:rPr>
              <w:t xml:space="preserve">  03  </w:t>
            </w:r>
            <w:r>
              <w:t xml:space="preserve">  </w:t>
            </w:r>
            <w:r>
              <w:rPr>
                <w:rFonts w:ascii="Calibri" w:eastAsia="Calibri" w:hAnsi="Calibri" w:cs="Calibri"/>
                <w:b/>
                <w:bCs/>
                <w:color w:val="2A7D4F"/>
                <w:sz w:val="18"/>
                <w:szCs w:val="18"/>
              </w:rPr>
              <w:t>SEARCH STRATEGY</w:t>
            </w:r>
          </w:p>
          <w:p w14:paraId="6C82EB73" w14:textId="77777777" w:rsidR="00B22575" w:rsidRDefault="00202C04">
            <w:pPr>
              <w:spacing w:before="60" w:after="40"/>
              <w:jc w:val="center"/>
            </w:pPr>
            <w:r>
              <w:rPr>
                <w:noProof/>
              </w:rPr>
              <w:drawing>
                <wp:inline distT="0" distB="0" distL="0" distR="0" wp14:anchorId="725CE0BD" wp14:editId="7026B7A8">
                  <wp:extent cx="1905000" cy="104775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7"/>
                          <a:srcRect/>
                          <a:stretch>
                            <a:fillRect/>
                          </a:stretch>
                        </pic:blipFill>
                        <pic:spPr>
                          <a:xfrm>
                            <a:off x="0" y="0"/>
                            <a:ext cx="1905000" cy="1047750"/>
                          </a:xfrm>
                          <a:prstGeom prst="rect">
                            <a:avLst/>
                          </a:prstGeom>
                          <a:ln/>
                        </pic:spPr>
                      </pic:pic>
                    </a:graphicData>
                  </a:graphic>
                </wp:inline>
              </w:drawing>
            </w:r>
          </w:p>
          <w:p w14:paraId="758F9D73" w14:textId="77777777" w:rsidR="00B22575" w:rsidRDefault="00202C04">
            <w:pPr>
              <w:spacing w:after="80"/>
              <w:jc w:val="center"/>
              <w:rPr>
                <w:b/>
                <w:bCs/>
              </w:rPr>
            </w:pPr>
            <w:r>
              <w:rPr>
                <w:b/>
                <w:bCs/>
                <w:i/>
                <w:iCs/>
                <w:sz w:val="14"/>
                <w:szCs w:val="14"/>
              </w:rPr>
              <w:t>Fig. 3 PubMed vs CINAHL (YouTube, n.d.)</w:t>
            </w:r>
          </w:p>
          <w:p w14:paraId="21983C97" w14:textId="77777777" w:rsidR="00B22575" w:rsidRDefault="00202C04">
            <w:pPr>
              <w:spacing w:before="40" w:after="60"/>
            </w:pPr>
            <w:r>
              <w:rPr>
                <w:rFonts w:ascii="Calibri" w:eastAsia="Calibri" w:hAnsi="Calibri" w:cs="Calibri"/>
                <w:b/>
                <w:bCs/>
                <w:color w:val="2A7D4F"/>
                <w:sz w:val="18"/>
                <w:szCs w:val="18"/>
              </w:rPr>
              <w:t>Four core academic databases searched:</w:t>
            </w:r>
          </w:p>
          <w:p w14:paraId="6859316A" w14:textId="77777777" w:rsidR="00B22575" w:rsidRDefault="00202C04">
            <w:pPr>
              <w:spacing w:before="40" w:after="60"/>
            </w:pPr>
            <w:r>
              <w:rPr>
                <w:rFonts w:ascii="Calibri" w:eastAsia="Calibri" w:hAnsi="Calibri" w:cs="Calibri"/>
                <w:b/>
                <w:bCs/>
                <w:color w:val="FFFFFF"/>
                <w:sz w:val="17"/>
                <w:szCs w:val="17"/>
                <w:shd w:val="clear" w:color="auto" w:fill="0B7A8A"/>
              </w:rPr>
              <w:t xml:space="preserve">  PubMed  </w:t>
            </w:r>
            <w:r>
              <w:t xml:space="preserve"> </w:t>
            </w:r>
            <w:r>
              <w:rPr>
                <w:rFonts w:ascii="Calibri" w:eastAsia="Calibri" w:hAnsi="Calibri" w:cs="Calibri"/>
                <w:b/>
                <w:bCs/>
                <w:color w:val="FFFFFF"/>
                <w:sz w:val="17"/>
                <w:szCs w:val="17"/>
                <w:shd w:val="clear" w:color="auto" w:fill="1A3A5C"/>
              </w:rPr>
              <w:t xml:space="preserve">  CINAHL  </w:t>
            </w:r>
            <w:r>
              <w:t xml:space="preserve"> </w:t>
            </w:r>
            <w:r>
              <w:rPr>
                <w:rFonts w:ascii="Calibri" w:eastAsia="Calibri" w:hAnsi="Calibri" w:cs="Calibri"/>
                <w:b/>
                <w:bCs/>
                <w:color w:val="FFFFFF"/>
                <w:sz w:val="17"/>
                <w:szCs w:val="17"/>
                <w:shd w:val="clear" w:color="auto" w:fill="2A7D4F"/>
              </w:rPr>
              <w:t xml:space="preserve">  PsycINFO  </w:t>
            </w:r>
            <w:r>
              <w:t xml:space="preserve"> </w:t>
            </w:r>
            <w:r>
              <w:rPr>
                <w:rFonts w:ascii="Calibri" w:eastAsia="Calibri" w:hAnsi="Calibri" w:cs="Calibri"/>
                <w:b/>
                <w:bCs/>
                <w:color w:val="FFFFFF"/>
                <w:sz w:val="17"/>
                <w:szCs w:val="17"/>
                <w:shd w:val="clear" w:color="auto" w:fill="6C3483"/>
              </w:rPr>
              <w:t xml:space="preserve">  Social Care Online  </w:t>
            </w:r>
          </w:p>
          <w:p w14:paraId="40C99111" w14:textId="77777777" w:rsidR="00B22575" w:rsidRDefault="00202C04">
            <w:pPr>
              <w:spacing w:before="40" w:after="60"/>
            </w:pPr>
            <w:r>
              <w:rPr>
                <w:rFonts w:ascii="Calibri" w:eastAsia="Calibri" w:hAnsi="Calibri" w:cs="Calibri"/>
                <w:color w:val="2D3A4A"/>
                <w:sz w:val="18"/>
                <w:szCs w:val="18"/>
              </w:rPr>
              <w:t>Boolean operators combined: elderly care · residential settings · care quality · staffing · person-centred practice</w:t>
            </w:r>
          </w:p>
          <w:p w14:paraId="0FCEFFB0" w14:textId="77777777" w:rsidR="00B22575" w:rsidRDefault="00202C04">
            <w:pPr>
              <w:spacing w:before="60" w:after="40"/>
            </w:pPr>
            <w:r>
              <w:rPr>
                <w:rFonts w:ascii="Calibri" w:eastAsia="Calibri" w:hAnsi="Calibri" w:cs="Calibri"/>
                <w:b/>
                <w:bCs/>
                <w:color w:val="2A7D4F"/>
                <w:sz w:val="18"/>
                <w:szCs w:val="18"/>
              </w:rPr>
              <w:t>Refining the search:</w:t>
            </w:r>
          </w:p>
          <w:p w14:paraId="1333B37E" w14:textId="77777777" w:rsidR="00B22575" w:rsidRDefault="00202C04">
            <w:pPr>
              <w:spacing w:before="40" w:after="60"/>
            </w:pPr>
            <w:r>
              <w:rPr>
                <w:rFonts w:ascii="Calibri" w:eastAsia="Calibri" w:hAnsi="Calibri" w:cs="Calibri"/>
                <w:color w:val="2D3A4A"/>
                <w:sz w:val="18"/>
                <w:szCs w:val="18"/>
              </w:rPr>
              <w:t>Titles and abstracts were screened to remove clearly irrelevant studies. Remaining full texts were assessed against the inclusion/exclusion criteria (Sections 06–07) and logged in a Source Tracking Table (Section 11) before progressing to the Results Summary Table (overleaf).</w:t>
            </w:r>
          </w:p>
        </w:tc>
      </w:tr>
      <w:tr w:rsidR="00B22575" w14:paraId="355C3CF0" w14:textId="77777777">
        <w:tc>
          <w:tcPr>
            <w:tcW w:w="10358" w:type="dxa"/>
            <w:gridSpan w:val="2"/>
            <w:tcBorders>
              <w:top w:val="single" w:sz="4" w:space="0" w:color="CCDDEE"/>
              <w:left w:val="single" w:sz="4" w:space="0" w:color="CCDDEE"/>
              <w:bottom w:val="single" w:sz="4" w:space="0" w:color="CCDDEE"/>
              <w:right w:val="single" w:sz="4" w:space="0" w:color="CCDDEE"/>
            </w:tcBorders>
            <w:shd w:val="clear" w:color="auto" w:fill="FAEAEA"/>
            <w:tcMar>
              <w:top w:w="144" w:type="dxa"/>
              <w:left w:w="173" w:type="dxa"/>
              <w:bottom w:w="144" w:type="dxa"/>
              <w:right w:w="173" w:type="dxa"/>
            </w:tcMar>
          </w:tcPr>
          <w:p w14:paraId="7576E65D" w14:textId="77777777" w:rsidR="00B22575" w:rsidRDefault="00202C04">
            <w:pPr>
              <w:spacing w:after="80"/>
            </w:pPr>
            <w:r>
              <w:rPr>
                <w:b/>
                <w:bCs/>
                <w:color w:val="FFFFFF"/>
                <w:sz w:val="16"/>
                <w:szCs w:val="16"/>
                <w:shd w:val="clear" w:color="auto" w:fill="B83225"/>
              </w:rPr>
              <w:t xml:space="preserve">  05  </w:t>
            </w:r>
            <w:r>
              <w:t xml:space="preserve">  </w:t>
            </w:r>
            <w:r>
              <w:rPr>
                <w:rFonts w:ascii="Calibri" w:eastAsia="Calibri" w:hAnsi="Calibri" w:cs="Calibri"/>
                <w:b/>
                <w:bCs/>
                <w:color w:val="B83225"/>
                <w:sz w:val="18"/>
                <w:szCs w:val="18"/>
              </w:rPr>
              <w:t>RESEARCH VALIDATION AND ANALYSIS</w:t>
            </w:r>
          </w:p>
          <w:tbl>
            <w:tblPr>
              <w:tblStyle w:val="a0"/>
              <w:tblW w:w="1001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07"/>
              <w:gridCol w:w="4505"/>
            </w:tblGrid>
            <w:tr w:rsidR="00B22575" w14:paraId="4CE92E30" w14:textId="77777777">
              <w:tc>
                <w:tcPr>
                  <w:tcW w:w="5507" w:type="dxa"/>
                  <w:tcBorders>
                    <w:top w:val="nil"/>
                    <w:left w:val="nil"/>
                    <w:bottom w:val="nil"/>
                    <w:right w:val="nil"/>
                  </w:tcBorders>
                  <w:shd w:val="clear" w:color="auto" w:fill="FAEAEA"/>
                </w:tcPr>
                <w:p w14:paraId="6D7063C3" w14:textId="77777777" w:rsidR="00B22575" w:rsidRDefault="00202C04">
                  <w:pPr>
                    <w:spacing w:before="40" w:after="60"/>
                  </w:pPr>
                  <w:r>
                    <w:rPr>
                      <w:rFonts w:ascii="Calibri" w:eastAsia="Calibri" w:hAnsi="Calibri" w:cs="Calibri"/>
                      <w:color w:val="2D3A4A"/>
                      <w:sz w:val="18"/>
                      <w:szCs w:val="18"/>
                    </w:rPr>
                    <w:t>Initial skimming of titles, abstracts, introductions, and conclusions determined relevance to elderly residential care. The CRAAP Test (Currency, Relevance, Authority, Accuracy, Purpose) was applied for source quality.</w:t>
                  </w:r>
                </w:p>
                <w:p w14:paraId="0BB011ED" w14:textId="77777777" w:rsidR="00B22575" w:rsidRDefault="00202C04">
                  <w:pPr>
                    <w:spacing w:before="40" w:after="60"/>
                  </w:pPr>
                  <w:r>
                    <w:rPr>
                      <w:rFonts w:ascii="Calibri" w:eastAsia="Calibri" w:hAnsi="Calibri" w:cs="Calibri"/>
                      <w:color w:val="2D3A4A"/>
                      <w:sz w:val="18"/>
                      <w:szCs w:val="18"/>
                    </w:rPr>
                    <w:t>Findings recorded in the Results Summary Table (overleaf) were first compared and synthesised following Aveyard’s (2014) approach to reviewing evidence across sources, before recurring ideas were coded and organised into broader themes using thematic analysis (Braun &amp; Clarke, 2006).</w:t>
                  </w:r>
                </w:p>
                <w:p w14:paraId="7CAC5BBA" w14:textId="77777777" w:rsidR="00B22575" w:rsidRDefault="00202C04">
                  <w:pPr>
                    <w:spacing w:before="30" w:after="30"/>
                    <w:ind w:left="216" w:hanging="173"/>
                  </w:pPr>
                  <w:proofErr w:type="gramStart"/>
                  <w:r>
                    <w:rPr>
                      <w:b/>
                      <w:bCs/>
                      <w:color w:val="B83225"/>
                      <w:sz w:val="17"/>
                      <w:szCs w:val="17"/>
                    </w:rPr>
                    <w:t xml:space="preserve">▸  </w:t>
                  </w:r>
                  <w:r>
                    <w:rPr>
                      <w:rFonts w:ascii="Calibri" w:eastAsia="Calibri" w:hAnsi="Calibri" w:cs="Calibri"/>
                      <w:color w:val="333333"/>
                      <w:sz w:val="17"/>
                      <w:szCs w:val="17"/>
                    </w:rPr>
                    <w:t>Aveyard</w:t>
                  </w:r>
                  <w:proofErr w:type="gramEnd"/>
                  <w:r>
                    <w:rPr>
                      <w:rFonts w:ascii="Calibri" w:eastAsia="Calibri" w:hAnsi="Calibri" w:cs="Calibri"/>
                      <w:color w:val="333333"/>
                      <w:sz w:val="17"/>
                      <w:szCs w:val="17"/>
                    </w:rPr>
                    <w:t xml:space="preserve"> (2014): compare &amp; synthesise findings across sources</w:t>
                  </w:r>
                </w:p>
                <w:p w14:paraId="7B47FC55" w14:textId="77777777" w:rsidR="00B22575" w:rsidRDefault="00202C04">
                  <w:pPr>
                    <w:spacing w:before="30" w:after="30"/>
                    <w:ind w:left="216" w:hanging="173"/>
                  </w:pPr>
                  <w:proofErr w:type="gramStart"/>
                  <w:r>
                    <w:rPr>
                      <w:b/>
                      <w:bCs/>
                      <w:color w:val="B83225"/>
                      <w:sz w:val="17"/>
                      <w:szCs w:val="17"/>
                    </w:rPr>
                    <w:t xml:space="preserve">▸  </w:t>
                  </w:r>
                  <w:r>
                    <w:rPr>
                      <w:rFonts w:ascii="Calibri" w:eastAsia="Calibri" w:hAnsi="Calibri" w:cs="Calibri"/>
                      <w:color w:val="333333"/>
                      <w:sz w:val="17"/>
                      <w:szCs w:val="17"/>
                    </w:rPr>
                    <w:t>Braun</w:t>
                  </w:r>
                  <w:proofErr w:type="gramEnd"/>
                  <w:r>
                    <w:rPr>
                      <w:rFonts w:ascii="Calibri" w:eastAsia="Calibri" w:hAnsi="Calibri" w:cs="Calibri"/>
                      <w:color w:val="333333"/>
                      <w:sz w:val="17"/>
                      <w:szCs w:val="17"/>
                    </w:rPr>
                    <w:t xml:space="preserve"> &amp; Clarke (2006): code recurring ideas into themes</w:t>
                  </w:r>
                </w:p>
                <w:p w14:paraId="13A83C32" w14:textId="77777777" w:rsidR="00B22575" w:rsidRDefault="00202C04">
                  <w:pPr>
                    <w:spacing w:before="30" w:after="30"/>
                    <w:ind w:left="216" w:hanging="173"/>
                  </w:pPr>
                  <w:proofErr w:type="gramStart"/>
                  <w:r>
                    <w:rPr>
                      <w:b/>
                      <w:bCs/>
                      <w:color w:val="B83225"/>
                      <w:sz w:val="17"/>
                      <w:szCs w:val="17"/>
                    </w:rPr>
                    <w:t xml:space="preserve">▸  </w:t>
                  </w:r>
                  <w:r>
                    <w:rPr>
                      <w:rFonts w:ascii="Calibri" w:eastAsia="Calibri" w:hAnsi="Calibri" w:cs="Calibri"/>
                      <w:color w:val="333333"/>
                      <w:sz w:val="17"/>
                      <w:szCs w:val="17"/>
                    </w:rPr>
                    <w:t>Critical</w:t>
                  </w:r>
                  <w:proofErr w:type="gramEnd"/>
                  <w:r>
                    <w:rPr>
                      <w:rFonts w:ascii="Calibri" w:eastAsia="Calibri" w:hAnsi="Calibri" w:cs="Calibri"/>
                      <w:color w:val="333333"/>
                      <w:sz w:val="17"/>
                      <w:szCs w:val="17"/>
                    </w:rPr>
                    <w:t xml:space="preserve"> analysis of why gaps exist between policy and practice</w:t>
                  </w:r>
                </w:p>
              </w:tc>
              <w:tc>
                <w:tcPr>
                  <w:tcW w:w="4505" w:type="dxa"/>
                  <w:tcBorders>
                    <w:top w:val="nil"/>
                    <w:left w:val="nil"/>
                    <w:bottom w:val="nil"/>
                    <w:right w:val="nil"/>
                  </w:tcBorders>
                  <w:shd w:val="clear" w:color="auto" w:fill="FFFFFF"/>
                  <w:tcMar>
                    <w:top w:w="58" w:type="dxa"/>
                    <w:left w:w="115" w:type="dxa"/>
                    <w:right w:w="58" w:type="dxa"/>
                  </w:tcMar>
                </w:tcPr>
                <w:p w14:paraId="381A129F" w14:textId="77777777" w:rsidR="00B22575" w:rsidRDefault="00202C04">
                  <w:pPr>
                    <w:spacing w:before="20" w:after="20"/>
                  </w:pPr>
                  <w:r>
                    <w:rPr>
                      <w:rFonts w:ascii="Calibri" w:eastAsia="Calibri" w:hAnsi="Calibri" w:cs="Calibri"/>
                      <w:b/>
                      <w:bCs/>
                      <w:color w:val="B83225"/>
                      <w:sz w:val="14"/>
                      <w:szCs w:val="14"/>
                    </w:rPr>
                    <w:t>Results Summary Table (excerpt)</w:t>
                  </w:r>
                </w:p>
                <w:tbl>
                  <w:tblPr>
                    <w:tblStyle w:val="a1"/>
                    <w:tblW w:w="433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733"/>
                    <w:gridCol w:w="2599"/>
                  </w:tblGrid>
                  <w:tr w:rsidR="00B22575" w14:paraId="167B0895" w14:textId="77777777">
                    <w:tc>
                      <w:tcPr>
                        <w:tcW w:w="1733" w:type="dxa"/>
                        <w:tcBorders>
                          <w:top w:val="nil"/>
                          <w:left w:val="single" w:sz="4" w:space="0" w:color="FFFFFF"/>
                          <w:bottom w:val="nil"/>
                          <w:right w:val="single" w:sz="4" w:space="0" w:color="FFFFFF"/>
                        </w:tcBorders>
                        <w:shd w:val="clear" w:color="auto" w:fill="B83225"/>
                        <w:tcMar>
                          <w:top w:w="72" w:type="dxa"/>
                          <w:left w:w="115" w:type="dxa"/>
                          <w:bottom w:w="72" w:type="dxa"/>
                          <w:right w:w="115" w:type="dxa"/>
                        </w:tcMar>
                      </w:tcPr>
                      <w:p w14:paraId="5B492A0A" w14:textId="77777777" w:rsidR="00B22575" w:rsidRDefault="00202C04">
                        <w:pPr>
                          <w:spacing w:before="20" w:after="20"/>
                        </w:pPr>
                        <w:r>
                          <w:rPr>
                            <w:rFonts w:ascii="Calibri" w:eastAsia="Calibri" w:hAnsi="Calibri" w:cs="Calibri"/>
                            <w:b/>
                            <w:bCs/>
                            <w:color w:val="FFFFFF"/>
                            <w:sz w:val="15"/>
                            <w:szCs w:val="15"/>
                          </w:rPr>
                          <w:t>Source</w:t>
                        </w:r>
                      </w:p>
                    </w:tc>
                    <w:tc>
                      <w:tcPr>
                        <w:tcW w:w="2599" w:type="dxa"/>
                        <w:tcBorders>
                          <w:top w:val="nil"/>
                          <w:left w:val="single" w:sz="4" w:space="0" w:color="FFFFFF"/>
                          <w:bottom w:val="nil"/>
                          <w:right w:val="single" w:sz="4" w:space="0" w:color="FFFFFF"/>
                        </w:tcBorders>
                        <w:shd w:val="clear" w:color="auto" w:fill="B83225"/>
                        <w:tcMar>
                          <w:top w:w="72" w:type="dxa"/>
                          <w:left w:w="115" w:type="dxa"/>
                          <w:bottom w:w="72" w:type="dxa"/>
                          <w:right w:w="115" w:type="dxa"/>
                        </w:tcMar>
                      </w:tcPr>
                      <w:p w14:paraId="20DE9807" w14:textId="77777777" w:rsidR="00B22575" w:rsidRDefault="00202C04">
                        <w:pPr>
                          <w:spacing w:before="20" w:after="20"/>
                        </w:pPr>
                        <w:r>
                          <w:rPr>
                            <w:rFonts w:ascii="Calibri" w:eastAsia="Calibri" w:hAnsi="Calibri" w:cs="Calibri"/>
                            <w:b/>
                            <w:bCs/>
                            <w:color w:val="FFFFFF"/>
                            <w:sz w:val="15"/>
                            <w:szCs w:val="15"/>
                          </w:rPr>
                          <w:t>Theme</w:t>
                        </w:r>
                      </w:p>
                    </w:tc>
                  </w:tr>
                  <w:tr w:rsidR="00B22575" w14:paraId="59583882" w14:textId="77777777">
                    <w:tc>
                      <w:tcPr>
                        <w:tcW w:w="1733" w:type="dxa"/>
                        <w:tcBorders>
                          <w:top w:val="nil"/>
                          <w:left w:val="nil"/>
                          <w:bottom w:val="single" w:sz="4" w:space="0" w:color="DDE4EA"/>
                          <w:right w:val="nil"/>
                        </w:tcBorders>
                        <w:shd w:val="clear" w:color="auto" w:fill="FDF0EF"/>
                        <w:tcMar>
                          <w:top w:w="72" w:type="dxa"/>
                          <w:left w:w="115" w:type="dxa"/>
                          <w:bottom w:w="72" w:type="dxa"/>
                          <w:right w:w="115" w:type="dxa"/>
                        </w:tcMar>
                      </w:tcPr>
                      <w:p w14:paraId="0904ECE9" w14:textId="77777777" w:rsidR="00B22575" w:rsidRDefault="00202C04">
                        <w:pPr>
                          <w:spacing w:before="20" w:after="20"/>
                        </w:pPr>
                        <w:r>
                          <w:rPr>
                            <w:rFonts w:ascii="Calibri" w:eastAsia="Calibri" w:hAnsi="Calibri" w:cs="Calibri"/>
                            <w:color w:val="2D3A4A"/>
                            <w:sz w:val="13"/>
                            <w:szCs w:val="13"/>
                          </w:rPr>
                          <w:t>Towers et al. (2020)</w:t>
                        </w:r>
                      </w:p>
                    </w:tc>
                    <w:tc>
                      <w:tcPr>
                        <w:tcW w:w="2599" w:type="dxa"/>
                        <w:tcBorders>
                          <w:top w:val="nil"/>
                          <w:left w:val="nil"/>
                          <w:bottom w:val="single" w:sz="4" w:space="0" w:color="DDE4EA"/>
                          <w:right w:val="nil"/>
                        </w:tcBorders>
                        <w:shd w:val="clear" w:color="auto" w:fill="FDF0EF"/>
                        <w:tcMar>
                          <w:top w:w="72" w:type="dxa"/>
                          <w:left w:w="115" w:type="dxa"/>
                          <w:bottom w:w="72" w:type="dxa"/>
                          <w:right w:w="115" w:type="dxa"/>
                        </w:tcMar>
                      </w:tcPr>
                      <w:p w14:paraId="1D0163A3" w14:textId="77777777" w:rsidR="00B22575" w:rsidRDefault="00202C04">
                        <w:pPr>
                          <w:spacing w:before="20" w:after="20"/>
                        </w:pPr>
                        <w:r>
                          <w:rPr>
                            <w:rFonts w:ascii="Calibri" w:eastAsia="Calibri" w:hAnsi="Calibri" w:cs="Calibri"/>
                            <w:color w:val="2D3A4A"/>
                            <w:sz w:val="13"/>
                            <w:szCs w:val="13"/>
                          </w:rPr>
                          <w:t>Regulatory oversight</w:t>
                        </w:r>
                      </w:p>
                    </w:tc>
                  </w:tr>
                  <w:tr w:rsidR="00B22575" w14:paraId="5EDC32DE" w14:textId="77777777">
                    <w:tc>
                      <w:tcPr>
                        <w:tcW w:w="1733" w:type="dxa"/>
                        <w:tcBorders>
                          <w:top w:val="nil"/>
                          <w:left w:val="nil"/>
                          <w:bottom w:val="single" w:sz="4" w:space="0" w:color="DDE4EA"/>
                          <w:right w:val="nil"/>
                        </w:tcBorders>
                        <w:shd w:val="clear" w:color="auto" w:fill="FFFFFF"/>
                        <w:tcMar>
                          <w:top w:w="72" w:type="dxa"/>
                          <w:left w:w="115" w:type="dxa"/>
                          <w:bottom w:w="72" w:type="dxa"/>
                          <w:right w:w="115" w:type="dxa"/>
                        </w:tcMar>
                      </w:tcPr>
                      <w:p w14:paraId="287CBA54" w14:textId="77777777" w:rsidR="00B22575" w:rsidRDefault="00202C04">
                        <w:pPr>
                          <w:spacing w:before="20" w:after="20"/>
                        </w:pPr>
                        <w:r>
                          <w:rPr>
                            <w:rFonts w:ascii="Calibri" w:eastAsia="Calibri" w:hAnsi="Calibri" w:cs="Calibri"/>
                            <w:color w:val="2D3A4A"/>
                            <w:sz w:val="13"/>
                            <w:szCs w:val="13"/>
                          </w:rPr>
                          <w:t>Ballard et al. (2018)</w:t>
                        </w:r>
                      </w:p>
                    </w:tc>
                    <w:tc>
                      <w:tcPr>
                        <w:tcW w:w="2599" w:type="dxa"/>
                        <w:tcBorders>
                          <w:top w:val="nil"/>
                          <w:left w:val="nil"/>
                          <w:bottom w:val="single" w:sz="4" w:space="0" w:color="DDE4EA"/>
                          <w:right w:val="nil"/>
                        </w:tcBorders>
                        <w:shd w:val="clear" w:color="auto" w:fill="FFFFFF"/>
                        <w:tcMar>
                          <w:top w:w="72" w:type="dxa"/>
                          <w:left w:w="115" w:type="dxa"/>
                          <w:bottom w:w="72" w:type="dxa"/>
                          <w:right w:w="115" w:type="dxa"/>
                        </w:tcMar>
                      </w:tcPr>
                      <w:p w14:paraId="5404FFF5" w14:textId="77777777" w:rsidR="00B22575" w:rsidRDefault="00202C04">
                        <w:pPr>
                          <w:spacing w:before="20" w:after="20"/>
                        </w:pPr>
                        <w:r>
                          <w:rPr>
                            <w:rFonts w:ascii="Calibri" w:eastAsia="Calibri" w:hAnsi="Calibri" w:cs="Calibri"/>
                            <w:color w:val="2D3A4A"/>
                            <w:sz w:val="13"/>
                            <w:szCs w:val="13"/>
                          </w:rPr>
                          <w:t>Person-centred care</w:t>
                        </w:r>
                      </w:p>
                    </w:tc>
                  </w:tr>
                  <w:tr w:rsidR="00B22575" w14:paraId="6922EC2E" w14:textId="77777777">
                    <w:tc>
                      <w:tcPr>
                        <w:tcW w:w="1733" w:type="dxa"/>
                        <w:tcBorders>
                          <w:top w:val="nil"/>
                          <w:left w:val="nil"/>
                          <w:bottom w:val="single" w:sz="4" w:space="0" w:color="DDE4EA"/>
                          <w:right w:val="nil"/>
                        </w:tcBorders>
                        <w:shd w:val="clear" w:color="auto" w:fill="FDF0EF"/>
                        <w:tcMar>
                          <w:top w:w="72" w:type="dxa"/>
                          <w:left w:w="115" w:type="dxa"/>
                          <w:bottom w:w="72" w:type="dxa"/>
                          <w:right w:w="115" w:type="dxa"/>
                        </w:tcMar>
                      </w:tcPr>
                      <w:p w14:paraId="409858D2" w14:textId="77777777" w:rsidR="00B22575" w:rsidRDefault="00202C04">
                        <w:pPr>
                          <w:spacing w:before="20" w:after="20"/>
                        </w:pPr>
                        <w:proofErr w:type="spellStart"/>
                        <w:r>
                          <w:rPr>
                            <w:rFonts w:ascii="Calibri" w:eastAsia="Calibri" w:hAnsi="Calibri" w:cs="Calibri"/>
                            <w:color w:val="2D3A4A"/>
                            <w:sz w:val="13"/>
                            <w:szCs w:val="13"/>
                          </w:rPr>
                          <w:t>Lapane</w:t>
                        </w:r>
                        <w:proofErr w:type="spellEnd"/>
                        <w:r>
                          <w:rPr>
                            <w:rFonts w:ascii="Calibri" w:eastAsia="Calibri" w:hAnsi="Calibri" w:cs="Calibri"/>
                            <w:color w:val="2D3A4A"/>
                            <w:sz w:val="13"/>
                            <w:szCs w:val="13"/>
                          </w:rPr>
                          <w:t xml:space="preserve"> et al. (2022)</w:t>
                        </w:r>
                      </w:p>
                    </w:tc>
                    <w:tc>
                      <w:tcPr>
                        <w:tcW w:w="2599" w:type="dxa"/>
                        <w:tcBorders>
                          <w:top w:val="nil"/>
                          <w:left w:val="nil"/>
                          <w:bottom w:val="single" w:sz="4" w:space="0" w:color="DDE4EA"/>
                          <w:right w:val="nil"/>
                        </w:tcBorders>
                        <w:shd w:val="clear" w:color="auto" w:fill="FDF0EF"/>
                        <w:tcMar>
                          <w:top w:w="72" w:type="dxa"/>
                          <w:left w:w="115" w:type="dxa"/>
                          <w:bottom w:w="72" w:type="dxa"/>
                          <w:right w:w="115" w:type="dxa"/>
                        </w:tcMar>
                      </w:tcPr>
                      <w:p w14:paraId="2F9458E4" w14:textId="77777777" w:rsidR="00B22575" w:rsidRDefault="00202C04">
                        <w:pPr>
                          <w:spacing w:before="20" w:after="20"/>
                        </w:pPr>
                        <w:r>
                          <w:rPr>
                            <w:rFonts w:ascii="Calibri" w:eastAsia="Calibri" w:hAnsi="Calibri" w:cs="Calibri"/>
                            <w:color w:val="2D3A4A"/>
                            <w:sz w:val="13"/>
                            <w:szCs w:val="13"/>
                          </w:rPr>
                          <w:t>Wellbeing &amp; dignity</w:t>
                        </w:r>
                      </w:p>
                    </w:tc>
                  </w:tr>
                </w:tbl>
                <w:p w14:paraId="7BCB9A3E" w14:textId="77777777" w:rsidR="00B22575" w:rsidRDefault="00202C04">
                  <w:pPr>
                    <w:spacing w:before="20" w:after="20"/>
                  </w:pPr>
                  <w:r>
                    <w:rPr>
                      <w:rFonts w:ascii="Calibri" w:eastAsia="Calibri" w:hAnsi="Calibri" w:cs="Calibri"/>
                      <w:i/>
                      <w:iCs/>
                      <w:sz w:val="12"/>
                      <w:szCs w:val="12"/>
                    </w:rPr>
                    <w:t>Full table overleaf →</w:t>
                  </w:r>
                </w:p>
              </w:tc>
            </w:tr>
          </w:tbl>
          <w:p w14:paraId="289DD668" w14:textId="77777777" w:rsidR="00B22575" w:rsidRDefault="00B22575"/>
        </w:tc>
        <w:tc>
          <w:tcPr>
            <w:tcW w:w="5180" w:type="dxa"/>
            <w:tcBorders>
              <w:top w:val="single" w:sz="4" w:space="0" w:color="CCDDEE"/>
              <w:left w:val="single" w:sz="4" w:space="0" w:color="CCDDEE"/>
              <w:bottom w:val="single" w:sz="4" w:space="0" w:color="CCDDEE"/>
              <w:right w:val="single" w:sz="4" w:space="0" w:color="CCDDEE"/>
            </w:tcBorders>
            <w:shd w:val="clear" w:color="auto" w:fill="FEF9EC"/>
            <w:tcMar>
              <w:top w:w="144" w:type="dxa"/>
              <w:left w:w="173" w:type="dxa"/>
              <w:bottom w:w="144" w:type="dxa"/>
              <w:right w:w="173" w:type="dxa"/>
            </w:tcMar>
          </w:tcPr>
          <w:p w14:paraId="4A372DFF" w14:textId="77777777" w:rsidR="00B22575" w:rsidRDefault="00202C04">
            <w:pPr>
              <w:spacing w:after="80"/>
            </w:pPr>
            <w:r>
              <w:rPr>
                <w:b/>
                <w:bCs/>
                <w:color w:val="FFFFFF"/>
                <w:sz w:val="16"/>
                <w:szCs w:val="16"/>
                <w:shd w:val="clear" w:color="auto" w:fill="A07010"/>
              </w:rPr>
              <w:t xml:space="preserve">  04  </w:t>
            </w:r>
            <w:r>
              <w:t xml:space="preserve">  </w:t>
            </w:r>
            <w:r>
              <w:rPr>
                <w:rFonts w:ascii="Calibri" w:eastAsia="Calibri" w:hAnsi="Calibri" w:cs="Calibri"/>
                <w:b/>
                <w:bCs/>
                <w:color w:val="A07010"/>
                <w:sz w:val="18"/>
                <w:szCs w:val="18"/>
              </w:rPr>
              <w:t>WEST MIDLANDS CONTEXT</w:t>
            </w:r>
          </w:p>
          <w:p w14:paraId="41EC5DCA" w14:textId="77777777" w:rsidR="00B22575" w:rsidRDefault="00202C04">
            <w:pPr>
              <w:spacing w:after="40"/>
              <w:jc w:val="center"/>
            </w:pPr>
            <w:r>
              <w:rPr>
                <w:noProof/>
              </w:rPr>
              <w:drawing>
                <wp:inline distT="0" distB="0" distL="0" distR="0" wp14:anchorId="186091C2" wp14:editId="4BC47E57">
                  <wp:extent cx="1809750" cy="9525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1809750" cy="952500"/>
                          </a:xfrm>
                          <a:prstGeom prst="rect">
                            <a:avLst/>
                          </a:prstGeom>
                          <a:ln/>
                        </pic:spPr>
                      </pic:pic>
                    </a:graphicData>
                  </a:graphic>
                </wp:inline>
              </w:drawing>
            </w:r>
          </w:p>
          <w:p w14:paraId="23D6D32B" w14:textId="77777777" w:rsidR="00B22575" w:rsidRDefault="00202C04">
            <w:pPr>
              <w:spacing w:after="60"/>
              <w:jc w:val="center"/>
            </w:pPr>
            <w:r>
              <w:rPr>
                <w:i/>
                <w:iCs/>
                <w:sz w:val="14"/>
                <w:szCs w:val="14"/>
              </w:rPr>
              <w:t>Fig. 4 West Midlands region (Free World Maps, n.d.)</w:t>
            </w:r>
          </w:p>
          <w:p w14:paraId="036FE8B9" w14:textId="77777777" w:rsidR="00B22575" w:rsidRDefault="00202C04">
            <w:pPr>
              <w:spacing w:before="40" w:after="60"/>
            </w:pPr>
            <w:r>
              <w:rPr>
                <w:rFonts w:ascii="Calibri" w:eastAsia="Calibri" w:hAnsi="Calibri" w:cs="Calibri"/>
                <w:color w:val="2D3A4A"/>
                <w:sz w:val="18"/>
                <w:szCs w:val="18"/>
              </w:rPr>
              <w:t>Rapidly ageing population with significant challenges for residential care provision.</w:t>
            </w:r>
          </w:p>
          <w:p w14:paraId="773FBB59" w14:textId="77777777" w:rsidR="00B22575" w:rsidRDefault="00202C04">
            <w:pPr>
              <w:spacing w:before="30" w:after="30"/>
              <w:ind w:left="216" w:hanging="173"/>
            </w:pPr>
            <w:proofErr w:type="gramStart"/>
            <w:r>
              <w:rPr>
                <w:b/>
                <w:bCs/>
                <w:color w:val="A07010"/>
                <w:sz w:val="17"/>
                <w:szCs w:val="17"/>
              </w:rPr>
              <w:t xml:space="preserve">▸  </w:t>
            </w:r>
            <w:r>
              <w:rPr>
                <w:rFonts w:ascii="Calibri" w:eastAsia="Calibri" w:hAnsi="Calibri" w:cs="Calibri"/>
                <w:color w:val="333333"/>
                <w:sz w:val="17"/>
                <w:szCs w:val="17"/>
              </w:rPr>
              <w:t>Workforce</w:t>
            </w:r>
            <w:proofErr w:type="gramEnd"/>
            <w:r>
              <w:rPr>
                <w:rFonts w:ascii="Calibri" w:eastAsia="Calibri" w:hAnsi="Calibri" w:cs="Calibri"/>
                <w:color w:val="333333"/>
                <w:sz w:val="17"/>
                <w:szCs w:val="17"/>
              </w:rPr>
              <w:t xml:space="preserve"> shortages &amp; funding pressures</w:t>
            </w:r>
          </w:p>
          <w:p w14:paraId="630343BC" w14:textId="77777777" w:rsidR="00B22575" w:rsidRDefault="00202C04">
            <w:pPr>
              <w:spacing w:before="30" w:after="30"/>
              <w:ind w:left="216" w:hanging="173"/>
            </w:pPr>
            <w:proofErr w:type="gramStart"/>
            <w:r>
              <w:rPr>
                <w:b/>
                <w:bCs/>
                <w:color w:val="A07010"/>
                <w:sz w:val="17"/>
                <w:szCs w:val="17"/>
              </w:rPr>
              <w:t xml:space="preserve">▸  </w:t>
            </w:r>
            <w:r>
              <w:rPr>
                <w:rFonts w:ascii="Calibri" w:eastAsia="Calibri" w:hAnsi="Calibri" w:cs="Calibri"/>
                <w:color w:val="333333"/>
                <w:sz w:val="17"/>
                <w:szCs w:val="17"/>
              </w:rPr>
              <w:t>Quality</w:t>
            </w:r>
            <w:proofErr w:type="gramEnd"/>
            <w:r>
              <w:rPr>
                <w:rFonts w:ascii="Calibri" w:eastAsia="Calibri" w:hAnsi="Calibri" w:cs="Calibri"/>
                <w:color w:val="333333"/>
                <w:sz w:val="17"/>
                <w:szCs w:val="17"/>
              </w:rPr>
              <w:t xml:space="preserve"> variation across providers (Spilsbury et al., 2011)</w:t>
            </w:r>
          </w:p>
          <w:p w14:paraId="0F4A6DA0" w14:textId="77777777" w:rsidR="00B22575" w:rsidRDefault="00202C04">
            <w:pPr>
              <w:spacing w:before="30" w:after="30"/>
              <w:ind w:left="216" w:hanging="173"/>
            </w:pPr>
            <w:proofErr w:type="gramStart"/>
            <w:r>
              <w:rPr>
                <w:b/>
                <w:bCs/>
                <w:color w:val="A07010"/>
                <w:sz w:val="17"/>
                <w:szCs w:val="17"/>
              </w:rPr>
              <w:t xml:space="preserve">▸  </w:t>
            </w:r>
            <w:r>
              <w:rPr>
                <w:rFonts w:ascii="Calibri" w:eastAsia="Calibri" w:hAnsi="Calibri" w:cs="Calibri"/>
                <w:color w:val="333333"/>
                <w:sz w:val="17"/>
                <w:szCs w:val="17"/>
              </w:rPr>
              <w:t>Policy</w:t>
            </w:r>
            <w:proofErr w:type="gramEnd"/>
            <w:r>
              <w:rPr>
                <w:rFonts w:ascii="Calibri" w:eastAsia="Calibri" w:hAnsi="Calibri" w:cs="Calibri"/>
                <w:color w:val="333333"/>
                <w:sz w:val="17"/>
                <w:szCs w:val="17"/>
              </w:rPr>
              <w:t xml:space="preserve"> gaps: national standards vs local delivery</w:t>
            </w:r>
          </w:p>
        </w:tc>
      </w:tr>
      <w:tr w:rsidR="00B22575" w14:paraId="001DF910" w14:textId="77777777">
        <w:tc>
          <w:tcPr>
            <w:tcW w:w="5179" w:type="dxa"/>
            <w:tcBorders>
              <w:top w:val="single" w:sz="4" w:space="0" w:color="CCDDEE"/>
              <w:left w:val="single" w:sz="4" w:space="0" w:color="CCDDEE"/>
              <w:bottom w:val="single" w:sz="4" w:space="0" w:color="CCDDEE"/>
              <w:right w:val="single" w:sz="4" w:space="0" w:color="CCDDEE"/>
            </w:tcBorders>
            <w:shd w:val="clear" w:color="auto" w:fill="EBF7F0"/>
            <w:tcMar>
              <w:top w:w="144" w:type="dxa"/>
              <w:left w:w="173" w:type="dxa"/>
              <w:bottom w:w="144" w:type="dxa"/>
              <w:right w:w="173" w:type="dxa"/>
            </w:tcMar>
          </w:tcPr>
          <w:p w14:paraId="2E9A844D" w14:textId="77777777" w:rsidR="00B22575" w:rsidRDefault="00202C04">
            <w:pPr>
              <w:spacing w:after="80"/>
            </w:pPr>
            <w:r>
              <w:rPr>
                <w:b/>
                <w:bCs/>
                <w:color w:val="FFFFFF"/>
                <w:sz w:val="16"/>
                <w:szCs w:val="16"/>
                <w:shd w:val="clear" w:color="auto" w:fill="2A7D4F"/>
              </w:rPr>
              <w:t xml:space="preserve">  06  </w:t>
            </w:r>
            <w:r>
              <w:t xml:space="preserve">  </w:t>
            </w:r>
            <w:r>
              <w:rPr>
                <w:rFonts w:ascii="Calibri" w:eastAsia="Calibri" w:hAnsi="Calibri" w:cs="Calibri"/>
                <w:b/>
                <w:bCs/>
                <w:color w:val="2A7D4F"/>
                <w:sz w:val="18"/>
                <w:szCs w:val="18"/>
              </w:rPr>
              <w:t>INCLUSION CRITERIA</w:t>
            </w:r>
          </w:p>
          <w:p w14:paraId="78D251E4" w14:textId="77777777" w:rsidR="00B22575" w:rsidRDefault="00202C04">
            <w:pPr>
              <w:spacing w:before="60" w:after="40"/>
              <w:jc w:val="center"/>
            </w:pPr>
            <w:r>
              <w:rPr>
                <w:noProof/>
              </w:rPr>
              <w:drawing>
                <wp:inline distT="0" distB="0" distL="0" distR="0" wp14:anchorId="4C2FB8A8" wp14:editId="5DCBD1D5">
                  <wp:extent cx="1905000" cy="10477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1905000" cy="1047750"/>
                          </a:xfrm>
                          <a:prstGeom prst="rect">
                            <a:avLst/>
                          </a:prstGeom>
                          <a:ln/>
                        </pic:spPr>
                      </pic:pic>
                    </a:graphicData>
                  </a:graphic>
                </wp:inline>
              </w:drawing>
            </w:r>
          </w:p>
          <w:p w14:paraId="379C8274" w14:textId="77777777" w:rsidR="00B22575" w:rsidRDefault="00202C04">
            <w:pPr>
              <w:spacing w:after="80"/>
              <w:jc w:val="center"/>
              <w:rPr>
                <w:b/>
                <w:bCs/>
              </w:rPr>
            </w:pPr>
            <w:r>
              <w:rPr>
                <w:b/>
                <w:bCs/>
                <w:i/>
                <w:iCs/>
                <w:sz w:val="14"/>
                <w:szCs w:val="14"/>
              </w:rPr>
              <w:t xml:space="preserve">Fig. </w:t>
            </w:r>
            <w:proofErr w:type="gramStart"/>
            <w:r>
              <w:rPr>
                <w:b/>
                <w:bCs/>
                <w:i/>
                <w:iCs/>
                <w:sz w:val="14"/>
                <w:szCs w:val="14"/>
              </w:rPr>
              <w:t>6  Criteria</w:t>
            </w:r>
            <w:proofErr w:type="gramEnd"/>
            <w:r>
              <w:rPr>
                <w:b/>
                <w:bCs/>
                <w:i/>
                <w:iCs/>
                <w:sz w:val="14"/>
                <w:szCs w:val="14"/>
              </w:rPr>
              <w:t xml:space="preserve"> icon (</w:t>
            </w:r>
            <w:proofErr w:type="spellStart"/>
            <w:r>
              <w:rPr>
                <w:b/>
                <w:bCs/>
                <w:i/>
                <w:iCs/>
                <w:sz w:val="14"/>
                <w:szCs w:val="14"/>
              </w:rPr>
              <w:t>Lucide</w:t>
            </w:r>
            <w:proofErr w:type="spellEnd"/>
            <w:r>
              <w:rPr>
                <w:b/>
                <w:bCs/>
                <w:i/>
                <w:iCs/>
                <w:sz w:val="14"/>
                <w:szCs w:val="14"/>
              </w:rPr>
              <w:t>, 2024)</w:t>
            </w:r>
          </w:p>
          <w:p w14:paraId="0A4561E7" w14:textId="77777777" w:rsidR="00B22575" w:rsidRDefault="00202C04">
            <w:pPr>
              <w:spacing w:before="30" w:after="30"/>
              <w:ind w:left="216" w:hanging="173"/>
            </w:pPr>
            <w:proofErr w:type="gramStart"/>
            <w:r>
              <w:rPr>
                <w:b/>
                <w:bCs/>
                <w:color w:val="2A7D4F"/>
                <w:sz w:val="17"/>
                <w:szCs w:val="17"/>
              </w:rPr>
              <w:t xml:space="preserve">▸  </w:t>
            </w:r>
            <w:r>
              <w:rPr>
                <w:rFonts w:ascii="Calibri" w:eastAsia="Calibri" w:hAnsi="Calibri" w:cs="Calibri"/>
                <w:color w:val="333333"/>
                <w:sz w:val="17"/>
                <w:szCs w:val="17"/>
              </w:rPr>
              <w:t>Peer</w:t>
            </w:r>
            <w:proofErr w:type="gramEnd"/>
            <w:r>
              <w:rPr>
                <w:rFonts w:ascii="Calibri" w:eastAsia="Calibri" w:hAnsi="Calibri" w:cs="Calibri"/>
                <w:color w:val="333333"/>
                <w:sz w:val="17"/>
                <w:szCs w:val="17"/>
              </w:rPr>
              <w:t>-reviewed journals, NHS/government policy docs, clinical guidelines</w:t>
            </w:r>
          </w:p>
          <w:p w14:paraId="22C99284" w14:textId="77777777" w:rsidR="00B22575" w:rsidRDefault="00202C04">
            <w:pPr>
              <w:spacing w:before="30" w:after="30"/>
              <w:ind w:left="216" w:hanging="173"/>
            </w:pPr>
            <w:proofErr w:type="gramStart"/>
            <w:r>
              <w:rPr>
                <w:b/>
                <w:bCs/>
                <w:color w:val="2A7D4F"/>
                <w:sz w:val="17"/>
                <w:szCs w:val="17"/>
              </w:rPr>
              <w:t xml:space="preserve">▸  </w:t>
            </w:r>
            <w:r>
              <w:rPr>
                <w:rFonts w:ascii="Calibri" w:eastAsia="Calibri" w:hAnsi="Calibri" w:cs="Calibri"/>
                <w:color w:val="333333"/>
                <w:sz w:val="17"/>
                <w:szCs w:val="17"/>
              </w:rPr>
              <w:t>Published</w:t>
            </w:r>
            <w:proofErr w:type="gramEnd"/>
            <w:r>
              <w:rPr>
                <w:rFonts w:ascii="Calibri" w:eastAsia="Calibri" w:hAnsi="Calibri" w:cs="Calibri"/>
                <w:color w:val="333333"/>
                <w:sz w:val="17"/>
                <w:szCs w:val="17"/>
              </w:rPr>
              <w:t xml:space="preserve"> within last 10 years (seminal works excepted)</w:t>
            </w:r>
          </w:p>
          <w:p w14:paraId="2A06A341" w14:textId="77777777" w:rsidR="00B22575" w:rsidRDefault="00202C04">
            <w:pPr>
              <w:spacing w:before="30" w:after="30"/>
              <w:ind w:left="216" w:hanging="173"/>
            </w:pPr>
            <w:proofErr w:type="gramStart"/>
            <w:r>
              <w:rPr>
                <w:b/>
                <w:bCs/>
                <w:color w:val="2A7D4F"/>
                <w:sz w:val="17"/>
                <w:szCs w:val="17"/>
              </w:rPr>
              <w:t xml:space="preserve">▸  </w:t>
            </w:r>
            <w:r>
              <w:rPr>
                <w:rFonts w:ascii="Calibri" w:eastAsia="Calibri" w:hAnsi="Calibri" w:cs="Calibri"/>
                <w:color w:val="333333"/>
                <w:sz w:val="17"/>
                <w:szCs w:val="17"/>
              </w:rPr>
              <w:t>Focused</w:t>
            </w:r>
            <w:proofErr w:type="gramEnd"/>
            <w:r>
              <w:rPr>
                <w:rFonts w:ascii="Calibri" w:eastAsia="Calibri" w:hAnsi="Calibri" w:cs="Calibri"/>
                <w:color w:val="333333"/>
                <w:sz w:val="17"/>
                <w:szCs w:val="17"/>
              </w:rPr>
              <w:t xml:space="preserve"> on elderly residential care in UK contexts</w:t>
            </w:r>
          </w:p>
          <w:p w14:paraId="5BB1AB29" w14:textId="77777777" w:rsidR="00B22575" w:rsidRDefault="00202C04">
            <w:pPr>
              <w:spacing w:before="30" w:after="30"/>
              <w:ind w:left="216" w:hanging="173"/>
            </w:pPr>
            <w:proofErr w:type="gramStart"/>
            <w:r>
              <w:rPr>
                <w:b/>
                <w:bCs/>
                <w:color w:val="2A7D4F"/>
                <w:sz w:val="17"/>
                <w:szCs w:val="17"/>
              </w:rPr>
              <w:t xml:space="preserve">▸  </w:t>
            </w:r>
            <w:r>
              <w:rPr>
                <w:rFonts w:ascii="Calibri" w:eastAsia="Calibri" w:hAnsi="Calibri" w:cs="Calibri"/>
                <w:color w:val="333333"/>
                <w:sz w:val="17"/>
                <w:szCs w:val="17"/>
              </w:rPr>
              <w:t>UK</w:t>
            </w:r>
            <w:proofErr w:type="gramEnd"/>
            <w:r>
              <w:rPr>
                <w:rFonts w:ascii="Calibri" w:eastAsia="Calibri" w:hAnsi="Calibri" w:cs="Calibri"/>
                <w:color w:val="333333"/>
                <w:sz w:val="17"/>
                <w:szCs w:val="17"/>
              </w:rPr>
              <w:t>-based, English language, fully accessible online</w:t>
            </w:r>
          </w:p>
          <w:p w14:paraId="4A0026BA" w14:textId="77777777" w:rsidR="00B22575" w:rsidRDefault="00202C04">
            <w:pPr>
              <w:spacing w:before="30" w:after="30"/>
              <w:ind w:left="216" w:hanging="173"/>
            </w:pPr>
            <w:proofErr w:type="gramStart"/>
            <w:r>
              <w:rPr>
                <w:b/>
                <w:bCs/>
                <w:color w:val="2A7D4F"/>
                <w:sz w:val="17"/>
                <w:szCs w:val="17"/>
              </w:rPr>
              <w:t xml:space="preserve">▸  </w:t>
            </w:r>
            <w:r>
              <w:rPr>
                <w:rFonts w:ascii="Calibri" w:eastAsia="Calibri" w:hAnsi="Calibri" w:cs="Calibri"/>
                <w:color w:val="333333"/>
                <w:sz w:val="17"/>
                <w:szCs w:val="17"/>
              </w:rPr>
              <w:t>Relevant</w:t>
            </w:r>
            <w:proofErr w:type="gramEnd"/>
            <w:r>
              <w:rPr>
                <w:rFonts w:ascii="Calibri" w:eastAsia="Calibri" w:hAnsi="Calibri" w:cs="Calibri"/>
                <w:color w:val="333333"/>
                <w:sz w:val="17"/>
                <w:szCs w:val="17"/>
              </w:rPr>
              <w:t>, reliable and fits study objectives (Greenhalgh et al., 2018)</w:t>
            </w:r>
          </w:p>
        </w:tc>
        <w:tc>
          <w:tcPr>
            <w:tcW w:w="5179" w:type="dxa"/>
            <w:tcBorders>
              <w:top w:val="single" w:sz="4" w:space="0" w:color="CCDDEE"/>
              <w:left w:val="single" w:sz="4" w:space="0" w:color="CCDDEE"/>
              <w:bottom w:val="single" w:sz="4" w:space="0" w:color="CCDDEE"/>
              <w:right w:val="single" w:sz="4" w:space="0" w:color="CCDDEE"/>
            </w:tcBorders>
            <w:shd w:val="clear" w:color="auto" w:fill="FAEAEA"/>
            <w:tcMar>
              <w:top w:w="144" w:type="dxa"/>
              <w:left w:w="173" w:type="dxa"/>
              <w:bottom w:w="144" w:type="dxa"/>
              <w:right w:w="173" w:type="dxa"/>
            </w:tcMar>
          </w:tcPr>
          <w:p w14:paraId="02DA7774" w14:textId="77777777" w:rsidR="00B22575" w:rsidRDefault="00202C04">
            <w:pPr>
              <w:spacing w:after="80"/>
            </w:pPr>
            <w:r>
              <w:rPr>
                <w:b/>
                <w:bCs/>
                <w:color w:val="FFFFFF"/>
                <w:sz w:val="16"/>
                <w:szCs w:val="16"/>
                <w:shd w:val="clear" w:color="auto" w:fill="B83225"/>
              </w:rPr>
              <w:t xml:space="preserve">  07  </w:t>
            </w:r>
            <w:r>
              <w:t xml:space="preserve">  </w:t>
            </w:r>
            <w:r>
              <w:rPr>
                <w:rFonts w:ascii="Calibri" w:eastAsia="Calibri" w:hAnsi="Calibri" w:cs="Calibri"/>
                <w:b/>
                <w:bCs/>
                <w:color w:val="B83225"/>
                <w:sz w:val="18"/>
                <w:szCs w:val="18"/>
              </w:rPr>
              <w:t>EXCLUSION CRITERIA</w:t>
            </w:r>
          </w:p>
          <w:p w14:paraId="1225545E" w14:textId="77777777" w:rsidR="00B22575" w:rsidRDefault="00202C04">
            <w:pPr>
              <w:spacing w:before="30" w:after="30"/>
              <w:ind w:left="216" w:hanging="173"/>
            </w:pPr>
            <w:proofErr w:type="gramStart"/>
            <w:r>
              <w:rPr>
                <w:b/>
                <w:bCs/>
                <w:color w:val="B83225"/>
                <w:sz w:val="17"/>
                <w:szCs w:val="17"/>
              </w:rPr>
              <w:t xml:space="preserve">▸  </w:t>
            </w:r>
            <w:r>
              <w:rPr>
                <w:rFonts w:ascii="Calibri" w:eastAsia="Calibri" w:hAnsi="Calibri" w:cs="Calibri"/>
                <w:color w:val="333333"/>
                <w:sz w:val="17"/>
                <w:szCs w:val="17"/>
              </w:rPr>
              <w:t>Sources</w:t>
            </w:r>
            <w:proofErr w:type="gramEnd"/>
            <w:r>
              <w:rPr>
                <w:rFonts w:ascii="Calibri" w:eastAsia="Calibri" w:hAnsi="Calibri" w:cs="Calibri"/>
                <w:color w:val="333333"/>
                <w:sz w:val="17"/>
                <w:szCs w:val="17"/>
              </w:rPr>
              <w:t xml:space="preserve"> published over 10 years old (unless seminal)</w:t>
            </w:r>
          </w:p>
          <w:p w14:paraId="3D22489B" w14:textId="77777777" w:rsidR="00B22575" w:rsidRDefault="00202C04">
            <w:pPr>
              <w:spacing w:before="30" w:after="30"/>
              <w:ind w:left="216" w:hanging="173"/>
            </w:pPr>
            <w:proofErr w:type="gramStart"/>
            <w:r>
              <w:rPr>
                <w:b/>
                <w:bCs/>
                <w:color w:val="B83225"/>
                <w:sz w:val="17"/>
                <w:szCs w:val="17"/>
              </w:rPr>
              <w:t xml:space="preserve">▸  </w:t>
            </w:r>
            <w:r>
              <w:rPr>
                <w:rFonts w:ascii="Calibri" w:eastAsia="Calibri" w:hAnsi="Calibri" w:cs="Calibri"/>
                <w:color w:val="333333"/>
                <w:sz w:val="17"/>
                <w:szCs w:val="17"/>
              </w:rPr>
              <w:t>Opinion</w:t>
            </w:r>
            <w:proofErr w:type="gramEnd"/>
            <w:r>
              <w:rPr>
                <w:rFonts w:ascii="Calibri" w:eastAsia="Calibri" w:hAnsi="Calibri" w:cs="Calibri"/>
                <w:color w:val="333333"/>
                <w:sz w:val="17"/>
                <w:szCs w:val="17"/>
              </w:rPr>
              <w:t>-based works, non-peer-reviewed materials</w:t>
            </w:r>
          </w:p>
          <w:p w14:paraId="67484476" w14:textId="77777777" w:rsidR="00B22575" w:rsidRDefault="00202C04">
            <w:pPr>
              <w:spacing w:before="30" w:after="30"/>
              <w:ind w:left="216" w:hanging="173"/>
            </w:pPr>
            <w:proofErr w:type="gramStart"/>
            <w:r>
              <w:rPr>
                <w:b/>
                <w:bCs/>
                <w:color w:val="B83225"/>
                <w:sz w:val="17"/>
                <w:szCs w:val="17"/>
              </w:rPr>
              <w:t xml:space="preserve">▸  </w:t>
            </w:r>
            <w:r>
              <w:rPr>
                <w:rFonts w:ascii="Calibri" w:eastAsia="Calibri" w:hAnsi="Calibri" w:cs="Calibri"/>
                <w:color w:val="333333"/>
                <w:sz w:val="17"/>
                <w:szCs w:val="17"/>
              </w:rPr>
              <w:t>Studies</w:t>
            </w:r>
            <w:proofErr w:type="gramEnd"/>
            <w:r>
              <w:rPr>
                <w:rFonts w:ascii="Calibri" w:eastAsia="Calibri" w:hAnsi="Calibri" w:cs="Calibri"/>
                <w:color w:val="333333"/>
                <w:sz w:val="17"/>
                <w:szCs w:val="17"/>
              </w:rPr>
              <w:t xml:space="preserve"> conducted outside the UK</w:t>
            </w:r>
          </w:p>
          <w:p w14:paraId="5A77611F" w14:textId="77777777" w:rsidR="00B22575" w:rsidRDefault="00202C04">
            <w:pPr>
              <w:spacing w:before="30" w:after="30"/>
              <w:ind w:left="216" w:hanging="173"/>
            </w:pPr>
            <w:proofErr w:type="gramStart"/>
            <w:r>
              <w:rPr>
                <w:b/>
                <w:bCs/>
                <w:color w:val="B83225"/>
                <w:sz w:val="17"/>
                <w:szCs w:val="17"/>
              </w:rPr>
              <w:t xml:space="preserve">▸  </w:t>
            </w:r>
            <w:r>
              <w:rPr>
                <w:rFonts w:ascii="Calibri" w:eastAsia="Calibri" w:hAnsi="Calibri" w:cs="Calibri"/>
                <w:color w:val="333333"/>
                <w:sz w:val="17"/>
                <w:szCs w:val="17"/>
              </w:rPr>
              <w:t>Sources</w:t>
            </w:r>
            <w:proofErr w:type="gramEnd"/>
            <w:r>
              <w:rPr>
                <w:rFonts w:ascii="Calibri" w:eastAsia="Calibri" w:hAnsi="Calibri" w:cs="Calibri"/>
                <w:color w:val="333333"/>
                <w:sz w:val="17"/>
                <w:szCs w:val="17"/>
              </w:rPr>
              <w:t xml:space="preserve"> not fully accessible online</w:t>
            </w:r>
          </w:p>
          <w:p w14:paraId="30D5BE93" w14:textId="77777777" w:rsidR="00B22575" w:rsidRDefault="00202C04">
            <w:pPr>
              <w:spacing w:before="30" w:after="30"/>
              <w:ind w:left="216" w:hanging="173"/>
            </w:pPr>
            <w:proofErr w:type="gramStart"/>
            <w:r>
              <w:rPr>
                <w:b/>
                <w:bCs/>
                <w:color w:val="B83225"/>
                <w:sz w:val="17"/>
                <w:szCs w:val="17"/>
              </w:rPr>
              <w:t xml:space="preserve">▸  </w:t>
            </w:r>
            <w:r>
              <w:rPr>
                <w:rFonts w:ascii="Calibri" w:eastAsia="Calibri" w:hAnsi="Calibri" w:cs="Calibri"/>
                <w:color w:val="333333"/>
                <w:sz w:val="17"/>
                <w:szCs w:val="17"/>
              </w:rPr>
              <w:t>Works</w:t>
            </w:r>
            <w:proofErr w:type="gramEnd"/>
            <w:r>
              <w:rPr>
                <w:rFonts w:ascii="Calibri" w:eastAsia="Calibri" w:hAnsi="Calibri" w:cs="Calibri"/>
                <w:color w:val="333333"/>
                <w:sz w:val="17"/>
                <w:szCs w:val="17"/>
              </w:rPr>
              <w:t xml:space="preserve"> without clear methodology or evidence base</w:t>
            </w:r>
          </w:p>
        </w:tc>
        <w:tc>
          <w:tcPr>
            <w:tcW w:w="5180" w:type="dxa"/>
            <w:tcBorders>
              <w:top w:val="single" w:sz="4" w:space="0" w:color="CCDDEE"/>
              <w:left w:val="single" w:sz="4" w:space="0" w:color="CCDDEE"/>
              <w:bottom w:val="single" w:sz="4" w:space="0" w:color="CCDDEE"/>
              <w:right w:val="single" w:sz="4" w:space="0" w:color="CCDDEE"/>
            </w:tcBorders>
            <w:shd w:val="clear" w:color="auto" w:fill="F4ECF7"/>
            <w:tcMar>
              <w:top w:w="144" w:type="dxa"/>
              <w:left w:w="173" w:type="dxa"/>
              <w:bottom w:w="144" w:type="dxa"/>
              <w:right w:w="173" w:type="dxa"/>
            </w:tcMar>
          </w:tcPr>
          <w:p w14:paraId="12FCDEDA" w14:textId="77777777" w:rsidR="00B22575" w:rsidRDefault="00202C04">
            <w:pPr>
              <w:spacing w:after="80"/>
            </w:pPr>
            <w:r>
              <w:rPr>
                <w:b/>
                <w:bCs/>
                <w:color w:val="FFFFFF"/>
                <w:sz w:val="16"/>
                <w:szCs w:val="16"/>
                <w:shd w:val="clear" w:color="auto" w:fill="6C3483"/>
              </w:rPr>
              <w:t xml:space="preserve">  08  </w:t>
            </w:r>
            <w:r>
              <w:t xml:space="preserve">  </w:t>
            </w:r>
            <w:r>
              <w:rPr>
                <w:rFonts w:ascii="Calibri" w:eastAsia="Calibri" w:hAnsi="Calibri" w:cs="Calibri"/>
                <w:b/>
                <w:bCs/>
                <w:color w:val="6C3483"/>
                <w:sz w:val="18"/>
                <w:szCs w:val="18"/>
              </w:rPr>
              <w:t>ETHICAL CONSIDERATIONS</w:t>
            </w:r>
          </w:p>
          <w:p w14:paraId="09FE15AF" w14:textId="77777777" w:rsidR="00B22575" w:rsidRDefault="00202C04">
            <w:pPr>
              <w:spacing w:before="60" w:after="40"/>
              <w:jc w:val="center"/>
            </w:pPr>
            <w:r>
              <w:rPr>
                <w:noProof/>
              </w:rPr>
              <w:drawing>
                <wp:inline distT="0" distB="0" distL="0" distR="0" wp14:anchorId="6F3DB92F" wp14:editId="2DF633FD">
                  <wp:extent cx="1905000" cy="10477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1905000" cy="1047750"/>
                          </a:xfrm>
                          <a:prstGeom prst="rect">
                            <a:avLst/>
                          </a:prstGeom>
                          <a:ln/>
                        </pic:spPr>
                      </pic:pic>
                    </a:graphicData>
                  </a:graphic>
                </wp:inline>
              </w:drawing>
            </w:r>
          </w:p>
          <w:p w14:paraId="73928ECC" w14:textId="77777777" w:rsidR="00B22575" w:rsidRDefault="00202C04">
            <w:pPr>
              <w:spacing w:after="80"/>
              <w:jc w:val="center"/>
              <w:rPr>
                <w:b/>
                <w:bCs/>
              </w:rPr>
            </w:pPr>
            <w:r>
              <w:rPr>
                <w:b/>
                <w:bCs/>
                <w:i/>
                <w:iCs/>
                <w:sz w:val="14"/>
                <w:szCs w:val="14"/>
              </w:rPr>
              <w:t>Fig. 7 Ethics icon (</w:t>
            </w:r>
            <w:proofErr w:type="spellStart"/>
            <w:r>
              <w:rPr>
                <w:b/>
                <w:bCs/>
                <w:i/>
                <w:iCs/>
                <w:sz w:val="14"/>
                <w:szCs w:val="14"/>
              </w:rPr>
              <w:t>Lucide</w:t>
            </w:r>
            <w:proofErr w:type="spellEnd"/>
            <w:r>
              <w:rPr>
                <w:b/>
                <w:bCs/>
                <w:i/>
                <w:iCs/>
                <w:sz w:val="14"/>
                <w:szCs w:val="14"/>
              </w:rPr>
              <w:t>, 2024)</w:t>
            </w:r>
          </w:p>
          <w:p w14:paraId="587D191A" w14:textId="77777777" w:rsidR="00B22575" w:rsidRDefault="00202C04">
            <w:pPr>
              <w:spacing w:before="40" w:after="60"/>
              <w:rPr>
                <w:b/>
                <w:bCs/>
              </w:rPr>
            </w:pPr>
            <w:r>
              <w:rPr>
                <w:rFonts w:ascii="Calibri" w:eastAsia="Calibri" w:hAnsi="Calibri" w:cs="Calibri"/>
                <w:b/>
                <w:bCs/>
                <w:sz w:val="18"/>
                <w:szCs w:val="18"/>
              </w:rPr>
              <w:t xml:space="preserve">Secondary sources </w:t>
            </w:r>
            <w:proofErr w:type="gramStart"/>
            <w:r>
              <w:rPr>
                <w:rFonts w:ascii="Calibri" w:eastAsia="Calibri" w:hAnsi="Calibri" w:cs="Calibri"/>
                <w:b/>
                <w:bCs/>
                <w:sz w:val="18"/>
                <w:szCs w:val="18"/>
              </w:rPr>
              <w:t>only  no</w:t>
            </w:r>
            <w:proofErr w:type="gramEnd"/>
            <w:r>
              <w:rPr>
                <w:rFonts w:ascii="Calibri" w:eastAsia="Calibri" w:hAnsi="Calibri" w:cs="Calibri"/>
                <w:b/>
                <w:bCs/>
                <w:sz w:val="18"/>
                <w:szCs w:val="18"/>
              </w:rPr>
              <w:t xml:space="preserve"> direct participant data collection required.</w:t>
            </w:r>
          </w:p>
          <w:p w14:paraId="5238D0FD" w14:textId="77777777" w:rsidR="00B22575" w:rsidRDefault="00202C04">
            <w:pPr>
              <w:spacing w:before="30" w:after="30"/>
              <w:ind w:left="216" w:hanging="173"/>
            </w:pPr>
            <w:proofErr w:type="gramStart"/>
            <w:r>
              <w:rPr>
                <w:b/>
                <w:bCs/>
                <w:color w:val="6C3483"/>
                <w:sz w:val="17"/>
                <w:szCs w:val="17"/>
              </w:rPr>
              <w:t xml:space="preserve">▸  </w:t>
            </w:r>
            <w:r>
              <w:rPr>
                <w:rFonts w:ascii="Calibri" w:eastAsia="Calibri" w:hAnsi="Calibri" w:cs="Calibri"/>
                <w:color w:val="333333"/>
                <w:sz w:val="17"/>
                <w:szCs w:val="17"/>
              </w:rPr>
              <w:t>Formal</w:t>
            </w:r>
            <w:proofErr w:type="gramEnd"/>
            <w:r>
              <w:rPr>
                <w:rFonts w:ascii="Calibri" w:eastAsia="Calibri" w:hAnsi="Calibri" w:cs="Calibri"/>
                <w:color w:val="333333"/>
                <w:sz w:val="17"/>
                <w:szCs w:val="17"/>
              </w:rPr>
              <w:t xml:space="preserve"> ethics approval not required</w:t>
            </w:r>
          </w:p>
          <w:p w14:paraId="68B64BE1" w14:textId="77777777" w:rsidR="00B22575" w:rsidRDefault="00202C04">
            <w:pPr>
              <w:spacing w:before="30" w:after="30"/>
              <w:ind w:left="216" w:hanging="173"/>
            </w:pPr>
            <w:proofErr w:type="gramStart"/>
            <w:r>
              <w:rPr>
                <w:b/>
                <w:bCs/>
                <w:color w:val="6C3483"/>
                <w:sz w:val="17"/>
                <w:szCs w:val="17"/>
              </w:rPr>
              <w:t xml:space="preserve">▸  </w:t>
            </w:r>
            <w:r>
              <w:rPr>
                <w:rFonts w:ascii="Calibri" w:eastAsia="Calibri" w:hAnsi="Calibri" w:cs="Calibri"/>
                <w:color w:val="333333"/>
                <w:sz w:val="17"/>
                <w:szCs w:val="17"/>
              </w:rPr>
              <w:t>Reflexive</w:t>
            </w:r>
            <w:proofErr w:type="gramEnd"/>
            <w:r>
              <w:rPr>
                <w:rFonts w:ascii="Calibri" w:eastAsia="Calibri" w:hAnsi="Calibri" w:cs="Calibri"/>
                <w:color w:val="333333"/>
                <w:sz w:val="17"/>
                <w:szCs w:val="17"/>
              </w:rPr>
              <w:t xml:space="preserve"> awareness of researcher positionality</w:t>
            </w:r>
          </w:p>
          <w:p w14:paraId="3489EC01" w14:textId="77777777" w:rsidR="00B22575" w:rsidRDefault="00202C04">
            <w:pPr>
              <w:spacing w:before="30" w:after="30"/>
              <w:ind w:left="216" w:hanging="173"/>
            </w:pPr>
            <w:proofErr w:type="gramStart"/>
            <w:r>
              <w:rPr>
                <w:b/>
                <w:bCs/>
                <w:color w:val="6C3483"/>
                <w:sz w:val="17"/>
                <w:szCs w:val="17"/>
              </w:rPr>
              <w:t xml:space="preserve">▸  </w:t>
            </w:r>
            <w:r>
              <w:rPr>
                <w:rFonts w:ascii="Calibri" w:eastAsia="Calibri" w:hAnsi="Calibri" w:cs="Calibri"/>
                <w:color w:val="333333"/>
                <w:sz w:val="17"/>
                <w:szCs w:val="17"/>
              </w:rPr>
              <w:t>Transparent</w:t>
            </w:r>
            <w:proofErr w:type="gramEnd"/>
            <w:r>
              <w:rPr>
                <w:rFonts w:ascii="Calibri" w:eastAsia="Calibri" w:hAnsi="Calibri" w:cs="Calibri"/>
                <w:color w:val="333333"/>
                <w:sz w:val="17"/>
                <w:szCs w:val="17"/>
              </w:rPr>
              <w:t xml:space="preserve"> source evaluation to avoid bias</w:t>
            </w:r>
          </w:p>
          <w:p w14:paraId="2A2FA01B" w14:textId="77777777" w:rsidR="00B22575" w:rsidRDefault="00202C04">
            <w:pPr>
              <w:spacing w:before="30" w:after="30"/>
              <w:ind w:left="216" w:hanging="173"/>
            </w:pPr>
            <w:proofErr w:type="gramStart"/>
            <w:r>
              <w:rPr>
                <w:b/>
                <w:bCs/>
                <w:color w:val="6C3483"/>
                <w:sz w:val="17"/>
                <w:szCs w:val="17"/>
              </w:rPr>
              <w:t xml:space="preserve">▸  </w:t>
            </w:r>
            <w:r>
              <w:rPr>
                <w:rFonts w:ascii="Calibri" w:eastAsia="Calibri" w:hAnsi="Calibri" w:cs="Calibri"/>
                <w:color w:val="333333"/>
                <w:sz w:val="17"/>
                <w:szCs w:val="17"/>
              </w:rPr>
              <w:t>Harvard</w:t>
            </w:r>
            <w:proofErr w:type="gramEnd"/>
            <w:r>
              <w:rPr>
                <w:rFonts w:ascii="Calibri" w:eastAsia="Calibri" w:hAnsi="Calibri" w:cs="Calibri"/>
                <w:color w:val="333333"/>
                <w:sz w:val="17"/>
                <w:szCs w:val="17"/>
              </w:rPr>
              <w:t xml:space="preserve"> referencing &amp; academic integrity maintained</w:t>
            </w:r>
          </w:p>
        </w:tc>
      </w:tr>
      <w:tr w:rsidR="00B22575" w14:paraId="3EE88307" w14:textId="77777777">
        <w:tc>
          <w:tcPr>
            <w:tcW w:w="5179" w:type="dxa"/>
            <w:tcBorders>
              <w:top w:val="single" w:sz="4" w:space="0" w:color="CCDDEE"/>
              <w:left w:val="single" w:sz="4" w:space="0" w:color="CCDDEE"/>
              <w:bottom w:val="single" w:sz="4" w:space="0" w:color="CCDDEE"/>
              <w:right w:val="single" w:sz="4" w:space="0" w:color="CCDDEE"/>
            </w:tcBorders>
            <w:shd w:val="clear" w:color="auto" w:fill="FDF0E8"/>
            <w:tcMar>
              <w:top w:w="144" w:type="dxa"/>
              <w:left w:w="173" w:type="dxa"/>
              <w:bottom w:w="144" w:type="dxa"/>
              <w:right w:w="173" w:type="dxa"/>
            </w:tcMar>
          </w:tcPr>
          <w:p w14:paraId="18E898B5" w14:textId="77777777" w:rsidR="00B22575" w:rsidRDefault="00202C04">
            <w:pPr>
              <w:spacing w:after="80"/>
            </w:pPr>
            <w:r>
              <w:rPr>
                <w:b/>
                <w:bCs/>
                <w:color w:val="FFFFFF"/>
                <w:sz w:val="16"/>
                <w:szCs w:val="16"/>
                <w:shd w:val="clear" w:color="auto" w:fill="B05A20"/>
              </w:rPr>
              <w:t xml:space="preserve">  09  </w:t>
            </w:r>
            <w:r>
              <w:t xml:space="preserve">  </w:t>
            </w:r>
            <w:r>
              <w:rPr>
                <w:rFonts w:ascii="Calibri" w:eastAsia="Calibri" w:hAnsi="Calibri" w:cs="Calibri"/>
                <w:b/>
                <w:bCs/>
                <w:color w:val="B05A20"/>
                <w:sz w:val="18"/>
                <w:szCs w:val="18"/>
              </w:rPr>
              <w:t>ANTICIPATED LIMITATIONS</w:t>
            </w:r>
          </w:p>
          <w:p w14:paraId="2E370C95" w14:textId="77777777" w:rsidR="00B22575" w:rsidRDefault="00202C04">
            <w:pPr>
              <w:spacing w:before="60" w:after="40"/>
              <w:jc w:val="center"/>
            </w:pPr>
            <w:r>
              <w:rPr>
                <w:noProof/>
              </w:rPr>
              <w:drawing>
                <wp:inline distT="0" distB="0" distL="0" distR="0" wp14:anchorId="59354ABF" wp14:editId="6C81796B">
                  <wp:extent cx="1905000" cy="104775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1905000" cy="1047750"/>
                          </a:xfrm>
                          <a:prstGeom prst="rect">
                            <a:avLst/>
                          </a:prstGeom>
                          <a:ln/>
                        </pic:spPr>
                      </pic:pic>
                    </a:graphicData>
                  </a:graphic>
                </wp:inline>
              </w:drawing>
            </w:r>
          </w:p>
          <w:p w14:paraId="10EA7426" w14:textId="77777777" w:rsidR="00B22575" w:rsidRDefault="00202C04">
            <w:pPr>
              <w:spacing w:after="80"/>
              <w:jc w:val="center"/>
              <w:rPr>
                <w:b/>
                <w:bCs/>
              </w:rPr>
            </w:pPr>
            <w:r>
              <w:rPr>
                <w:b/>
                <w:bCs/>
                <w:i/>
                <w:iCs/>
                <w:sz w:val="14"/>
                <w:szCs w:val="14"/>
              </w:rPr>
              <w:t xml:space="preserve">Fig. </w:t>
            </w:r>
            <w:proofErr w:type="gramStart"/>
            <w:r>
              <w:rPr>
                <w:b/>
                <w:bCs/>
                <w:i/>
                <w:iCs/>
                <w:sz w:val="14"/>
                <w:szCs w:val="14"/>
              </w:rPr>
              <w:t>8  Limitations</w:t>
            </w:r>
            <w:proofErr w:type="gramEnd"/>
            <w:r>
              <w:rPr>
                <w:b/>
                <w:bCs/>
                <w:i/>
                <w:iCs/>
                <w:sz w:val="14"/>
                <w:szCs w:val="14"/>
              </w:rPr>
              <w:t xml:space="preserve"> icon (</w:t>
            </w:r>
            <w:proofErr w:type="spellStart"/>
            <w:r>
              <w:rPr>
                <w:b/>
                <w:bCs/>
                <w:i/>
                <w:iCs/>
                <w:sz w:val="14"/>
                <w:szCs w:val="14"/>
              </w:rPr>
              <w:t>Lucide</w:t>
            </w:r>
            <w:proofErr w:type="spellEnd"/>
            <w:r>
              <w:rPr>
                <w:b/>
                <w:bCs/>
                <w:i/>
                <w:iCs/>
                <w:sz w:val="14"/>
                <w:szCs w:val="14"/>
              </w:rPr>
              <w:t>, 2024)</w:t>
            </w:r>
          </w:p>
          <w:p w14:paraId="0D768E74" w14:textId="77777777" w:rsidR="00B22575" w:rsidRDefault="00202C04">
            <w:pPr>
              <w:spacing w:before="30" w:after="30"/>
              <w:ind w:left="216" w:hanging="173"/>
            </w:pPr>
            <w:proofErr w:type="gramStart"/>
            <w:r>
              <w:rPr>
                <w:b/>
                <w:bCs/>
                <w:color w:val="B05A20"/>
                <w:sz w:val="17"/>
                <w:szCs w:val="17"/>
              </w:rPr>
              <w:t xml:space="preserve">▸  </w:t>
            </w:r>
            <w:r>
              <w:rPr>
                <w:rFonts w:ascii="Calibri" w:eastAsia="Calibri" w:hAnsi="Calibri" w:cs="Calibri"/>
                <w:color w:val="333333"/>
                <w:sz w:val="17"/>
                <w:szCs w:val="17"/>
              </w:rPr>
              <w:t>Findings</w:t>
            </w:r>
            <w:proofErr w:type="gramEnd"/>
            <w:r>
              <w:rPr>
                <w:rFonts w:ascii="Calibri" w:eastAsia="Calibri" w:hAnsi="Calibri" w:cs="Calibri"/>
                <w:color w:val="333333"/>
                <w:sz w:val="17"/>
                <w:szCs w:val="17"/>
              </w:rPr>
              <w:t xml:space="preserve"> may reflect national rather than West Midlands-specific data</w:t>
            </w:r>
          </w:p>
          <w:p w14:paraId="1843B7E8" w14:textId="77777777" w:rsidR="00B22575" w:rsidRDefault="00202C04">
            <w:pPr>
              <w:spacing w:before="30" w:after="30"/>
              <w:ind w:left="216" w:hanging="173"/>
            </w:pPr>
            <w:proofErr w:type="gramStart"/>
            <w:r>
              <w:rPr>
                <w:b/>
                <w:bCs/>
                <w:color w:val="B05A20"/>
                <w:sz w:val="17"/>
                <w:szCs w:val="17"/>
              </w:rPr>
              <w:t xml:space="preserve">▸  </w:t>
            </w:r>
            <w:r>
              <w:rPr>
                <w:rFonts w:ascii="Calibri" w:eastAsia="Calibri" w:hAnsi="Calibri" w:cs="Calibri"/>
                <w:color w:val="333333"/>
                <w:sz w:val="17"/>
                <w:szCs w:val="17"/>
              </w:rPr>
              <w:t>Publication</w:t>
            </w:r>
            <w:proofErr w:type="gramEnd"/>
            <w:r>
              <w:rPr>
                <w:rFonts w:ascii="Calibri" w:eastAsia="Calibri" w:hAnsi="Calibri" w:cs="Calibri"/>
                <w:color w:val="333333"/>
                <w:sz w:val="17"/>
                <w:szCs w:val="17"/>
              </w:rPr>
              <w:t xml:space="preserve"> bias — positive outcomes over-represented in literature</w:t>
            </w:r>
          </w:p>
          <w:p w14:paraId="78F308DC" w14:textId="77777777" w:rsidR="00B22575" w:rsidRDefault="00202C04">
            <w:pPr>
              <w:spacing w:before="30" w:after="30"/>
              <w:ind w:left="216" w:hanging="173"/>
            </w:pPr>
            <w:proofErr w:type="gramStart"/>
            <w:r>
              <w:rPr>
                <w:b/>
                <w:bCs/>
                <w:color w:val="B05A20"/>
                <w:sz w:val="17"/>
                <w:szCs w:val="17"/>
              </w:rPr>
              <w:t xml:space="preserve">▸  </w:t>
            </w:r>
            <w:r>
              <w:rPr>
                <w:rFonts w:ascii="Calibri" w:eastAsia="Calibri" w:hAnsi="Calibri" w:cs="Calibri"/>
                <w:color w:val="333333"/>
                <w:sz w:val="17"/>
                <w:szCs w:val="17"/>
              </w:rPr>
              <w:t>Grey</w:t>
            </w:r>
            <w:proofErr w:type="gramEnd"/>
            <w:r>
              <w:rPr>
                <w:rFonts w:ascii="Calibri" w:eastAsia="Calibri" w:hAnsi="Calibri" w:cs="Calibri"/>
                <w:color w:val="333333"/>
                <w:sz w:val="17"/>
                <w:szCs w:val="17"/>
              </w:rPr>
              <w:t xml:space="preserve"> literature (CQC, Skills for Care) included to address this gap</w:t>
            </w:r>
          </w:p>
          <w:p w14:paraId="1EA7C800" w14:textId="77777777" w:rsidR="00B22575" w:rsidRDefault="00202C04">
            <w:pPr>
              <w:spacing w:before="30" w:after="30"/>
              <w:ind w:left="216" w:hanging="173"/>
            </w:pPr>
            <w:proofErr w:type="gramStart"/>
            <w:r>
              <w:rPr>
                <w:b/>
                <w:bCs/>
                <w:color w:val="B05A20"/>
                <w:sz w:val="17"/>
                <w:szCs w:val="17"/>
              </w:rPr>
              <w:t xml:space="preserve">▸  </w:t>
            </w:r>
            <w:r>
              <w:rPr>
                <w:rFonts w:ascii="Calibri" w:eastAsia="Calibri" w:hAnsi="Calibri" w:cs="Calibri"/>
                <w:color w:val="333333"/>
                <w:sz w:val="17"/>
                <w:szCs w:val="17"/>
              </w:rPr>
              <w:t>Researcher</w:t>
            </w:r>
            <w:proofErr w:type="gramEnd"/>
            <w:r>
              <w:rPr>
                <w:rFonts w:ascii="Calibri" w:eastAsia="Calibri" w:hAnsi="Calibri" w:cs="Calibri"/>
                <w:color w:val="333333"/>
                <w:sz w:val="17"/>
                <w:szCs w:val="17"/>
              </w:rPr>
              <w:t xml:space="preserve"> positionality acknowledged and managed throughout</w:t>
            </w:r>
          </w:p>
        </w:tc>
        <w:tc>
          <w:tcPr>
            <w:tcW w:w="5179" w:type="dxa"/>
            <w:tcBorders>
              <w:top w:val="single" w:sz="4" w:space="0" w:color="CCDDEE"/>
              <w:left w:val="single" w:sz="4" w:space="0" w:color="CCDDEE"/>
              <w:bottom w:val="single" w:sz="4" w:space="0" w:color="CCDDEE"/>
              <w:right w:val="single" w:sz="4" w:space="0" w:color="CCDDEE"/>
            </w:tcBorders>
            <w:shd w:val="clear" w:color="auto" w:fill="E8F7F9"/>
            <w:tcMar>
              <w:top w:w="144" w:type="dxa"/>
              <w:left w:w="173" w:type="dxa"/>
              <w:bottom w:w="144" w:type="dxa"/>
              <w:right w:w="173" w:type="dxa"/>
            </w:tcMar>
          </w:tcPr>
          <w:p w14:paraId="25B06704" w14:textId="77777777" w:rsidR="00B22575" w:rsidRDefault="00202C04">
            <w:pPr>
              <w:spacing w:after="80"/>
            </w:pPr>
            <w:r>
              <w:rPr>
                <w:b/>
                <w:bCs/>
                <w:color w:val="FFFFFF"/>
                <w:sz w:val="16"/>
                <w:szCs w:val="16"/>
                <w:shd w:val="clear" w:color="auto" w:fill="0B7A8A"/>
              </w:rPr>
              <w:t xml:space="preserve">  10  </w:t>
            </w:r>
            <w:r>
              <w:t xml:space="preserve">  </w:t>
            </w:r>
            <w:r>
              <w:rPr>
                <w:rFonts w:ascii="Calibri" w:eastAsia="Calibri" w:hAnsi="Calibri" w:cs="Calibri"/>
                <w:b/>
                <w:bCs/>
                <w:color w:val="0B7A8A"/>
                <w:sz w:val="18"/>
                <w:szCs w:val="18"/>
              </w:rPr>
              <w:t>PERSON-CENTRED CARE FOCUS</w:t>
            </w:r>
          </w:p>
          <w:p w14:paraId="7B6CD513" w14:textId="77777777" w:rsidR="00B22575" w:rsidRDefault="00202C04">
            <w:pPr>
              <w:spacing w:before="60" w:after="40"/>
              <w:jc w:val="center"/>
            </w:pPr>
            <w:r>
              <w:rPr>
                <w:noProof/>
              </w:rPr>
              <w:drawing>
                <wp:inline distT="0" distB="0" distL="0" distR="0" wp14:anchorId="3E1BFDA0" wp14:editId="52DDB16D">
                  <wp:extent cx="1905000" cy="10477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1905000" cy="1047750"/>
                          </a:xfrm>
                          <a:prstGeom prst="rect">
                            <a:avLst/>
                          </a:prstGeom>
                          <a:ln/>
                        </pic:spPr>
                      </pic:pic>
                    </a:graphicData>
                  </a:graphic>
                </wp:inline>
              </w:drawing>
            </w:r>
          </w:p>
          <w:p w14:paraId="193724D4" w14:textId="77777777" w:rsidR="00B22575" w:rsidRDefault="00202C04">
            <w:pPr>
              <w:spacing w:after="80"/>
              <w:jc w:val="center"/>
              <w:rPr>
                <w:b/>
                <w:bCs/>
              </w:rPr>
            </w:pPr>
            <w:r>
              <w:rPr>
                <w:b/>
                <w:bCs/>
                <w:i/>
                <w:iCs/>
                <w:sz w:val="14"/>
                <w:szCs w:val="14"/>
              </w:rPr>
              <w:t xml:space="preserve">Fig. </w:t>
            </w:r>
            <w:proofErr w:type="gramStart"/>
            <w:r>
              <w:rPr>
                <w:b/>
                <w:bCs/>
                <w:i/>
                <w:iCs/>
                <w:sz w:val="14"/>
                <w:szCs w:val="14"/>
              </w:rPr>
              <w:t>9  Person</w:t>
            </w:r>
            <w:proofErr w:type="gramEnd"/>
            <w:r>
              <w:rPr>
                <w:b/>
                <w:bCs/>
                <w:i/>
                <w:iCs/>
                <w:sz w:val="14"/>
                <w:szCs w:val="14"/>
              </w:rPr>
              <w:t>-centred care model (Ocean Healthcare, n.d.)</w:t>
            </w:r>
          </w:p>
          <w:p w14:paraId="738C9448" w14:textId="77777777" w:rsidR="00B22575" w:rsidRDefault="00202C04">
            <w:pPr>
              <w:spacing w:before="40" w:after="60"/>
            </w:pPr>
            <w:r>
              <w:rPr>
                <w:rFonts w:ascii="Calibri" w:eastAsia="Calibri" w:hAnsi="Calibri" w:cs="Calibri"/>
                <w:color w:val="2D3A4A"/>
                <w:sz w:val="18"/>
                <w:szCs w:val="18"/>
              </w:rPr>
              <w:t>Person-centred care is a dominant paradigm emphasising individualised approaches that respect residents’ preferences, autonomy, and dignity (Edvardsson et al., 2008). Translating these principles into consistent practice remains challenging within resource-constrained residential care environments.</w:t>
            </w:r>
          </w:p>
          <w:p w14:paraId="732181FE" w14:textId="77777777" w:rsidR="00B22575" w:rsidRDefault="00202C04">
            <w:pPr>
              <w:spacing w:before="30" w:after="30"/>
              <w:ind w:left="216" w:hanging="173"/>
            </w:pPr>
            <w:proofErr w:type="gramStart"/>
            <w:r>
              <w:rPr>
                <w:b/>
                <w:bCs/>
                <w:color w:val="0B7A8A"/>
                <w:sz w:val="17"/>
                <w:szCs w:val="17"/>
              </w:rPr>
              <w:t xml:space="preserve">▸  </w:t>
            </w:r>
            <w:r>
              <w:rPr>
                <w:rFonts w:ascii="Calibri" w:eastAsia="Calibri" w:hAnsi="Calibri" w:cs="Calibri"/>
                <w:color w:val="333333"/>
                <w:sz w:val="17"/>
                <w:szCs w:val="17"/>
              </w:rPr>
              <w:t>Resident</w:t>
            </w:r>
            <w:proofErr w:type="gramEnd"/>
            <w:r>
              <w:rPr>
                <w:rFonts w:ascii="Calibri" w:eastAsia="Calibri" w:hAnsi="Calibri" w:cs="Calibri"/>
                <w:color w:val="333333"/>
                <w:sz w:val="17"/>
                <w:szCs w:val="17"/>
              </w:rPr>
              <w:t xml:space="preserve"> dignity &amp; autonomy as core outcome measures</w:t>
            </w:r>
          </w:p>
          <w:p w14:paraId="6784E66E" w14:textId="77777777" w:rsidR="00B22575" w:rsidRDefault="00202C04">
            <w:pPr>
              <w:spacing w:before="30" w:after="30"/>
              <w:ind w:left="216" w:hanging="173"/>
            </w:pPr>
            <w:proofErr w:type="gramStart"/>
            <w:r>
              <w:rPr>
                <w:b/>
                <w:bCs/>
                <w:color w:val="0B7A8A"/>
                <w:sz w:val="17"/>
                <w:szCs w:val="17"/>
              </w:rPr>
              <w:t xml:space="preserve">▸  </w:t>
            </w:r>
            <w:r>
              <w:rPr>
                <w:rFonts w:ascii="Calibri" w:eastAsia="Calibri" w:hAnsi="Calibri" w:cs="Calibri"/>
                <w:color w:val="333333"/>
                <w:sz w:val="17"/>
                <w:szCs w:val="17"/>
              </w:rPr>
              <w:t>Policy</w:t>
            </w:r>
            <w:proofErr w:type="gramEnd"/>
            <w:r>
              <w:rPr>
                <w:rFonts w:ascii="Calibri" w:eastAsia="Calibri" w:hAnsi="Calibri" w:cs="Calibri"/>
                <w:color w:val="333333"/>
                <w:sz w:val="17"/>
                <w:szCs w:val="17"/>
              </w:rPr>
              <w:t xml:space="preserve"> vs practice gap central to this research</w:t>
            </w:r>
          </w:p>
        </w:tc>
        <w:tc>
          <w:tcPr>
            <w:tcW w:w="5180" w:type="dxa"/>
            <w:tcBorders>
              <w:top w:val="single" w:sz="4" w:space="0" w:color="CCDDEE"/>
              <w:left w:val="single" w:sz="4" w:space="0" w:color="CCDDEE"/>
              <w:bottom w:val="single" w:sz="4" w:space="0" w:color="CCDDEE"/>
              <w:right w:val="single" w:sz="4" w:space="0" w:color="CCDDEE"/>
            </w:tcBorders>
            <w:shd w:val="clear" w:color="auto" w:fill="EBF0F7"/>
            <w:tcMar>
              <w:top w:w="144" w:type="dxa"/>
              <w:left w:w="173" w:type="dxa"/>
              <w:bottom w:w="144" w:type="dxa"/>
              <w:right w:w="173" w:type="dxa"/>
            </w:tcMar>
          </w:tcPr>
          <w:p w14:paraId="7088FF39" w14:textId="77777777" w:rsidR="00B22575" w:rsidRDefault="00202C04">
            <w:pPr>
              <w:spacing w:after="80"/>
            </w:pPr>
            <w:r>
              <w:rPr>
                <w:b/>
                <w:bCs/>
                <w:color w:val="FFFFFF"/>
                <w:sz w:val="16"/>
                <w:szCs w:val="16"/>
                <w:shd w:val="clear" w:color="auto" w:fill="1A3A5C"/>
              </w:rPr>
              <w:t xml:space="preserve">  11  </w:t>
            </w:r>
            <w:r>
              <w:t xml:space="preserve">  </w:t>
            </w:r>
            <w:r>
              <w:rPr>
                <w:rFonts w:ascii="Calibri" w:eastAsia="Calibri" w:hAnsi="Calibri" w:cs="Calibri"/>
                <w:b/>
                <w:bCs/>
                <w:color w:val="1A3A5C"/>
                <w:sz w:val="18"/>
                <w:szCs w:val="18"/>
              </w:rPr>
              <w:t>SOURCE TRACKING TABLE</w:t>
            </w:r>
          </w:p>
          <w:p w14:paraId="52B411CF" w14:textId="77777777" w:rsidR="00B22575" w:rsidRDefault="00202C04">
            <w:pPr>
              <w:spacing w:after="40"/>
            </w:pPr>
            <w:r>
              <w:rPr>
                <w:rFonts w:ascii="Calibri" w:eastAsia="Calibri" w:hAnsi="Calibri" w:cs="Calibri"/>
                <w:color w:val="2D3A4A"/>
                <w:sz w:val="18"/>
                <w:szCs w:val="18"/>
              </w:rPr>
              <w:t>Condensed log of database searches and screening outcomes:</w:t>
            </w:r>
          </w:p>
          <w:tbl>
            <w:tblPr>
              <w:tblStyle w:val="a2"/>
              <w:tblW w:w="483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30"/>
              <w:gridCol w:w="1450"/>
              <w:gridCol w:w="1354"/>
            </w:tblGrid>
            <w:tr w:rsidR="00B22575" w14:paraId="77EB0D8B" w14:textId="77777777">
              <w:tc>
                <w:tcPr>
                  <w:tcW w:w="2030" w:type="dxa"/>
                  <w:tcBorders>
                    <w:top w:val="nil"/>
                    <w:left w:val="single" w:sz="4" w:space="0" w:color="FFFFFF"/>
                    <w:bottom w:val="nil"/>
                    <w:right w:val="single" w:sz="4" w:space="0" w:color="FFFFFF"/>
                  </w:tcBorders>
                  <w:shd w:val="clear" w:color="auto" w:fill="1A3A5C"/>
                  <w:tcMar>
                    <w:top w:w="72" w:type="dxa"/>
                    <w:left w:w="115" w:type="dxa"/>
                    <w:bottom w:w="72" w:type="dxa"/>
                    <w:right w:w="115" w:type="dxa"/>
                  </w:tcMar>
                </w:tcPr>
                <w:p w14:paraId="611C25D0" w14:textId="77777777" w:rsidR="00B22575" w:rsidRDefault="00202C04">
                  <w:pPr>
                    <w:spacing w:before="20" w:after="20"/>
                  </w:pPr>
                  <w:r>
                    <w:rPr>
                      <w:rFonts w:ascii="Calibri" w:eastAsia="Calibri" w:hAnsi="Calibri" w:cs="Calibri"/>
                      <w:b/>
                      <w:bCs/>
                      <w:color w:val="FFFFFF"/>
                      <w:sz w:val="15"/>
                      <w:szCs w:val="15"/>
                    </w:rPr>
                    <w:t>Database</w:t>
                  </w:r>
                </w:p>
              </w:tc>
              <w:tc>
                <w:tcPr>
                  <w:tcW w:w="1450" w:type="dxa"/>
                  <w:tcBorders>
                    <w:top w:val="nil"/>
                    <w:left w:val="single" w:sz="4" w:space="0" w:color="FFFFFF"/>
                    <w:bottom w:val="nil"/>
                    <w:right w:val="single" w:sz="4" w:space="0" w:color="FFFFFF"/>
                  </w:tcBorders>
                  <w:shd w:val="clear" w:color="auto" w:fill="1A3A5C"/>
                  <w:tcMar>
                    <w:top w:w="72" w:type="dxa"/>
                    <w:left w:w="115" w:type="dxa"/>
                    <w:bottom w:w="72" w:type="dxa"/>
                    <w:right w:w="115" w:type="dxa"/>
                  </w:tcMar>
                </w:tcPr>
                <w:p w14:paraId="0FE380D2" w14:textId="77777777" w:rsidR="00B22575" w:rsidRDefault="00202C04">
                  <w:pPr>
                    <w:spacing w:before="20" w:after="20"/>
                  </w:pPr>
                  <w:r>
                    <w:rPr>
                      <w:rFonts w:ascii="Calibri" w:eastAsia="Calibri" w:hAnsi="Calibri" w:cs="Calibri"/>
                      <w:b/>
                      <w:bCs/>
                      <w:color w:val="FFFFFF"/>
                      <w:sz w:val="15"/>
                      <w:szCs w:val="15"/>
                    </w:rPr>
                    <w:t>Results</w:t>
                  </w:r>
                </w:p>
              </w:tc>
              <w:tc>
                <w:tcPr>
                  <w:tcW w:w="1354" w:type="dxa"/>
                  <w:tcBorders>
                    <w:top w:val="nil"/>
                    <w:left w:val="single" w:sz="4" w:space="0" w:color="FFFFFF"/>
                    <w:bottom w:val="nil"/>
                    <w:right w:val="single" w:sz="4" w:space="0" w:color="FFFFFF"/>
                  </w:tcBorders>
                  <w:shd w:val="clear" w:color="auto" w:fill="1A3A5C"/>
                  <w:tcMar>
                    <w:top w:w="72" w:type="dxa"/>
                    <w:left w:w="115" w:type="dxa"/>
                    <w:bottom w:w="72" w:type="dxa"/>
                    <w:right w:w="115" w:type="dxa"/>
                  </w:tcMar>
                </w:tcPr>
                <w:p w14:paraId="25D1AD1E" w14:textId="77777777" w:rsidR="00B22575" w:rsidRDefault="00202C04">
                  <w:pPr>
                    <w:spacing w:before="20" w:after="20"/>
                  </w:pPr>
                  <w:r>
                    <w:rPr>
                      <w:rFonts w:ascii="Calibri" w:eastAsia="Calibri" w:hAnsi="Calibri" w:cs="Calibri"/>
                      <w:b/>
                      <w:bCs/>
                      <w:color w:val="FFFFFF"/>
                      <w:sz w:val="15"/>
                      <w:szCs w:val="15"/>
                    </w:rPr>
                    <w:t>Included</w:t>
                  </w:r>
                </w:p>
              </w:tc>
            </w:tr>
            <w:tr w:rsidR="00B22575" w14:paraId="634B07AA" w14:textId="77777777">
              <w:tc>
                <w:tcPr>
                  <w:tcW w:w="2030" w:type="dxa"/>
                  <w:tcBorders>
                    <w:top w:val="nil"/>
                    <w:left w:val="nil"/>
                    <w:bottom w:val="single" w:sz="4" w:space="0" w:color="DDE4EA"/>
                    <w:right w:val="nil"/>
                  </w:tcBorders>
                  <w:shd w:val="clear" w:color="auto" w:fill="EEF3F9"/>
                  <w:tcMar>
                    <w:top w:w="72" w:type="dxa"/>
                    <w:left w:w="115" w:type="dxa"/>
                    <w:bottom w:w="72" w:type="dxa"/>
                    <w:right w:w="115" w:type="dxa"/>
                  </w:tcMar>
                </w:tcPr>
                <w:p w14:paraId="0F738FCD" w14:textId="77777777" w:rsidR="00B22575" w:rsidRDefault="00202C04">
                  <w:pPr>
                    <w:spacing w:before="20" w:after="20"/>
                  </w:pPr>
                  <w:r>
                    <w:rPr>
                      <w:rFonts w:ascii="Calibri" w:eastAsia="Calibri" w:hAnsi="Calibri" w:cs="Calibri"/>
                      <w:color w:val="2D3A4A"/>
                      <w:sz w:val="13"/>
                      <w:szCs w:val="13"/>
                    </w:rPr>
                    <w:t>PubMed</w:t>
                  </w:r>
                </w:p>
              </w:tc>
              <w:tc>
                <w:tcPr>
                  <w:tcW w:w="1450" w:type="dxa"/>
                  <w:tcBorders>
                    <w:top w:val="nil"/>
                    <w:left w:val="nil"/>
                    <w:bottom w:val="single" w:sz="4" w:space="0" w:color="DDE4EA"/>
                    <w:right w:val="nil"/>
                  </w:tcBorders>
                  <w:shd w:val="clear" w:color="auto" w:fill="EEF3F9"/>
                  <w:tcMar>
                    <w:top w:w="72" w:type="dxa"/>
                    <w:left w:w="115" w:type="dxa"/>
                    <w:bottom w:w="72" w:type="dxa"/>
                    <w:right w:w="115" w:type="dxa"/>
                  </w:tcMar>
                </w:tcPr>
                <w:p w14:paraId="5F605A27" w14:textId="77777777" w:rsidR="00B22575" w:rsidRDefault="00202C04">
                  <w:pPr>
                    <w:spacing w:before="20" w:after="20"/>
                  </w:pPr>
                  <w:r>
                    <w:rPr>
                      <w:rFonts w:ascii="Calibri" w:eastAsia="Calibri" w:hAnsi="Calibri" w:cs="Calibri"/>
                      <w:color w:val="2D3A4A"/>
                      <w:sz w:val="13"/>
                      <w:szCs w:val="13"/>
                    </w:rPr>
                    <w:t>450 → 28</w:t>
                  </w:r>
                </w:p>
              </w:tc>
              <w:tc>
                <w:tcPr>
                  <w:tcW w:w="1354" w:type="dxa"/>
                  <w:tcBorders>
                    <w:top w:val="nil"/>
                    <w:left w:val="nil"/>
                    <w:bottom w:val="single" w:sz="4" w:space="0" w:color="DDE4EA"/>
                    <w:right w:val="nil"/>
                  </w:tcBorders>
                  <w:shd w:val="clear" w:color="auto" w:fill="EEF3F9"/>
                  <w:tcMar>
                    <w:top w:w="72" w:type="dxa"/>
                    <w:left w:w="115" w:type="dxa"/>
                    <w:bottom w:w="72" w:type="dxa"/>
                    <w:right w:w="115" w:type="dxa"/>
                  </w:tcMar>
                </w:tcPr>
                <w:p w14:paraId="0E6F6A3B" w14:textId="77777777" w:rsidR="00B22575" w:rsidRDefault="00202C04">
                  <w:pPr>
                    <w:spacing w:before="20" w:after="20"/>
                  </w:pPr>
                  <w:r>
                    <w:rPr>
                      <w:rFonts w:ascii="Calibri" w:eastAsia="Calibri" w:hAnsi="Calibri" w:cs="Calibri"/>
                      <w:b/>
                      <w:bCs/>
                      <w:color w:val="2D3A4A"/>
                      <w:sz w:val="13"/>
                      <w:szCs w:val="13"/>
                    </w:rPr>
                    <w:t>4</w:t>
                  </w:r>
                </w:p>
              </w:tc>
            </w:tr>
            <w:tr w:rsidR="00B22575" w14:paraId="7C70B416" w14:textId="77777777">
              <w:tc>
                <w:tcPr>
                  <w:tcW w:w="2030" w:type="dxa"/>
                  <w:tcBorders>
                    <w:top w:val="nil"/>
                    <w:left w:val="nil"/>
                    <w:bottom w:val="single" w:sz="4" w:space="0" w:color="DDE4EA"/>
                    <w:right w:val="nil"/>
                  </w:tcBorders>
                  <w:shd w:val="clear" w:color="auto" w:fill="FFFFFF"/>
                  <w:tcMar>
                    <w:top w:w="72" w:type="dxa"/>
                    <w:left w:w="115" w:type="dxa"/>
                    <w:bottom w:w="72" w:type="dxa"/>
                    <w:right w:w="115" w:type="dxa"/>
                  </w:tcMar>
                </w:tcPr>
                <w:p w14:paraId="5071E15E" w14:textId="77777777" w:rsidR="00B22575" w:rsidRDefault="00202C04">
                  <w:pPr>
                    <w:spacing w:before="20" w:after="20"/>
                  </w:pPr>
                  <w:r>
                    <w:rPr>
                      <w:rFonts w:ascii="Calibri" w:eastAsia="Calibri" w:hAnsi="Calibri" w:cs="Calibri"/>
                      <w:color w:val="2D3A4A"/>
                      <w:sz w:val="13"/>
                      <w:szCs w:val="13"/>
                    </w:rPr>
                    <w:t>CINAHL</w:t>
                  </w:r>
                </w:p>
              </w:tc>
              <w:tc>
                <w:tcPr>
                  <w:tcW w:w="1450" w:type="dxa"/>
                  <w:tcBorders>
                    <w:top w:val="nil"/>
                    <w:left w:val="nil"/>
                    <w:bottom w:val="single" w:sz="4" w:space="0" w:color="DDE4EA"/>
                    <w:right w:val="nil"/>
                  </w:tcBorders>
                  <w:shd w:val="clear" w:color="auto" w:fill="FFFFFF"/>
                  <w:tcMar>
                    <w:top w:w="72" w:type="dxa"/>
                    <w:left w:w="115" w:type="dxa"/>
                    <w:bottom w:w="72" w:type="dxa"/>
                    <w:right w:w="115" w:type="dxa"/>
                  </w:tcMar>
                </w:tcPr>
                <w:p w14:paraId="3BDFC078" w14:textId="77777777" w:rsidR="00B22575" w:rsidRDefault="00202C04">
                  <w:pPr>
                    <w:spacing w:before="20" w:after="20"/>
                  </w:pPr>
                  <w:r>
                    <w:rPr>
                      <w:rFonts w:ascii="Calibri" w:eastAsia="Calibri" w:hAnsi="Calibri" w:cs="Calibri"/>
                      <w:color w:val="2D3A4A"/>
                      <w:sz w:val="13"/>
                      <w:szCs w:val="13"/>
                    </w:rPr>
                    <w:t>210 → 19</w:t>
                  </w:r>
                </w:p>
              </w:tc>
              <w:tc>
                <w:tcPr>
                  <w:tcW w:w="1354" w:type="dxa"/>
                  <w:tcBorders>
                    <w:top w:val="nil"/>
                    <w:left w:val="nil"/>
                    <w:bottom w:val="single" w:sz="4" w:space="0" w:color="DDE4EA"/>
                    <w:right w:val="nil"/>
                  </w:tcBorders>
                  <w:shd w:val="clear" w:color="auto" w:fill="FFFFFF"/>
                  <w:tcMar>
                    <w:top w:w="72" w:type="dxa"/>
                    <w:left w:w="115" w:type="dxa"/>
                    <w:bottom w:w="72" w:type="dxa"/>
                    <w:right w:w="115" w:type="dxa"/>
                  </w:tcMar>
                </w:tcPr>
                <w:p w14:paraId="11E795F6" w14:textId="77777777" w:rsidR="00B22575" w:rsidRDefault="00202C04">
                  <w:pPr>
                    <w:spacing w:before="20" w:after="20"/>
                  </w:pPr>
                  <w:r>
                    <w:rPr>
                      <w:rFonts w:ascii="Calibri" w:eastAsia="Calibri" w:hAnsi="Calibri" w:cs="Calibri"/>
                      <w:b/>
                      <w:bCs/>
                      <w:color w:val="2D3A4A"/>
                      <w:sz w:val="13"/>
                      <w:szCs w:val="13"/>
                    </w:rPr>
                    <w:t>3</w:t>
                  </w:r>
                </w:p>
              </w:tc>
            </w:tr>
            <w:tr w:rsidR="00B22575" w14:paraId="3DBCA51D" w14:textId="77777777">
              <w:tc>
                <w:tcPr>
                  <w:tcW w:w="2030" w:type="dxa"/>
                  <w:tcBorders>
                    <w:top w:val="nil"/>
                    <w:left w:val="nil"/>
                    <w:bottom w:val="single" w:sz="4" w:space="0" w:color="DDE4EA"/>
                    <w:right w:val="nil"/>
                  </w:tcBorders>
                  <w:shd w:val="clear" w:color="auto" w:fill="EEF3F9"/>
                  <w:tcMar>
                    <w:top w:w="72" w:type="dxa"/>
                    <w:left w:w="115" w:type="dxa"/>
                    <w:bottom w:w="72" w:type="dxa"/>
                    <w:right w:w="115" w:type="dxa"/>
                  </w:tcMar>
                </w:tcPr>
                <w:p w14:paraId="0AB9B944" w14:textId="77777777" w:rsidR="00B22575" w:rsidRDefault="00202C04">
                  <w:pPr>
                    <w:spacing w:before="20" w:after="20"/>
                  </w:pPr>
                  <w:r>
                    <w:rPr>
                      <w:rFonts w:ascii="Calibri" w:eastAsia="Calibri" w:hAnsi="Calibri" w:cs="Calibri"/>
                      <w:color w:val="2D3A4A"/>
                      <w:sz w:val="13"/>
                      <w:szCs w:val="13"/>
                    </w:rPr>
                    <w:t>PsycINFO</w:t>
                  </w:r>
                </w:p>
              </w:tc>
              <w:tc>
                <w:tcPr>
                  <w:tcW w:w="1450" w:type="dxa"/>
                  <w:tcBorders>
                    <w:top w:val="nil"/>
                    <w:left w:val="nil"/>
                    <w:bottom w:val="single" w:sz="4" w:space="0" w:color="DDE4EA"/>
                    <w:right w:val="nil"/>
                  </w:tcBorders>
                  <w:shd w:val="clear" w:color="auto" w:fill="EEF3F9"/>
                  <w:tcMar>
                    <w:top w:w="72" w:type="dxa"/>
                    <w:left w:w="115" w:type="dxa"/>
                    <w:bottom w:w="72" w:type="dxa"/>
                    <w:right w:w="115" w:type="dxa"/>
                  </w:tcMar>
                </w:tcPr>
                <w:p w14:paraId="12051031" w14:textId="77777777" w:rsidR="00B22575" w:rsidRDefault="00202C04">
                  <w:pPr>
                    <w:spacing w:before="20" w:after="20"/>
                  </w:pPr>
                  <w:r>
                    <w:rPr>
                      <w:rFonts w:ascii="Calibri" w:eastAsia="Calibri" w:hAnsi="Calibri" w:cs="Calibri"/>
                      <w:color w:val="2D3A4A"/>
                      <w:sz w:val="13"/>
                      <w:szCs w:val="13"/>
                    </w:rPr>
                    <w:t>180 → 15</w:t>
                  </w:r>
                </w:p>
              </w:tc>
              <w:tc>
                <w:tcPr>
                  <w:tcW w:w="1354" w:type="dxa"/>
                  <w:tcBorders>
                    <w:top w:val="nil"/>
                    <w:left w:val="nil"/>
                    <w:bottom w:val="single" w:sz="4" w:space="0" w:color="DDE4EA"/>
                    <w:right w:val="nil"/>
                  </w:tcBorders>
                  <w:shd w:val="clear" w:color="auto" w:fill="EEF3F9"/>
                  <w:tcMar>
                    <w:top w:w="72" w:type="dxa"/>
                    <w:left w:w="115" w:type="dxa"/>
                    <w:bottom w:w="72" w:type="dxa"/>
                    <w:right w:w="115" w:type="dxa"/>
                  </w:tcMar>
                </w:tcPr>
                <w:p w14:paraId="674ADAE6" w14:textId="77777777" w:rsidR="00B22575" w:rsidRDefault="00202C04">
                  <w:pPr>
                    <w:spacing w:before="20" w:after="20"/>
                  </w:pPr>
                  <w:r>
                    <w:rPr>
                      <w:rFonts w:ascii="Calibri" w:eastAsia="Calibri" w:hAnsi="Calibri" w:cs="Calibri"/>
                      <w:b/>
                      <w:bCs/>
                      <w:color w:val="2D3A4A"/>
                      <w:sz w:val="13"/>
                      <w:szCs w:val="13"/>
                    </w:rPr>
                    <w:t>2</w:t>
                  </w:r>
                </w:p>
              </w:tc>
            </w:tr>
            <w:tr w:rsidR="00B22575" w14:paraId="1DF3CB35" w14:textId="77777777">
              <w:tc>
                <w:tcPr>
                  <w:tcW w:w="2030" w:type="dxa"/>
                  <w:tcBorders>
                    <w:top w:val="nil"/>
                    <w:left w:val="nil"/>
                    <w:bottom w:val="single" w:sz="4" w:space="0" w:color="DDE4EA"/>
                    <w:right w:val="nil"/>
                  </w:tcBorders>
                  <w:shd w:val="clear" w:color="auto" w:fill="FFFFFF"/>
                  <w:tcMar>
                    <w:top w:w="72" w:type="dxa"/>
                    <w:left w:w="115" w:type="dxa"/>
                    <w:bottom w:w="72" w:type="dxa"/>
                    <w:right w:w="115" w:type="dxa"/>
                  </w:tcMar>
                </w:tcPr>
                <w:p w14:paraId="0917112C" w14:textId="77777777" w:rsidR="00B22575" w:rsidRDefault="00202C04">
                  <w:pPr>
                    <w:spacing w:before="20" w:after="20"/>
                  </w:pPr>
                  <w:r>
                    <w:rPr>
                      <w:rFonts w:ascii="Calibri" w:eastAsia="Calibri" w:hAnsi="Calibri" w:cs="Calibri"/>
                      <w:color w:val="2D3A4A"/>
                      <w:sz w:val="13"/>
                      <w:szCs w:val="13"/>
                    </w:rPr>
                    <w:t>Social Care Online</w:t>
                  </w:r>
                </w:p>
              </w:tc>
              <w:tc>
                <w:tcPr>
                  <w:tcW w:w="1450" w:type="dxa"/>
                  <w:tcBorders>
                    <w:top w:val="nil"/>
                    <w:left w:val="nil"/>
                    <w:bottom w:val="single" w:sz="4" w:space="0" w:color="DDE4EA"/>
                    <w:right w:val="nil"/>
                  </w:tcBorders>
                  <w:shd w:val="clear" w:color="auto" w:fill="FFFFFF"/>
                  <w:tcMar>
                    <w:top w:w="72" w:type="dxa"/>
                    <w:left w:w="115" w:type="dxa"/>
                    <w:bottom w:w="72" w:type="dxa"/>
                    <w:right w:w="115" w:type="dxa"/>
                  </w:tcMar>
                </w:tcPr>
                <w:p w14:paraId="54FA6AF9" w14:textId="77777777" w:rsidR="00B22575" w:rsidRDefault="00202C04">
                  <w:pPr>
                    <w:spacing w:before="20" w:after="20"/>
                  </w:pPr>
                  <w:r>
                    <w:rPr>
                      <w:rFonts w:ascii="Calibri" w:eastAsia="Calibri" w:hAnsi="Calibri" w:cs="Calibri"/>
                      <w:color w:val="2D3A4A"/>
                      <w:sz w:val="13"/>
                      <w:szCs w:val="13"/>
                    </w:rPr>
                    <w:t>95 → 11</w:t>
                  </w:r>
                </w:p>
              </w:tc>
              <w:tc>
                <w:tcPr>
                  <w:tcW w:w="1354" w:type="dxa"/>
                  <w:tcBorders>
                    <w:top w:val="nil"/>
                    <w:left w:val="nil"/>
                    <w:bottom w:val="single" w:sz="4" w:space="0" w:color="DDE4EA"/>
                    <w:right w:val="nil"/>
                  </w:tcBorders>
                  <w:shd w:val="clear" w:color="auto" w:fill="FFFFFF"/>
                  <w:tcMar>
                    <w:top w:w="72" w:type="dxa"/>
                    <w:left w:w="115" w:type="dxa"/>
                    <w:bottom w:w="72" w:type="dxa"/>
                    <w:right w:w="115" w:type="dxa"/>
                  </w:tcMar>
                </w:tcPr>
                <w:p w14:paraId="25E6AFD2" w14:textId="77777777" w:rsidR="00B22575" w:rsidRDefault="00202C04">
                  <w:pPr>
                    <w:spacing w:before="20" w:after="20"/>
                  </w:pPr>
                  <w:r>
                    <w:rPr>
                      <w:rFonts w:ascii="Calibri" w:eastAsia="Calibri" w:hAnsi="Calibri" w:cs="Calibri"/>
                      <w:b/>
                      <w:bCs/>
                      <w:color w:val="2D3A4A"/>
                      <w:sz w:val="13"/>
                      <w:szCs w:val="13"/>
                    </w:rPr>
                    <w:t>3</w:t>
                  </w:r>
                </w:p>
              </w:tc>
            </w:tr>
            <w:tr w:rsidR="00B22575" w14:paraId="0CDF8FF8" w14:textId="77777777">
              <w:tc>
                <w:tcPr>
                  <w:tcW w:w="2030" w:type="dxa"/>
                  <w:tcBorders>
                    <w:top w:val="nil"/>
                    <w:left w:val="nil"/>
                    <w:bottom w:val="single" w:sz="4" w:space="0" w:color="DDE4EA"/>
                    <w:right w:val="nil"/>
                  </w:tcBorders>
                  <w:shd w:val="clear" w:color="auto" w:fill="EEF3F9"/>
                  <w:tcMar>
                    <w:top w:w="72" w:type="dxa"/>
                    <w:left w:w="115" w:type="dxa"/>
                    <w:bottom w:w="72" w:type="dxa"/>
                    <w:right w:w="115" w:type="dxa"/>
                  </w:tcMar>
                </w:tcPr>
                <w:p w14:paraId="2CC76169" w14:textId="77777777" w:rsidR="00B22575" w:rsidRDefault="00202C04">
                  <w:pPr>
                    <w:spacing w:before="20" w:after="20"/>
                  </w:pPr>
                  <w:r>
                    <w:rPr>
                      <w:rFonts w:ascii="Calibri" w:eastAsia="Calibri" w:hAnsi="Calibri" w:cs="Calibri"/>
                      <w:color w:val="2D3A4A"/>
                      <w:sz w:val="13"/>
                      <w:szCs w:val="13"/>
                    </w:rPr>
                    <w:t>Grey literature</w:t>
                  </w:r>
                </w:p>
              </w:tc>
              <w:tc>
                <w:tcPr>
                  <w:tcW w:w="1450" w:type="dxa"/>
                  <w:tcBorders>
                    <w:top w:val="nil"/>
                    <w:left w:val="nil"/>
                    <w:bottom w:val="single" w:sz="4" w:space="0" w:color="DDE4EA"/>
                    <w:right w:val="nil"/>
                  </w:tcBorders>
                  <w:shd w:val="clear" w:color="auto" w:fill="EEF3F9"/>
                  <w:tcMar>
                    <w:top w:w="72" w:type="dxa"/>
                    <w:left w:w="115" w:type="dxa"/>
                    <w:bottom w:w="72" w:type="dxa"/>
                    <w:right w:w="115" w:type="dxa"/>
                  </w:tcMar>
                </w:tcPr>
                <w:p w14:paraId="77F0B29D" w14:textId="77777777" w:rsidR="00B22575" w:rsidRDefault="00202C04">
                  <w:pPr>
                    <w:spacing w:before="20" w:after="20"/>
                  </w:pPr>
                  <w:r>
                    <w:rPr>
                      <w:rFonts w:ascii="Calibri" w:eastAsia="Calibri" w:hAnsi="Calibri" w:cs="Calibri"/>
                      <w:i/>
                      <w:iCs/>
                      <w:color w:val="2D3A4A"/>
                      <w:sz w:val="13"/>
                      <w:szCs w:val="13"/>
                    </w:rPr>
                    <w:t>direct site search</w:t>
                  </w:r>
                </w:p>
              </w:tc>
              <w:tc>
                <w:tcPr>
                  <w:tcW w:w="1354" w:type="dxa"/>
                  <w:tcBorders>
                    <w:top w:val="nil"/>
                    <w:left w:val="nil"/>
                    <w:bottom w:val="single" w:sz="4" w:space="0" w:color="DDE4EA"/>
                    <w:right w:val="nil"/>
                  </w:tcBorders>
                  <w:shd w:val="clear" w:color="auto" w:fill="EEF3F9"/>
                  <w:tcMar>
                    <w:top w:w="72" w:type="dxa"/>
                    <w:left w:w="115" w:type="dxa"/>
                    <w:bottom w:w="72" w:type="dxa"/>
                    <w:right w:w="115" w:type="dxa"/>
                  </w:tcMar>
                </w:tcPr>
                <w:p w14:paraId="68011716" w14:textId="77777777" w:rsidR="00B22575" w:rsidRDefault="00202C04">
                  <w:pPr>
                    <w:spacing w:before="20" w:after="20"/>
                  </w:pPr>
                  <w:r>
                    <w:rPr>
                      <w:rFonts w:ascii="Calibri" w:eastAsia="Calibri" w:hAnsi="Calibri" w:cs="Calibri"/>
                      <w:b/>
                      <w:bCs/>
                      <w:color w:val="2D3A4A"/>
                      <w:sz w:val="13"/>
                      <w:szCs w:val="13"/>
                    </w:rPr>
                    <w:t>3</w:t>
                  </w:r>
                </w:p>
              </w:tc>
            </w:tr>
          </w:tbl>
          <w:p w14:paraId="77A2E2ED" w14:textId="77777777" w:rsidR="00B22575" w:rsidRDefault="00202C04">
            <w:pPr>
              <w:spacing w:before="60"/>
            </w:pPr>
            <w:r>
              <w:rPr>
                <w:rFonts w:ascii="Calibri" w:eastAsia="Calibri" w:hAnsi="Calibri" w:cs="Calibri"/>
                <w:sz w:val="18"/>
                <w:szCs w:val="18"/>
              </w:rPr>
              <w:t>15 sources retained for full analysis (see Results Summary Table, overleaf).</w:t>
            </w:r>
          </w:p>
        </w:tc>
      </w:tr>
      <w:tr w:rsidR="00B22575" w14:paraId="47AF0000" w14:textId="77777777">
        <w:tc>
          <w:tcPr>
            <w:tcW w:w="15538" w:type="dxa"/>
            <w:gridSpan w:val="3"/>
            <w:tcBorders>
              <w:top w:val="nil"/>
              <w:left w:val="nil"/>
              <w:bottom w:val="nil"/>
              <w:right w:val="nil"/>
            </w:tcBorders>
            <w:shd w:val="clear" w:color="auto" w:fill="1A3A5C"/>
            <w:tcMar>
              <w:top w:w="144" w:type="dxa"/>
              <w:left w:w="259" w:type="dxa"/>
              <w:bottom w:w="144" w:type="dxa"/>
              <w:right w:w="259" w:type="dxa"/>
            </w:tcMar>
          </w:tcPr>
          <w:p w14:paraId="78F770CA" w14:textId="77777777" w:rsidR="00B22575" w:rsidRDefault="00202C04">
            <w:r>
              <w:rPr>
                <w:rFonts w:ascii="Calibri" w:eastAsia="Calibri" w:hAnsi="Calibri" w:cs="Calibri"/>
                <w:b/>
                <w:bCs/>
                <w:color w:val="7FD4E0"/>
              </w:rPr>
              <w:t xml:space="preserve">CONCLUSION   </w:t>
            </w:r>
            <w:r>
              <w:rPr>
                <w:rFonts w:ascii="Calibri" w:eastAsia="Calibri" w:hAnsi="Calibri" w:cs="Calibri"/>
                <w:color w:val="D0E8F4"/>
                <w:sz w:val="18"/>
                <w:szCs w:val="18"/>
              </w:rPr>
              <w:t xml:space="preserve">This study addresses a critical gap in understanding how theoretical models of quality care translate into actual practice in the West Midlands. By synthesising fragmented evidence from academic journals, regulatory inspections, and government policy through a rigorous thematic review, it will provide actionable recommendations for improving elderly residential </w:t>
            </w:r>
            <w:proofErr w:type="gramStart"/>
            <w:r>
              <w:rPr>
                <w:rFonts w:ascii="Calibri" w:eastAsia="Calibri" w:hAnsi="Calibri" w:cs="Calibri"/>
                <w:color w:val="D0E8F4"/>
                <w:sz w:val="18"/>
                <w:szCs w:val="18"/>
              </w:rPr>
              <w:t>care  contributing</w:t>
            </w:r>
            <w:proofErr w:type="gramEnd"/>
            <w:r>
              <w:rPr>
                <w:rFonts w:ascii="Calibri" w:eastAsia="Calibri" w:hAnsi="Calibri" w:cs="Calibri"/>
                <w:color w:val="D0E8F4"/>
                <w:sz w:val="18"/>
                <w:szCs w:val="18"/>
              </w:rPr>
              <w:t xml:space="preserve"> to both regional practice and national policy discourse (Towers et al., 2020).</w:t>
            </w:r>
          </w:p>
        </w:tc>
      </w:tr>
      <w:tr w:rsidR="00B22575" w14:paraId="52A89C73" w14:textId="77777777">
        <w:tc>
          <w:tcPr>
            <w:tcW w:w="15538" w:type="dxa"/>
            <w:gridSpan w:val="3"/>
            <w:tcBorders>
              <w:top w:val="single" w:sz="4" w:space="0" w:color="CCDDEE"/>
              <w:left w:val="nil"/>
              <w:bottom w:val="nil"/>
              <w:right w:val="nil"/>
            </w:tcBorders>
            <w:shd w:val="clear" w:color="auto" w:fill="EBF0F7"/>
            <w:tcMar>
              <w:top w:w="86" w:type="dxa"/>
              <w:left w:w="259" w:type="dxa"/>
              <w:bottom w:w="86" w:type="dxa"/>
              <w:right w:w="259" w:type="dxa"/>
            </w:tcMar>
          </w:tcPr>
          <w:p w14:paraId="1F9FDB31" w14:textId="77777777" w:rsidR="00B22575" w:rsidRDefault="00202C04">
            <w:r>
              <w:rPr>
                <w:rFonts w:ascii="Calibri" w:eastAsia="Calibri" w:hAnsi="Calibri" w:cs="Calibri"/>
                <w:i/>
                <w:iCs/>
                <w:color w:val="555555"/>
                <w:sz w:val="15"/>
                <w:szCs w:val="15"/>
              </w:rPr>
              <w:t>Results Summary Table and full reference list, including sources for all figures and images, are provided overleaf.</w:t>
            </w:r>
          </w:p>
        </w:tc>
      </w:tr>
    </w:tbl>
    <w:p w14:paraId="2986C3B7" w14:textId="77777777" w:rsidR="00B22575" w:rsidRDefault="00B22575">
      <w:pPr>
        <w:sectPr w:rsidR="00B22575">
          <w:pgSz w:w="16834" w:h="22464"/>
          <w:pgMar w:top="648" w:right="648" w:bottom="648" w:left="648" w:header="708" w:footer="708" w:gutter="0"/>
          <w:pgNumType w:start="1"/>
          <w:cols w:space="720"/>
        </w:sectPr>
      </w:pPr>
    </w:p>
    <w:p w14:paraId="320F1873" w14:textId="77777777" w:rsidR="00B22575" w:rsidRDefault="00202C04">
      <w:pPr>
        <w:spacing w:after="60"/>
      </w:pPr>
      <w:r>
        <w:rPr>
          <w:rFonts w:ascii="Calibri" w:eastAsia="Calibri" w:hAnsi="Calibri" w:cs="Calibri"/>
          <w:b/>
          <w:bCs/>
          <w:color w:val="1A3A5C"/>
          <w:sz w:val="30"/>
          <w:szCs w:val="30"/>
        </w:rPr>
        <w:lastRenderedPageBreak/>
        <w:t>Results Summary Table</w:t>
      </w:r>
    </w:p>
    <w:p w14:paraId="0829CCDF" w14:textId="77777777" w:rsidR="00B22575" w:rsidRDefault="00202C04">
      <w:pPr>
        <w:spacing w:after="200"/>
      </w:pPr>
      <w:r>
        <w:rPr>
          <w:rFonts w:ascii="Calibri" w:eastAsia="Calibri" w:hAnsi="Calibri" w:cs="Calibri"/>
          <w:i/>
          <w:iCs/>
          <w:color w:val="555555"/>
          <w:sz w:val="17"/>
          <w:szCs w:val="17"/>
        </w:rPr>
        <w:t>Sources retained after screening, synthesised following Aveyard (2014) and coded into themes using Braun &amp; Clarke’s (2006) thematic analysis. Corresponds to the Source Tracking Table (Section 11, previous page).</w:t>
      </w:r>
    </w:p>
    <w:tbl>
      <w:tblPr>
        <w:tblStyle w:val="a3"/>
        <w:tblW w:w="15538"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18"/>
        <w:gridCol w:w="3108"/>
        <w:gridCol w:w="5904"/>
        <w:gridCol w:w="3108"/>
      </w:tblGrid>
      <w:tr w:rsidR="00B22575" w14:paraId="2A74BB37" w14:textId="77777777">
        <w:trPr>
          <w:tblHeader/>
        </w:trPr>
        <w:tc>
          <w:tcPr>
            <w:tcW w:w="3418" w:type="dxa"/>
            <w:tcBorders>
              <w:top w:val="nil"/>
              <w:left w:val="single" w:sz="4" w:space="0" w:color="FFFFFF"/>
              <w:bottom w:val="nil"/>
              <w:right w:val="single" w:sz="4" w:space="0" w:color="FFFFFF"/>
            </w:tcBorders>
            <w:shd w:val="clear" w:color="auto" w:fill="1A3A5C"/>
            <w:tcMar>
              <w:top w:w="72" w:type="dxa"/>
              <w:left w:w="115" w:type="dxa"/>
              <w:bottom w:w="72" w:type="dxa"/>
              <w:right w:w="115" w:type="dxa"/>
            </w:tcMar>
          </w:tcPr>
          <w:p w14:paraId="46A5395D" w14:textId="77777777" w:rsidR="00B22575" w:rsidRDefault="00202C04">
            <w:pPr>
              <w:spacing w:before="20" w:after="20"/>
            </w:pPr>
            <w:r>
              <w:rPr>
                <w:rFonts w:ascii="Calibri" w:eastAsia="Calibri" w:hAnsi="Calibri" w:cs="Calibri"/>
                <w:b/>
                <w:bCs/>
                <w:color w:val="FFFFFF"/>
                <w:sz w:val="15"/>
                <w:szCs w:val="15"/>
              </w:rPr>
              <w:t>Author &amp; Year</w:t>
            </w:r>
          </w:p>
        </w:tc>
        <w:tc>
          <w:tcPr>
            <w:tcW w:w="3108" w:type="dxa"/>
            <w:tcBorders>
              <w:top w:val="nil"/>
              <w:left w:val="single" w:sz="4" w:space="0" w:color="FFFFFF"/>
              <w:bottom w:val="nil"/>
              <w:right w:val="single" w:sz="4" w:space="0" w:color="FFFFFF"/>
            </w:tcBorders>
            <w:shd w:val="clear" w:color="auto" w:fill="1A3A5C"/>
            <w:tcMar>
              <w:top w:w="72" w:type="dxa"/>
              <w:left w:w="115" w:type="dxa"/>
              <w:bottom w:w="72" w:type="dxa"/>
              <w:right w:w="115" w:type="dxa"/>
            </w:tcMar>
          </w:tcPr>
          <w:p w14:paraId="4B968106" w14:textId="77777777" w:rsidR="00B22575" w:rsidRDefault="00202C04">
            <w:pPr>
              <w:spacing w:before="20" w:after="20"/>
            </w:pPr>
            <w:r>
              <w:rPr>
                <w:rFonts w:ascii="Calibri" w:eastAsia="Calibri" w:hAnsi="Calibri" w:cs="Calibri"/>
                <w:b/>
                <w:bCs/>
                <w:color w:val="FFFFFF"/>
                <w:sz w:val="15"/>
                <w:szCs w:val="15"/>
              </w:rPr>
              <w:t>Study Type</w:t>
            </w:r>
          </w:p>
        </w:tc>
        <w:tc>
          <w:tcPr>
            <w:tcW w:w="5904" w:type="dxa"/>
            <w:tcBorders>
              <w:top w:val="nil"/>
              <w:left w:val="single" w:sz="4" w:space="0" w:color="FFFFFF"/>
              <w:bottom w:val="nil"/>
              <w:right w:val="single" w:sz="4" w:space="0" w:color="FFFFFF"/>
            </w:tcBorders>
            <w:shd w:val="clear" w:color="auto" w:fill="1A3A5C"/>
            <w:tcMar>
              <w:top w:w="72" w:type="dxa"/>
              <w:left w:w="115" w:type="dxa"/>
              <w:bottom w:w="72" w:type="dxa"/>
              <w:right w:w="115" w:type="dxa"/>
            </w:tcMar>
          </w:tcPr>
          <w:p w14:paraId="67E08DA8" w14:textId="77777777" w:rsidR="00B22575" w:rsidRDefault="00202C04">
            <w:pPr>
              <w:spacing w:before="20" w:after="20"/>
            </w:pPr>
            <w:r>
              <w:rPr>
                <w:rFonts w:ascii="Calibri" w:eastAsia="Calibri" w:hAnsi="Calibri" w:cs="Calibri"/>
                <w:b/>
                <w:bCs/>
                <w:color w:val="FFFFFF"/>
                <w:sz w:val="15"/>
                <w:szCs w:val="15"/>
              </w:rPr>
              <w:t>Key Finding</w:t>
            </w:r>
          </w:p>
        </w:tc>
        <w:tc>
          <w:tcPr>
            <w:tcW w:w="3108" w:type="dxa"/>
            <w:tcBorders>
              <w:top w:val="nil"/>
              <w:left w:val="single" w:sz="4" w:space="0" w:color="FFFFFF"/>
              <w:bottom w:val="nil"/>
              <w:right w:val="single" w:sz="4" w:space="0" w:color="FFFFFF"/>
            </w:tcBorders>
            <w:shd w:val="clear" w:color="auto" w:fill="1A3A5C"/>
            <w:tcMar>
              <w:top w:w="72" w:type="dxa"/>
              <w:left w:w="115" w:type="dxa"/>
              <w:bottom w:w="72" w:type="dxa"/>
              <w:right w:w="115" w:type="dxa"/>
            </w:tcMar>
          </w:tcPr>
          <w:p w14:paraId="2CA75500" w14:textId="77777777" w:rsidR="00B22575" w:rsidRDefault="00202C04">
            <w:pPr>
              <w:spacing w:before="20" w:after="20"/>
            </w:pPr>
            <w:r>
              <w:rPr>
                <w:rFonts w:ascii="Calibri" w:eastAsia="Calibri" w:hAnsi="Calibri" w:cs="Calibri"/>
                <w:b/>
                <w:bCs/>
                <w:color w:val="FFFFFF"/>
                <w:sz w:val="15"/>
                <w:szCs w:val="15"/>
              </w:rPr>
              <w:t>Theme</w:t>
            </w:r>
          </w:p>
        </w:tc>
      </w:tr>
      <w:tr w:rsidR="00B22575" w14:paraId="63C42094" w14:textId="77777777">
        <w:tc>
          <w:tcPr>
            <w:tcW w:w="3418" w:type="dxa"/>
            <w:tcBorders>
              <w:top w:val="nil"/>
              <w:left w:val="nil"/>
              <w:bottom w:val="single" w:sz="4" w:space="0" w:color="DDE4EA"/>
              <w:right w:val="nil"/>
            </w:tcBorders>
            <w:shd w:val="clear" w:color="auto" w:fill="F0F3F6"/>
            <w:tcMar>
              <w:top w:w="72" w:type="dxa"/>
              <w:left w:w="115" w:type="dxa"/>
              <w:bottom w:w="72" w:type="dxa"/>
              <w:right w:w="115" w:type="dxa"/>
            </w:tcMar>
          </w:tcPr>
          <w:p w14:paraId="5B3EFB21" w14:textId="77777777" w:rsidR="00B22575" w:rsidRDefault="00202C04">
            <w:pPr>
              <w:spacing w:before="20" w:after="20"/>
            </w:pPr>
            <w:r>
              <w:rPr>
                <w:rFonts w:ascii="Calibri" w:eastAsia="Calibri" w:hAnsi="Calibri" w:cs="Calibri"/>
                <w:b/>
                <w:bCs/>
                <w:color w:val="2D3A4A"/>
                <w:sz w:val="14"/>
                <w:szCs w:val="14"/>
              </w:rPr>
              <w:t>Braun &amp; Clarke (2006)</w:t>
            </w:r>
          </w:p>
        </w:tc>
        <w:tc>
          <w:tcPr>
            <w:tcW w:w="3108" w:type="dxa"/>
            <w:tcBorders>
              <w:top w:val="nil"/>
              <w:left w:val="nil"/>
              <w:bottom w:val="single" w:sz="4" w:space="0" w:color="DDE4EA"/>
              <w:right w:val="nil"/>
            </w:tcBorders>
            <w:shd w:val="clear" w:color="auto" w:fill="F0F3F6"/>
            <w:tcMar>
              <w:top w:w="72" w:type="dxa"/>
              <w:left w:w="115" w:type="dxa"/>
              <w:bottom w:w="72" w:type="dxa"/>
              <w:right w:w="115" w:type="dxa"/>
            </w:tcMar>
          </w:tcPr>
          <w:p w14:paraId="1A350C23" w14:textId="77777777" w:rsidR="00B22575" w:rsidRDefault="00202C04">
            <w:pPr>
              <w:spacing w:before="20" w:after="20"/>
            </w:pPr>
            <w:r>
              <w:rPr>
                <w:rFonts w:ascii="Calibri" w:eastAsia="Calibri" w:hAnsi="Calibri" w:cs="Calibri"/>
                <w:i/>
                <w:iCs/>
                <w:color w:val="2D3A4A"/>
                <w:sz w:val="13"/>
                <w:szCs w:val="13"/>
              </w:rPr>
              <w:t>Methodological paper</w:t>
            </w:r>
          </w:p>
        </w:tc>
        <w:tc>
          <w:tcPr>
            <w:tcW w:w="5904" w:type="dxa"/>
            <w:tcBorders>
              <w:top w:val="nil"/>
              <w:left w:val="nil"/>
              <w:bottom w:val="single" w:sz="4" w:space="0" w:color="DDE4EA"/>
              <w:right w:val="nil"/>
            </w:tcBorders>
            <w:shd w:val="clear" w:color="auto" w:fill="F0F3F6"/>
            <w:tcMar>
              <w:top w:w="72" w:type="dxa"/>
              <w:left w:w="115" w:type="dxa"/>
              <w:bottom w:w="72" w:type="dxa"/>
              <w:right w:w="115" w:type="dxa"/>
            </w:tcMar>
          </w:tcPr>
          <w:p w14:paraId="001F6AD1" w14:textId="77777777" w:rsidR="00B22575" w:rsidRDefault="00202C04">
            <w:pPr>
              <w:spacing w:before="20" w:after="20"/>
            </w:pPr>
            <w:r>
              <w:rPr>
                <w:rFonts w:ascii="Calibri" w:eastAsia="Calibri" w:hAnsi="Calibri" w:cs="Calibri"/>
                <w:color w:val="2D3A4A"/>
                <w:sz w:val="13"/>
                <w:szCs w:val="13"/>
              </w:rPr>
              <w:t>Established the six-phase thematic analysis approach used to synthesise findings in this project.</w:t>
            </w:r>
          </w:p>
        </w:tc>
        <w:tc>
          <w:tcPr>
            <w:tcW w:w="3108" w:type="dxa"/>
            <w:tcBorders>
              <w:top w:val="nil"/>
              <w:left w:val="nil"/>
              <w:bottom w:val="single" w:sz="4" w:space="0" w:color="DDE4EA"/>
              <w:right w:val="nil"/>
            </w:tcBorders>
            <w:shd w:val="clear" w:color="auto" w:fill="F0F3F6"/>
            <w:tcMar>
              <w:top w:w="72" w:type="dxa"/>
              <w:left w:w="115" w:type="dxa"/>
              <w:bottom w:w="72" w:type="dxa"/>
              <w:right w:w="115" w:type="dxa"/>
            </w:tcMar>
          </w:tcPr>
          <w:p w14:paraId="50518E12" w14:textId="77777777" w:rsidR="00B22575" w:rsidRDefault="00202C04">
            <w:pPr>
              <w:spacing w:before="20" w:after="20"/>
            </w:pPr>
            <w:r>
              <w:rPr>
                <w:rFonts w:ascii="Calibri" w:eastAsia="Calibri" w:hAnsi="Calibri" w:cs="Calibri"/>
                <w:b/>
                <w:bCs/>
                <w:color w:val="2D3A4A"/>
                <w:sz w:val="13"/>
                <w:szCs w:val="13"/>
              </w:rPr>
              <w:t>Methodology</w:t>
            </w:r>
          </w:p>
        </w:tc>
      </w:tr>
      <w:tr w:rsidR="00B22575" w14:paraId="5F6EAFC9" w14:textId="77777777">
        <w:tc>
          <w:tcPr>
            <w:tcW w:w="3418" w:type="dxa"/>
            <w:tcBorders>
              <w:top w:val="nil"/>
              <w:left w:val="nil"/>
              <w:bottom w:val="single" w:sz="4" w:space="0" w:color="DDE4EA"/>
              <w:right w:val="nil"/>
            </w:tcBorders>
            <w:shd w:val="clear" w:color="auto" w:fill="F0F3F6"/>
            <w:tcMar>
              <w:top w:w="72" w:type="dxa"/>
              <w:left w:w="115" w:type="dxa"/>
              <w:bottom w:w="72" w:type="dxa"/>
              <w:right w:w="115" w:type="dxa"/>
            </w:tcMar>
          </w:tcPr>
          <w:p w14:paraId="7622C666" w14:textId="77777777" w:rsidR="00B22575" w:rsidRDefault="00202C04">
            <w:pPr>
              <w:spacing w:before="20" w:after="20"/>
            </w:pPr>
            <w:r>
              <w:rPr>
                <w:rFonts w:ascii="Calibri" w:eastAsia="Calibri" w:hAnsi="Calibri" w:cs="Calibri"/>
                <w:b/>
                <w:bCs/>
                <w:color w:val="2D3A4A"/>
                <w:sz w:val="14"/>
                <w:szCs w:val="14"/>
              </w:rPr>
              <w:t>Johnston (2017)</w:t>
            </w:r>
          </w:p>
        </w:tc>
        <w:tc>
          <w:tcPr>
            <w:tcW w:w="3108" w:type="dxa"/>
            <w:tcBorders>
              <w:top w:val="nil"/>
              <w:left w:val="nil"/>
              <w:bottom w:val="single" w:sz="4" w:space="0" w:color="DDE4EA"/>
              <w:right w:val="nil"/>
            </w:tcBorders>
            <w:shd w:val="clear" w:color="auto" w:fill="F0F3F6"/>
            <w:tcMar>
              <w:top w:w="72" w:type="dxa"/>
              <w:left w:w="115" w:type="dxa"/>
              <w:bottom w:w="72" w:type="dxa"/>
              <w:right w:w="115" w:type="dxa"/>
            </w:tcMar>
          </w:tcPr>
          <w:p w14:paraId="2F2221D4" w14:textId="77777777" w:rsidR="00B22575" w:rsidRDefault="00202C04">
            <w:pPr>
              <w:spacing w:before="20" w:after="20"/>
            </w:pPr>
            <w:r>
              <w:rPr>
                <w:rFonts w:ascii="Calibri" w:eastAsia="Calibri" w:hAnsi="Calibri" w:cs="Calibri"/>
                <w:i/>
                <w:iCs/>
                <w:color w:val="2D3A4A"/>
                <w:sz w:val="13"/>
                <w:szCs w:val="13"/>
              </w:rPr>
              <w:t>Methodological paper</w:t>
            </w:r>
          </w:p>
        </w:tc>
        <w:tc>
          <w:tcPr>
            <w:tcW w:w="5904" w:type="dxa"/>
            <w:tcBorders>
              <w:top w:val="nil"/>
              <w:left w:val="nil"/>
              <w:bottom w:val="single" w:sz="4" w:space="0" w:color="DDE4EA"/>
              <w:right w:val="nil"/>
            </w:tcBorders>
            <w:shd w:val="clear" w:color="auto" w:fill="F0F3F6"/>
            <w:tcMar>
              <w:top w:w="72" w:type="dxa"/>
              <w:left w:w="115" w:type="dxa"/>
              <w:bottom w:w="72" w:type="dxa"/>
              <w:right w:w="115" w:type="dxa"/>
            </w:tcMar>
          </w:tcPr>
          <w:p w14:paraId="4B7895B6" w14:textId="77777777" w:rsidR="00B22575" w:rsidRDefault="00202C04">
            <w:pPr>
              <w:spacing w:before="20" w:after="20"/>
            </w:pPr>
            <w:r>
              <w:rPr>
                <w:rFonts w:ascii="Calibri" w:eastAsia="Calibri" w:hAnsi="Calibri" w:cs="Calibri"/>
                <w:color w:val="2D3A4A"/>
                <w:sz w:val="13"/>
                <w:szCs w:val="13"/>
              </w:rPr>
              <w:t>Sets out the rationale and value of secondary data analysis for health and social care research.</w:t>
            </w:r>
          </w:p>
        </w:tc>
        <w:tc>
          <w:tcPr>
            <w:tcW w:w="3108" w:type="dxa"/>
            <w:tcBorders>
              <w:top w:val="nil"/>
              <w:left w:val="nil"/>
              <w:bottom w:val="single" w:sz="4" w:space="0" w:color="DDE4EA"/>
              <w:right w:val="nil"/>
            </w:tcBorders>
            <w:shd w:val="clear" w:color="auto" w:fill="F0F3F6"/>
            <w:tcMar>
              <w:top w:w="72" w:type="dxa"/>
              <w:left w:w="115" w:type="dxa"/>
              <w:bottom w:w="72" w:type="dxa"/>
              <w:right w:w="115" w:type="dxa"/>
            </w:tcMar>
          </w:tcPr>
          <w:p w14:paraId="6C143CD5" w14:textId="77777777" w:rsidR="00B22575" w:rsidRDefault="00202C04">
            <w:pPr>
              <w:spacing w:before="20" w:after="20"/>
            </w:pPr>
            <w:r>
              <w:rPr>
                <w:rFonts w:ascii="Calibri" w:eastAsia="Calibri" w:hAnsi="Calibri" w:cs="Calibri"/>
                <w:b/>
                <w:bCs/>
                <w:color w:val="2D3A4A"/>
                <w:sz w:val="13"/>
                <w:szCs w:val="13"/>
              </w:rPr>
              <w:t>Methodology</w:t>
            </w:r>
          </w:p>
        </w:tc>
      </w:tr>
      <w:tr w:rsidR="00B22575" w14:paraId="3F08FF0C" w14:textId="77777777">
        <w:tc>
          <w:tcPr>
            <w:tcW w:w="3418" w:type="dxa"/>
            <w:tcBorders>
              <w:top w:val="nil"/>
              <w:left w:val="nil"/>
              <w:bottom w:val="single" w:sz="4" w:space="0" w:color="DDE4EA"/>
              <w:right w:val="nil"/>
            </w:tcBorders>
            <w:shd w:val="clear" w:color="auto" w:fill="F0F3F6"/>
            <w:tcMar>
              <w:top w:w="72" w:type="dxa"/>
              <w:left w:w="115" w:type="dxa"/>
              <w:bottom w:w="72" w:type="dxa"/>
              <w:right w:w="115" w:type="dxa"/>
            </w:tcMar>
          </w:tcPr>
          <w:p w14:paraId="345AAE54" w14:textId="77777777" w:rsidR="00B22575" w:rsidRDefault="00202C04">
            <w:pPr>
              <w:spacing w:before="20" w:after="20"/>
            </w:pPr>
            <w:r>
              <w:rPr>
                <w:rFonts w:ascii="Calibri" w:eastAsia="Calibri" w:hAnsi="Calibri" w:cs="Calibri"/>
                <w:b/>
                <w:bCs/>
                <w:color w:val="2D3A4A"/>
                <w:sz w:val="14"/>
                <w:szCs w:val="14"/>
              </w:rPr>
              <w:t>Greenhalgh et al. (2018)</w:t>
            </w:r>
          </w:p>
        </w:tc>
        <w:tc>
          <w:tcPr>
            <w:tcW w:w="3108" w:type="dxa"/>
            <w:tcBorders>
              <w:top w:val="nil"/>
              <w:left w:val="nil"/>
              <w:bottom w:val="single" w:sz="4" w:space="0" w:color="DDE4EA"/>
              <w:right w:val="nil"/>
            </w:tcBorders>
            <w:shd w:val="clear" w:color="auto" w:fill="F0F3F6"/>
            <w:tcMar>
              <w:top w:w="72" w:type="dxa"/>
              <w:left w:w="115" w:type="dxa"/>
              <w:bottom w:w="72" w:type="dxa"/>
              <w:right w:w="115" w:type="dxa"/>
            </w:tcMar>
          </w:tcPr>
          <w:p w14:paraId="15DE8D1B" w14:textId="77777777" w:rsidR="00B22575" w:rsidRDefault="00202C04">
            <w:pPr>
              <w:spacing w:before="20" w:after="20"/>
            </w:pPr>
            <w:r>
              <w:rPr>
                <w:rFonts w:ascii="Calibri" w:eastAsia="Calibri" w:hAnsi="Calibri" w:cs="Calibri"/>
                <w:i/>
                <w:iCs/>
                <w:color w:val="2D3A4A"/>
                <w:sz w:val="13"/>
                <w:szCs w:val="13"/>
              </w:rPr>
              <w:t>Methodological paper</w:t>
            </w:r>
          </w:p>
        </w:tc>
        <w:tc>
          <w:tcPr>
            <w:tcW w:w="5904" w:type="dxa"/>
            <w:tcBorders>
              <w:top w:val="nil"/>
              <w:left w:val="nil"/>
              <w:bottom w:val="single" w:sz="4" w:space="0" w:color="DDE4EA"/>
              <w:right w:val="nil"/>
            </w:tcBorders>
            <w:shd w:val="clear" w:color="auto" w:fill="F0F3F6"/>
            <w:tcMar>
              <w:top w:w="72" w:type="dxa"/>
              <w:left w:w="115" w:type="dxa"/>
              <w:bottom w:w="72" w:type="dxa"/>
              <w:right w:w="115" w:type="dxa"/>
            </w:tcMar>
          </w:tcPr>
          <w:p w14:paraId="15D80E51" w14:textId="77777777" w:rsidR="00B22575" w:rsidRDefault="00202C04">
            <w:pPr>
              <w:spacing w:before="20" w:after="20"/>
            </w:pPr>
            <w:r>
              <w:rPr>
                <w:rFonts w:ascii="Calibri" w:eastAsia="Calibri" w:hAnsi="Calibri" w:cs="Calibri"/>
                <w:color w:val="2D3A4A"/>
                <w:sz w:val="13"/>
                <w:szCs w:val="13"/>
              </w:rPr>
              <w:t>Supports narrative review over strict systematic review for broad, multidimensional research questions.</w:t>
            </w:r>
          </w:p>
        </w:tc>
        <w:tc>
          <w:tcPr>
            <w:tcW w:w="3108" w:type="dxa"/>
            <w:tcBorders>
              <w:top w:val="nil"/>
              <w:left w:val="nil"/>
              <w:bottom w:val="single" w:sz="4" w:space="0" w:color="DDE4EA"/>
              <w:right w:val="nil"/>
            </w:tcBorders>
            <w:shd w:val="clear" w:color="auto" w:fill="F0F3F6"/>
            <w:tcMar>
              <w:top w:w="72" w:type="dxa"/>
              <w:left w:w="115" w:type="dxa"/>
              <w:bottom w:w="72" w:type="dxa"/>
              <w:right w:w="115" w:type="dxa"/>
            </w:tcMar>
          </w:tcPr>
          <w:p w14:paraId="1CA9F42C" w14:textId="77777777" w:rsidR="00B22575" w:rsidRDefault="00202C04">
            <w:pPr>
              <w:spacing w:before="20" w:after="20"/>
            </w:pPr>
            <w:r>
              <w:rPr>
                <w:rFonts w:ascii="Calibri" w:eastAsia="Calibri" w:hAnsi="Calibri" w:cs="Calibri"/>
                <w:b/>
                <w:bCs/>
                <w:color w:val="2D3A4A"/>
                <w:sz w:val="13"/>
                <w:szCs w:val="13"/>
              </w:rPr>
              <w:t>Methodology</w:t>
            </w:r>
          </w:p>
        </w:tc>
      </w:tr>
      <w:tr w:rsidR="00B22575" w14:paraId="53C6A9C9" w14:textId="77777777">
        <w:tc>
          <w:tcPr>
            <w:tcW w:w="3418" w:type="dxa"/>
            <w:tcBorders>
              <w:top w:val="nil"/>
              <w:left w:val="nil"/>
              <w:bottom w:val="single" w:sz="4" w:space="0" w:color="DDE4EA"/>
              <w:right w:val="nil"/>
            </w:tcBorders>
            <w:shd w:val="clear" w:color="auto" w:fill="FEF9EC"/>
            <w:tcMar>
              <w:top w:w="72" w:type="dxa"/>
              <w:left w:w="115" w:type="dxa"/>
              <w:bottom w:w="72" w:type="dxa"/>
              <w:right w:w="115" w:type="dxa"/>
            </w:tcMar>
          </w:tcPr>
          <w:p w14:paraId="572D38A3" w14:textId="77777777" w:rsidR="00B22575" w:rsidRDefault="00202C04">
            <w:pPr>
              <w:spacing w:before="20" w:after="20"/>
            </w:pPr>
            <w:r>
              <w:rPr>
                <w:rFonts w:ascii="Calibri" w:eastAsia="Calibri" w:hAnsi="Calibri" w:cs="Calibri"/>
                <w:b/>
                <w:bCs/>
                <w:color w:val="2D3A4A"/>
                <w:sz w:val="14"/>
                <w:szCs w:val="14"/>
              </w:rPr>
              <w:t>Kingston et al. (2018)</w:t>
            </w:r>
          </w:p>
        </w:tc>
        <w:tc>
          <w:tcPr>
            <w:tcW w:w="3108" w:type="dxa"/>
            <w:tcBorders>
              <w:top w:val="nil"/>
              <w:left w:val="nil"/>
              <w:bottom w:val="single" w:sz="4" w:space="0" w:color="DDE4EA"/>
              <w:right w:val="nil"/>
            </w:tcBorders>
            <w:shd w:val="clear" w:color="auto" w:fill="FEF9EC"/>
            <w:tcMar>
              <w:top w:w="72" w:type="dxa"/>
              <w:left w:w="115" w:type="dxa"/>
              <w:bottom w:w="72" w:type="dxa"/>
              <w:right w:w="115" w:type="dxa"/>
            </w:tcMar>
          </w:tcPr>
          <w:p w14:paraId="7CE2B7C7" w14:textId="77777777" w:rsidR="00B22575" w:rsidRDefault="00202C04">
            <w:pPr>
              <w:spacing w:before="20" w:after="20"/>
            </w:pPr>
            <w:r>
              <w:rPr>
                <w:rFonts w:ascii="Calibri" w:eastAsia="Calibri" w:hAnsi="Calibri" w:cs="Calibri"/>
                <w:i/>
                <w:iCs/>
                <w:color w:val="2D3A4A"/>
                <w:sz w:val="13"/>
                <w:szCs w:val="13"/>
              </w:rPr>
              <w:t>Modelling study</w:t>
            </w:r>
          </w:p>
        </w:tc>
        <w:tc>
          <w:tcPr>
            <w:tcW w:w="5904" w:type="dxa"/>
            <w:tcBorders>
              <w:top w:val="nil"/>
              <w:left w:val="nil"/>
              <w:bottom w:val="single" w:sz="4" w:space="0" w:color="DDE4EA"/>
              <w:right w:val="nil"/>
            </w:tcBorders>
            <w:shd w:val="clear" w:color="auto" w:fill="FEF9EC"/>
            <w:tcMar>
              <w:top w:w="72" w:type="dxa"/>
              <w:left w:w="115" w:type="dxa"/>
              <w:bottom w:w="72" w:type="dxa"/>
              <w:right w:w="115" w:type="dxa"/>
            </w:tcMar>
          </w:tcPr>
          <w:p w14:paraId="20B14315" w14:textId="77777777" w:rsidR="00B22575" w:rsidRDefault="00202C04">
            <w:pPr>
              <w:spacing w:before="20" w:after="20"/>
            </w:pPr>
            <w:r>
              <w:rPr>
                <w:rFonts w:ascii="Calibri" w:eastAsia="Calibri" w:hAnsi="Calibri" w:cs="Calibri"/>
                <w:color w:val="2D3A4A"/>
                <w:sz w:val="13"/>
                <w:szCs w:val="13"/>
              </w:rPr>
              <w:t>Projects a substantial rise in multi-morbidity among older people in England to 2035.</w:t>
            </w:r>
          </w:p>
        </w:tc>
        <w:tc>
          <w:tcPr>
            <w:tcW w:w="3108" w:type="dxa"/>
            <w:tcBorders>
              <w:top w:val="nil"/>
              <w:left w:val="nil"/>
              <w:bottom w:val="single" w:sz="4" w:space="0" w:color="DDE4EA"/>
              <w:right w:val="nil"/>
            </w:tcBorders>
            <w:shd w:val="clear" w:color="auto" w:fill="FEF9EC"/>
            <w:tcMar>
              <w:top w:w="72" w:type="dxa"/>
              <w:left w:w="115" w:type="dxa"/>
              <w:bottom w:w="72" w:type="dxa"/>
              <w:right w:w="115" w:type="dxa"/>
            </w:tcMar>
          </w:tcPr>
          <w:p w14:paraId="4B6744C9" w14:textId="77777777" w:rsidR="00B22575" w:rsidRDefault="00202C04">
            <w:pPr>
              <w:spacing w:before="20" w:after="20"/>
            </w:pPr>
            <w:r>
              <w:rPr>
                <w:rFonts w:ascii="Calibri" w:eastAsia="Calibri" w:hAnsi="Calibri" w:cs="Calibri"/>
                <w:b/>
                <w:bCs/>
                <w:color w:val="2D3A4A"/>
                <w:sz w:val="13"/>
                <w:szCs w:val="13"/>
              </w:rPr>
              <w:t>Demographic Context</w:t>
            </w:r>
          </w:p>
        </w:tc>
      </w:tr>
      <w:tr w:rsidR="00B22575" w14:paraId="1462D584" w14:textId="77777777">
        <w:tc>
          <w:tcPr>
            <w:tcW w:w="3418" w:type="dxa"/>
            <w:tcBorders>
              <w:top w:val="nil"/>
              <w:left w:val="nil"/>
              <w:bottom w:val="single" w:sz="4" w:space="0" w:color="DDE4EA"/>
              <w:right w:val="nil"/>
            </w:tcBorders>
            <w:shd w:val="clear" w:color="auto" w:fill="EBF0F7"/>
            <w:tcMar>
              <w:top w:w="72" w:type="dxa"/>
              <w:left w:w="115" w:type="dxa"/>
              <w:bottom w:w="72" w:type="dxa"/>
              <w:right w:w="115" w:type="dxa"/>
            </w:tcMar>
          </w:tcPr>
          <w:p w14:paraId="076C6AE6" w14:textId="77777777" w:rsidR="00B22575" w:rsidRDefault="00202C04">
            <w:pPr>
              <w:spacing w:before="20" w:after="20"/>
            </w:pPr>
            <w:r>
              <w:rPr>
                <w:rFonts w:ascii="Calibri" w:eastAsia="Calibri" w:hAnsi="Calibri" w:cs="Calibri"/>
                <w:b/>
                <w:bCs/>
                <w:color w:val="2D3A4A"/>
                <w:sz w:val="14"/>
                <w:szCs w:val="14"/>
              </w:rPr>
              <w:t>CQC (2023)</w:t>
            </w:r>
          </w:p>
        </w:tc>
        <w:tc>
          <w:tcPr>
            <w:tcW w:w="3108" w:type="dxa"/>
            <w:tcBorders>
              <w:top w:val="nil"/>
              <w:left w:val="nil"/>
              <w:bottom w:val="single" w:sz="4" w:space="0" w:color="DDE4EA"/>
              <w:right w:val="nil"/>
            </w:tcBorders>
            <w:shd w:val="clear" w:color="auto" w:fill="EBF0F7"/>
            <w:tcMar>
              <w:top w:w="72" w:type="dxa"/>
              <w:left w:w="115" w:type="dxa"/>
              <w:bottom w:w="72" w:type="dxa"/>
              <w:right w:w="115" w:type="dxa"/>
            </w:tcMar>
          </w:tcPr>
          <w:p w14:paraId="654DBC17" w14:textId="77777777" w:rsidR="00B22575" w:rsidRDefault="00202C04">
            <w:pPr>
              <w:spacing w:before="20" w:after="20"/>
            </w:pPr>
            <w:r>
              <w:rPr>
                <w:rFonts w:ascii="Calibri" w:eastAsia="Calibri" w:hAnsi="Calibri" w:cs="Calibri"/>
                <w:i/>
                <w:iCs/>
                <w:color w:val="2D3A4A"/>
                <w:sz w:val="13"/>
                <w:szCs w:val="13"/>
              </w:rPr>
              <w:t>Regulatory report</w:t>
            </w:r>
          </w:p>
        </w:tc>
        <w:tc>
          <w:tcPr>
            <w:tcW w:w="5904" w:type="dxa"/>
            <w:tcBorders>
              <w:top w:val="nil"/>
              <w:left w:val="nil"/>
              <w:bottom w:val="single" w:sz="4" w:space="0" w:color="DDE4EA"/>
              <w:right w:val="nil"/>
            </w:tcBorders>
            <w:shd w:val="clear" w:color="auto" w:fill="EBF0F7"/>
            <w:tcMar>
              <w:top w:w="72" w:type="dxa"/>
              <w:left w:w="115" w:type="dxa"/>
              <w:bottom w:w="72" w:type="dxa"/>
              <w:right w:w="115" w:type="dxa"/>
            </w:tcMar>
          </w:tcPr>
          <w:p w14:paraId="7235A395" w14:textId="77777777" w:rsidR="00B22575" w:rsidRDefault="00202C04">
            <w:pPr>
              <w:spacing w:before="20" w:after="20"/>
            </w:pPr>
            <w:r>
              <w:rPr>
                <w:rFonts w:ascii="Calibri" w:eastAsia="Calibri" w:hAnsi="Calibri" w:cs="Calibri"/>
                <w:color w:val="2D3A4A"/>
                <w:sz w:val="13"/>
                <w:szCs w:val="13"/>
              </w:rPr>
              <w:t>National State of Care report highlighting workforce and quality concerns across the sector.</w:t>
            </w:r>
          </w:p>
        </w:tc>
        <w:tc>
          <w:tcPr>
            <w:tcW w:w="3108" w:type="dxa"/>
            <w:tcBorders>
              <w:top w:val="nil"/>
              <w:left w:val="nil"/>
              <w:bottom w:val="single" w:sz="4" w:space="0" w:color="DDE4EA"/>
              <w:right w:val="nil"/>
            </w:tcBorders>
            <w:shd w:val="clear" w:color="auto" w:fill="EBF0F7"/>
            <w:tcMar>
              <w:top w:w="72" w:type="dxa"/>
              <w:left w:w="115" w:type="dxa"/>
              <w:bottom w:w="72" w:type="dxa"/>
              <w:right w:w="115" w:type="dxa"/>
            </w:tcMar>
          </w:tcPr>
          <w:p w14:paraId="0ED1742F" w14:textId="77777777" w:rsidR="00B22575" w:rsidRDefault="00202C04">
            <w:pPr>
              <w:spacing w:before="20" w:after="20"/>
            </w:pPr>
            <w:r>
              <w:rPr>
                <w:rFonts w:ascii="Calibri" w:eastAsia="Calibri" w:hAnsi="Calibri" w:cs="Calibri"/>
                <w:b/>
                <w:bCs/>
                <w:color w:val="2D3A4A"/>
                <w:sz w:val="13"/>
                <w:szCs w:val="13"/>
              </w:rPr>
              <w:t>Regulatory Oversight</w:t>
            </w:r>
          </w:p>
        </w:tc>
      </w:tr>
      <w:tr w:rsidR="00B22575" w14:paraId="6E9BC3D1" w14:textId="77777777">
        <w:tc>
          <w:tcPr>
            <w:tcW w:w="3418" w:type="dxa"/>
            <w:tcBorders>
              <w:top w:val="nil"/>
              <w:left w:val="nil"/>
              <w:bottom w:val="single" w:sz="4" w:space="0" w:color="DDE4EA"/>
              <w:right w:val="nil"/>
            </w:tcBorders>
            <w:shd w:val="clear" w:color="auto" w:fill="EBF0F7"/>
            <w:tcMar>
              <w:top w:w="72" w:type="dxa"/>
              <w:left w:w="115" w:type="dxa"/>
              <w:bottom w:w="72" w:type="dxa"/>
              <w:right w:w="115" w:type="dxa"/>
            </w:tcMar>
          </w:tcPr>
          <w:p w14:paraId="2EA5E366" w14:textId="77777777" w:rsidR="00B22575" w:rsidRDefault="00202C04">
            <w:pPr>
              <w:spacing w:before="20" w:after="20"/>
            </w:pPr>
            <w:r>
              <w:rPr>
                <w:rFonts w:ascii="Calibri" w:eastAsia="Calibri" w:hAnsi="Calibri" w:cs="Calibri"/>
                <w:b/>
                <w:bCs/>
                <w:color w:val="2D3A4A"/>
                <w:sz w:val="14"/>
                <w:szCs w:val="14"/>
              </w:rPr>
              <w:t>CQC / Dash Review (2024)</w:t>
            </w:r>
          </w:p>
        </w:tc>
        <w:tc>
          <w:tcPr>
            <w:tcW w:w="3108" w:type="dxa"/>
            <w:tcBorders>
              <w:top w:val="nil"/>
              <w:left w:val="nil"/>
              <w:bottom w:val="single" w:sz="4" w:space="0" w:color="DDE4EA"/>
              <w:right w:val="nil"/>
            </w:tcBorders>
            <w:shd w:val="clear" w:color="auto" w:fill="EBF0F7"/>
            <w:tcMar>
              <w:top w:w="72" w:type="dxa"/>
              <w:left w:w="115" w:type="dxa"/>
              <w:bottom w:w="72" w:type="dxa"/>
              <w:right w:w="115" w:type="dxa"/>
            </w:tcMar>
          </w:tcPr>
          <w:p w14:paraId="2D118D9B" w14:textId="77777777" w:rsidR="00B22575" w:rsidRDefault="00202C04">
            <w:pPr>
              <w:spacing w:before="20" w:after="20"/>
            </w:pPr>
            <w:r>
              <w:rPr>
                <w:rFonts w:ascii="Calibri" w:eastAsia="Calibri" w:hAnsi="Calibri" w:cs="Calibri"/>
                <w:i/>
                <w:iCs/>
                <w:color w:val="2D3A4A"/>
                <w:sz w:val="13"/>
                <w:szCs w:val="13"/>
              </w:rPr>
              <w:t>Government review</w:t>
            </w:r>
          </w:p>
        </w:tc>
        <w:tc>
          <w:tcPr>
            <w:tcW w:w="5904" w:type="dxa"/>
            <w:tcBorders>
              <w:top w:val="nil"/>
              <w:left w:val="nil"/>
              <w:bottom w:val="single" w:sz="4" w:space="0" w:color="DDE4EA"/>
              <w:right w:val="nil"/>
            </w:tcBorders>
            <w:shd w:val="clear" w:color="auto" w:fill="EBF0F7"/>
            <w:tcMar>
              <w:top w:w="72" w:type="dxa"/>
              <w:left w:w="115" w:type="dxa"/>
              <w:bottom w:w="72" w:type="dxa"/>
              <w:right w:w="115" w:type="dxa"/>
            </w:tcMar>
          </w:tcPr>
          <w:p w14:paraId="15724D13" w14:textId="77777777" w:rsidR="00B22575" w:rsidRDefault="00202C04">
            <w:pPr>
              <w:spacing w:before="20" w:after="20"/>
            </w:pPr>
            <w:r>
              <w:rPr>
                <w:rFonts w:ascii="Calibri" w:eastAsia="Calibri" w:hAnsi="Calibri" w:cs="Calibri"/>
                <w:color w:val="2D3A4A"/>
                <w:sz w:val="13"/>
                <w:szCs w:val="13"/>
              </w:rPr>
              <w:t>Inspection frequency substantially reduced since COVID-19; regulator described as having lost credibility.</w:t>
            </w:r>
          </w:p>
        </w:tc>
        <w:tc>
          <w:tcPr>
            <w:tcW w:w="3108" w:type="dxa"/>
            <w:tcBorders>
              <w:top w:val="nil"/>
              <w:left w:val="nil"/>
              <w:bottom w:val="single" w:sz="4" w:space="0" w:color="DDE4EA"/>
              <w:right w:val="nil"/>
            </w:tcBorders>
            <w:shd w:val="clear" w:color="auto" w:fill="EBF0F7"/>
            <w:tcMar>
              <w:top w:w="72" w:type="dxa"/>
              <w:left w:w="115" w:type="dxa"/>
              <w:bottom w:w="72" w:type="dxa"/>
              <w:right w:w="115" w:type="dxa"/>
            </w:tcMar>
          </w:tcPr>
          <w:p w14:paraId="5D039C9B" w14:textId="77777777" w:rsidR="00B22575" w:rsidRDefault="00202C04">
            <w:pPr>
              <w:spacing w:before="20" w:after="20"/>
            </w:pPr>
            <w:r>
              <w:rPr>
                <w:rFonts w:ascii="Calibri" w:eastAsia="Calibri" w:hAnsi="Calibri" w:cs="Calibri"/>
                <w:b/>
                <w:bCs/>
                <w:color w:val="2D3A4A"/>
                <w:sz w:val="13"/>
                <w:szCs w:val="13"/>
              </w:rPr>
              <w:t>Regulatory Oversight</w:t>
            </w:r>
          </w:p>
        </w:tc>
      </w:tr>
      <w:tr w:rsidR="00B22575" w14:paraId="435BDEE1" w14:textId="77777777">
        <w:tc>
          <w:tcPr>
            <w:tcW w:w="3418" w:type="dxa"/>
            <w:tcBorders>
              <w:top w:val="nil"/>
              <w:left w:val="nil"/>
              <w:bottom w:val="single" w:sz="4" w:space="0" w:color="DDE4EA"/>
              <w:right w:val="nil"/>
            </w:tcBorders>
            <w:shd w:val="clear" w:color="auto" w:fill="EBF0F7"/>
            <w:tcMar>
              <w:top w:w="72" w:type="dxa"/>
              <w:left w:w="115" w:type="dxa"/>
              <w:bottom w:w="72" w:type="dxa"/>
              <w:right w:w="115" w:type="dxa"/>
            </w:tcMar>
          </w:tcPr>
          <w:p w14:paraId="68B41D23" w14:textId="77777777" w:rsidR="00B22575" w:rsidRDefault="00202C04">
            <w:pPr>
              <w:spacing w:before="20" w:after="20"/>
            </w:pPr>
            <w:r>
              <w:rPr>
                <w:rFonts w:ascii="Calibri" w:eastAsia="Calibri" w:hAnsi="Calibri" w:cs="Calibri"/>
                <w:b/>
                <w:bCs/>
                <w:color w:val="2D3A4A"/>
                <w:sz w:val="14"/>
                <w:szCs w:val="14"/>
              </w:rPr>
              <w:t>Towers et al. (2020)</w:t>
            </w:r>
          </w:p>
        </w:tc>
        <w:tc>
          <w:tcPr>
            <w:tcW w:w="3108" w:type="dxa"/>
            <w:tcBorders>
              <w:top w:val="nil"/>
              <w:left w:val="nil"/>
              <w:bottom w:val="single" w:sz="4" w:space="0" w:color="DDE4EA"/>
              <w:right w:val="nil"/>
            </w:tcBorders>
            <w:shd w:val="clear" w:color="auto" w:fill="EBF0F7"/>
            <w:tcMar>
              <w:top w:w="72" w:type="dxa"/>
              <w:left w:w="115" w:type="dxa"/>
              <w:bottom w:w="72" w:type="dxa"/>
              <w:right w:w="115" w:type="dxa"/>
            </w:tcMar>
          </w:tcPr>
          <w:p w14:paraId="60CEBD6D" w14:textId="77777777" w:rsidR="00B22575" w:rsidRDefault="00202C04">
            <w:pPr>
              <w:spacing w:before="20" w:after="20"/>
            </w:pPr>
            <w:r>
              <w:rPr>
                <w:rFonts w:ascii="Calibri" w:eastAsia="Calibri" w:hAnsi="Calibri" w:cs="Calibri"/>
                <w:i/>
                <w:iCs/>
                <w:color w:val="2D3A4A"/>
                <w:sz w:val="13"/>
                <w:szCs w:val="13"/>
              </w:rPr>
              <w:t>Cross-sectional study (n=293)</w:t>
            </w:r>
          </w:p>
        </w:tc>
        <w:tc>
          <w:tcPr>
            <w:tcW w:w="5904" w:type="dxa"/>
            <w:tcBorders>
              <w:top w:val="nil"/>
              <w:left w:val="nil"/>
              <w:bottom w:val="single" w:sz="4" w:space="0" w:color="DDE4EA"/>
              <w:right w:val="nil"/>
            </w:tcBorders>
            <w:shd w:val="clear" w:color="auto" w:fill="EBF0F7"/>
            <w:tcMar>
              <w:top w:w="72" w:type="dxa"/>
              <w:left w:w="115" w:type="dxa"/>
              <w:bottom w:w="72" w:type="dxa"/>
              <w:right w:w="115" w:type="dxa"/>
            </w:tcMar>
          </w:tcPr>
          <w:p w14:paraId="7645E625" w14:textId="77777777" w:rsidR="00B22575" w:rsidRDefault="00202C04">
            <w:pPr>
              <w:spacing w:before="20" w:after="20"/>
            </w:pPr>
            <w:r>
              <w:rPr>
                <w:rFonts w:ascii="Calibri" w:eastAsia="Calibri" w:hAnsi="Calibri" w:cs="Calibri"/>
                <w:color w:val="2D3A4A"/>
                <w:sz w:val="13"/>
                <w:szCs w:val="13"/>
              </w:rPr>
              <w:t>CQC ratings significantly associated with residents’ quality of life, even controlling for resident-level factors.</w:t>
            </w:r>
          </w:p>
        </w:tc>
        <w:tc>
          <w:tcPr>
            <w:tcW w:w="3108" w:type="dxa"/>
            <w:tcBorders>
              <w:top w:val="nil"/>
              <w:left w:val="nil"/>
              <w:bottom w:val="single" w:sz="4" w:space="0" w:color="DDE4EA"/>
              <w:right w:val="nil"/>
            </w:tcBorders>
            <w:shd w:val="clear" w:color="auto" w:fill="EBF0F7"/>
            <w:tcMar>
              <w:top w:w="72" w:type="dxa"/>
              <w:left w:w="115" w:type="dxa"/>
              <w:bottom w:w="72" w:type="dxa"/>
              <w:right w:w="115" w:type="dxa"/>
            </w:tcMar>
          </w:tcPr>
          <w:p w14:paraId="729B1AB1" w14:textId="77777777" w:rsidR="00B22575" w:rsidRDefault="00202C04">
            <w:pPr>
              <w:spacing w:before="20" w:after="20"/>
            </w:pPr>
            <w:r>
              <w:rPr>
                <w:rFonts w:ascii="Calibri" w:eastAsia="Calibri" w:hAnsi="Calibri" w:cs="Calibri"/>
                <w:b/>
                <w:bCs/>
                <w:color w:val="2D3A4A"/>
                <w:sz w:val="13"/>
                <w:szCs w:val="13"/>
              </w:rPr>
              <w:t>Regulatory Oversight</w:t>
            </w:r>
          </w:p>
        </w:tc>
      </w:tr>
      <w:tr w:rsidR="00B22575" w14:paraId="3AB135CC" w14:textId="77777777">
        <w:tc>
          <w:tcPr>
            <w:tcW w:w="3418" w:type="dxa"/>
            <w:tcBorders>
              <w:top w:val="nil"/>
              <w:left w:val="nil"/>
              <w:bottom w:val="single" w:sz="4" w:space="0" w:color="DDE4EA"/>
              <w:right w:val="nil"/>
            </w:tcBorders>
            <w:shd w:val="clear" w:color="auto" w:fill="EBF7F0"/>
            <w:tcMar>
              <w:top w:w="72" w:type="dxa"/>
              <w:left w:w="115" w:type="dxa"/>
              <w:bottom w:w="72" w:type="dxa"/>
              <w:right w:w="115" w:type="dxa"/>
            </w:tcMar>
          </w:tcPr>
          <w:p w14:paraId="36822AD7" w14:textId="77777777" w:rsidR="00B22575" w:rsidRDefault="00202C04">
            <w:pPr>
              <w:spacing w:before="20" w:after="20"/>
            </w:pPr>
            <w:r>
              <w:rPr>
                <w:rFonts w:ascii="Calibri" w:eastAsia="Calibri" w:hAnsi="Calibri" w:cs="Calibri"/>
                <w:b/>
                <w:bCs/>
                <w:color w:val="2D3A4A"/>
                <w:sz w:val="14"/>
                <w:szCs w:val="14"/>
              </w:rPr>
              <w:t>Spilsbury et al. (2011)</w:t>
            </w:r>
          </w:p>
        </w:tc>
        <w:tc>
          <w:tcPr>
            <w:tcW w:w="3108" w:type="dxa"/>
            <w:tcBorders>
              <w:top w:val="nil"/>
              <w:left w:val="nil"/>
              <w:bottom w:val="single" w:sz="4" w:space="0" w:color="DDE4EA"/>
              <w:right w:val="nil"/>
            </w:tcBorders>
            <w:shd w:val="clear" w:color="auto" w:fill="EBF7F0"/>
            <w:tcMar>
              <w:top w:w="72" w:type="dxa"/>
              <w:left w:w="115" w:type="dxa"/>
              <w:bottom w:w="72" w:type="dxa"/>
              <w:right w:w="115" w:type="dxa"/>
            </w:tcMar>
          </w:tcPr>
          <w:p w14:paraId="3AB2506C" w14:textId="77777777" w:rsidR="00B22575" w:rsidRDefault="00202C04">
            <w:pPr>
              <w:spacing w:before="20" w:after="20"/>
            </w:pPr>
            <w:r>
              <w:rPr>
                <w:rFonts w:ascii="Calibri" w:eastAsia="Calibri" w:hAnsi="Calibri" w:cs="Calibri"/>
                <w:i/>
                <w:iCs/>
                <w:color w:val="2D3A4A"/>
                <w:sz w:val="13"/>
                <w:szCs w:val="13"/>
              </w:rPr>
              <w:t>Systematic review</w:t>
            </w:r>
          </w:p>
        </w:tc>
        <w:tc>
          <w:tcPr>
            <w:tcW w:w="5904" w:type="dxa"/>
            <w:tcBorders>
              <w:top w:val="nil"/>
              <w:left w:val="nil"/>
              <w:bottom w:val="single" w:sz="4" w:space="0" w:color="DDE4EA"/>
              <w:right w:val="nil"/>
            </w:tcBorders>
            <w:shd w:val="clear" w:color="auto" w:fill="EBF7F0"/>
            <w:tcMar>
              <w:top w:w="72" w:type="dxa"/>
              <w:left w:w="115" w:type="dxa"/>
              <w:bottom w:w="72" w:type="dxa"/>
              <w:right w:w="115" w:type="dxa"/>
            </w:tcMar>
          </w:tcPr>
          <w:p w14:paraId="65C422AA" w14:textId="77777777" w:rsidR="00B22575" w:rsidRDefault="00202C04">
            <w:pPr>
              <w:spacing w:before="20" w:after="20"/>
            </w:pPr>
            <w:r>
              <w:rPr>
                <w:rFonts w:ascii="Calibri" w:eastAsia="Calibri" w:hAnsi="Calibri" w:cs="Calibri"/>
                <w:color w:val="2D3A4A"/>
                <w:sz w:val="13"/>
                <w:szCs w:val="13"/>
              </w:rPr>
              <w:t>Staffing linked to care quality, but relationship mediated by turnover and skill mix rather than headcount alone.</w:t>
            </w:r>
          </w:p>
        </w:tc>
        <w:tc>
          <w:tcPr>
            <w:tcW w:w="3108" w:type="dxa"/>
            <w:tcBorders>
              <w:top w:val="nil"/>
              <w:left w:val="nil"/>
              <w:bottom w:val="single" w:sz="4" w:space="0" w:color="DDE4EA"/>
              <w:right w:val="nil"/>
            </w:tcBorders>
            <w:shd w:val="clear" w:color="auto" w:fill="EBF7F0"/>
            <w:tcMar>
              <w:top w:w="72" w:type="dxa"/>
              <w:left w:w="115" w:type="dxa"/>
              <w:bottom w:w="72" w:type="dxa"/>
              <w:right w:w="115" w:type="dxa"/>
            </w:tcMar>
          </w:tcPr>
          <w:p w14:paraId="3072AF06" w14:textId="77777777" w:rsidR="00B22575" w:rsidRDefault="00202C04">
            <w:pPr>
              <w:spacing w:before="20" w:after="20"/>
            </w:pPr>
            <w:r>
              <w:rPr>
                <w:rFonts w:ascii="Calibri" w:eastAsia="Calibri" w:hAnsi="Calibri" w:cs="Calibri"/>
                <w:b/>
                <w:bCs/>
                <w:color w:val="2D3A4A"/>
                <w:sz w:val="13"/>
                <w:szCs w:val="13"/>
              </w:rPr>
              <w:t>Workforce &amp; Staffing</w:t>
            </w:r>
          </w:p>
        </w:tc>
      </w:tr>
      <w:tr w:rsidR="00B22575" w14:paraId="53198F1F" w14:textId="77777777">
        <w:tc>
          <w:tcPr>
            <w:tcW w:w="3418" w:type="dxa"/>
            <w:tcBorders>
              <w:top w:val="nil"/>
              <w:left w:val="nil"/>
              <w:bottom w:val="single" w:sz="4" w:space="0" w:color="DDE4EA"/>
              <w:right w:val="nil"/>
            </w:tcBorders>
            <w:shd w:val="clear" w:color="auto" w:fill="EBF7F0"/>
            <w:tcMar>
              <w:top w:w="72" w:type="dxa"/>
              <w:left w:w="115" w:type="dxa"/>
              <w:bottom w:w="72" w:type="dxa"/>
              <w:right w:w="115" w:type="dxa"/>
            </w:tcMar>
          </w:tcPr>
          <w:p w14:paraId="3B69AAED" w14:textId="77777777" w:rsidR="00B22575" w:rsidRDefault="00202C04">
            <w:pPr>
              <w:spacing w:before="20" w:after="20"/>
            </w:pPr>
            <w:r>
              <w:rPr>
                <w:rFonts w:ascii="Calibri" w:eastAsia="Calibri" w:hAnsi="Calibri" w:cs="Calibri"/>
                <w:b/>
                <w:bCs/>
                <w:color w:val="2D3A4A"/>
                <w:sz w:val="14"/>
                <w:szCs w:val="14"/>
              </w:rPr>
              <w:t>Davies et al. (2011)</w:t>
            </w:r>
          </w:p>
        </w:tc>
        <w:tc>
          <w:tcPr>
            <w:tcW w:w="3108" w:type="dxa"/>
            <w:tcBorders>
              <w:top w:val="nil"/>
              <w:left w:val="nil"/>
              <w:bottom w:val="single" w:sz="4" w:space="0" w:color="DDE4EA"/>
              <w:right w:val="nil"/>
            </w:tcBorders>
            <w:shd w:val="clear" w:color="auto" w:fill="EBF7F0"/>
            <w:tcMar>
              <w:top w:w="72" w:type="dxa"/>
              <w:left w:w="115" w:type="dxa"/>
              <w:bottom w:w="72" w:type="dxa"/>
              <w:right w:w="115" w:type="dxa"/>
            </w:tcMar>
          </w:tcPr>
          <w:p w14:paraId="5FCF1B70" w14:textId="77777777" w:rsidR="00B22575" w:rsidRDefault="00202C04">
            <w:pPr>
              <w:spacing w:before="20" w:after="20"/>
            </w:pPr>
            <w:r>
              <w:rPr>
                <w:rFonts w:ascii="Calibri" w:eastAsia="Calibri" w:hAnsi="Calibri" w:cs="Calibri"/>
                <w:i/>
                <w:iCs/>
                <w:color w:val="2D3A4A"/>
                <w:sz w:val="13"/>
                <w:szCs w:val="13"/>
              </w:rPr>
              <w:t>Systematic review</w:t>
            </w:r>
          </w:p>
        </w:tc>
        <w:tc>
          <w:tcPr>
            <w:tcW w:w="5904" w:type="dxa"/>
            <w:tcBorders>
              <w:top w:val="nil"/>
              <w:left w:val="nil"/>
              <w:bottom w:val="single" w:sz="4" w:space="0" w:color="DDE4EA"/>
              <w:right w:val="nil"/>
            </w:tcBorders>
            <w:shd w:val="clear" w:color="auto" w:fill="EBF7F0"/>
            <w:tcMar>
              <w:top w:w="72" w:type="dxa"/>
              <w:left w:w="115" w:type="dxa"/>
              <w:bottom w:w="72" w:type="dxa"/>
              <w:right w:w="115" w:type="dxa"/>
            </w:tcMar>
          </w:tcPr>
          <w:p w14:paraId="275C939F" w14:textId="77777777" w:rsidR="00B22575" w:rsidRDefault="00202C04">
            <w:pPr>
              <w:spacing w:before="20" w:after="20"/>
            </w:pPr>
            <w:r>
              <w:rPr>
                <w:rFonts w:ascii="Calibri" w:eastAsia="Calibri" w:hAnsi="Calibri" w:cs="Calibri"/>
                <w:color w:val="2D3A4A"/>
                <w:sz w:val="13"/>
                <w:szCs w:val="13"/>
              </w:rPr>
              <w:t>Integration initiatives between care homes and health services rarely incorporate care home staff expertise.</w:t>
            </w:r>
          </w:p>
        </w:tc>
        <w:tc>
          <w:tcPr>
            <w:tcW w:w="3108" w:type="dxa"/>
            <w:tcBorders>
              <w:top w:val="nil"/>
              <w:left w:val="nil"/>
              <w:bottom w:val="single" w:sz="4" w:space="0" w:color="DDE4EA"/>
              <w:right w:val="nil"/>
            </w:tcBorders>
            <w:shd w:val="clear" w:color="auto" w:fill="EBF7F0"/>
            <w:tcMar>
              <w:top w:w="72" w:type="dxa"/>
              <w:left w:w="115" w:type="dxa"/>
              <w:bottom w:w="72" w:type="dxa"/>
              <w:right w:w="115" w:type="dxa"/>
            </w:tcMar>
          </w:tcPr>
          <w:p w14:paraId="2597FEE0" w14:textId="77777777" w:rsidR="00B22575" w:rsidRDefault="00202C04">
            <w:pPr>
              <w:spacing w:before="20" w:after="20"/>
            </w:pPr>
            <w:r>
              <w:rPr>
                <w:rFonts w:ascii="Calibri" w:eastAsia="Calibri" w:hAnsi="Calibri" w:cs="Calibri"/>
                <w:b/>
                <w:bCs/>
                <w:color w:val="2D3A4A"/>
                <w:sz w:val="13"/>
                <w:szCs w:val="13"/>
              </w:rPr>
              <w:t>Workforce &amp; Staffing</w:t>
            </w:r>
          </w:p>
        </w:tc>
      </w:tr>
      <w:tr w:rsidR="00B22575" w14:paraId="66EA7E7D" w14:textId="77777777">
        <w:tc>
          <w:tcPr>
            <w:tcW w:w="3418" w:type="dxa"/>
            <w:tcBorders>
              <w:top w:val="nil"/>
              <w:left w:val="nil"/>
              <w:bottom w:val="single" w:sz="4" w:space="0" w:color="DDE4EA"/>
              <w:right w:val="nil"/>
            </w:tcBorders>
            <w:shd w:val="clear" w:color="auto" w:fill="EBF7F0"/>
            <w:tcMar>
              <w:top w:w="72" w:type="dxa"/>
              <w:left w:w="115" w:type="dxa"/>
              <w:bottom w:w="72" w:type="dxa"/>
              <w:right w:w="115" w:type="dxa"/>
            </w:tcMar>
          </w:tcPr>
          <w:p w14:paraId="16947780" w14:textId="77777777" w:rsidR="00B22575" w:rsidRDefault="00202C04">
            <w:pPr>
              <w:spacing w:before="20" w:after="20"/>
            </w:pPr>
            <w:r>
              <w:rPr>
                <w:rFonts w:ascii="Calibri" w:eastAsia="Calibri" w:hAnsi="Calibri" w:cs="Calibri"/>
                <w:b/>
                <w:bCs/>
                <w:color w:val="2D3A4A"/>
                <w:sz w:val="14"/>
                <w:szCs w:val="14"/>
              </w:rPr>
              <w:t>Skills for Care (2024)</w:t>
            </w:r>
          </w:p>
        </w:tc>
        <w:tc>
          <w:tcPr>
            <w:tcW w:w="3108" w:type="dxa"/>
            <w:tcBorders>
              <w:top w:val="nil"/>
              <w:left w:val="nil"/>
              <w:bottom w:val="single" w:sz="4" w:space="0" w:color="DDE4EA"/>
              <w:right w:val="nil"/>
            </w:tcBorders>
            <w:shd w:val="clear" w:color="auto" w:fill="EBF7F0"/>
            <w:tcMar>
              <w:top w:w="72" w:type="dxa"/>
              <w:left w:w="115" w:type="dxa"/>
              <w:bottom w:w="72" w:type="dxa"/>
              <w:right w:w="115" w:type="dxa"/>
            </w:tcMar>
          </w:tcPr>
          <w:p w14:paraId="58B917CE" w14:textId="77777777" w:rsidR="00B22575" w:rsidRDefault="00202C04">
            <w:pPr>
              <w:spacing w:before="20" w:after="20"/>
            </w:pPr>
            <w:r>
              <w:rPr>
                <w:rFonts w:ascii="Calibri" w:eastAsia="Calibri" w:hAnsi="Calibri" w:cs="Calibri"/>
                <w:i/>
                <w:iCs/>
                <w:color w:val="2D3A4A"/>
                <w:sz w:val="13"/>
                <w:szCs w:val="13"/>
              </w:rPr>
              <w:t>Workforce report</w:t>
            </w:r>
          </w:p>
        </w:tc>
        <w:tc>
          <w:tcPr>
            <w:tcW w:w="5904" w:type="dxa"/>
            <w:tcBorders>
              <w:top w:val="nil"/>
              <w:left w:val="nil"/>
              <w:bottom w:val="single" w:sz="4" w:space="0" w:color="DDE4EA"/>
              <w:right w:val="nil"/>
            </w:tcBorders>
            <w:shd w:val="clear" w:color="auto" w:fill="EBF7F0"/>
            <w:tcMar>
              <w:top w:w="72" w:type="dxa"/>
              <w:left w:w="115" w:type="dxa"/>
              <w:bottom w:w="72" w:type="dxa"/>
              <w:right w:w="115" w:type="dxa"/>
            </w:tcMar>
          </w:tcPr>
          <w:p w14:paraId="4FD31D6A" w14:textId="77777777" w:rsidR="00B22575" w:rsidRDefault="00202C04">
            <w:pPr>
              <w:spacing w:before="20" w:after="20"/>
            </w:pPr>
            <w:r>
              <w:rPr>
                <w:rFonts w:ascii="Calibri" w:eastAsia="Calibri" w:hAnsi="Calibri" w:cs="Calibri"/>
                <w:color w:val="2D3A4A"/>
                <w:sz w:val="13"/>
                <w:szCs w:val="13"/>
              </w:rPr>
              <w:t>Documents variable training and qualification levels for care home staff across providers.</w:t>
            </w:r>
          </w:p>
        </w:tc>
        <w:tc>
          <w:tcPr>
            <w:tcW w:w="3108" w:type="dxa"/>
            <w:tcBorders>
              <w:top w:val="nil"/>
              <w:left w:val="nil"/>
              <w:bottom w:val="single" w:sz="4" w:space="0" w:color="DDE4EA"/>
              <w:right w:val="nil"/>
            </w:tcBorders>
            <w:shd w:val="clear" w:color="auto" w:fill="EBF7F0"/>
            <w:tcMar>
              <w:top w:w="72" w:type="dxa"/>
              <w:left w:w="115" w:type="dxa"/>
              <w:bottom w:w="72" w:type="dxa"/>
              <w:right w:w="115" w:type="dxa"/>
            </w:tcMar>
          </w:tcPr>
          <w:p w14:paraId="711C54B4" w14:textId="77777777" w:rsidR="00B22575" w:rsidRDefault="00202C04">
            <w:pPr>
              <w:spacing w:before="20" w:after="20"/>
            </w:pPr>
            <w:r>
              <w:rPr>
                <w:rFonts w:ascii="Calibri" w:eastAsia="Calibri" w:hAnsi="Calibri" w:cs="Calibri"/>
                <w:b/>
                <w:bCs/>
                <w:color w:val="2D3A4A"/>
                <w:sz w:val="13"/>
                <w:szCs w:val="13"/>
              </w:rPr>
              <w:t>Workforce &amp; Staffing</w:t>
            </w:r>
          </w:p>
        </w:tc>
      </w:tr>
      <w:tr w:rsidR="00B22575" w14:paraId="3969D4F8" w14:textId="77777777">
        <w:tc>
          <w:tcPr>
            <w:tcW w:w="3418" w:type="dxa"/>
            <w:tcBorders>
              <w:top w:val="nil"/>
              <w:left w:val="nil"/>
              <w:bottom w:val="single" w:sz="4" w:space="0" w:color="DDE4EA"/>
              <w:right w:val="nil"/>
            </w:tcBorders>
            <w:shd w:val="clear" w:color="auto" w:fill="E8F7F9"/>
            <w:tcMar>
              <w:top w:w="72" w:type="dxa"/>
              <w:left w:w="115" w:type="dxa"/>
              <w:bottom w:w="72" w:type="dxa"/>
              <w:right w:w="115" w:type="dxa"/>
            </w:tcMar>
          </w:tcPr>
          <w:p w14:paraId="4D03806A" w14:textId="77777777" w:rsidR="00B22575" w:rsidRDefault="00202C04">
            <w:pPr>
              <w:spacing w:before="20" w:after="20"/>
            </w:pPr>
            <w:r>
              <w:rPr>
                <w:rFonts w:ascii="Calibri" w:eastAsia="Calibri" w:hAnsi="Calibri" w:cs="Calibri"/>
                <w:b/>
                <w:bCs/>
                <w:color w:val="2D3A4A"/>
                <w:sz w:val="14"/>
                <w:szCs w:val="14"/>
              </w:rPr>
              <w:t>Edvardsson et al. (2008)</w:t>
            </w:r>
          </w:p>
        </w:tc>
        <w:tc>
          <w:tcPr>
            <w:tcW w:w="3108" w:type="dxa"/>
            <w:tcBorders>
              <w:top w:val="nil"/>
              <w:left w:val="nil"/>
              <w:bottom w:val="single" w:sz="4" w:space="0" w:color="DDE4EA"/>
              <w:right w:val="nil"/>
            </w:tcBorders>
            <w:shd w:val="clear" w:color="auto" w:fill="E8F7F9"/>
            <w:tcMar>
              <w:top w:w="72" w:type="dxa"/>
              <w:left w:w="115" w:type="dxa"/>
              <w:bottom w:w="72" w:type="dxa"/>
              <w:right w:w="115" w:type="dxa"/>
            </w:tcMar>
          </w:tcPr>
          <w:p w14:paraId="1A6237C7" w14:textId="77777777" w:rsidR="00B22575" w:rsidRDefault="00202C04">
            <w:pPr>
              <w:spacing w:before="20" w:after="20"/>
            </w:pPr>
            <w:r>
              <w:rPr>
                <w:rFonts w:ascii="Calibri" w:eastAsia="Calibri" w:hAnsi="Calibri" w:cs="Calibri"/>
                <w:i/>
                <w:iCs/>
                <w:color w:val="2D3A4A"/>
                <w:sz w:val="13"/>
                <w:szCs w:val="13"/>
              </w:rPr>
              <w:t>Theoretical paper</w:t>
            </w:r>
          </w:p>
        </w:tc>
        <w:tc>
          <w:tcPr>
            <w:tcW w:w="5904" w:type="dxa"/>
            <w:tcBorders>
              <w:top w:val="nil"/>
              <w:left w:val="nil"/>
              <w:bottom w:val="single" w:sz="4" w:space="0" w:color="DDE4EA"/>
              <w:right w:val="nil"/>
            </w:tcBorders>
            <w:shd w:val="clear" w:color="auto" w:fill="E8F7F9"/>
            <w:tcMar>
              <w:top w:w="72" w:type="dxa"/>
              <w:left w:w="115" w:type="dxa"/>
              <w:bottom w:w="72" w:type="dxa"/>
              <w:right w:w="115" w:type="dxa"/>
            </w:tcMar>
          </w:tcPr>
          <w:p w14:paraId="45029BE5" w14:textId="77777777" w:rsidR="00B22575" w:rsidRDefault="00202C04">
            <w:pPr>
              <w:spacing w:before="20" w:after="20"/>
            </w:pPr>
            <w:r>
              <w:rPr>
                <w:rFonts w:ascii="Calibri" w:eastAsia="Calibri" w:hAnsi="Calibri" w:cs="Calibri"/>
                <w:color w:val="2D3A4A"/>
                <w:sz w:val="13"/>
                <w:szCs w:val="13"/>
              </w:rPr>
              <w:t>Defines the person-centred care model as applied to dementia care in residential settings.</w:t>
            </w:r>
          </w:p>
        </w:tc>
        <w:tc>
          <w:tcPr>
            <w:tcW w:w="3108" w:type="dxa"/>
            <w:tcBorders>
              <w:top w:val="nil"/>
              <w:left w:val="nil"/>
              <w:bottom w:val="single" w:sz="4" w:space="0" w:color="DDE4EA"/>
              <w:right w:val="nil"/>
            </w:tcBorders>
            <w:shd w:val="clear" w:color="auto" w:fill="E8F7F9"/>
            <w:tcMar>
              <w:top w:w="72" w:type="dxa"/>
              <w:left w:w="115" w:type="dxa"/>
              <w:bottom w:w="72" w:type="dxa"/>
              <w:right w:w="115" w:type="dxa"/>
            </w:tcMar>
          </w:tcPr>
          <w:p w14:paraId="1023686D" w14:textId="77777777" w:rsidR="00B22575" w:rsidRDefault="00202C04">
            <w:pPr>
              <w:spacing w:before="20" w:after="20"/>
            </w:pPr>
            <w:r>
              <w:rPr>
                <w:rFonts w:ascii="Calibri" w:eastAsia="Calibri" w:hAnsi="Calibri" w:cs="Calibri"/>
                <w:b/>
                <w:bCs/>
                <w:color w:val="2D3A4A"/>
                <w:sz w:val="13"/>
                <w:szCs w:val="13"/>
              </w:rPr>
              <w:t>Person-Centred Care</w:t>
            </w:r>
          </w:p>
        </w:tc>
      </w:tr>
      <w:tr w:rsidR="00B22575" w14:paraId="5C8C0EBB" w14:textId="77777777">
        <w:tc>
          <w:tcPr>
            <w:tcW w:w="3418" w:type="dxa"/>
            <w:tcBorders>
              <w:top w:val="nil"/>
              <w:left w:val="nil"/>
              <w:bottom w:val="single" w:sz="4" w:space="0" w:color="DDE4EA"/>
              <w:right w:val="nil"/>
            </w:tcBorders>
            <w:shd w:val="clear" w:color="auto" w:fill="E8F7F9"/>
            <w:tcMar>
              <w:top w:w="72" w:type="dxa"/>
              <w:left w:w="115" w:type="dxa"/>
              <w:bottom w:w="72" w:type="dxa"/>
              <w:right w:w="115" w:type="dxa"/>
            </w:tcMar>
          </w:tcPr>
          <w:p w14:paraId="2C1C10DA" w14:textId="77777777" w:rsidR="00B22575" w:rsidRDefault="00202C04">
            <w:pPr>
              <w:spacing w:before="20" w:after="20"/>
            </w:pPr>
            <w:r>
              <w:rPr>
                <w:rFonts w:ascii="Calibri" w:eastAsia="Calibri" w:hAnsi="Calibri" w:cs="Calibri"/>
                <w:b/>
                <w:bCs/>
                <w:color w:val="2D3A4A"/>
                <w:sz w:val="14"/>
                <w:szCs w:val="14"/>
              </w:rPr>
              <w:t>Ballard et al. (2018) – WHELD</w:t>
            </w:r>
          </w:p>
        </w:tc>
        <w:tc>
          <w:tcPr>
            <w:tcW w:w="3108" w:type="dxa"/>
            <w:tcBorders>
              <w:top w:val="nil"/>
              <w:left w:val="nil"/>
              <w:bottom w:val="single" w:sz="4" w:space="0" w:color="DDE4EA"/>
              <w:right w:val="nil"/>
            </w:tcBorders>
            <w:shd w:val="clear" w:color="auto" w:fill="E8F7F9"/>
            <w:tcMar>
              <w:top w:w="72" w:type="dxa"/>
              <w:left w:w="115" w:type="dxa"/>
              <w:bottom w:w="72" w:type="dxa"/>
              <w:right w:w="115" w:type="dxa"/>
            </w:tcMar>
          </w:tcPr>
          <w:p w14:paraId="4BBF3E1B" w14:textId="77777777" w:rsidR="00B22575" w:rsidRDefault="00202C04">
            <w:pPr>
              <w:spacing w:before="20" w:after="20"/>
            </w:pPr>
            <w:r>
              <w:rPr>
                <w:rFonts w:ascii="Calibri" w:eastAsia="Calibri" w:hAnsi="Calibri" w:cs="Calibri"/>
                <w:i/>
                <w:iCs/>
                <w:color w:val="2D3A4A"/>
                <w:sz w:val="13"/>
                <w:szCs w:val="13"/>
              </w:rPr>
              <w:t>Cluster-RCT (n=847)</w:t>
            </w:r>
          </w:p>
        </w:tc>
        <w:tc>
          <w:tcPr>
            <w:tcW w:w="5904" w:type="dxa"/>
            <w:tcBorders>
              <w:top w:val="nil"/>
              <w:left w:val="nil"/>
              <w:bottom w:val="single" w:sz="4" w:space="0" w:color="DDE4EA"/>
              <w:right w:val="nil"/>
            </w:tcBorders>
            <w:shd w:val="clear" w:color="auto" w:fill="E8F7F9"/>
            <w:tcMar>
              <w:top w:w="72" w:type="dxa"/>
              <w:left w:w="115" w:type="dxa"/>
              <w:bottom w:w="72" w:type="dxa"/>
              <w:right w:w="115" w:type="dxa"/>
            </w:tcMar>
          </w:tcPr>
          <w:p w14:paraId="02BE7385" w14:textId="77777777" w:rsidR="00B22575" w:rsidRDefault="00202C04">
            <w:pPr>
              <w:spacing w:before="20" w:after="20"/>
            </w:pPr>
            <w:r>
              <w:rPr>
                <w:rFonts w:ascii="Calibri" w:eastAsia="Calibri" w:hAnsi="Calibri" w:cs="Calibri"/>
                <w:color w:val="2D3A4A"/>
                <w:sz w:val="13"/>
                <w:szCs w:val="13"/>
              </w:rPr>
              <w:t xml:space="preserve">Person-centred care training improved quality of life and reduced agitation; also </w:t>
            </w:r>
            <w:proofErr w:type="gramStart"/>
            <w:r>
              <w:rPr>
                <w:rFonts w:ascii="Calibri" w:eastAsia="Calibri" w:hAnsi="Calibri" w:cs="Calibri"/>
                <w:color w:val="2D3A4A"/>
                <w:sz w:val="13"/>
                <w:szCs w:val="13"/>
              </w:rPr>
              <w:t>cost-saving</w:t>
            </w:r>
            <w:proofErr w:type="gramEnd"/>
            <w:r>
              <w:rPr>
                <w:rFonts w:ascii="Calibri" w:eastAsia="Calibri" w:hAnsi="Calibri" w:cs="Calibri"/>
                <w:color w:val="2D3A4A"/>
                <w:sz w:val="13"/>
                <w:szCs w:val="13"/>
              </w:rPr>
              <w:t>.</w:t>
            </w:r>
          </w:p>
        </w:tc>
        <w:tc>
          <w:tcPr>
            <w:tcW w:w="3108" w:type="dxa"/>
            <w:tcBorders>
              <w:top w:val="nil"/>
              <w:left w:val="nil"/>
              <w:bottom w:val="single" w:sz="4" w:space="0" w:color="DDE4EA"/>
              <w:right w:val="nil"/>
            </w:tcBorders>
            <w:shd w:val="clear" w:color="auto" w:fill="E8F7F9"/>
            <w:tcMar>
              <w:top w:w="72" w:type="dxa"/>
              <w:left w:w="115" w:type="dxa"/>
              <w:bottom w:w="72" w:type="dxa"/>
              <w:right w:w="115" w:type="dxa"/>
            </w:tcMar>
          </w:tcPr>
          <w:p w14:paraId="5F626365" w14:textId="77777777" w:rsidR="00B22575" w:rsidRDefault="00202C04">
            <w:pPr>
              <w:spacing w:before="20" w:after="20"/>
            </w:pPr>
            <w:r>
              <w:rPr>
                <w:rFonts w:ascii="Calibri" w:eastAsia="Calibri" w:hAnsi="Calibri" w:cs="Calibri"/>
                <w:b/>
                <w:bCs/>
                <w:color w:val="2D3A4A"/>
                <w:sz w:val="13"/>
                <w:szCs w:val="13"/>
              </w:rPr>
              <w:t>Person-Centred Care</w:t>
            </w:r>
          </w:p>
        </w:tc>
      </w:tr>
      <w:tr w:rsidR="00B22575" w14:paraId="7C176F4D" w14:textId="77777777">
        <w:tc>
          <w:tcPr>
            <w:tcW w:w="3418" w:type="dxa"/>
            <w:tcBorders>
              <w:top w:val="nil"/>
              <w:left w:val="nil"/>
              <w:bottom w:val="single" w:sz="4" w:space="0" w:color="DDE4EA"/>
              <w:right w:val="nil"/>
            </w:tcBorders>
            <w:shd w:val="clear" w:color="auto" w:fill="E8F7F9"/>
            <w:tcMar>
              <w:top w:w="72" w:type="dxa"/>
              <w:left w:w="115" w:type="dxa"/>
              <w:bottom w:w="72" w:type="dxa"/>
              <w:right w:w="115" w:type="dxa"/>
            </w:tcMar>
          </w:tcPr>
          <w:p w14:paraId="041E0224" w14:textId="77777777" w:rsidR="00B22575" w:rsidRDefault="00202C04">
            <w:pPr>
              <w:spacing w:before="20" w:after="20"/>
            </w:pPr>
            <w:r>
              <w:rPr>
                <w:rFonts w:ascii="Calibri" w:eastAsia="Calibri" w:hAnsi="Calibri" w:cs="Calibri"/>
                <w:b/>
                <w:bCs/>
                <w:color w:val="2D3A4A"/>
                <w:sz w:val="14"/>
                <w:szCs w:val="14"/>
              </w:rPr>
              <w:t>Chenoweth et al. (2009) – CADRES</w:t>
            </w:r>
          </w:p>
        </w:tc>
        <w:tc>
          <w:tcPr>
            <w:tcW w:w="3108" w:type="dxa"/>
            <w:tcBorders>
              <w:top w:val="nil"/>
              <w:left w:val="nil"/>
              <w:bottom w:val="single" w:sz="4" w:space="0" w:color="DDE4EA"/>
              <w:right w:val="nil"/>
            </w:tcBorders>
            <w:shd w:val="clear" w:color="auto" w:fill="E8F7F9"/>
            <w:tcMar>
              <w:top w:w="72" w:type="dxa"/>
              <w:left w:w="115" w:type="dxa"/>
              <w:bottom w:w="72" w:type="dxa"/>
              <w:right w:w="115" w:type="dxa"/>
            </w:tcMar>
          </w:tcPr>
          <w:p w14:paraId="0E44C944" w14:textId="77777777" w:rsidR="00B22575" w:rsidRDefault="00202C04">
            <w:pPr>
              <w:spacing w:before="20" w:after="20"/>
            </w:pPr>
            <w:r>
              <w:rPr>
                <w:rFonts w:ascii="Calibri" w:eastAsia="Calibri" w:hAnsi="Calibri" w:cs="Calibri"/>
                <w:i/>
                <w:iCs/>
                <w:color w:val="2D3A4A"/>
                <w:sz w:val="13"/>
                <w:szCs w:val="13"/>
              </w:rPr>
              <w:t>Cluster-RCT</w:t>
            </w:r>
          </w:p>
        </w:tc>
        <w:tc>
          <w:tcPr>
            <w:tcW w:w="5904" w:type="dxa"/>
            <w:tcBorders>
              <w:top w:val="nil"/>
              <w:left w:val="nil"/>
              <w:bottom w:val="single" w:sz="4" w:space="0" w:color="DDE4EA"/>
              <w:right w:val="nil"/>
            </w:tcBorders>
            <w:shd w:val="clear" w:color="auto" w:fill="E8F7F9"/>
            <w:tcMar>
              <w:top w:w="72" w:type="dxa"/>
              <w:left w:w="115" w:type="dxa"/>
              <w:bottom w:w="72" w:type="dxa"/>
              <w:right w:w="115" w:type="dxa"/>
            </w:tcMar>
          </w:tcPr>
          <w:p w14:paraId="7FE9F34A" w14:textId="77777777" w:rsidR="00B22575" w:rsidRDefault="00202C04">
            <w:pPr>
              <w:spacing w:before="20" w:after="20"/>
            </w:pPr>
            <w:r>
              <w:rPr>
                <w:rFonts w:ascii="Calibri" w:eastAsia="Calibri" w:hAnsi="Calibri" w:cs="Calibri"/>
                <w:color w:val="2D3A4A"/>
                <w:sz w:val="13"/>
                <w:szCs w:val="13"/>
              </w:rPr>
              <w:t>Person-centred care reduced agitation but was associated with a higher rate of falls.</w:t>
            </w:r>
          </w:p>
        </w:tc>
        <w:tc>
          <w:tcPr>
            <w:tcW w:w="3108" w:type="dxa"/>
            <w:tcBorders>
              <w:top w:val="nil"/>
              <w:left w:val="nil"/>
              <w:bottom w:val="single" w:sz="4" w:space="0" w:color="DDE4EA"/>
              <w:right w:val="nil"/>
            </w:tcBorders>
            <w:shd w:val="clear" w:color="auto" w:fill="E8F7F9"/>
            <w:tcMar>
              <w:top w:w="72" w:type="dxa"/>
              <w:left w:w="115" w:type="dxa"/>
              <w:bottom w:w="72" w:type="dxa"/>
              <w:right w:w="115" w:type="dxa"/>
            </w:tcMar>
          </w:tcPr>
          <w:p w14:paraId="4D2769EC" w14:textId="77777777" w:rsidR="00B22575" w:rsidRDefault="00202C04">
            <w:pPr>
              <w:spacing w:before="20" w:after="20"/>
            </w:pPr>
            <w:r>
              <w:rPr>
                <w:rFonts w:ascii="Calibri" w:eastAsia="Calibri" w:hAnsi="Calibri" w:cs="Calibri"/>
                <w:b/>
                <w:bCs/>
                <w:color w:val="2D3A4A"/>
                <w:sz w:val="13"/>
                <w:szCs w:val="13"/>
              </w:rPr>
              <w:t>Person-Centred Care</w:t>
            </w:r>
          </w:p>
        </w:tc>
      </w:tr>
      <w:tr w:rsidR="00B22575" w14:paraId="59BFF3C7" w14:textId="77777777">
        <w:tc>
          <w:tcPr>
            <w:tcW w:w="3418" w:type="dxa"/>
            <w:tcBorders>
              <w:top w:val="nil"/>
              <w:left w:val="nil"/>
              <w:bottom w:val="single" w:sz="4" w:space="0" w:color="DDE4EA"/>
              <w:right w:val="nil"/>
            </w:tcBorders>
            <w:shd w:val="clear" w:color="auto" w:fill="F4ECF7"/>
            <w:tcMar>
              <w:top w:w="72" w:type="dxa"/>
              <w:left w:w="115" w:type="dxa"/>
              <w:bottom w:w="72" w:type="dxa"/>
              <w:right w:w="115" w:type="dxa"/>
            </w:tcMar>
          </w:tcPr>
          <w:p w14:paraId="2A15E4BF" w14:textId="77777777" w:rsidR="00B22575" w:rsidRDefault="00202C04">
            <w:pPr>
              <w:spacing w:before="20" w:after="20"/>
            </w:pPr>
            <w:proofErr w:type="spellStart"/>
            <w:r>
              <w:rPr>
                <w:rFonts w:ascii="Calibri" w:eastAsia="Calibri" w:hAnsi="Calibri" w:cs="Calibri"/>
                <w:b/>
                <w:bCs/>
                <w:color w:val="2D3A4A"/>
                <w:sz w:val="14"/>
                <w:szCs w:val="14"/>
              </w:rPr>
              <w:t>Lapane</w:t>
            </w:r>
            <w:proofErr w:type="spellEnd"/>
            <w:r>
              <w:rPr>
                <w:rFonts w:ascii="Calibri" w:eastAsia="Calibri" w:hAnsi="Calibri" w:cs="Calibri"/>
                <w:b/>
                <w:bCs/>
                <w:color w:val="2D3A4A"/>
                <w:sz w:val="14"/>
                <w:szCs w:val="14"/>
              </w:rPr>
              <w:t xml:space="preserve"> et al. (2022)</w:t>
            </w:r>
          </w:p>
        </w:tc>
        <w:tc>
          <w:tcPr>
            <w:tcW w:w="3108" w:type="dxa"/>
            <w:tcBorders>
              <w:top w:val="nil"/>
              <w:left w:val="nil"/>
              <w:bottom w:val="single" w:sz="4" w:space="0" w:color="DDE4EA"/>
              <w:right w:val="nil"/>
            </w:tcBorders>
            <w:shd w:val="clear" w:color="auto" w:fill="F4ECF7"/>
            <w:tcMar>
              <w:top w:w="72" w:type="dxa"/>
              <w:left w:w="115" w:type="dxa"/>
              <w:bottom w:w="72" w:type="dxa"/>
              <w:right w:w="115" w:type="dxa"/>
            </w:tcMar>
          </w:tcPr>
          <w:p w14:paraId="24F52BF6" w14:textId="77777777" w:rsidR="00B22575" w:rsidRDefault="00202C04">
            <w:pPr>
              <w:spacing w:before="20" w:after="20"/>
            </w:pPr>
            <w:r>
              <w:rPr>
                <w:rFonts w:ascii="Calibri" w:eastAsia="Calibri" w:hAnsi="Calibri" w:cs="Calibri"/>
                <w:i/>
                <w:iCs/>
                <w:color w:val="2D3A4A"/>
                <w:sz w:val="13"/>
                <w:szCs w:val="13"/>
              </w:rPr>
              <w:t>Systematic review</w:t>
            </w:r>
          </w:p>
        </w:tc>
        <w:tc>
          <w:tcPr>
            <w:tcW w:w="5904" w:type="dxa"/>
            <w:tcBorders>
              <w:top w:val="nil"/>
              <w:left w:val="nil"/>
              <w:bottom w:val="single" w:sz="4" w:space="0" w:color="DDE4EA"/>
              <w:right w:val="nil"/>
            </w:tcBorders>
            <w:shd w:val="clear" w:color="auto" w:fill="F4ECF7"/>
            <w:tcMar>
              <w:top w:w="72" w:type="dxa"/>
              <w:left w:w="115" w:type="dxa"/>
              <w:bottom w:w="72" w:type="dxa"/>
              <w:right w:w="115" w:type="dxa"/>
            </w:tcMar>
          </w:tcPr>
          <w:p w14:paraId="6CA43529" w14:textId="77777777" w:rsidR="00B22575" w:rsidRDefault="00202C04">
            <w:pPr>
              <w:spacing w:before="20" w:after="20"/>
            </w:pPr>
            <w:r>
              <w:rPr>
                <w:rFonts w:ascii="Calibri" w:eastAsia="Calibri" w:hAnsi="Calibri" w:cs="Calibri"/>
                <w:color w:val="2D3A4A"/>
                <w:sz w:val="13"/>
                <w:szCs w:val="13"/>
              </w:rPr>
              <w:t>Loneliness common among residents in congregate care settings; associated with depression.</w:t>
            </w:r>
          </w:p>
        </w:tc>
        <w:tc>
          <w:tcPr>
            <w:tcW w:w="3108" w:type="dxa"/>
            <w:tcBorders>
              <w:top w:val="nil"/>
              <w:left w:val="nil"/>
              <w:bottom w:val="single" w:sz="4" w:space="0" w:color="DDE4EA"/>
              <w:right w:val="nil"/>
            </w:tcBorders>
            <w:shd w:val="clear" w:color="auto" w:fill="F4ECF7"/>
            <w:tcMar>
              <w:top w:w="72" w:type="dxa"/>
              <w:left w:w="115" w:type="dxa"/>
              <w:bottom w:w="72" w:type="dxa"/>
              <w:right w:w="115" w:type="dxa"/>
            </w:tcMar>
          </w:tcPr>
          <w:p w14:paraId="729859F5" w14:textId="77777777" w:rsidR="00B22575" w:rsidRDefault="00202C04">
            <w:pPr>
              <w:spacing w:before="20" w:after="20"/>
            </w:pPr>
            <w:r>
              <w:rPr>
                <w:rFonts w:ascii="Calibri" w:eastAsia="Calibri" w:hAnsi="Calibri" w:cs="Calibri"/>
                <w:b/>
                <w:bCs/>
                <w:color w:val="2D3A4A"/>
                <w:sz w:val="13"/>
                <w:szCs w:val="13"/>
              </w:rPr>
              <w:t>Wellbeing &amp; Dignity</w:t>
            </w:r>
          </w:p>
        </w:tc>
      </w:tr>
      <w:tr w:rsidR="00B22575" w14:paraId="128BD1F2" w14:textId="77777777">
        <w:tc>
          <w:tcPr>
            <w:tcW w:w="3418" w:type="dxa"/>
            <w:tcBorders>
              <w:top w:val="nil"/>
              <w:left w:val="nil"/>
              <w:bottom w:val="single" w:sz="4" w:space="0" w:color="DDE4EA"/>
              <w:right w:val="nil"/>
            </w:tcBorders>
            <w:shd w:val="clear" w:color="auto" w:fill="F4ECF7"/>
            <w:tcMar>
              <w:top w:w="72" w:type="dxa"/>
              <w:left w:w="115" w:type="dxa"/>
              <w:bottom w:w="72" w:type="dxa"/>
              <w:right w:w="115" w:type="dxa"/>
            </w:tcMar>
          </w:tcPr>
          <w:p w14:paraId="33F80929" w14:textId="77777777" w:rsidR="00B22575" w:rsidRDefault="00202C04">
            <w:pPr>
              <w:spacing w:before="20" w:after="20"/>
            </w:pPr>
            <w:r>
              <w:rPr>
                <w:rFonts w:ascii="Calibri" w:eastAsia="Calibri" w:hAnsi="Calibri" w:cs="Calibri"/>
                <w:b/>
                <w:bCs/>
                <w:color w:val="2D3A4A"/>
                <w:sz w:val="14"/>
                <w:szCs w:val="14"/>
              </w:rPr>
              <w:t>Høy et al. (2016)</w:t>
            </w:r>
          </w:p>
        </w:tc>
        <w:tc>
          <w:tcPr>
            <w:tcW w:w="3108" w:type="dxa"/>
            <w:tcBorders>
              <w:top w:val="nil"/>
              <w:left w:val="nil"/>
              <w:bottom w:val="single" w:sz="4" w:space="0" w:color="DDE4EA"/>
              <w:right w:val="nil"/>
            </w:tcBorders>
            <w:shd w:val="clear" w:color="auto" w:fill="F4ECF7"/>
            <w:tcMar>
              <w:top w:w="72" w:type="dxa"/>
              <w:left w:w="115" w:type="dxa"/>
              <w:bottom w:w="72" w:type="dxa"/>
              <w:right w:w="115" w:type="dxa"/>
            </w:tcMar>
          </w:tcPr>
          <w:p w14:paraId="4D844B00" w14:textId="77777777" w:rsidR="00B22575" w:rsidRDefault="00202C04">
            <w:pPr>
              <w:spacing w:before="20" w:after="20"/>
            </w:pPr>
            <w:r>
              <w:rPr>
                <w:rFonts w:ascii="Calibri" w:eastAsia="Calibri" w:hAnsi="Calibri" w:cs="Calibri"/>
                <w:i/>
                <w:iCs/>
                <w:color w:val="2D3A4A"/>
                <w:sz w:val="13"/>
                <w:szCs w:val="13"/>
              </w:rPr>
              <w:t>Qualitative study (n=28)</w:t>
            </w:r>
          </w:p>
        </w:tc>
        <w:tc>
          <w:tcPr>
            <w:tcW w:w="5904" w:type="dxa"/>
            <w:tcBorders>
              <w:top w:val="nil"/>
              <w:left w:val="nil"/>
              <w:bottom w:val="single" w:sz="4" w:space="0" w:color="DDE4EA"/>
              <w:right w:val="nil"/>
            </w:tcBorders>
            <w:shd w:val="clear" w:color="auto" w:fill="F4ECF7"/>
            <w:tcMar>
              <w:top w:w="72" w:type="dxa"/>
              <w:left w:w="115" w:type="dxa"/>
              <w:bottom w:w="72" w:type="dxa"/>
              <w:right w:w="115" w:type="dxa"/>
            </w:tcMar>
          </w:tcPr>
          <w:p w14:paraId="673E286C" w14:textId="77777777" w:rsidR="00B22575" w:rsidRDefault="00202C04">
            <w:pPr>
              <w:spacing w:before="20" w:after="20"/>
            </w:pPr>
            <w:r>
              <w:rPr>
                <w:rFonts w:ascii="Calibri" w:eastAsia="Calibri" w:hAnsi="Calibri" w:cs="Calibri"/>
                <w:color w:val="2D3A4A"/>
                <w:sz w:val="13"/>
                <w:szCs w:val="13"/>
              </w:rPr>
              <w:t>Residents experience dignity through involvement and recognition as a full person, not just physical care.</w:t>
            </w:r>
          </w:p>
        </w:tc>
        <w:tc>
          <w:tcPr>
            <w:tcW w:w="3108" w:type="dxa"/>
            <w:tcBorders>
              <w:top w:val="nil"/>
              <w:left w:val="nil"/>
              <w:bottom w:val="single" w:sz="4" w:space="0" w:color="DDE4EA"/>
              <w:right w:val="nil"/>
            </w:tcBorders>
            <w:shd w:val="clear" w:color="auto" w:fill="F4ECF7"/>
            <w:tcMar>
              <w:top w:w="72" w:type="dxa"/>
              <w:left w:w="115" w:type="dxa"/>
              <w:bottom w:w="72" w:type="dxa"/>
              <w:right w:w="115" w:type="dxa"/>
            </w:tcMar>
          </w:tcPr>
          <w:p w14:paraId="56A1A6E0" w14:textId="77777777" w:rsidR="00B22575" w:rsidRDefault="00202C04">
            <w:pPr>
              <w:spacing w:before="20" w:after="20"/>
            </w:pPr>
            <w:r>
              <w:rPr>
                <w:rFonts w:ascii="Calibri" w:eastAsia="Calibri" w:hAnsi="Calibri" w:cs="Calibri"/>
                <w:b/>
                <w:bCs/>
                <w:color w:val="2D3A4A"/>
                <w:sz w:val="13"/>
                <w:szCs w:val="13"/>
              </w:rPr>
              <w:t>Wellbeing &amp; Dignity</w:t>
            </w:r>
          </w:p>
        </w:tc>
      </w:tr>
    </w:tbl>
    <w:p w14:paraId="1901D9FA" w14:textId="77777777" w:rsidR="00B22575" w:rsidRDefault="00202C04">
      <w:pPr>
        <w:spacing w:before="200"/>
        <w:sectPr w:rsidR="00B22575">
          <w:pgSz w:w="22464" w:h="16834" w:orient="landscape"/>
          <w:pgMar w:top="648" w:right="648" w:bottom="648" w:left="648" w:header="708" w:footer="708" w:gutter="0"/>
          <w:cols w:space="720"/>
        </w:sectPr>
      </w:pPr>
      <w:r>
        <w:rPr>
          <w:rFonts w:ascii="Calibri" w:eastAsia="Calibri" w:hAnsi="Calibri" w:cs="Calibri"/>
          <w:i/>
          <w:iCs/>
          <w:color w:val="555555"/>
          <w:sz w:val="15"/>
          <w:szCs w:val="15"/>
        </w:rPr>
        <w:t>Full reference list, including sources for all figures and images, is provided overleaf.</w:t>
      </w:r>
    </w:p>
    <w:p w14:paraId="771413F9" w14:textId="77777777" w:rsidR="00B22575" w:rsidRDefault="00202C04">
      <w:pPr>
        <w:spacing w:after="60"/>
      </w:pPr>
      <w:r>
        <w:rPr>
          <w:rFonts w:ascii="Calibri" w:eastAsia="Calibri" w:hAnsi="Calibri" w:cs="Calibri"/>
          <w:b/>
          <w:bCs/>
          <w:color w:val="1A3A5C"/>
          <w:sz w:val="30"/>
          <w:szCs w:val="30"/>
        </w:rPr>
        <w:lastRenderedPageBreak/>
        <w:t>References</w:t>
      </w:r>
    </w:p>
    <w:p w14:paraId="584F3496" w14:textId="77777777" w:rsidR="00B22575" w:rsidRDefault="00202C04">
      <w:pPr>
        <w:spacing w:after="160" w:line="300" w:lineRule="auto"/>
        <w:ind w:left="576" w:hanging="576"/>
      </w:pPr>
      <w:r>
        <w:rPr>
          <w:rFonts w:ascii="Arial" w:eastAsia="Arial" w:hAnsi="Arial" w:cs="Arial"/>
          <w:color w:val="2D3A4A"/>
        </w:rPr>
        <w:t xml:space="preserve">Aveyard, H. (2014) </w:t>
      </w:r>
      <w:r>
        <w:rPr>
          <w:rFonts w:ascii="Arial" w:eastAsia="Arial" w:hAnsi="Arial" w:cs="Arial"/>
          <w:i/>
          <w:iCs/>
          <w:color w:val="2D3A4A"/>
        </w:rPr>
        <w:t>Doing a Literature Review in Health and Social Care: A Practical Guide</w:t>
      </w:r>
      <w:r>
        <w:rPr>
          <w:rFonts w:ascii="Arial" w:eastAsia="Arial" w:hAnsi="Arial" w:cs="Arial"/>
          <w:color w:val="2D3A4A"/>
        </w:rPr>
        <w:t xml:space="preserve">. 3rd </w:t>
      </w:r>
      <w:proofErr w:type="spellStart"/>
      <w:r>
        <w:rPr>
          <w:rFonts w:ascii="Arial" w:eastAsia="Arial" w:hAnsi="Arial" w:cs="Arial"/>
          <w:color w:val="2D3A4A"/>
        </w:rPr>
        <w:t>edn</w:t>
      </w:r>
      <w:proofErr w:type="spellEnd"/>
      <w:r>
        <w:rPr>
          <w:rFonts w:ascii="Arial" w:eastAsia="Arial" w:hAnsi="Arial" w:cs="Arial"/>
          <w:color w:val="2D3A4A"/>
        </w:rPr>
        <w:t>. Maidenhead: Open University Press.</w:t>
      </w:r>
    </w:p>
    <w:p w14:paraId="71A1455E" w14:textId="77777777" w:rsidR="00B22575" w:rsidRDefault="00202C04">
      <w:pPr>
        <w:spacing w:after="160" w:line="300" w:lineRule="auto"/>
      </w:pPr>
      <w:r>
        <w:rPr>
          <w:rFonts w:ascii="Arial" w:eastAsia="Arial" w:hAnsi="Arial" w:cs="Arial"/>
          <w:color w:val="2D3A4A"/>
        </w:rPr>
        <w:t xml:space="preserve">Ballard, C., Corbett, A., Orrell, M., Williams, G., Moniz-Cook, E., Romeo, R., Woods, B., Garrod, L., </w:t>
      </w:r>
      <w:proofErr w:type="spellStart"/>
      <w:r>
        <w:rPr>
          <w:rFonts w:ascii="Arial" w:eastAsia="Arial" w:hAnsi="Arial" w:cs="Arial"/>
          <w:color w:val="2D3A4A"/>
        </w:rPr>
        <w:t>Testad</w:t>
      </w:r>
      <w:proofErr w:type="spellEnd"/>
      <w:r>
        <w:rPr>
          <w:rFonts w:ascii="Arial" w:eastAsia="Arial" w:hAnsi="Arial" w:cs="Arial"/>
          <w:color w:val="2D3A4A"/>
        </w:rPr>
        <w:t xml:space="preserve">, I., Woodward-Carlton, B., </w:t>
      </w:r>
      <w:proofErr w:type="spellStart"/>
      <w:r>
        <w:rPr>
          <w:rFonts w:ascii="Arial" w:eastAsia="Arial" w:hAnsi="Arial" w:cs="Arial"/>
          <w:color w:val="2D3A4A"/>
        </w:rPr>
        <w:t>Wenborn</w:t>
      </w:r>
      <w:proofErr w:type="spellEnd"/>
      <w:r>
        <w:rPr>
          <w:rFonts w:ascii="Arial" w:eastAsia="Arial" w:hAnsi="Arial" w:cs="Arial"/>
          <w:color w:val="2D3A4A"/>
        </w:rPr>
        <w:t xml:space="preserve">, J., Knapp, M. and Fossey, J. (2018) Impact of person-centred care training and person-centred activities on quality of life, agitation, and antipsychotic use in people with dementia living in nursing homes: a cluster-randomised controlled trial. </w:t>
      </w:r>
      <w:proofErr w:type="spellStart"/>
      <w:r>
        <w:rPr>
          <w:rFonts w:ascii="Arial" w:eastAsia="Arial" w:hAnsi="Arial" w:cs="Arial"/>
          <w:i/>
          <w:iCs/>
          <w:color w:val="2D3A4A"/>
        </w:rPr>
        <w:t>PLoS</w:t>
      </w:r>
      <w:proofErr w:type="spellEnd"/>
      <w:r>
        <w:rPr>
          <w:rFonts w:ascii="Arial" w:eastAsia="Arial" w:hAnsi="Arial" w:cs="Arial"/>
          <w:i/>
          <w:iCs/>
          <w:color w:val="2D3A4A"/>
        </w:rPr>
        <w:t xml:space="preserve"> Medicine</w:t>
      </w:r>
      <w:r>
        <w:rPr>
          <w:rFonts w:ascii="Arial" w:eastAsia="Arial" w:hAnsi="Arial" w:cs="Arial"/>
          <w:color w:val="2D3A4A"/>
        </w:rPr>
        <w:t xml:space="preserve">, 15(2), e1002500. </w:t>
      </w:r>
      <w:proofErr w:type="spellStart"/>
      <w:r>
        <w:rPr>
          <w:rFonts w:ascii="Arial" w:eastAsia="Arial" w:hAnsi="Arial" w:cs="Arial"/>
          <w:color w:val="2D3A4A"/>
        </w:rPr>
        <w:t>doi</w:t>
      </w:r>
      <w:proofErr w:type="spellEnd"/>
      <w:r>
        <w:rPr>
          <w:rFonts w:ascii="Arial" w:eastAsia="Arial" w:hAnsi="Arial" w:cs="Arial"/>
          <w:color w:val="2D3A4A"/>
        </w:rPr>
        <w:t>: 10.1371/journal.pmed.1002500.</w:t>
      </w:r>
    </w:p>
    <w:p w14:paraId="52EF100C" w14:textId="77777777" w:rsidR="00B22575" w:rsidRDefault="00202C04">
      <w:pPr>
        <w:spacing w:after="160" w:line="300" w:lineRule="auto"/>
      </w:pPr>
      <w:r>
        <w:rPr>
          <w:rFonts w:ascii="Arial" w:eastAsia="Arial" w:hAnsi="Arial" w:cs="Arial"/>
          <w:color w:val="2D3A4A"/>
        </w:rPr>
        <w:t xml:space="preserve">Braun, V. and Clarke, V. (2006) Using thematic analysis in psychology. </w:t>
      </w:r>
      <w:r>
        <w:rPr>
          <w:rFonts w:ascii="Arial" w:eastAsia="Arial" w:hAnsi="Arial" w:cs="Arial"/>
          <w:i/>
          <w:iCs/>
          <w:color w:val="2D3A4A"/>
        </w:rPr>
        <w:t>Qualitative Research in Psychology</w:t>
      </w:r>
      <w:r>
        <w:rPr>
          <w:rFonts w:ascii="Arial" w:eastAsia="Arial" w:hAnsi="Arial" w:cs="Arial"/>
          <w:color w:val="2D3A4A"/>
        </w:rPr>
        <w:t xml:space="preserve">, 3(2), pp. 77–101. </w:t>
      </w:r>
      <w:proofErr w:type="spellStart"/>
      <w:r>
        <w:rPr>
          <w:rFonts w:ascii="Arial" w:eastAsia="Arial" w:hAnsi="Arial" w:cs="Arial"/>
          <w:color w:val="2D3A4A"/>
        </w:rPr>
        <w:t>doi</w:t>
      </w:r>
      <w:proofErr w:type="spellEnd"/>
      <w:r>
        <w:rPr>
          <w:rFonts w:ascii="Arial" w:eastAsia="Arial" w:hAnsi="Arial" w:cs="Arial"/>
          <w:color w:val="2D3A4A"/>
        </w:rPr>
        <w:t>: 10.1191/1478088706qp063oa.</w:t>
      </w:r>
    </w:p>
    <w:p w14:paraId="38478197" w14:textId="77777777" w:rsidR="00B22575" w:rsidRDefault="00202C04">
      <w:pPr>
        <w:spacing w:after="160" w:line="300" w:lineRule="auto"/>
      </w:pPr>
      <w:r>
        <w:rPr>
          <w:rFonts w:ascii="Arial" w:eastAsia="Arial" w:hAnsi="Arial" w:cs="Arial"/>
          <w:color w:val="2D3A4A"/>
        </w:rPr>
        <w:t xml:space="preserve">Care Quality Commission (2023) </w:t>
      </w:r>
      <w:r>
        <w:rPr>
          <w:rFonts w:ascii="Arial" w:eastAsia="Arial" w:hAnsi="Arial" w:cs="Arial"/>
          <w:i/>
          <w:iCs/>
          <w:color w:val="2D3A4A"/>
        </w:rPr>
        <w:t>The state of health care and adult social care in England 2022/23</w:t>
      </w:r>
      <w:r>
        <w:rPr>
          <w:rFonts w:ascii="Arial" w:eastAsia="Arial" w:hAnsi="Arial" w:cs="Arial"/>
          <w:color w:val="2D3A4A"/>
        </w:rPr>
        <w:t>. London: CQC. Available at: https://www.cqc.org.uk/publications/major-report/state-care (Accessed: 9 July 2026).</w:t>
      </w:r>
    </w:p>
    <w:p w14:paraId="2A43408B" w14:textId="77777777" w:rsidR="00B22575" w:rsidRDefault="00202C04">
      <w:pPr>
        <w:spacing w:after="160" w:line="300" w:lineRule="auto"/>
      </w:pPr>
      <w:r>
        <w:rPr>
          <w:rFonts w:ascii="Arial" w:eastAsia="Arial" w:hAnsi="Arial" w:cs="Arial"/>
          <w:color w:val="2D3A4A"/>
        </w:rPr>
        <w:t xml:space="preserve">Care Quality Commission (2024) </w:t>
      </w:r>
      <w:r>
        <w:rPr>
          <w:rFonts w:ascii="Arial" w:eastAsia="Arial" w:hAnsi="Arial" w:cs="Arial"/>
          <w:i/>
          <w:iCs/>
          <w:color w:val="2D3A4A"/>
        </w:rPr>
        <w:t>Review into the operational effectiveness of the Care Quality Commission: full report</w:t>
      </w:r>
      <w:r>
        <w:rPr>
          <w:rFonts w:ascii="Arial" w:eastAsia="Arial" w:hAnsi="Arial" w:cs="Arial"/>
          <w:color w:val="2D3A4A"/>
        </w:rPr>
        <w:t>. London: Department of Health and Social Care. Available at: https://www.gov.uk/government/publications/review-into-the-operational-effectiveness-of-the-care-quality-commission-full-report (Accessed: 9 July 2026).</w:t>
      </w:r>
    </w:p>
    <w:p w14:paraId="710FE14C" w14:textId="77777777" w:rsidR="00B22575" w:rsidRDefault="00202C04">
      <w:pPr>
        <w:spacing w:after="160" w:line="300" w:lineRule="auto"/>
      </w:pPr>
      <w:r>
        <w:rPr>
          <w:rFonts w:ascii="Arial" w:eastAsia="Arial" w:hAnsi="Arial" w:cs="Arial"/>
          <w:color w:val="2D3A4A"/>
        </w:rPr>
        <w:t xml:space="preserve">Chenoweth, L., King, M.T., Jeon, Y.H., </w:t>
      </w:r>
      <w:proofErr w:type="spellStart"/>
      <w:r>
        <w:rPr>
          <w:rFonts w:ascii="Arial" w:eastAsia="Arial" w:hAnsi="Arial" w:cs="Arial"/>
          <w:color w:val="2D3A4A"/>
        </w:rPr>
        <w:t>Brodaty</w:t>
      </w:r>
      <w:proofErr w:type="spellEnd"/>
      <w:r>
        <w:rPr>
          <w:rFonts w:ascii="Arial" w:eastAsia="Arial" w:hAnsi="Arial" w:cs="Arial"/>
          <w:color w:val="2D3A4A"/>
        </w:rPr>
        <w:t>, H., Stein-</w:t>
      </w:r>
      <w:proofErr w:type="spellStart"/>
      <w:r>
        <w:rPr>
          <w:rFonts w:ascii="Arial" w:eastAsia="Arial" w:hAnsi="Arial" w:cs="Arial"/>
          <w:color w:val="2D3A4A"/>
        </w:rPr>
        <w:t>Parbury</w:t>
      </w:r>
      <w:proofErr w:type="spellEnd"/>
      <w:r>
        <w:rPr>
          <w:rFonts w:ascii="Arial" w:eastAsia="Arial" w:hAnsi="Arial" w:cs="Arial"/>
          <w:color w:val="2D3A4A"/>
        </w:rPr>
        <w:t xml:space="preserve">, J., Norman, R., Haas, M. and Luscombe, G. (2009) Caring for Aged Dementia Care Resident Study (CADRES) of person-centred care, dementia-care mapping, and usual care in dementia: a cluster-randomised trial. </w:t>
      </w:r>
      <w:r>
        <w:rPr>
          <w:rFonts w:ascii="Arial" w:eastAsia="Arial" w:hAnsi="Arial" w:cs="Arial"/>
          <w:i/>
          <w:iCs/>
          <w:color w:val="2D3A4A"/>
        </w:rPr>
        <w:t>Lancet Neurology</w:t>
      </w:r>
      <w:r>
        <w:rPr>
          <w:rFonts w:ascii="Arial" w:eastAsia="Arial" w:hAnsi="Arial" w:cs="Arial"/>
          <w:color w:val="2D3A4A"/>
        </w:rPr>
        <w:t xml:space="preserve">, 8(4), pp. 317–325. </w:t>
      </w:r>
      <w:proofErr w:type="spellStart"/>
      <w:r>
        <w:rPr>
          <w:rFonts w:ascii="Arial" w:eastAsia="Arial" w:hAnsi="Arial" w:cs="Arial"/>
          <w:color w:val="2D3A4A"/>
        </w:rPr>
        <w:t>doi</w:t>
      </w:r>
      <w:proofErr w:type="spellEnd"/>
      <w:r>
        <w:rPr>
          <w:rFonts w:ascii="Arial" w:eastAsia="Arial" w:hAnsi="Arial" w:cs="Arial"/>
          <w:color w:val="2D3A4A"/>
        </w:rPr>
        <w:t>: 10.1016/S1474-4422(09)70045-6.</w:t>
      </w:r>
    </w:p>
    <w:p w14:paraId="0943016C" w14:textId="77777777" w:rsidR="00B22575" w:rsidRDefault="00202C04">
      <w:pPr>
        <w:spacing w:after="160" w:line="300" w:lineRule="auto"/>
      </w:pPr>
      <w:r>
        <w:rPr>
          <w:rFonts w:ascii="Arial" w:eastAsia="Arial" w:hAnsi="Arial" w:cs="Arial"/>
          <w:color w:val="2D3A4A"/>
        </w:rPr>
        <w:t xml:space="preserve">Davies, S.L., Goodman, C., Bunn, F., Victor, C., Dickinson, A., Iliffe, S., Gage, H., Martin, W. and Froggatt, K. (2011) A systematic review of integrated working between care homes and health care services. </w:t>
      </w:r>
      <w:r>
        <w:rPr>
          <w:rFonts w:ascii="Arial" w:eastAsia="Arial" w:hAnsi="Arial" w:cs="Arial"/>
          <w:i/>
          <w:iCs/>
          <w:color w:val="2D3A4A"/>
        </w:rPr>
        <w:t>BMC Health Services Research</w:t>
      </w:r>
      <w:r>
        <w:rPr>
          <w:rFonts w:ascii="Arial" w:eastAsia="Arial" w:hAnsi="Arial" w:cs="Arial"/>
          <w:color w:val="2D3A4A"/>
        </w:rPr>
        <w:t xml:space="preserve">, 11, article 320. </w:t>
      </w:r>
      <w:proofErr w:type="spellStart"/>
      <w:r>
        <w:rPr>
          <w:rFonts w:ascii="Arial" w:eastAsia="Arial" w:hAnsi="Arial" w:cs="Arial"/>
          <w:color w:val="2D3A4A"/>
        </w:rPr>
        <w:t>doi</w:t>
      </w:r>
      <w:proofErr w:type="spellEnd"/>
      <w:r>
        <w:rPr>
          <w:rFonts w:ascii="Arial" w:eastAsia="Arial" w:hAnsi="Arial" w:cs="Arial"/>
          <w:color w:val="2D3A4A"/>
        </w:rPr>
        <w:t>: 10.1186/1472-6963-11-320.</w:t>
      </w:r>
    </w:p>
    <w:p w14:paraId="6A9A336B" w14:textId="77777777" w:rsidR="00B22575" w:rsidRDefault="00202C04">
      <w:pPr>
        <w:spacing w:after="160" w:line="300" w:lineRule="auto"/>
      </w:pPr>
      <w:r>
        <w:rPr>
          <w:rFonts w:ascii="Arial" w:eastAsia="Arial" w:hAnsi="Arial" w:cs="Arial"/>
          <w:color w:val="2D3A4A"/>
        </w:rPr>
        <w:t xml:space="preserve">Edvardsson, D., Winblad, B. and Sandman, P.O. (2008) Person-centred care of people with severe Alzheimer’s disease: </w:t>
      </w:r>
      <w:proofErr w:type="gramStart"/>
      <w:r>
        <w:rPr>
          <w:rFonts w:ascii="Arial" w:eastAsia="Arial" w:hAnsi="Arial" w:cs="Arial"/>
          <w:color w:val="2D3A4A"/>
        </w:rPr>
        <w:t>current status</w:t>
      </w:r>
      <w:proofErr w:type="gramEnd"/>
      <w:r>
        <w:rPr>
          <w:rFonts w:ascii="Arial" w:eastAsia="Arial" w:hAnsi="Arial" w:cs="Arial"/>
          <w:color w:val="2D3A4A"/>
        </w:rPr>
        <w:t xml:space="preserve"> and ways forward. </w:t>
      </w:r>
      <w:r>
        <w:rPr>
          <w:rFonts w:ascii="Arial" w:eastAsia="Arial" w:hAnsi="Arial" w:cs="Arial"/>
          <w:i/>
          <w:iCs/>
          <w:color w:val="2D3A4A"/>
        </w:rPr>
        <w:t>The Lancet Neurology</w:t>
      </w:r>
      <w:r>
        <w:rPr>
          <w:rFonts w:ascii="Arial" w:eastAsia="Arial" w:hAnsi="Arial" w:cs="Arial"/>
          <w:color w:val="2D3A4A"/>
        </w:rPr>
        <w:t xml:space="preserve">, 7(4), pp. 362–367. </w:t>
      </w:r>
      <w:proofErr w:type="spellStart"/>
      <w:r>
        <w:rPr>
          <w:rFonts w:ascii="Arial" w:eastAsia="Arial" w:hAnsi="Arial" w:cs="Arial"/>
          <w:color w:val="2D3A4A"/>
        </w:rPr>
        <w:t>doi</w:t>
      </w:r>
      <w:proofErr w:type="spellEnd"/>
      <w:r>
        <w:rPr>
          <w:rFonts w:ascii="Arial" w:eastAsia="Arial" w:hAnsi="Arial" w:cs="Arial"/>
          <w:color w:val="2D3A4A"/>
        </w:rPr>
        <w:t>: 10.1016/S1474-4422(08)70063-2.</w:t>
      </w:r>
    </w:p>
    <w:p w14:paraId="38B39000" w14:textId="77777777" w:rsidR="00B22575" w:rsidRDefault="00202C04">
      <w:pPr>
        <w:spacing w:after="160" w:line="300" w:lineRule="auto"/>
        <w:ind w:left="576" w:hanging="576"/>
      </w:pPr>
      <w:r>
        <w:rPr>
          <w:rFonts w:ascii="Arial" w:eastAsia="Arial" w:hAnsi="Arial" w:cs="Arial"/>
          <w:color w:val="2D3A4A"/>
        </w:rPr>
        <w:t xml:space="preserve">Free World Maps (n.d.) </w:t>
      </w:r>
      <w:r>
        <w:rPr>
          <w:rFonts w:ascii="Arial" w:eastAsia="Arial" w:hAnsi="Arial" w:cs="Arial"/>
          <w:i/>
          <w:iCs/>
          <w:color w:val="2D3A4A"/>
        </w:rPr>
        <w:t>West Midlands maps</w:t>
      </w:r>
      <w:r>
        <w:rPr>
          <w:rFonts w:ascii="Arial" w:eastAsia="Arial" w:hAnsi="Arial" w:cs="Arial"/>
          <w:color w:val="2D3A4A"/>
        </w:rPr>
        <w:t xml:space="preserve"> [Online image]. Available at: https://www.freeworldmaps.net (Accessed: 9 July 2026).</w:t>
      </w:r>
    </w:p>
    <w:p w14:paraId="5BA81AB4" w14:textId="77777777" w:rsidR="00B22575" w:rsidRDefault="00202C04">
      <w:pPr>
        <w:spacing w:after="160" w:line="300" w:lineRule="auto"/>
      </w:pPr>
      <w:r>
        <w:rPr>
          <w:rFonts w:ascii="Arial" w:eastAsia="Arial" w:hAnsi="Arial" w:cs="Arial"/>
          <w:color w:val="2D3A4A"/>
        </w:rPr>
        <w:t xml:space="preserve">Greenhalgh, T., Thorne, S. and </w:t>
      </w:r>
      <w:proofErr w:type="spellStart"/>
      <w:r>
        <w:rPr>
          <w:rFonts w:ascii="Arial" w:eastAsia="Arial" w:hAnsi="Arial" w:cs="Arial"/>
          <w:color w:val="2D3A4A"/>
        </w:rPr>
        <w:t>Malterud</w:t>
      </w:r>
      <w:proofErr w:type="spellEnd"/>
      <w:r>
        <w:rPr>
          <w:rFonts w:ascii="Arial" w:eastAsia="Arial" w:hAnsi="Arial" w:cs="Arial"/>
          <w:color w:val="2D3A4A"/>
        </w:rPr>
        <w:t xml:space="preserve">, K. (2018) Time to challenge the spurious hierarchy of systematic over narrative reviews? </w:t>
      </w:r>
      <w:r>
        <w:rPr>
          <w:rFonts w:ascii="Arial" w:eastAsia="Arial" w:hAnsi="Arial" w:cs="Arial"/>
          <w:i/>
          <w:iCs/>
          <w:color w:val="2D3A4A"/>
        </w:rPr>
        <w:t>European Journal of Clinical Investigation</w:t>
      </w:r>
      <w:r>
        <w:rPr>
          <w:rFonts w:ascii="Arial" w:eastAsia="Arial" w:hAnsi="Arial" w:cs="Arial"/>
          <w:color w:val="2D3A4A"/>
        </w:rPr>
        <w:t xml:space="preserve">, 48(6), e12931. </w:t>
      </w:r>
      <w:proofErr w:type="spellStart"/>
      <w:r>
        <w:rPr>
          <w:rFonts w:ascii="Arial" w:eastAsia="Arial" w:hAnsi="Arial" w:cs="Arial"/>
          <w:color w:val="2D3A4A"/>
        </w:rPr>
        <w:t>doi</w:t>
      </w:r>
      <w:proofErr w:type="spellEnd"/>
      <w:r>
        <w:rPr>
          <w:rFonts w:ascii="Arial" w:eastAsia="Arial" w:hAnsi="Arial" w:cs="Arial"/>
          <w:color w:val="2D3A4A"/>
        </w:rPr>
        <w:t>: 10.1111/eci.12931.</w:t>
      </w:r>
    </w:p>
    <w:p w14:paraId="5B1548E6" w14:textId="77777777" w:rsidR="00B22575" w:rsidRDefault="00202C04">
      <w:pPr>
        <w:spacing w:after="160" w:line="300" w:lineRule="auto"/>
      </w:pPr>
      <w:r>
        <w:rPr>
          <w:rFonts w:ascii="Arial" w:eastAsia="Arial" w:hAnsi="Arial" w:cs="Arial"/>
          <w:color w:val="2D3A4A"/>
        </w:rPr>
        <w:t xml:space="preserve">Høy, B., </w:t>
      </w:r>
      <w:proofErr w:type="spellStart"/>
      <w:r>
        <w:rPr>
          <w:rFonts w:ascii="Arial" w:eastAsia="Arial" w:hAnsi="Arial" w:cs="Arial"/>
          <w:color w:val="2D3A4A"/>
        </w:rPr>
        <w:t>Lillestø</w:t>
      </w:r>
      <w:proofErr w:type="spellEnd"/>
      <w:r>
        <w:rPr>
          <w:rFonts w:ascii="Arial" w:eastAsia="Arial" w:hAnsi="Arial" w:cs="Arial"/>
          <w:color w:val="2D3A4A"/>
        </w:rPr>
        <w:t xml:space="preserve">, B., </w:t>
      </w:r>
      <w:proofErr w:type="spellStart"/>
      <w:r>
        <w:rPr>
          <w:rFonts w:ascii="Arial" w:eastAsia="Arial" w:hAnsi="Arial" w:cs="Arial"/>
          <w:color w:val="2D3A4A"/>
        </w:rPr>
        <w:t>Sletteø</w:t>
      </w:r>
      <w:proofErr w:type="spellEnd"/>
      <w:r>
        <w:rPr>
          <w:rFonts w:ascii="Arial" w:eastAsia="Arial" w:hAnsi="Arial" w:cs="Arial"/>
          <w:color w:val="2D3A4A"/>
        </w:rPr>
        <w:t xml:space="preserve">, Å., </w:t>
      </w:r>
      <w:proofErr w:type="spellStart"/>
      <w:r>
        <w:rPr>
          <w:rFonts w:ascii="Arial" w:eastAsia="Arial" w:hAnsi="Arial" w:cs="Arial"/>
          <w:color w:val="2D3A4A"/>
        </w:rPr>
        <w:t>Sæteren</w:t>
      </w:r>
      <w:proofErr w:type="spellEnd"/>
      <w:r>
        <w:rPr>
          <w:rFonts w:ascii="Arial" w:eastAsia="Arial" w:hAnsi="Arial" w:cs="Arial"/>
          <w:color w:val="2D3A4A"/>
        </w:rPr>
        <w:t xml:space="preserve">, B., Heggestad, A.K.T., Caspari, S., Aasgaard, T., Lohne, V., Rehnsfeldt, A., </w:t>
      </w:r>
      <w:proofErr w:type="spellStart"/>
      <w:r>
        <w:rPr>
          <w:rFonts w:ascii="Arial" w:eastAsia="Arial" w:hAnsi="Arial" w:cs="Arial"/>
          <w:color w:val="2D3A4A"/>
        </w:rPr>
        <w:t>Råholm</w:t>
      </w:r>
      <w:proofErr w:type="spellEnd"/>
      <w:r>
        <w:rPr>
          <w:rFonts w:ascii="Arial" w:eastAsia="Arial" w:hAnsi="Arial" w:cs="Arial"/>
          <w:color w:val="2D3A4A"/>
        </w:rPr>
        <w:t xml:space="preserve">, M.B., Lindwall, L. and </w:t>
      </w:r>
      <w:proofErr w:type="spellStart"/>
      <w:r>
        <w:rPr>
          <w:rFonts w:ascii="Arial" w:eastAsia="Arial" w:hAnsi="Arial" w:cs="Arial"/>
          <w:color w:val="2D3A4A"/>
        </w:rPr>
        <w:t>Nåden</w:t>
      </w:r>
      <w:proofErr w:type="spellEnd"/>
      <w:r>
        <w:rPr>
          <w:rFonts w:ascii="Arial" w:eastAsia="Arial" w:hAnsi="Arial" w:cs="Arial"/>
          <w:color w:val="2D3A4A"/>
        </w:rPr>
        <w:t xml:space="preserve">, D. (2016) Maintaining dignity in vulnerability: a qualitative study of the residents’ perspective on dignity in nursing homes. </w:t>
      </w:r>
      <w:r>
        <w:rPr>
          <w:rFonts w:ascii="Arial" w:eastAsia="Arial" w:hAnsi="Arial" w:cs="Arial"/>
          <w:i/>
          <w:iCs/>
          <w:color w:val="2D3A4A"/>
        </w:rPr>
        <w:t>International Journal of Nursing Studies</w:t>
      </w:r>
      <w:r>
        <w:rPr>
          <w:rFonts w:ascii="Arial" w:eastAsia="Arial" w:hAnsi="Arial" w:cs="Arial"/>
          <w:color w:val="2D3A4A"/>
        </w:rPr>
        <w:t xml:space="preserve">, 60, pp. 91–98. </w:t>
      </w:r>
      <w:proofErr w:type="spellStart"/>
      <w:r>
        <w:rPr>
          <w:rFonts w:ascii="Arial" w:eastAsia="Arial" w:hAnsi="Arial" w:cs="Arial"/>
          <w:color w:val="2D3A4A"/>
        </w:rPr>
        <w:t>doi</w:t>
      </w:r>
      <w:proofErr w:type="spellEnd"/>
      <w:r>
        <w:rPr>
          <w:rFonts w:ascii="Arial" w:eastAsia="Arial" w:hAnsi="Arial" w:cs="Arial"/>
          <w:color w:val="2D3A4A"/>
        </w:rPr>
        <w:t>: 10.1016/j.ijnurstu.2016.04.005.</w:t>
      </w:r>
    </w:p>
    <w:p w14:paraId="5A9A93C4" w14:textId="77777777" w:rsidR="00B22575" w:rsidRDefault="00202C04">
      <w:pPr>
        <w:spacing w:after="160" w:line="300" w:lineRule="auto"/>
        <w:ind w:left="576" w:hanging="576"/>
      </w:pPr>
      <w:r>
        <w:rPr>
          <w:rFonts w:ascii="Arial" w:eastAsia="Arial" w:hAnsi="Arial" w:cs="Arial"/>
          <w:color w:val="2D3A4A"/>
        </w:rPr>
        <w:t xml:space="preserve">Johnston, M.P. (2017) Secondary data analysis: a method of which the time has come. </w:t>
      </w:r>
      <w:r>
        <w:rPr>
          <w:rFonts w:ascii="Arial" w:eastAsia="Arial" w:hAnsi="Arial" w:cs="Arial"/>
          <w:i/>
          <w:iCs/>
          <w:color w:val="2D3A4A"/>
        </w:rPr>
        <w:t>Qualitative and Quantitative Methods in Libraries</w:t>
      </w:r>
      <w:r>
        <w:rPr>
          <w:rFonts w:ascii="Arial" w:eastAsia="Arial" w:hAnsi="Arial" w:cs="Arial"/>
          <w:color w:val="2D3A4A"/>
        </w:rPr>
        <w:t>, 3(3), pp. 619–626.</w:t>
      </w:r>
    </w:p>
    <w:p w14:paraId="7723BBD6" w14:textId="77777777" w:rsidR="00B22575" w:rsidRDefault="00202C04">
      <w:pPr>
        <w:spacing w:after="160" w:line="300" w:lineRule="auto"/>
      </w:pPr>
      <w:r>
        <w:rPr>
          <w:rFonts w:ascii="Arial" w:eastAsia="Arial" w:hAnsi="Arial" w:cs="Arial"/>
          <w:color w:val="2D3A4A"/>
        </w:rPr>
        <w:t>Kingston, A., Robinson, L., Booth, H., Knapp, M. and Jagger, C. (2018) Projections of multi-morbidity in the older population in England to 2035: estimates from the Population Ageing and Care Simulation (</w:t>
      </w:r>
      <w:proofErr w:type="spellStart"/>
      <w:r>
        <w:rPr>
          <w:rFonts w:ascii="Arial" w:eastAsia="Arial" w:hAnsi="Arial" w:cs="Arial"/>
          <w:color w:val="2D3A4A"/>
        </w:rPr>
        <w:t>PACSim</w:t>
      </w:r>
      <w:proofErr w:type="spellEnd"/>
      <w:r>
        <w:rPr>
          <w:rFonts w:ascii="Arial" w:eastAsia="Arial" w:hAnsi="Arial" w:cs="Arial"/>
          <w:color w:val="2D3A4A"/>
        </w:rPr>
        <w:t xml:space="preserve">) model. </w:t>
      </w:r>
      <w:r>
        <w:rPr>
          <w:rFonts w:ascii="Arial" w:eastAsia="Arial" w:hAnsi="Arial" w:cs="Arial"/>
          <w:i/>
          <w:iCs/>
          <w:color w:val="2D3A4A"/>
        </w:rPr>
        <w:t>Age and Ageing</w:t>
      </w:r>
      <w:r>
        <w:rPr>
          <w:rFonts w:ascii="Arial" w:eastAsia="Arial" w:hAnsi="Arial" w:cs="Arial"/>
          <w:color w:val="2D3A4A"/>
        </w:rPr>
        <w:t xml:space="preserve">, 47(3), pp. 374–380. </w:t>
      </w:r>
      <w:proofErr w:type="spellStart"/>
      <w:r>
        <w:rPr>
          <w:rFonts w:ascii="Arial" w:eastAsia="Arial" w:hAnsi="Arial" w:cs="Arial"/>
          <w:color w:val="2D3A4A"/>
        </w:rPr>
        <w:t>doi</w:t>
      </w:r>
      <w:proofErr w:type="spellEnd"/>
      <w:r>
        <w:rPr>
          <w:rFonts w:ascii="Arial" w:eastAsia="Arial" w:hAnsi="Arial" w:cs="Arial"/>
          <w:color w:val="2D3A4A"/>
        </w:rPr>
        <w:t>: 10.1093/ageing/afx201.</w:t>
      </w:r>
    </w:p>
    <w:p w14:paraId="30EA07B0" w14:textId="77777777" w:rsidR="00B22575" w:rsidRDefault="00202C04">
      <w:pPr>
        <w:spacing w:after="160" w:line="300" w:lineRule="auto"/>
      </w:pPr>
      <w:r>
        <w:rPr>
          <w:rFonts w:ascii="Arial" w:eastAsia="Arial" w:hAnsi="Arial" w:cs="Arial"/>
          <w:color w:val="2D3A4A"/>
        </w:rPr>
        <w:t xml:space="preserve">Lapane, K.L., Lim, E., McPhillips, E., Barooah, A., Yuan, Y. and Dube, C.E. (2022) Health effects of loneliness and social isolation in older adults living in congregate long term care settings: a systematic review of quantitative and qualitative evidence. </w:t>
      </w:r>
      <w:r>
        <w:rPr>
          <w:rFonts w:ascii="Arial" w:eastAsia="Arial" w:hAnsi="Arial" w:cs="Arial"/>
          <w:i/>
          <w:iCs/>
          <w:color w:val="2D3A4A"/>
        </w:rPr>
        <w:t>Archives of Gerontology and Geriatrics</w:t>
      </w:r>
      <w:r>
        <w:rPr>
          <w:rFonts w:ascii="Arial" w:eastAsia="Arial" w:hAnsi="Arial" w:cs="Arial"/>
          <w:color w:val="2D3A4A"/>
        </w:rPr>
        <w:t xml:space="preserve">, 102, 104728. </w:t>
      </w:r>
      <w:proofErr w:type="spellStart"/>
      <w:r>
        <w:rPr>
          <w:rFonts w:ascii="Arial" w:eastAsia="Arial" w:hAnsi="Arial" w:cs="Arial"/>
          <w:color w:val="2D3A4A"/>
        </w:rPr>
        <w:t>doi</w:t>
      </w:r>
      <w:proofErr w:type="spellEnd"/>
      <w:r>
        <w:rPr>
          <w:rFonts w:ascii="Arial" w:eastAsia="Arial" w:hAnsi="Arial" w:cs="Arial"/>
          <w:color w:val="2D3A4A"/>
        </w:rPr>
        <w:t>: 10.1016/j.archger.2022.104728.</w:t>
      </w:r>
    </w:p>
    <w:p w14:paraId="1D35CA06" w14:textId="77777777" w:rsidR="00B22575" w:rsidRDefault="00202C04">
      <w:pPr>
        <w:spacing w:after="160" w:line="300" w:lineRule="auto"/>
      </w:pPr>
      <w:r>
        <w:rPr>
          <w:rFonts w:ascii="Arial" w:eastAsia="Arial" w:hAnsi="Arial" w:cs="Arial"/>
          <w:color w:val="2D3A4A"/>
        </w:rPr>
        <w:t xml:space="preserve">Medium (n.d.) </w:t>
      </w:r>
      <w:r>
        <w:rPr>
          <w:rFonts w:ascii="Arial" w:eastAsia="Arial" w:hAnsi="Arial" w:cs="Arial"/>
          <w:i/>
          <w:iCs/>
          <w:color w:val="2D3A4A"/>
        </w:rPr>
        <w:t>A comprehensive guide to residential care homes: understanding the options</w:t>
      </w:r>
      <w:r>
        <w:rPr>
          <w:rFonts w:ascii="Arial" w:eastAsia="Arial" w:hAnsi="Arial" w:cs="Arial"/>
          <w:color w:val="2D3A4A"/>
        </w:rPr>
        <w:t xml:space="preserve"> [Online image]. Available at: https://medium.com (Accessed: 9 July 2026).</w:t>
      </w:r>
    </w:p>
    <w:p w14:paraId="33940EEA" w14:textId="77777777" w:rsidR="00B22575" w:rsidRDefault="00202C04">
      <w:pPr>
        <w:spacing w:after="160" w:line="300" w:lineRule="auto"/>
      </w:pPr>
      <w:r>
        <w:rPr>
          <w:rFonts w:ascii="Arial" w:eastAsia="Arial" w:hAnsi="Arial" w:cs="Arial"/>
          <w:color w:val="2D3A4A"/>
        </w:rPr>
        <w:t xml:space="preserve">Ocean Healthcare (n.d.) </w:t>
      </w:r>
      <w:r>
        <w:rPr>
          <w:rFonts w:ascii="Arial" w:eastAsia="Arial" w:hAnsi="Arial" w:cs="Arial"/>
          <w:i/>
          <w:iCs/>
          <w:color w:val="2D3A4A"/>
        </w:rPr>
        <w:t>Is person centred care the key to better healthcare?</w:t>
      </w:r>
      <w:r>
        <w:rPr>
          <w:rFonts w:ascii="Arial" w:eastAsia="Arial" w:hAnsi="Arial" w:cs="Arial"/>
          <w:color w:val="2D3A4A"/>
        </w:rPr>
        <w:t xml:space="preserve"> [Online image]. Available at: https://oceanhealthcare.co.uk (Accessed: 9 July 2026).</w:t>
      </w:r>
    </w:p>
    <w:p w14:paraId="520CEC77" w14:textId="77777777" w:rsidR="00B22575" w:rsidRDefault="00202C04">
      <w:pPr>
        <w:spacing w:after="160" w:line="300" w:lineRule="auto"/>
      </w:pPr>
      <w:r>
        <w:rPr>
          <w:rFonts w:ascii="Arial" w:eastAsia="Arial" w:hAnsi="Arial" w:cs="Arial"/>
          <w:color w:val="2D3A4A"/>
        </w:rPr>
        <w:t xml:space="preserve">ResearchGate (n.d.) </w:t>
      </w:r>
      <w:r>
        <w:rPr>
          <w:rFonts w:ascii="Arial" w:eastAsia="Arial" w:hAnsi="Arial" w:cs="Arial"/>
          <w:i/>
          <w:iCs/>
          <w:color w:val="2D3A4A"/>
        </w:rPr>
        <w:t>Research methodology for the present systematic literature review</w:t>
      </w:r>
      <w:r>
        <w:rPr>
          <w:rFonts w:ascii="Arial" w:eastAsia="Arial" w:hAnsi="Arial" w:cs="Arial"/>
          <w:color w:val="2D3A4A"/>
        </w:rPr>
        <w:t xml:space="preserve"> [Online image]. Available at: https://www.researchgate.net (Accessed: 9 July 2026).</w:t>
      </w:r>
    </w:p>
    <w:p w14:paraId="54D879AE" w14:textId="77777777" w:rsidR="00B22575" w:rsidRDefault="00202C04">
      <w:pPr>
        <w:spacing w:after="160" w:line="300" w:lineRule="auto"/>
      </w:pPr>
      <w:r>
        <w:rPr>
          <w:rFonts w:ascii="Arial" w:eastAsia="Arial" w:hAnsi="Arial" w:cs="Arial"/>
          <w:color w:val="2D3A4A"/>
        </w:rPr>
        <w:t xml:space="preserve">Simons-Voss (n.d.) </w:t>
      </w:r>
      <w:r>
        <w:rPr>
          <w:rFonts w:ascii="Arial" w:eastAsia="Arial" w:hAnsi="Arial" w:cs="Arial"/>
          <w:i/>
          <w:iCs/>
          <w:color w:val="2D3A4A"/>
        </w:rPr>
        <w:t>Access control for care homes that prioritises safety, dignity, and independence</w:t>
      </w:r>
      <w:r>
        <w:rPr>
          <w:rFonts w:ascii="Arial" w:eastAsia="Arial" w:hAnsi="Arial" w:cs="Arial"/>
          <w:color w:val="2D3A4A"/>
        </w:rPr>
        <w:t xml:space="preserve"> [Online image]. Available at: https://www.simons-voss.com (Accessed: 9 July 2026).</w:t>
      </w:r>
    </w:p>
    <w:p w14:paraId="0FC0E9FF" w14:textId="77777777" w:rsidR="00B22575" w:rsidRDefault="00202C04">
      <w:pPr>
        <w:spacing w:after="160" w:line="300" w:lineRule="auto"/>
      </w:pPr>
      <w:r>
        <w:rPr>
          <w:rFonts w:ascii="Arial" w:eastAsia="Arial" w:hAnsi="Arial" w:cs="Arial"/>
          <w:color w:val="2D3A4A"/>
        </w:rPr>
        <w:t xml:space="preserve">Skills for Care (2024) </w:t>
      </w:r>
      <w:r>
        <w:rPr>
          <w:rFonts w:ascii="Arial" w:eastAsia="Arial" w:hAnsi="Arial" w:cs="Arial"/>
          <w:i/>
          <w:iCs/>
          <w:color w:val="2D3A4A"/>
        </w:rPr>
        <w:t>The state of the adult social care sector and workforce in England</w:t>
      </w:r>
      <w:r>
        <w:rPr>
          <w:rFonts w:ascii="Arial" w:eastAsia="Arial" w:hAnsi="Arial" w:cs="Arial"/>
          <w:color w:val="2D3A4A"/>
        </w:rPr>
        <w:t>. Leeds: Skills for Care. Available at: https://www.skillsforcare.org.uk/adult-social-care-workforce-data/Workforce-intelligence/publications/national-information/The-state-of-the-adult-social-care-sector-and-workforce-in-England.aspx (Accessed: 9 July 2026).</w:t>
      </w:r>
    </w:p>
    <w:p w14:paraId="76DD90AF" w14:textId="77777777" w:rsidR="00B22575" w:rsidRDefault="00202C04">
      <w:pPr>
        <w:spacing w:after="160" w:line="300" w:lineRule="auto"/>
      </w:pPr>
      <w:r>
        <w:rPr>
          <w:rFonts w:ascii="Arial" w:eastAsia="Arial" w:hAnsi="Arial" w:cs="Arial"/>
          <w:color w:val="2D3A4A"/>
        </w:rPr>
        <w:t xml:space="preserve">Spilsbury, K., Hewitt, C., Stirk, L. and Bowman, C. (2011) The relationship between nurse staffing and quality of care in nursing homes: a systematic review. </w:t>
      </w:r>
      <w:r>
        <w:rPr>
          <w:rFonts w:ascii="Arial" w:eastAsia="Arial" w:hAnsi="Arial" w:cs="Arial"/>
          <w:i/>
          <w:iCs/>
          <w:color w:val="2D3A4A"/>
        </w:rPr>
        <w:t>International Journal of Nursing Studies</w:t>
      </w:r>
      <w:r>
        <w:rPr>
          <w:rFonts w:ascii="Arial" w:eastAsia="Arial" w:hAnsi="Arial" w:cs="Arial"/>
          <w:color w:val="2D3A4A"/>
        </w:rPr>
        <w:t xml:space="preserve">, 48(6), pp. 732–750. </w:t>
      </w:r>
      <w:proofErr w:type="spellStart"/>
      <w:r>
        <w:rPr>
          <w:rFonts w:ascii="Arial" w:eastAsia="Arial" w:hAnsi="Arial" w:cs="Arial"/>
          <w:color w:val="2D3A4A"/>
        </w:rPr>
        <w:t>doi</w:t>
      </w:r>
      <w:proofErr w:type="spellEnd"/>
      <w:r>
        <w:rPr>
          <w:rFonts w:ascii="Arial" w:eastAsia="Arial" w:hAnsi="Arial" w:cs="Arial"/>
          <w:color w:val="2D3A4A"/>
        </w:rPr>
        <w:t>: 10.1016/j.ijnurstu.2011.02.014.</w:t>
      </w:r>
    </w:p>
    <w:p w14:paraId="2D047A7E" w14:textId="77777777" w:rsidR="00B22575" w:rsidRDefault="00202C04">
      <w:pPr>
        <w:spacing w:after="160" w:line="300" w:lineRule="auto"/>
      </w:pPr>
      <w:r>
        <w:rPr>
          <w:rFonts w:ascii="Arial" w:eastAsia="Arial" w:hAnsi="Arial" w:cs="Arial"/>
          <w:color w:val="2D3A4A"/>
        </w:rPr>
        <w:t xml:space="preserve">Towers, A.M., Palmer, S., Smith, N., Collins, G. and Allan, S. (2020) A cross-sectional study exploring the relationship between regulator quality ratings and care home residents’ quality of life in England. </w:t>
      </w:r>
      <w:r>
        <w:rPr>
          <w:rFonts w:ascii="Arial" w:eastAsia="Arial" w:hAnsi="Arial" w:cs="Arial"/>
          <w:i/>
          <w:iCs/>
          <w:color w:val="2D3A4A"/>
        </w:rPr>
        <w:t>Health and Quality of Life Outcomes</w:t>
      </w:r>
      <w:r>
        <w:rPr>
          <w:rFonts w:ascii="Arial" w:eastAsia="Arial" w:hAnsi="Arial" w:cs="Arial"/>
          <w:color w:val="2D3A4A"/>
        </w:rPr>
        <w:t xml:space="preserve">, 18, article 22. </w:t>
      </w:r>
      <w:proofErr w:type="spellStart"/>
      <w:r>
        <w:rPr>
          <w:rFonts w:ascii="Arial" w:eastAsia="Arial" w:hAnsi="Arial" w:cs="Arial"/>
          <w:color w:val="2D3A4A"/>
        </w:rPr>
        <w:t>doi</w:t>
      </w:r>
      <w:proofErr w:type="spellEnd"/>
      <w:r>
        <w:rPr>
          <w:rFonts w:ascii="Arial" w:eastAsia="Arial" w:hAnsi="Arial" w:cs="Arial"/>
          <w:color w:val="2D3A4A"/>
        </w:rPr>
        <w:t>: 10.1186/s12955-020-01275-0.</w:t>
      </w:r>
    </w:p>
    <w:p w14:paraId="1FDC036D" w14:textId="77777777" w:rsidR="00B22575" w:rsidRDefault="00202C04">
      <w:pPr>
        <w:spacing w:after="160" w:line="300" w:lineRule="auto"/>
        <w:ind w:left="576" w:hanging="576"/>
      </w:pPr>
      <w:r>
        <w:rPr>
          <w:rFonts w:ascii="Arial" w:eastAsia="Arial" w:hAnsi="Arial" w:cs="Arial"/>
          <w:color w:val="2D3A4A"/>
        </w:rPr>
        <w:t xml:space="preserve">YouTube (n.d.) </w:t>
      </w:r>
      <w:r>
        <w:rPr>
          <w:rFonts w:ascii="Arial" w:eastAsia="Arial" w:hAnsi="Arial" w:cs="Arial"/>
          <w:i/>
          <w:iCs/>
          <w:color w:val="2D3A4A"/>
        </w:rPr>
        <w:t>PubMed vs CINAHL</w:t>
      </w:r>
      <w:r>
        <w:rPr>
          <w:rFonts w:ascii="Arial" w:eastAsia="Arial" w:hAnsi="Arial" w:cs="Arial"/>
          <w:color w:val="2D3A4A"/>
        </w:rPr>
        <w:t xml:space="preserve"> [Online video]. Available at: https://www.youtube.com (Accessed: 9 July 2026).</w:t>
      </w:r>
    </w:p>
    <w:sectPr w:rsidR="00B22575">
      <w:pgSz w:w="16834" w:h="22464"/>
      <w:pgMar w:top="1440" w:right="1440" w:bottom="1440" w:left="1440" w:header="708" w:footer="708"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A261F6A0-C4C0-B348-B1DA-993DF781A77C}"/>
    <w:embedBold r:id="rId2" w:fontKey="{F619A0CA-66E7-1B45-9FBA-D3F9B28BC668}"/>
    <w:embedItalic r:id="rId3" w:fontKey="{D0E1FE78-4516-2542-8358-88C1D38B8B17}"/>
    <w:embedBoldItalic r:id="rId4" w:fontKey="{654E8835-ADED-6346-A338-1091258788FC}"/>
  </w:font>
  <w:font w:name="Georgia">
    <w:panose1 w:val="02040502050405020303"/>
    <w:charset w:val="00"/>
    <w:family w:val="roman"/>
    <w:pitch w:val="variable"/>
    <w:sig w:usb0="00000287" w:usb1="00000000" w:usb2="00000000" w:usb3="00000000" w:csb0="0000009F" w:csb1="00000000"/>
    <w:embedItalic r:id="rId5" w:fontKey="{2FCD5E28-166C-B143-82BE-5299C25AAAE8}"/>
  </w:font>
  <w:font w:name="Arial">
    <w:panose1 w:val="020B0604020202020204"/>
    <w:charset w:val="00"/>
    <w:family w:val="swiss"/>
    <w:pitch w:val="variable"/>
    <w:sig w:usb0="E0002EFF" w:usb1="C000785B" w:usb2="00000009" w:usb3="00000000" w:csb0="000001FF" w:csb1="00000000"/>
    <w:embedRegular r:id="rId6" w:fontKey="{D8E5744C-E922-DC4C-B7E6-4589512116B3}"/>
    <w:embedItalic r:id="rId7" w:fontKey="{9D045789-FF59-8045-9492-0A2F7C11133B}"/>
  </w:font>
  <w:font w:name="Calibri">
    <w:panose1 w:val="020F0502020204030204"/>
    <w:charset w:val="00"/>
    <w:family w:val="swiss"/>
    <w:pitch w:val="variable"/>
    <w:sig w:usb0="E4002EFF" w:usb1="C200247B" w:usb2="00000009" w:usb3="00000000" w:csb0="000001FF" w:csb1="00000000"/>
    <w:embedRegular r:id="rId8" w:fontKey="{7C9AE307-F1AE-9A49-B5F8-89B59D9848FF}"/>
    <w:embedBold r:id="rId9" w:fontKey="{A491C977-6B48-0040-B677-93608644BF2E}"/>
    <w:embedItalic r:id="rId10" w:fontKey="{D9203C38-24B6-1F46-BF06-A19D91A3A798}"/>
    <w:embedBoldItalic r:id="rId11" w:fontKey="{D3156551-07B1-4743-8AF6-1A38B10640C5}"/>
  </w:font>
  <w:font w:name="Cambria">
    <w:panose1 w:val="02040503050406030204"/>
    <w:charset w:val="00"/>
    <w:family w:val="roman"/>
    <w:pitch w:val="variable"/>
    <w:sig w:usb0="E00006FF" w:usb1="420024FF" w:usb2="02000000" w:usb3="00000000" w:csb0="0000019F" w:csb1="00000000"/>
    <w:embedRegular r:id="rId12" w:fontKey="{10E6BF1D-8ABE-CF41-B5DA-4EE6D1DD84E3}"/>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5"/>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2575"/>
    <w:rsid w:val="0094678A"/>
    <w:rsid w:val="00B22575"/>
    <w:rsid w:val="00C96778"/>
    <w:rsid w:val="00FE7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016686"/>
  <w15:docId w15:val="{6048E7C7-F61C-F644-998D-4666E2BDF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semiHidden/>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3</Pages>
  <Words>2129</Words>
  <Characters>12138</Characters>
  <Application>Microsoft Office Word</Application>
  <DocSecurity>0</DocSecurity>
  <Lines>101</Lines>
  <Paragraphs>28</Paragraphs>
  <ScaleCrop>false</ScaleCrop>
  <Company/>
  <LinksUpToDate>false</LinksUpToDate>
  <CharactersWithSpaces>14239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Racheal Becker (2310797)</cp:lastModifiedBy>
  <cp:revision>2</cp:revision>
  <dcterms:created xsi:type="dcterms:W3CDTF">2026-07-27T03:36:00Z</dcterms:created>
  <dcterms:modified xsi:type="dcterms:W3CDTF">2026-07-27T03:36:00Z</dcterms:modified>
</cp:coreProperties>
</file>