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1F6A9" w14:textId="61AC956A" w:rsidR="00FF7F50" w:rsidRPr="00490789" w:rsidRDefault="00490789" w:rsidP="00490789">
      <w:pPr>
        <w:jc w:val="center"/>
        <w:rPr>
          <w:rFonts w:ascii="Arial" w:hAnsi="Arial" w:cs="Arial"/>
          <w:b/>
          <w:bCs/>
          <w:sz w:val="24"/>
          <w:szCs w:val="24"/>
        </w:rPr>
      </w:pPr>
      <w:r w:rsidRPr="00490789">
        <w:rPr>
          <w:rFonts w:ascii="Arial" w:hAnsi="Arial" w:cs="Arial"/>
          <w:b/>
          <w:bCs/>
          <w:sz w:val="24"/>
          <w:szCs w:val="24"/>
        </w:rPr>
        <w:t>MOLLY BAKER – 2134331</w:t>
      </w:r>
    </w:p>
    <w:p w14:paraId="7DE331C7" w14:textId="77777777" w:rsidR="00490789" w:rsidRPr="00490789" w:rsidRDefault="00490789" w:rsidP="00490789">
      <w:pPr>
        <w:jc w:val="center"/>
        <w:rPr>
          <w:rFonts w:ascii="Arial" w:hAnsi="Arial" w:cs="Arial"/>
          <w:b/>
          <w:bCs/>
          <w:sz w:val="24"/>
          <w:szCs w:val="24"/>
        </w:rPr>
      </w:pPr>
    </w:p>
    <w:p w14:paraId="744C3532" w14:textId="112876F1" w:rsidR="00490789" w:rsidRPr="00490789" w:rsidRDefault="00490789" w:rsidP="00490789">
      <w:pPr>
        <w:jc w:val="both"/>
        <w:rPr>
          <w:rFonts w:ascii="Arial" w:hAnsi="Arial" w:cs="Arial"/>
          <w:b/>
          <w:bCs/>
          <w:sz w:val="24"/>
          <w:szCs w:val="24"/>
          <w:u w:val="single"/>
        </w:rPr>
      </w:pPr>
      <w:r w:rsidRPr="00490789">
        <w:rPr>
          <w:rFonts w:ascii="Arial" w:hAnsi="Arial" w:cs="Arial"/>
          <w:b/>
          <w:bCs/>
          <w:sz w:val="24"/>
          <w:szCs w:val="24"/>
          <w:u w:val="single"/>
        </w:rPr>
        <w:t xml:space="preserve">Essay Two </w:t>
      </w:r>
      <w:r w:rsidR="009C7822">
        <w:rPr>
          <w:rFonts w:ascii="Arial" w:hAnsi="Arial" w:cs="Arial"/>
          <w:b/>
          <w:bCs/>
          <w:sz w:val="24"/>
          <w:szCs w:val="24"/>
          <w:u w:val="single"/>
        </w:rPr>
        <w:t xml:space="preserve"> </w:t>
      </w:r>
    </w:p>
    <w:p w14:paraId="1C0B122B" w14:textId="0A516B13" w:rsidR="00490789" w:rsidRPr="00EA1C72" w:rsidRDefault="00490789" w:rsidP="00490789">
      <w:pPr>
        <w:pStyle w:val="Default"/>
        <w:jc w:val="both"/>
        <w:rPr>
          <w:b/>
          <w:bCs/>
          <w:sz w:val="22"/>
          <w:szCs w:val="22"/>
        </w:rPr>
      </w:pPr>
      <w:r w:rsidRPr="00EA1C72">
        <w:rPr>
          <w:b/>
          <w:bCs/>
          <w:sz w:val="22"/>
          <w:szCs w:val="22"/>
        </w:rPr>
        <w:t xml:space="preserve">Community policing – Why are partnership approaches the most effective means of improving community engagement? </w:t>
      </w:r>
    </w:p>
    <w:p w14:paraId="49559B55" w14:textId="77777777" w:rsidR="00490789" w:rsidRPr="00490789" w:rsidRDefault="00490789" w:rsidP="00490789">
      <w:pPr>
        <w:pStyle w:val="Default"/>
        <w:jc w:val="both"/>
        <w:rPr>
          <w:sz w:val="22"/>
          <w:szCs w:val="22"/>
        </w:rPr>
      </w:pPr>
    </w:p>
    <w:p w14:paraId="3ECFD3E9" w14:textId="77777777" w:rsidR="00E074B2" w:rsidRPr="00E074B2" w:rsidRDefault="00E074B2" w:rsidP="00E074B2">
      <w:pPr>
        <w:pStyle w:val="Default"/>
        <w:jc w:val="both"/>
        <w:rPr>
          <w:u w:val="single"/>
        </w:rPr>
      </w:pPr>
      <w:r w:rsidRPr="00E074B2">
        <w:rPr>
          <w:u w:val="single"/>
        </w:rPr>
        <w:t xml:space="preserve">Introduction </w:t>
      </w:r>
    </w:p>
    <w:p w14:paraId="460177B2" w14:textId="77777777" w:rsidR="00E074B2" w:rsidRPr="00E074B2" w:rsidRDefault="00E074B2" w:rsidP="00E074B2">
      <w:pPr>
        <w:pStyle w:val="Default"/>
        <w:jc w:val="both"/>
        <w:rPr>
          <w:sz w:val="22"/>
          <w:szCs w:val="22"/>
        </w:rPr>
      </w:pPr>
    </w:p>
    <w:p w14:paraId="4159D0A4" w14:textId="77777777" w:rsidR="00E074B2" w:rsidRPr="00E074B2" w:rsidRDefault="00E074B2" w:rsidP="00E074B2">
      <w:pPr>
        <w:pStyle w:val="Default"/>
        <w:jc w:val="both"/>
        <w:rPr>
          <w:sz w:val="22"/>
          <w:szCs w:val="22"/>
        </w:rPr>
      </w:pPr>
      <w:r w:rsidRPr="00E074B2">
        <w:rPr>
          <w:sz w:val="22"/>
          <w:szCs w:val="22"/>
        </w:rPr>
        <w:t>In this essay, I will focus on community engagement in relation to policing and discuss whether or not partnership approaches are the most effective means of improvement. The essay will be structured with the use of The Borton Model (2021).</w:t>
      </w:r>
    </w:p>
    <w:p w14:paraId="2DA5E96A" w14:textId="77777777" w:rsidR="00E074B2" w:rsidRPr="00E074B2" w:rsidRDefault="00E074B2" w:rsidP="00E074B2">
      <w:pPr>
        <w:pStyle w:val="Default"/>
        <w:jc w:val="both"/>
        <w:rPr>
          <w:sz w:val="22"/>
          <w:szCs w:val="22"/>
        </w:rPr>
      </w:pPr>
    </w:p>
    <w:p w14:paraId="50F84612" w14:textId="77777777" w:rsidR="00E074B2" w:rsidRPr="00E074B2" w:rsidRDefault="00E074B2" w:rsidP="00E074B2">
      <w:pPr>
        <w:pStyle w:val="Default"/>
        <w:jc w:val="both"/>
        <w:rPr>
          <w:u w:val="single"/>
        </w:rPr>
      </w:pPr>
      <w:r w:rsidRPr="00E074B2">
        <w:rPr>
          <w:u w:val="single"/>
        </w:rPr>
        <w:t xml:space="preserve">What? </w:t>
      </w:r>
    </w:p>
    <w:p w14:paraId="5FA51414" w14:textId="77777777" w:rsidR="00E074B2" w:rsidRPr="00E074B2" w:rsidRDefault="00E074B2" w:rsidP="00E074B2">
      <w:pPr>
        <w:pStyle w:val="Default"/>
        <w:jc w:val="both"/>
        <w:rPr>
          <w:sz w:val="22"/>
          <w:szCs w:val="22"/>
        </w:rPr>
      </w:pPr>
    </w:p>
    <w:p w14:paraId="5B00208D" w14:textId="77777777" w:rsidR="00E074B2" w:rsidRPr="00E074B2" w:rsidRDefault="00E074B2" w:rsidP="00E074B2">
      <w:pPr>
        <w:pStyle w:val="Default"/>
        <w:jc w:val="both"/>
        <w:rPr>
          <w:sz w:val="22"/>
          <w:szCs w:val="22"/>
        </w:rPr>
      </w:pPr>
      <w:r w:rsidRPr="00E074B2">
        <w:rPr>
          <w:sz w:val="22"/>
          <w:szCs w:val="22"/>
        </w:rPr>
        <w:t xml:space="preserve">Community policing can be seen as a product of the </w:t>
      </w:r>
      <w:proofErr w:type="spellStart"/>
      <w:r w:rsidRPr="00E074B2">
        <w:rPr>
          <w:sz w:val="22"/>
          <w:szCs w:val="22"/>
        </w:rPr>
        <w:t>responsibilisation</w:t>
      </w:r>
      <w:proofErr w:type="spellEnd"/>
      <w:r w:rsidRPr="00E074B2">
        <w:rPr>
          <w:sz w:val="22"/>
          <w:szCs w:val="22"/>
        </w:rPr>
        <w:t xml:space="preserve"> policy. This suggests that in addition to the police, the community takes ownership in solving their own crime (Rogers, 2016). Since the 1980s, community engagement within policing have been overall poor and therefore there have been many schemes initiated by local governing bodies such as the Safer Cities initiative and NRPP to alleviate the perception of the public in that police could no longer tackle crime alone. </w:t>
      </w:r>
    </w:p>
    <w:p w14:paraId="2EEDA088" w14:textId="77777777" w:rsidR="00E074B2" w:rsidRPr="00E074B2" w:rsidRDefault="00E074B2" w:rsidP="00E074B2">
      <w:pPr>
        <w:pStyle w:val="Default"/>
        <w:jc w:val="both"/>
        <w:rPr>
          <w:sz w:val="22"/>
          <w:szCs w:val="22"/>
        </w:rPr>
      </w:pPr>
    </w:p>
    <w:p w14:paraId="6D345D0B" w14:textId="77777777" w:rsidR="00E074B2" w:rsidRPr="00E074B2" w:rsidRDefault="00E074B2" w:rsidP="00E074B2">
      <w:pPr>
        <w:pStyle w:val="Default"/>
        <w:jc w:val="both"/>
        <w:rPr>
          <w:sz w:val="22"/>
          <w:szCs w:val="22"/>
        </w:rPr>
      </w:pPr>
      <w:r w:rsidRPr="00E074B2">
        <w:rPr>
          <w:sz w:val="22"/>
          <w:szCs w:val="22"/>
        </w:rPr>
        <w:t xml:space="preserve">In 2011, the Police Reform and Social Responsibility Act was introduced. This act holds a legal obligation to police in engaging with local communities. Within each community, chief officers are required to; obtain the views of the public on crime and disorder within the community, provide local information on crime and policing and hold public meetings regularly (COP, 2020). </w:t>
      </w:r>
    </w:p>
    <w:p w14:paraId="0CE24E75" w14:textId="77777777" w:rsidR="00E074B2" w:rsidRPr="00E074B2" w:rsidRDefault="00E074B2" w:rsidP="00E074B2">
      <w:pPr>
        <w:pStyle w:val="Default"/>
        <w:jc w:val="both"/>
        <w:rPr>
          <w:sz w:val="22"/>
          <w:szCs w:val="22"/>
        </w:rPr>
      </w:pPr>
    </w:p>
    <w:p w14:paraId="60E8A1DD" w14:textId="77777777" w:rsidR="00E074B2" w:rsidRPr="00E074B2" w:rsidRDefault="00E074B2" w:rsidP="00E074B2">
      <w:pPr>
        <w:pStyle w:val="Default"/>
        <w:jc w:val="both"/>
        <w:rPr>
          <w:u w:val="single"/>
        </w:rPr>
      </w:pPr>
      <w:r w:rsidRPr="00E074B2">
        <w:rPr>
          <w:u w:val="single"/>
        </w:rPr>
        <w:t xml:space="preserve">So what? </w:t>
      </w:r>
    </w:p>
    <w:p w14:paraId="57968070" w14:textId="77777777" w:rsidR="00E074B2" w:rsidRPr="00E074B2" w:rsidRDefault="00E074B2" w:rsidP="00E074B2">
      <w:pPr>
        <w:pStyle w:val="Default"/>
        <w:jc w:val="both"/>
        <w:rPr>
          <w:sz w:val="22"/>
          <w:szCs w:val="22"/>
        </w:rPr>
      </w:pPr>
    </w:p>
    <w:p w14:paraId="43CA2AC5" w14:textId="77777777" w:rsidR="00E074B2" w:rsidRPr="00E074B2" w:rsidRDefault="00E074B2" w:rsidP="00E074B2">
      <w:pPr>
        <w:pStyle w:val="Default"/>
        <w:jc w:val="both"/>
        <w:rPr>
          <w:sz w:val="22"/>
          <w:szCs w:val="22"/>
        </w:rPr>
      </w:pPr>
      <w:r w:rsidRPr="00E074B2">
        <w:rPr>
          <w:sz w:val="22"/>
          <w:szCs w:val="22"/>
        </w:rPr>
        <w:t xml:space="preserve">The National Reassurance Policing Programme (NRPP) ran between 2003 and 2005. The programme was aimed at supporting public confidence in policing and included increased visibility, as well as community involvement and partnership approached to problem-solving. An evaluation of the NRPP suggested that whilst an increase of police visibility was important, the success of the programme came from the community engagement element. Whilst the programme has since ended, these aspects have been integrated into today’s policing through Neighbourhood Policing (O’Reilly et al, 2022). </w:t>
      </w:r>
    </w:p>
    <w:p w14:paraId="3DD7987D" w14:textId="77777777" w:rsidR="00E074B2" w:rsidRPr="00E074B2" w:rsidRDefault="00E074B2" w:rsidP="00E074B2">
      <w:pPr>
        <w:pStyle w:val="Default"/>
        <w:jc w:val="both"/>
        <w:rPr>
          <w:sz w:val="22"/>
          <w:szCs w:val="22"/>
        </w:rPr>
      </w:pPr>
    </w:p>
    <w:p w14:paraId="1301D3D9" w14:textId="77777777" w:rsidR="00E074B2" w:rsidRPr="00E074B2" w:rsidRDefault="00E074B2" w:rsidP="00E074B2">
      <w:pPr>
        <w:pStyle w:val="Default"/>
        <w:jc w:val="both"/>
        <w:rPr>
          <w:sz w:val="22"/>
          <w:szCs w:val="22"/>
        </w:rPr>
      </w:pPr>
      <w:r w:rsidRPr="00E074B2">
        <w:rPr>
          <w:sz w:val="22"/>
          <w:szCs w:val="22"/>
        </w:rPr>
        <w:t>Liou et al (1996) conducted a survey on the public’s response to a community-oriented policing programme. The programme focused on three communities, each with differing levels of active community association prior. The programme also encouraged law enforcement to work alongside other partner agencies such as social workers and housing project officials to tackle a number of local crime issues. Results from this survey found that, overall the programme had a positive impact on the community, with 93% of participants noting an improvement in police work to tackle local crime. The general consensus was that, with the help of partnership agencies, the level of crime had decreased within all of the communities and the quality of the police work being carried out had increased.</w:t>
      </w:r>
    </w:p>
    <w:p w14:paraId="4828D68A" w14:textId="77777777" w:rsidR="00E074B2" w:rsidRPr="00E074B2" w:rsidRDefault="00E074B2" w:rsidP="00E074B2">
      <w:pPr>
        <w:pStyle w:val="Default"/>
        <w:jc w:val="both"/>
        <w:rPr>
          <w:sz w:val="22"/>
          <w:szCs w:val="22"/>
        </w:rPr>
      </w:pPr>
    </w:p>
    <w:p w14:paraId="61BB5A80" w14:textId="77777777" w:rsidR="00E074B2" w:rsidRPr="00E074B2" w:rsidRDefault="00E074B2" w:rsidP="00E074B2">
      <w:pPr>
        <w:pStyle w:val="Default"/>
        <w:jc w:val="both"/>
        <w:rPr>
          <w:sz w:val="22"/>
          <w:szCs w:val="22"/>
        </w:rPr>
      </w:pPr>
      <w:r w:rsidRPr="00E074B2">
        <w:rPr>
          <w:sz w:val="22"/>
          <w:szCs w:val="22"/>
        </w:rPr>
        <w:t xml:space="preserve">Engaging in the community through other means, such as holding public meetings, brings both positive and negative outcomes, however. Whilst it improves communication with the community on how officers deal with issues and seek improvements, there is also a risk of the meetings being unrepresentative and therefore not an accurate reflection on the thoughts and feelings of the community as a whole. This factor can also relate to Liou et al’s 1996 survey, </w:t>
      </w:r>
      <w:r w:rsidRPr="00E074B2">
        <w:rPr>
          <w:sz w:val="22"/>
          <w:szCs w:val="22"/>
        </w:rPr>
        <w:lastRenderedPageBreak/>
        <w:t xml:space="preserve">as although a very high number of participants in the survey had a positive outlook on the programme, the results are based on those willing to participate in the survey, which may not necessarily be representative of the community as a whole. </w:t>
      </w:r>
    </w:p>
    <w:p w14:paraId="6B8BCFB1" w14:textId="77777777" w:rsidR="00E074B2" w:rsidRPr="00E074B2" w:rsidRDefault="00E074B2" w:rsidP="00E074B2">
      <w:pPr>
        <w:pStyle w:val="Default"/>
        <w:jc w:val="both"/>
        <w:rPr>
          <w:sz w:val="22"/>
          <w:szCs w:val="22"/>
        </w:rPr>
      </w:pPr>
    </w:p>
    <w:p w14:paraId="6DABA86B" w14:textId="77777777" w:rsidR="00E074B2" w:rsidRPr="00E074B2" w:rsidRDefault="00E074B2" w:rsidP="00E074B2">
      <w:pPr>
        <w:pStyle w:val="Default"/>
        <w:jc w:val="both"/>
        <w:rPr>
          <w:sz w:val="22"/>
          <w:szCs w:val="22"/>
        </w:rPr>
      </w:pPr>
      <w:r w:rsidRPr="00E074B2">
        <w:rPr>
          <w:sz w:val="22"/>
          <w:szCs w:val="22"/>
        </w:rPr>
        <w:t xml:space="preserve">Rogers (2016) stated that whilst community policing is one of the greatest strengths of supporting police legitimacy, there are also challenges that come with engaging with partnerships within the community. These challenges include; resolving conflicts within the performance of police, organisational and cultural changes, the development of community trust and confidence and the safeguarding of the community beat officer. </w:t>
      </w:r>
    </w:p>
    <w:p w14:paraId="6D68F918" w14:textId="77777777" w:rsidR="00E074B2" w:rsidRPr="00E074B2" w:rsidRDefault="00E074B2" w:rsidP="00E074B2">
      <w:pPr>
        <w:pStyle w:val="Default"/>
        <w:jc w:val="both"/>
        <w:rPr>
          <w:sz w:val="22"/>
          <w:szCs w:val="22"/>
        </w:rPr>
      </w:pPr>
    </w:p>
    <w:p w14:paraId="6F290108" w14:textId="77777777" w:rsidR="00E074B2" w:rsidRPr="00E074B2" w:rsidRDefault="00E074B2" w:rsidP="00E074B2">
      <w:pPr>
        <w:pStyle w:val="Default"/>
        <w:jc w:val="both"/>
        <w:rPr>
          <w:sz w:val="22"/>
          <w:szCs w:val="22"/>
        </w:rPr>
      </w:pPr>
      <w:r w:rsidRPr="00E074B2">
        <w:rPr>
          <w:sz w:val="22"/>
          <w:szCs w:val="22"/>
        </w:rPr>
        <w:t xml:space="preserve">A further study on the use of community-oriented policing (COP) to improve community engagement conducted, found some police forces were criticised for their implementation of the programme, due to the main focus being on crime reduction and not on building a better relationship with the community. </w:t>
      </w:r>
    </w:p>
    <w:p w14:paraId="13197EBA" w14:textId="77777777" w:rsidR="00E074B2" w:rsidRPr="00E074B2" w:rsidRDefault="00E074B2" w:rsidP="00E074B2">
      <w:pPr>
        <w:pStyle w:val="Default"/>
        <w:jc w:val="both"/>
        <w:rPr>
          <w:sz w:val="22"/>
          <w:szCs w:val="22"/>
        </w:rPr>
      </w:pPr>
    </w:p>
    <w:p w14:paraId="541F71EC" w14:textId="77777777" w:rsidR="00E074B2" w:rsidRPr="00E074B2" w:rsidRDefault="00E074B2" w:rsidP="00E074B2">
      <w:pPr>
        <w:pStyle w:val="Default"/>
        <w:jc w:val="both"/>
        <w:rPr>
          <w:sz w:val="22"/>
          <w:szCs w:val="22"/>
        </w:rPr>
      </w:pPr>
      <w:r w:rsidRPr="00E074B2">
        <w:rPr>
          <w:sz w:val="22"/>
          <w:szCs w:val="22"/>
        </w:rPr>
        <w:t xml:space="preserve">It was found that, whilst community meetings were held, during the meetings police focused more on general crime prevention tactics that involved them increasing bike and foot patrols, leaving neighbourhood members of the community feeling as though they had not contributed (Gill et al, 2014). </w:t>
      </w:r>
    </w:p>
    <w:p w14:paraId="55624818" w14:textId="77777777" w:rsidR="00E074B2" w:rsidRPr="00E074B2" w:rsidRDefault="00E074B2" w:rsidP="00E074B2">
      <w:pPr>
        <w:pStyle w:val="Default"/>
        <w:jc w:val="both"/>
        <w:rPr>
          <w:sz w:val="22"/>
          <w:szCs w:val="22"/>
        </w:rPr>
      </w:pPr>
    </w:p>
    <w:p w14:paraId="3674A6FF" w14:textId="77777777" w:rsidR="00E074B2" w:rsidRPr="00E074B2" w:rsidRDefault="00E074B2" w:rsidP="00E074B2">
      <w:pPr>
        <w:pStyle w:val="Default"/>
        <w:jc w:val="both"/>
        <w:rPr>
          <w:u w:val="single"/>
        </w:rPr>
      </w:pPr>
      <w:r w:rsidRPr="00E074B2">
        <w:rPr>
          <w:u w:val="single"/>
        </w:rPr>
        <w:t xml:space="preserve">Now what? </w:t>
      </w:r>
    </w:p>
    <w:p w14:paraId="34375C27" w14:textId="77777777" w:rsidR="00E074B2" w:rsidRPr="00E074B2" w:rsidRDefault="00E074B2" w:rsidP="00E074B2">
      <w:pPr>
        <w:pStyle w:val="Default"/>
        <w:jc w:val="both"/>
        <w:rPr>
          <w:sz w:val="22"/>
          <w:szCs w:val="22"/>
        </w:rPr>
      </w:pPr>
    </w:p>
    <w:p w14:paraId="4AD72400" w14:textId="77777777" w:rsidR="00E074B2" w:rsidRPr="00E074B2" w:rsidRDefault="00E074B2" w:rsidP="00E074B2">
      <w:pPr>
        <w:pStyle w:val="Default"/>
        <w:jc w:val="both"/>
        <w:rPr>
          <w:sz w:val="22"/>
          <w:szCs w:val="22"/>
        </w:rPr>
      </w:pPr>
      <w:r w:rsidRPr="00E074B2">
        <w:rPr>
          <w:sz w:val="22"/>
          <w:szCs w:val="22"/>
        </w:rPr>
        <w:t xml:space="preserve">There is a vast amount of literature that has focused on community engagement in policing over the years, as briefly mentioned in the previous section of this essay. There are also many arguments for its success and failure. It is evident that the utilisation of partnerships within the community have a positive effect on today’s policing. Through community engagement, many neighbourhoods have had a reduction in local crime which has in turn improved police relations. </w:t>
      </w:r>
    </w:p>
    <w:p w14:paraId="3A8CFA0E" w14:textId="77777777" w:rsidR="00E074B2" w:rsidRPr="00E074B2" w:rsidRDefault="00E074B2" w:rsidP="00E074B2">
      <w:pPr>
        <w:pStyle w:val="Default"/>
        <w:jc w:val="both"/>
        <w:rPr>
          <w:sz w:val="22"/>
          <w:szCs w:val="22"/>
        </w:rPr>
      </w:pPr>
    </w:p>
    <w:p w14:paraId="4D61ADB2" w14:textId="77777777" w:rsidR="00E074B2" w:rsidRPr="00E074B2" w:rsidRDefault="00E074B2" w:rsidP="00E074B2">
      <w:pPr>
        <w:pStyle w:val="Default"/>
        <w:jc w:val="both"/>
        <w:rPr>
          <w:sz w:val="22"/>
          <w:szCs w:val="22"/>
        </w:rPr>
      </w:pPr>
      <w:r w:rsidRPr="00E074B2">
        <w:rPr>
          <w:sz w:val="22"/>
          <w:szCs w:val="22"/>
        </w:rPr>
        <w:t xml:space="preserve">It is noted however, that the results from these studies can be biased, based on those within the community willing to participate. I believe it is a topic that will always be difficult to accurately represent, as those with a negative outlook on policing will be less likely to participate in programmes such as NRPP and COP, and in turn in their participation in surveys afterwards on the success of police performance within the programmes. This essentially means data will be biased to those who already have some form of positive policing relationship in the community. </w:t>
      </w:r>
    </w:p>
    <w:p w14:paraId="375171DD" w14:textId="77777777" w:rsidR="00E074B2" w:rsidRPr="00E074B2" w:rsidRDefault="00E074B2" w:rsidP="00E074B2">
      <w:pPr>
        <w:pStyle w:val="Default"/>
        <w:jc w:val="both"/>
        <w:rPr>
          <w:sz w:val="22"/>
          <w:szCs w:val="22"/>
        </w:rPr>
      </w:pPr>
    </w:p>
    <w:p w14:paraId="4A89E9DA" w14:textId="77777777" w:rsidR="00E074B2" w:rsidRPr="00E074B2" w:rsidRDefault="00E074B2" w:rsidP="00E074B2">
      <w:pPr>
        <w:pStyle w:val="Default"/>
        <w:jc w:val="both"/>
        <w:rPr>
          <w:sz w:val="22"/>
          <w:szCs w:val="22"/>
        </w:rPr>
      </w:pPr>
      <w:r w:rsidRPr="00E074B2">
        <w:rPr>
          <w:sz w:val="22"/>
          <w:szCs w:val="22"/>
        </w:rPr>
        <w:t xml:space="preserve">It is also noted, that in many of the studies researched for this essay the majority base the success of their programmes on the level of crime reduced in the area and less on the after thoughts of the community in which each programme was implemented. It appears that whilst a partnership approach might be a useful means to improving local policing, improvements need to be made for community engagement. </w:t>
      </w:r>
    </w:p>
    <w:p w14:paraId="27DD1D60" w14:textId="77777777" w:rsidR="00E074B2" w:rsidRPr="00E074B2" w:rsidRDefault="00E074B2" w:rsidP="00E074B2">
      <w:pPr>
        <w:pStyle w:val="Default"/>
        <w:jc w:val="both"/>
        <w:rPr>
          <w:sz w:val="22"/>
          <w:szCs w:val="22"/>
        </w:rPr>
      </w:pPr>
    </w:p>
    <w:p w14:paraId="2D5A8A23" w14:textId="68BCA2CC" w:rsidR="00490789" w:rsidRDefault="00E074B2" w:rsidP="00E074B2">
      <w:pPr>
        <w:pStyle w:val="Default"/>
        <w:jc w:val="both"/>
        <w:rPr>
          <w:sz w:val="22"/>
          <w:szCs w:val="22"/>
        </w:rPr>
      </w:pPr>
      <w:r w:rsidRPr="00E074B2">
        <w:rPr>
          <w:sz w:val="22"/>
          <w:szCs w:val="22"/>
        </w:rPr>
        <w:t>In my opinion, I believe that whilst overall partnership approaches are an effective means of improving community engagement, it is not the most effective, and that effective community engagement consists of a multitude of approaches that include partnerships, to improve the public’s perception of ever changing policing.</w:t>
      </w:r>
    </w:p>
    <w:p w14:paraId="79FCEB30" w14:textId="77777777" w:rsidR="00E074B2" w:rsidRDefault="00E074B2" w:rsidP="00490789">
      <w:pPr>
        <w:pStyle w:val="Default"/>
        <w:jc w:val="both"/>
        <w:rPr>
          <w:sz w:val="22"/>
          <w:szCs w:val="22"/>
        </w:rPr>
      </w:pPr>
    </w:p>
    <w:p w14:paraId="4561E615" w14:textId="77777777" w:rsidR="00E074B2" w:rsidRDefault="00E074B2" w:rsidP="00490789">
      <w:pPr>
        <w:pStyle w:val="Default"/>
        <w:jc w:val="both"/>
        <w:rPr>
          <w:sz w:val="22"/>
          <w:szCs w:val="22"/>
        </w:rPr>
      </w:pPr>
    </w:p>
    <w:p w14:paraId="2BAA784D" w14:textId="77777777" w:rsidR="00E074B2" w:rsidRDefault="00E074B2" w:rsidP="00490789">
      <w:pPr>
        <w:pStyle w:val="Default"/>
        <w:jc w:val="both"/>
        <w:rPr>
          <w:sz w:val="22"/>
          <w:szCs w:val="22"/>
        </w:rPr>
      </w:pPr>
    </w:p>
    <w:p w14:paraId="39A394D8" w14:textId="77777777" w:rsidR="00E074B2" w:rsidRDefault="00E074B2" w:rsidP="00490789">
      <w:pPr>
        <w:pStyle w:val="Default"/>
        <w:jc w:val="both"/>
        <w:rPr>
          <w:sz w:val="22"/>
          <w:szCs w:val="22"/>
        </w:rPr>
      </w:pPr>
    </w:p>
    <w:p w14:paraId="20EB46FF" w14:textId="77777777" w:rsidR="00E074B2" w:rsidRDefault="00E074B2" w:rsidP="00490789">
      <w:pPr>
        <w:pStyle w:val="Default"/>
        <w:jc w:val="both"/>
        <w:rPr>
          <w:sz w:val="22"/>
          <w:szCs w:val="22"/>
        </w:rPr>
      </w:pPr>
    </w:p>
    <w:p w14:paraId="5354C3F2" w14:textId="77777777" w:rsidR="00E074B2" w:rsidRDefault="00E074B2" w:rsidP="00490789">
      <w:pPr>
        <w:pStyle w:val="Default"/>
        <w:jc w:val="both"/>
        <w:rPr>
          <w:sz w:val="22"/>
          <w:szCs w:val="22"/>
        </w:rPr>
      </w:pPr>
    </w:p>
    <w:p w14:paraId="2F6C8A37" w14:textId="77777777" w:rsidR="000976B9" w:rsidRDefault="000976B9" w:rsidP="00490789">
      <w:pPr>
        <w:jc w:val="both"/>
        <w:rPr>
          <w:rFonts w:ascii="Arial" w:hAnsi="Arial" w:cs="Arial"/>
          <w:b/>
          <w:bCs/>
          <w:sz w:val="24"/>
          <w:szCs w:val="24"/>
          <w:u w:val="single"/>
        </w:rPr>
      </w:pPr>
    </w:p>
    <w:p w14:paraId="2DE82B07" w14:textId="6134534D" w:rsidR="00490789" w:rsidRPr="00490789" w:rsidRDefault="00490789" w:rsidP="00490789">
      <w:pPr>
        <w:jc w:val="both"/>
        <w:rPr>
          <w:rFonts w:ascii="Arial" w:hAnsi="Arial" w:cs="Arial"/>
          <w:b/>
          <w:bCs/>
          <w:sz w:val="24"/>
          <w:szCs w:val="24"/>
          <w:u w:val="single"/>
        </w:rPr>
      </w:pPr>
      <w:r w:rsidRPr="00490789">
        <w:rPr>
          <w:rFonts w:ascii="Arial" w:hAnsi="Arial" w:cs="Arial"/>
          <w:b/>
          <w:bCs/>
          <w:sz w:val="24"/>
          <w:szCs w:val="24"/>
          <w:u w:val="single"/>
        </w:rPr>
        <w:lastRenderedPageBreak/>
        <w:t>Essay Three</w:t>
      </w:r>
    </w:p>
    <w:p w14:paraId="0288B972" w14:textId="523EEAEF" w:rsidR="00490789" w:rsidRPr="009D7C21" w:rsidRDefault="00490789" w:rsidP="009C7822">
      <w:pPr>
        <w:jc w:val="both"/>
        <w:rPr>
          <w:rFonts w:ascii="Arial" w:hAnsi="Arial" w:cs="Arial"/>
          <w:b/>
          <w:bCs/>
        </w:rPr>
      </w:pPr>
      <w:r w:rsidRPr="009D7C21">
        <w:rPr>
          <w:rFonts w:ascii="Arial" w:hAnsi="Arial" w:cs="Arial"/>
          <w:b/>
          <w:bCs/>
        </w:rPr>
        <w:t xml:space="preserve">Evaluate the effectiveness of cognitive interviews as a strategy for obtaining initial accounts from victims and witnesses. </w:t>
      </w:r>
    </w:p>
    <w:p w14:paraId="60485244" w14:textId="77777777" w:rsidR="00605650" w:rsidRDefault="00605650" w:rsidP="00605650">
      <w:pPr>
        <w:pStyle w:val="Default"/>
        <w:jc w:val="both"/>
        <w:rPr>
          <w:sz w:val="22"/>
          <w:szCs w:val="22"/>
          <w:u w:val="single"/>
        </w:rPr>
      </w:pPr>
      <w:r>
        <w:rPr>
          <w:sz w:val="22"/>
          <w:szCs w:val="22"/>
          <w:u w:val="single"/>
        </w:rPr>
        <w:t xml:space="preserve">Introduction </w:t>
      </w:r>
    </w:p>
    <w:p w14:paraId="5188E626" w14:textId="77777777" w:rsidR="00605650" w:rsidRDefault="00605650" w:rsidP="00605650">
      <w:pPr>
        <w:pStyle w:val="Default"/>
        <w:jc w:val="both"/>
        <w:rPr>
          <w:sz w:val="22"/>
          <w:szCs w:val="22"/>
          <w:u w:val="single"/>
        </w:rPr>
      </w:pPr>
    </w:p>
    <w:p w14:paraId="0BF22BC8" w14:textId="77777777" w:rsidR="00605650" w:rsidRPr="00B360B0" w:rsidRDefault="00605650" w:rsidP="00605650">
      <w:pPr>
        <w:pStyle w:val="Default"/>
        <w:jc w:val="both"/>
        <w:rPr>
          <w:sz w:val="22"/>
          <w:szCs w:val="22"/>
        </w:rPr>
      </w:pPr>
      <w:r>
        <w:rPr>
          <w:sz w:val="22"/>
          <w:szCs w:val="22"/>
        </w:rPr>
        <w:t xml:space="preserve">This essay will be a discussion on cognitive interviews and how they are used to obtain initial accounts from victims and witnesses. Within the essay, will also be an evaluation on the effectiveness of this as a strategy. The essay will be structured through the use of The Borton Model. </w:t>
      </w:r>
    </w:p>
    <w:p w14:paraId="64864151" w14:textId="77777777" w:rsidR="00605650" w:rsidRDefault="00605650" w:rsidP="00605650">
      <w:pPr>
        <w:pStyle w:val="Default"/>
        <w:jc w:val="both"/>
        <w:rPr>
          <w:sz w:val="22"/>
          <w:szCs w:val="22"/>
        </w:rPr>
      </w:pPr>
    </w:p>
    <w:p w14:paraId="0D8499F8" w14:textId="77777777" w:rsidR="00605650" w:rsidRPr="00BB6099" w:rsidRDefault="00605650" w:rsidP="00605650">
      <w:pPr>
        <w:pStyle w:val="Default"/>
        <w:jc w:val="both"/>
        <w:rPr>
          <w:sz w:val="22"/>
          <w:szCs w:val="22"/>
        </w:rPr>
      </w:pPr>
      <w:r w:rsidRPr="00BB6099">
        <w:rPr>
          <w:sz w:val="22"/>
          <w:szCs w:val="22"/>
        </w:rPr>
        <w:t>The model i</w:t>
      </w:r>
      <w:r>
        <w:rPr>
          <w:sz w:val="22"/>
          <w:szCs w:val="22"/>
        </w:rPr>
        <w:t>s</w:t>
      </w:r>
      <w:r w:rsidRPr="00BB6099">
        <w:rPr>
          <w:sz w:val="22"/>
          <w:szCs w:val="22"/>
        </w:rPr>
        <w:t xml:space="preserve"> a framework for reflection, which was developed in the 1970s by Terry Borton. It asks 3 basic questions, what, so what and now what? (</w:t>
      </w:r>
      <w:proofErr w:type="spellStart"/>
      <w:r w:rsidRPr="00BB6099">
        <w:rPr>
          <w:sz w:val="22"/>
          <w:szCs w:val="22"/>
        </w:rPr>
        <w:t>Physiopedia</w:t>
      </w:r>
      <w:proofErr w:type="spellEnd"/>
      <w:r w:rsidRPr="00BB6099">
        <w:rPr>
          <w:sz w:val="22"/>
          <w:szCs w:val="22"/>
        </w:rPr>
        <w:t xml:space="preserve">, 2021). </w:t>
      </w:r>
    </w:p>
    <w:p w14:paraId="331374E5" w14:textId="77777777" w:rsidR="00605650" w:rsidRPr="00BB6099" w:rsidRDefault="00605650" w:rsidP="00605650">
      <w:pPr>
        <w:pStyle w:val="Default"/>
        <w:jc w:val="both"/>
        <w:rPr>
          <w:u w:val="single"/>
        </w:rPr>
      </w:pPr>
    </w:p>
    <w:p w14:paraId="0C7838B5" w14:textId="77777777" w:rsidR="00605650" w:rsidRDefault="00605650" w:rsidP="00605650">
      <w:pPr>
        <w:pStyle w:val="Default"/>
        <w:jc w:val="both"/>
        <w:rPr>
          <w:u w:val="single"/>
        </w:rPr>
      </w:pPr>
    </w:p>
    <w:p w14:paraId="7B241E1D" w14:textId="77777777" w:rsidR="00605650" w:rsidRDefault="00605650" w:rsidP="00605650">
      <w:pPr>
        <w:pStyle w:val="Default"/>
        <w:jc w:val="both"/>
        <w:rPr>
          <w:u w:val="single"/>
        </w:rPr>
      </w:pPr>
      <w:r>
        <w:rPr>
          <w:u w:val="single"/>
        </w:rPr>
        <w:t xml:space="preserve">What? </w:t>
      </w:r>
    </w:p>
    <w:p w14:paraId="33A43EBD" w14:textId="77777777" w:rsidR="00605650" w:rsidRDefault="00605650" w:rsidP="00605650">
      <w:pPr>
        <w:pStyle w:val="Default"/>
        <w:jc w:val="both"/>
        <w:rPr>
          <w:u w:val="single"/>
        </w:rPr>
      </w:pPr>
    </w:p>
    <w:p w14:paraId="3F07AA68" w14:textId="77777777" w:rsidR="00605650" w:rsidRDefault="00605650" w:rsidP="00605650">
      <w:pPr>
        <w:pStyle w:val="Default"/>
        <w:jc w:val="both"/>
        <w:rPr>
          <w:sz w:val="22"/>
          <w:szCs w:val="22"/>
        </w:rPr>
      </w:pPr>
      <w:r>
        <w:rPr>
          <w:sz w:val="22"/>
          <w:szCs w:val="22"/>
        </w:rPr>
        <w:t xml:space="preserve">Interviewing both victims and witnesses are evidentially crucial to every investigation. The College of Policing (2024) state that by conducting good quality interviews, an investigation can be directed and increase the likelihood of a prosecution. This in turn, increases public confidence in the police service. </w:t>
      </w:r>
    </w:p>
    <w:p w14:paraId="24213824" w14:textId="77777777" w:rsidR="00605650" w:rsidRDefault="00605650" w:rsidP="00605650">
      <w:pPr>
        <w:pStyle w:val="Default"/>
        <w:jc w:val="both"/>
        <w:rPr>
          <w:sz w:val="22"/>
          <w:szCs w:val="22"/>
        </w:rPr>
      </w:pPr>
    </w:p>
    <w:p w14:paraId="2973872F" w14:textId="77777777" w:rsidR="00605650" w:rsidRDefault="00605650" w:rsidP="00605650">
      <w:pPr>
        <w:pStyle w:val="Default"/>
        <w:jc w:val="both"/>
        <w:rPr>
          <w:sz w:val="22"/>
          <w:szCs w:val="22"/>
        </w:rPr>
      </w:pPr>
      <w:r>
        <w:rPr>
          <w:sz w:val="22"/>
          <w:szCs w:val="22"/>
        </w:rPr>
        <w:t>Investigations can be directed, by firstly obtaining an initial account. The initial account has many purposes to the incident or allegation, including; protecting life and property, identifying offenders and securing evidence. It also allows for the risk assessment of victims and witnesses (COP, 2020).</w:t>
      </w:r>
    </w:p>
    <w:p w14:paraId="5015E233" w14:textId="77777777" w:rsidR="00605650" w:rsidRDefault="00605650" w:rsidP="00605650">
      <w:pPr>
        <w:pStyle w:val="Default"/>
        <w:jc w:val="both"/>
        <w:rPr>
          <w:sz w:val="22"/>
          <w:szCs w:val="22"/>
        </w:rPr>
      </w:pPr>
    </w:p>
    <w:p w14:paraId="7293AD58" w14:textId="77777777" w:rsidR="00605650" w:rsidRDefault="00605650" w:rsidP="00605650">
      <w:pPr>
        <w:pStyle w:val="Default"/>
        <w:jc w:val="both"/>
        <w:rPr>
          <w:sz w:val="22"/>
          <w:szCs w:val="22"/>
        </w:rPr>
      </w:pPr>
      <w:r>
        <w:rPr>
          <w:sz w:val="22"/>
          <w:szCs w:val="22"/>
        </w:rPr>
        <w:t>The Cognitive Interview is a technique that was developed to enhance witness memory. It was developed by Geiselman et al in 1985 with the considerations of factors that can have a negative effect on an interview. These factors include; victims and witnesses having poor memory and verbal skills, and sometimes being traumatised by the incident (Geiselman and Fisher, 2010).</w:t>
      </w:r>
    </w:p>
    <w:p w14:paraId="266DFB9C" w14:textId="77777777" w:rsidR="00605650" w:rsidRDefault="00605650" w:rsidP="00605650">
      <w:pPr>
        <w:pStyle w:val="Default"/>
        <w:jc w:val="both"/>
        <w:rPr>
          <w:sz w:val="22"/>
          <w:szCs w:val="22"/>
        </w:rPr>
      </w:pPr>
    </w:p>
    <w:p w14:paraId="645A6636" w14:textId="77777777" w:rsidR="00605650" w:rsidRDefault="00605650" w:rsidP="00605650">
      <w:pPr>
        <w:pStyle w:val="Default"/>
        <w:jc w:val="both"/>
        <w:rPr>
          <w:sz w:val="22"/>
          <w:szCs w:val="22"/>
        </w:rPr>
      </w:pPr>
      <w:r>
        <w:rPr>
          <w:sz w:val="22"/>
          <w:szCs w:val="22"/>
        </w:rPr>
        <w:t>The interview focuses on cue-dependent forgetting and has four stages for the stimulation of these cues, in order to maximise the retrieval of information. These stages include; reinstating context, recalling the events in reverse order, reporting everything they can remember and describing the events from another point of view (</w:t>
      </w:r>
      <w:proofErr w:type="spellStart"/>
      <w:r>
        <w:rPr>
          <w:sz w:val="22"/>
          <w:szCs w:val="22"/>
        </w:rPr>
        <w:t>Mcleod</w:t>
      </w:r>
      <w:proofErr w:type="spellEnd"/>
      <w:r>
        <w:rPr>
          <w:sz w:val="22"/>
          <w:szCs w:val="22"/>
        </w:rPr>
        <w:t xml:space="preserve">, 2023). </w:t>
      </w:r>
    </w:p>
    <w:p w14:paraId="7B101DF3" w14:textId="77777777" w:rsidR="00605650" w:rsidRDefault="00605650" w:rsidP="00605650">
      <w:pPr>
        <w:pStyle w:val="Default"/>
        <w:jc w:val="both"/>
        <w:rPr>
          <w:sz w:val="22"/>
          <w:szCs w:val="22"/>
        </w:rPr>
      </w:pPr>
    </w:p>
    <w:p w14:paraId="3459E88B" w14:textId="77777777" w:rsidR="00605650" w:rsidRDefault="00605650" w:rsidP="00605650">
      <w:pPr>
        <w:pStyle w:val="Default"/>
        <w:jc w:val="both"/>
        <w:rPr>
          <w:u w:val="single"/>
        </w:rPr>
      </w:pPr>
    </w:p>
    <w:p w14:paraId="535D9E4B" w14:textId="77777777" w:rsidR="00E074B2" w:rsidRDefault="00605650" w:rsidP="00605650">
      <w:pPr>
        <w:pStyle w:val="Default"/>
        <w:jc w:val="both"/>
        <w:rPr>
          <w:u w:val="single"/>
        </w:rPr>
      </w:pPr>
      <w:r>
        <w:rPr>
          <w:u w:val="single"/>
        </w:rPr>
        <w:t xml:space="preserve">So what? </w:t>
      </w:r>
    </w:p>
    <w:p w14:paraId="2148C14B" w14:textId="0EF7CC19" w:rsidR="00605650" w:rsidRPr="00E074B2" w:rsidRDefault="00605650" w:rsidP="00605650">
      <w:pPr>
        <w:pStyle w:val="Default"/>
        <w:jc w:val="both"/>
        <w:rPr>
          <w:u w:val="single"/>
        </w:rPr>
      </w:pPr>
      <w:r>
        <w:rPr>
          <w:sz w:val="22"/>
          <w:szCs w:val="22"/>
        </w:rPr>
        <w:t xml:space="preserve">It has been stated that, around 65 studies have been conducted on the use of cognitive interviews and the overall perception is that it is the most successful method that has been developed in the last 25 years (Memon et al, 2010). </w:t>
      </w:r>
    </w:p>
    <w:p w14:paraId="7F2C0F71" w14:textId="77777777" w:rsidR="00605650" w:rsidRDefault="00605650" w:rsidP="00605650">
      <w:pPr>
        <w:pStyle w:val="Default"/>
        <w:jc w:val="both"/>
        <w:rPr>
          <w:u w:val="single"/>
        </w:rPr>
      </w:pPr>
    </w:p>
    <w:p w14:paraId="585960E7" w14:textId="77777777" w:rsidR="00605650" w:rsidRPr="0092434B" w:rsidRDefault="00605650" w:rsidP="00605650">
      <w:pPr>
        <w:pStyle w:val="Default"/>
        <w:jc w:val="both"/>
        <w:rPr>
          <w:sz w:val="22"/>
          <w:szCs w:val="22"/>
        </w:rPr>
      </w:pPr>
      <w:r>
        <w:rPr>
          <w:sz w:val="22"/>
          <w:szCs w:val="22"/>
        </w:rPr>
        <w:t xml:space="preserve">In a field test of the cognitive interview, it was compared with a standard police interview technique. Overall, it was found that the cognitive interview elicited more information than the standard police interview, by approximately 35% (Fisher et al, 1989). The use of mnemonics had also been successful in field tests, with the number of correct information was higher than the number of incorrect or confabulated information (Geiselman et al 1986). It was concluded that cognitive interview techniques could be incorporated into police investigations, and that the use of mnemonics required little training by investigators, therefore was timesaving towards the overall demand of an investigation. </w:t>
      </w:r>
    </w:p>
    <w:p w14:paraId="77E76BAF" w14:textId="77777777" w:rsidR="00605650" w:rsidRDefault="00605650" w:rsidP="00605650">
      <w:pPr>
        <w:pStyle w:val="Default"/>
        <w:jc w:val="both"/>
        <w:rPr>
          <w:u w:val="single"/>
        </w:rPr>
      </w:pPr>
    </w:p>
    <w:p w14:paraId="041B1CC0" w14:textId="77777777" w:rsidR="00605650" w:rsidRDefault="00605650" w:rsidP="00605650">
      <w:pPr>
        <w:pStyle w:val="Default"/>
        <w:jc w:val="both"/>
        <w:rPr>
          <w:sz w:val="22"/>
          <w:szCs w:val="22"/>
        </w:rPr>
      </w:pPr>
      <w:r>
        <w:rPr>
          <w:sz w:val="22"/>
          <w:szCs w:val="22"/>
        </w:rPr>
        <w:lastRenderedPageBreak/>
        <w:t>Additionally, the studies also found benefits to increased recall. Whilst the original goal was to increase victim and witness recall, not to promote well-being, the field study shows that victims’ greater recall with the cognitive interview may contribute to their better psychological functioning. As a result of recalling extensively, victims feel overall more positively. This allows victims to feel more committed to the investigative process, which in turn increases the likelihood of their willingness to participate in further interviews and/or appear in court (Fisher et al, 2010).</w:t>
      </w:r>
    </w:p>
    <w:p w14:paraId="1F2AB51D" w14:textId="77777777" w:rsidR="00605650" w:rsidRDefault="00605650" w:rsidP="00605650">
      <w:pPr>
        <w:pStyle w:val="Default"/>
        <w:jc w:val="both"/>
        <w:rPr>
          <w:sz w:val="22"/>
          <w:szCs w:val="22"/>
        </w:rPr>
      </w:pPr>
    </w:p>
    <w:p w14:paraId="4472D853" w14:textId="77777777" w:rsidR="00605650" w:rsidRDefault="00605650" w:rsidP="00605650">
      <w:pPr>
        <w:pStyle w:val="Default"/>
        <w:jc w:val="both"/>
        <w:rPr>
          <w:sz w:val="22"/>
          <w:szCs w:val="22"/>
        </w:rPr>
      </w:pPr>
      <w:r>
        <w:rPr>
          <w:sz w:val="22"/>
          <w:szCs w:val="22"/>
        </w:rPr>
        <w:t xml:space="preserve">Whilst overall the cognitive interview appears to be the most effective method for obtaining initial accounts from both victims and witnesses, researchers also identified a number of limitations to the method. </w:t>
      </w:r>
    </w:p>
    <w:p w14:paraId="04E1CA3D" w14:textId="77777777" w:rsidR="00605650" w:rsidRDefault="00605650" w:rsidP="00605650">
      <w:pPr>
        <w:pStyle w:val="Default"/>
        <w:jc w:val="both"/>
        <w:rPr>
          <w:sz w:val="22"/>
          <w:szCs w:val="22"/>
        </w:rPr>
      </w:pPr>
    </w:p>
    <w:p w14:paraId="651830B8" w14:textId="77777777" w:rsidR="00605650" w:rsidRDefault="00605650" w:rsidP="00605650">
      <w:pPr>
        <w:pStyle w:val="Default"/>
        <w:jc w:val="both"/>
        <w:rPr>
          <w:sz w:val="22"/>
          <w:szCs w:val="22"/>
        </w:rPr>
      </w:pPr>
      <w:r>
        <w:rPr>
          <w:sz w:val="22"/>
          <w:szCs w:val="22"/>
        </w:rPr>
        <w:t xml:space="preserve">Cognitive interviews can only be successful with witnesses with are cooperative to the investigation. Witnesses cannot be ‘broken’ by those who choose to withhold information. The method is also only beneficial to certain crimes, it is not as useful for crimes that rely heavily on physical evidence. Additionally, the interviewing technique is more time-consuming than a standard police interview and the interviewer requires considerable mental concentration. This may not necessarily be beneficial to investigations that need initial accounts from victims and witnesses rapidly, in order to progress the investigation (Fisher et al, 1989). </w:t>
      </w:r>
    </w:p>
    <w:p w14:paraId="6C11E346" w14:textId="77777777" w:rsidR="00605650" w:rsidRDefault="00605650" w:rsidP="00605650">
      <w:pPr>
        <w:pStyle w:val="Default"/>
        <w:jc w:val="both"/>
        <w:rPr>
          <w:sz w:val="22"/>
          <w:szCs w:val="22"/>
        </w:rPr>
      </w:pPr>
    </w:p>
    <w:p w14:paraId="0548EBDF" w14:textId="77777777" w:rsidR="00605650" w:rsidRDefault="00605650" w:rsidP="00605650">
      <w:pPr>
        <w:pStyle w:val="Default"/>
        <w:jc w:val="both"/>
        <w:rPr>
          <w:sz w:val="22"/>
          <w:szCs w:val="22"/>
        </w:rPr>
      </w:pPr>
      <w:r>
        <w:rPr>
          <w:sz w:val="22"/>
          <w:szCs w:val="22"/>
        </w:rPr>
        <w:t xml:space="preserve">Dodier et al (2021) noted in their study of the use of cognitive interviews to recall emotionally stressful experiences, the focus on road accidents, that whilst CI was more beneficial to the victim’s ability to recall details of the accident such as objects and cars etc, victims found it more difficult to describe people and/or witnesses. This was theorised that due to the probability of the witness being familiar to the victim in the case of a road accident, it would therefore be less necessary to the victim. This again notes the previous limitation of context, suggesting the CI may not be the most beneficial procedure for every criminal investigation. </w:t>
      </w:r>
    </w:p>
    <w:p w14:paraId="598D6BCE" w14:textId="77777777" w:rsidR="00605650" w:rsidRDefault="00605650" w:rsidP="00605650">
      <w:pPr>
        <w:pStyle w:val="Default"/>
        <w:jc w:val="both"/>
        <w:rPr>
          <w:sz w:val="22"/>
          <w:szCs w:val="22"/>
        </w:rPr>
      </w:pPr>
    </w:p>
    <w:p w14:paraId="216D949B" w14:textId="77777777" w:rsidR="00605650" w:rsidRDefault="00605650" w:rsidP="00605650">
      <w:pPr>
        <w:pStyle w:val="Default"/>
        <w:jc w:val="both"/>
        <w:rPr>
          <w:sz w:val="22"/>
          <w:szCs w:val="22"/>
        </w:rPr>
      </w:pPr>
      <w:r>
        <w:rPr>
          <w:sz w:val="22"/>
          <w:szCs w:val="22"/>
        </w:rPr>
        <w:t xml:space="preserve">In addition to the last noted limitation, Dando et al (2009) found that new recruits of police officers in the United Kingdom at the time of the study, were receiving just two and half day’s training on the use and application of the cognitive interview procedure, insinuating that this is an insufficient time to allow new officers to effectively master the cognitively demanding interview procedure. </w:t>
      </w:r>
    </w:p>
    <w:p w14:paraId="03EABED3" w14:textId="77777777" w:rsidR="00605650" w:rsidRPr="001E6F30" w:rsidRDefault="00605650" w:rsidP="00605650">
      <w:pPr>
        <w:pStyle w:val="Default"/>
        <w:jc w:val="both"/>
        <w:rPr>
          <w:sz w:val="22"/>
          <w:szCs w:val="22"/>
        </w:rPr>
      </w:pPr>
      <w:r>
        <w:rPr>
          <w:sz w:val="22"/>
          <w:szCs w:val="22"/>
        </w:rPr>
        <w:t xml:space="preserve"> </w:t>
      </w:r>
    </w:p>
    <w:p w14:paraId="5FA76730" w14:textId="77777777" w:rsidR="00605650" w:rsidRPr="00B75287" w:rsidRDefault="00605650" w:rsidP="00605650">
      <w:pPr>
        <w:pStyle w:val="Default"/>
        <w:jc w:val="both"/>
        <w:rPr>
          <w:sz w:val="22"/>
          <w:szCs w:val="22"/>
        </w:rPr>
      </w:pPr>
      <w:r>
        <w:rPr>
          <w:sz w:val="22"/>
          <w:szCs w:val="22"/>
        </w:rPr>
        <w:t xml:space="preserve">Dando et al (2008) upon researching the effectiveness of cognitive interviewing, conducted a survey which found that a high number of newly recruited police officers stated they felt “not at all or not very well” equipped to conduct witness interviews based off this training alone. </w:t>
      </w:r>
    </w:p>
    <w:p w14:paraId="342E81AB" w14:textId="77777777" w:rsidR="00605650" w:rsidRDefault="00605650" w:rsidP="00605650">
      <w:pPr>
        <w:pStyle w:val="Default"/>
        <w:jc w:val="both"/>
        <w:rPr>
          <w:u w:val="single"/>
        </w:rPr>
      </w:pPr>
    </w:p>
    <w:p w14:paraId="77313FCE" w14:textId="77777777" w:rsidR="00605650" w:rsidRDefault="00605650" w:rsidP="00605650">
      <w:pPr>
        <w:pStyle w:val="Default"/>
        <w:jc w:val="both"/>
        <w:rPr>
          <w:u w:val="single"/>
        </w:rPr>
      </w:pPr>
      <w:r>
        <w:rPr>
          <w:u w:val="single"/>
        </w:rPr>
        <w:t xml:space="preserve">Now what? </w:t>
      </w:r>
    </w:p>
    <w:p w14:paraId="3769B500" w14:textId="77777777" w:rsidR="00605650" w:rsidRDefault="00605650" w:rsidP="00605650">
      <w:pPr>
        <w:pStyle w:val="Default"/>
        <w:jc w:val="both"/>
        <w:rPr>
          <w:u w:val="single"/>
        </w:rPr>
      </w:pPr>
    </w:p>
    <w:p w14:paraId="6D51A1E1" w14:textId="77777777" w:rsidR="00605650" w:rsidRDefault="00605650" w:rsidP="00605650">
      <w:pPr>
        <w:pStyle w:val="Default"/>
        <w:jc w:val="both"/>
        <w:rPr>
          <w:sz w:val="22"/>
          <w:szCs w:val="22"/>
        </w:rPr>
      </w:pPr>
      <w:r>
        <w:rPr>
          <w:sz w:val="22"/>
          <w:szCs w:val="22"/>
        </w:rPr>
        <w:t xml:space="preserve">There appears to be a vast amount of research that has been carried out in the last 25 years on the effectiveness of the cognitive interviews compared to the standardised police interview. Overall, the general consensus is that it is the most successful method of retrieving information and in turn initial account from both victims and witnesses. </w:t>
      </w:r>
    </w:p>
    <w:p w14:paraId="6FBC2F9E" w14:textId="77777777" w:rsidR="00605650" w:rsidRDefault="00605650" w:rsidP="00605650">
      <w:pPr>
        <w:pStyle w:val="Default"/>
        <w:jc w:val="both"/>
        <w:rPr>
          <w:sz w:val="22"/>
          <w:szCs w:val="22"/>
        </w:rPr>
      </w:pPr>
    </w:p>
    <w:p w14:paraId="217BBC68" w14:textId="77777777" w:rsidR="00605650" w:rsidRDefault="00605650" w:rsidP="00605650">
      <w:pPr>
        <w:pStyle w:val="Default"/>
        <w:jc w:val="both"/>
        <w:rPr>
          <w:sz w:val="22"/>
          <w:szCs w:val="22"/>
        </w:rPr>
      </w:pPr>
      <w:r>
        <w:rPr>
          <w:sz w:val="22"/>
          <w:szCs w:val="22"/>
        </w:rPr>
        <w:t>However, there is also ample research that highlights the limitations of the cognitive interview. Whilst overall the method works well, it appears it is subjective to the incident and/or crime and therefore cannot be used with every victim/witness.</w:t>
      </w:r>
    </w:p>
    <w:p w14:paraId="22F7ACF0" w14:textId="77777777" w:rsidR="00605650" w:rsidRDefault="00605650" w:rsidP="00605650">
      <w:pPr>
        <w:pStyle w:val="Default"/>
        <w:jc w:val="both"/>
        <w:rPr>
          <w:sz w:val="22"/>
          <w:szCs w:val="22"/>
        </w:rPr>
      </w:pPr>
    </w:p>
    <w:p w14:paraId="12B22DC9" w14:textId="77777777" w:rsidR="00605650" w:rsidRDefault="00605650" w:rsidP="00605650">
      <w:pPr>
        <w:pStyle w:val="Default"/>
        <w:jc w:val="both"/>
        <w:rPr>
          <w:sz w:val="22"/>
          <w:szCs w:val="22"/>
        </w:rPr>
      </w:pPr>
      <w:r>
        <w:rPr>
          <w:sz w:val="22"/>
          <w:szCs w:val="22"/>
        </w:rPr>
        <w:t xml:space="preserve">Additionally it is time consuming and requires a lot psychologically from both the interviewer and the witness, so in turn again is subjective to the incident as some investigations rely on sources of information to rapidly progress an investigation. In addition to this, it is evident that officers are required more in depth training in the use of CI before applying it to successfully extract detailed and accurate accounts from victims and witnesses. </w:t>
      </w:r>
    </w:p>
    <w:p w14:paraId="58932D24" w14:textId="77777777" w:rsidR="00605650" w:rsidRDefault="00605650" w:rsidP="00605650">
      <w:pPr>
        <w:pStyle w:val="Default"/>
        <w:jc w:val="both"/>
        <w:rPr>
          <w:sz w:val="22"/>
          <w:szCs w:val="22"/>
        </w:rPr>
      </w:pPr>
    </w:p>
    <w:p w14:paraId="2A3276F4" w14:textId="2137B5F7" w:rsidR="009C7822" w:rsidRPr="00605650" w:rsidRDefault="00605650" w:rsidP="00605650">
      <w:pPr>
        <w:jc w:val="both"/>
        <w:rPr>
          <w:rFonts w:ascii="Arial" w:hAnsi="Arial" w:cs="Arial"/>
        </w:rPr>
      </w:pPr>
      <w:r w:rsidRPr="00605650">
        <w:rPr>
          <w:rFonts w:ascii="Arial" w:hAnsi="Arial" w:cs="Arial"/>
        </w:rPr>
        <w:t>In conclusion, the cognitive interview is an extremely successful and useful method for retracting information from memory, however it may not be the most useful method when applied to obtaining initial accounts from witnesses.</w:t>
      </w:r>
    </w:p>
    <w:p w14:paraId="3B04D0F7" w14:textId="77777777" w:rsidR="009C7822" w:rsidRDefault="009C7822" w:rsidP="00490789">
      <w:pPr>
        <w:jc w:val="both"/>
        <w:rPr>
          <w:rFonts w:ascii="Arial" w:hAnsi="Arial" w:cs="Arial"/>
        </w:rPr>
      </w:pPr>
    </w:p>
    <w:p w14:paraId="5DE475EA" w14:textId="1C1132BB" w:rsidR="00490789" w:rsidRPr="00490789" w:rsidRDefault="00490789" w:rsidP="00490789">
      <w:pPr>
        <w:jc w:val="both"/>
        <w:rPr>
          <w:rFonts w:ascii="Arial" w:hAnsi="Arial" w:cs="Arial"/>
          <w:b/>
          <w:bCs/>
          <w:u w:val="single"/>
        </w:rPr>
      </w:pPr>
      <w:r w:rsidRPr="00490789">
        <w:rPr>
          <w:rFonts w:ascii="Arial" w:hAnsi="Arial" w:cs="Arial"/>
          <w:b/>
          <w:bCs/>
          <w:u w:val="single"/>
        </w:rPr>
        <w:t>Essay Four</w:t>
      </w:r>
      <w:r w:rsidR="009C7822">
        <w:rPr>
          <w:rFonts w:ascii="Arial" w:hAnsi="Arial" w:cs="Arial"/>
          <w:b/>
          <w:bCs/>
          <w:u w:val="single"/>
        </w:rPr>
        <w:t xml:space="preserve"> </w:t>
      </w:r>
    </w:p>
    <w:p w14:paraId="556C7898" w14:textId="77777777" w:rsidR="00490789" w:rsidRDefault="00490789" w:rsidP="00490789">
      <w:pPr>
        <w:pStyle w:val="Default"/>
        <w:jc w:val="both"/>
        <w:rPr>
          <w:b/>
          <w:bCs/>
          <w:sz w:val="22"/>
          <w:szCs w:val="22"/>
        </w:rPr>
      </w:pPr>
      <w:r w:rsidRPr="00EA1C72">
        <w:rPr>
          <w:b/>
          <w:bCs/>
          <w:sz w:val="22"/>
          <w:szCs w:val="22"/>
        </w:rPr>
        <w:t xml:space="preserve">Examine the positive and negative aspects of media attention when dealing with public protection incidents. </w:t>
      </w:r>
    </w:p>
    <w:p w14:paraId="0FD8ED06" w14:textId="77777777" w:rsidR="0081075A" w:rsidRDefault="0081075A" w:rsidP="00490789">
      <w:pPr>
        <w:pStyle w:val="Default"/>
        <w:jc w:val="both"/>
        <w:rPr>
          <w:b/>
          <w:bCs/>
          <w:sz w:val="22"/>
          <w:szCs w:val="22"/>
        </w:rPr>
      </w:pPr>
    </w:p>
    <w:p w14:paraId="450B0251" w14:textId="77777777" w:rsidR="0081075A" w:rsidRDefault="0081075A" w:rsidP="0081075A">
      <w:pPr>
        <w:pStyle w:val="Default"/>
        <w:jc w:val="both"/>
        <w:rPr>
          <w:sz w:val="22"/>
          <w:szCs w:val="22"/>
          <w:u w:val="single"/>
        </w:rPr>
      </w:pPr>
      <w:r>
        <w:rPr>
          <w:sz w:val="22"/>
          <w:szCs w:val="22"/>
          <w:u w:val="single"/>
        </w:rPr>
        <w:t xml:space="preserve">Introduction </w:t>
      </w:r>
    </w:p>
    <w:p w14:paraId="5264AFFF" w14:textId="77777777" w:rsidR="0081075A" w:rsidRDefault="0081075A" w:rsidP="0081075A">
      <w:pPr>
        <w:pStyle w:val="Default"/>
        <w:jc w:val="both"/>
        <w:rPr>
          <w:sz w:val="22"/>
          <w:szCs w:val="22"/>
          <w:u w:val="single"/>
        </w:rPr>
      </w:pPr>
    </w:p>
    <w:p w14:paraId="7BC0A9EB" w14:textId="77777777" w:rsidR="0081075A" w:rsidRDefault="0081075A" w:rsidP="0081075A">
      <w:pPr>
        <w:pStyle w:val="Default"/>
        <w:jc w:val="both"/>
        <w:rPr>
          <w:sz w:val="22"/>
          <w:szCs w:val="22"/>
        </w:rPr>
      </w:pPr>
      <w:r>
        <w:rPr>
          <w:sz w:val="22"/>
          <w:szCs w:val="22"/>
        </w:rPr>
        <w:t xml:space="preserve">In this essay, I will discuss media attention within public protection incidents and examine both the positive and negative aspects. I will also structure this essay, with the use of The Borton Model (2021). </w:t>
      </w:r>
    </w:p>
    <w:p w14:paraId="294385DF" w14:textId="77777777" w:rsidR="0081075A" w:rsidRDefault="0081075A" w:rsidP="0081075A">
      <w:pPr>
        <w:pStyle w:val="Default"/>
        <w:jc w:val="both"/>
      </w:pPr>
    </w:p>
    <w:p w14:paraId="1E738C43" w14:textId="77777777" w:rsidR="0081075A" w:rsidRDefault="0081075A" w:rsidP="0081075A">
      <w:pPr>
        <w:pStyle w:val="Default"/>
        <w:jc w:val="both"/>
        <w:rPr>
          <w:b/>
          <w:bCs/>
        </w:rPr>
      </w:pPr>
    </w:p>
    <w:p w14:paraId="51D8AE6C" w14:textId="77777777" w:rsidR="0081075A" w:rsidRDefault="0081075A" w:rsidP="0081075A">
      <w:pPr>
        <w:pStyle w:val="Default"/>
        <w:jc w:val="both"/>
        <w:rPr>
          <w:u w:val="single"/>
        </w:rPr>
      </w:pPr>
      <w:r>
        <w:rPr>
          <w:u w:val="single"/>
        </w:rPr>
        <w:t xml:space="preserve">What? </w:t>
      </w:r>
    </w:p>
    <w:p w14:paraId="00A8350A" w14:textId="77777777" w:rsidR="0081075A" w:rsidRDefault="0081075A" w:rsidP="0081075A">
      <w:pPr>
        <w:pStyle w:val="Default"/>
        <w:jc w:val="both"/>
        <w:rPr>
          <w:u w:val="single"/>
        </w:rPr>
      </w:pPr>
    </w:p>
    <w:p w14:paraId="50075EE7" w14:textId="77777777" w:rsidR="0081075A" w:rsidRDefault="0081075A" w:rsidP="0081075A">
      <w:pPr>
        <w:pStyle w:val="Default"/>
        <w:jc w:val="both"/>
        <w:rPr>
          <w:sz w:val="22"/>
          <w:szCs w:val="22"/>
        </w:rPr>
      </w:pPr>
      <w:r>
        <w:rPr>
          <w:sz w:val="22"/>
          <w:szCs w:val="22"/>
        </w:rPr>
        <w:t xml:space="preserve">Public protection prevents harm to vulnerable groups within society (NHS, 2024). Within police forces in England and Wales, the public protection unit ensures ‘the safety of those in danger of becoming victims of crimes such as child sexual exploitation, modern slavery and human trafficking and domestic abuse (HMICFRS, 2023). </w:t>
      </w:r>
    </w:p>
    <w:p w14:paraId="45D0AC72" w14:textId="77777777" w:rsidR="0081075A" w:rsidRDefault="0081075A" w:rsidP="0081075A">
      <w:pPr>
        <w:pStyle w:val="Default"/>
        <w:jc w:val="both"/>
        <w:rPr>
          <w:sz w:val="22"/>
          <w:szCs w:val="22"/>
        </w:rPr>
      </w:pPr>
    </w:p>
    <w:p w14:paraId="71745F43" w14:textId="77777777" w:rsidR="0081075A" w:rsidRDefault="0081075A" w:rsidP="0081075A">
      <w:pPr>
        <w:pStyle w:val="Default"/>
        <w:jc w:val="both"/>
        <w:rPr>
          <w:sz w:val="22"/>
          <w:szCs w:val="22"/>
        </w:rPr>
      </w:pPr>
      <w:r>
        <w:rPr>
          <w:sz w:val="22"/>
          <w:szCs w:val="22"/>
        </w:rPr>
        <w:t xml:space="preserve">Alongside this unit, is a multi-agency partnership referred to as MAPPA (Multi-Agency Public Protection Arrangements). These agencies work together by assessing and managing the most dangerous offenders. The main offenders that come under this management include; registered sex offenders, violent offenders, and offenders who, because of the offences committed by them are considered a serious threat to the public (Cheshire Police, 2024). </w:t>
      </w:r>
    </w:p>
    <w:p w14:paraId="187782FB" w14:textId="77777777" w:rsidR="0081075A" w:rsidRDefault="0081075A" w:rsidP="0081075A">
      <w:pPr>
        <w:pStyle w:val="Default"/>
        <w:jc w:val="both"/>
        <w:rPr>
          <w:sz w:val="22"/>
          <w:szCs w:val="22"/>
        </w:rPr>
      </w:pPr>
    </w:p>
    <w:p w14:paraId="3BE8918E" w14:textId="77777777" w:rsidR="0081075A" w:rsidRPr="005B60BE" w:rsidRDefault="0081075A" w:rsidP="0081075A">
      <w:pPr>
        <w:pStyle w:val="Default"/>
        <w:jc w:val="both"/>
        <w:rPr>
          <w:sz w:val="22"/>
          <w:szCs w:val="22"/>
        </w:rPr>
      </w:pPr>
      <w:r>
        <w:rPr>
          <w:sz w:val="22"/>
          <w:szCs w:val="22"/>
        </w:rPr>
        <w:t xml:space="preserve">It is often the case that the media will report on incidents involving these violent offenders upon which they commit very serious, violent crimes, in turn making them high profile cases. This allows the general public to follow the progression of the investigation of the incident, if any. There are both positives and negatives to incidents of this nature receiving so much attention. </w:t>
      </w:r>
    </w:p>
    <w:p w14:paraId="6424BB2B" w14:textId="77777777" w:rsidR="0081075A" w:rsidRDefault="0081075A" w:rsidP="0081075A">
      <w:pPr>
        <w:pStyle w:val="Default"/>
        <w:jc w:val="both"/>
        <w:rPr>
          <w:u w:val="single"/>
        </w:rPr>
      </w:pPr>
    </w:p>
    <w:p w14:paraId="702D3E81" w14:textId="77777777" w:rsidR="0081075A" w:rsidRDefault="0081075A" w:rsidP="0081075A">
      <w:pPr>
        <w:pStyle w:val="Default"/>
        <w:jc w:val="both"/>
        <w:rPr>
          <w:u w:val="single"/>
        </w:rPr>
      </w:pPr>
      <w:r>
        <w:rPr>
          <w:u w:val="single"/>
        </w:rPr>
        <w:t xml:space="preserve">So what? </w:t>
      </w:r>
    </w:p>
    <w:p w14:paraId="12C3CB8F" w14:textId="77777777" w:rsidR="0081075A" w:rsidRDefault="0081075A" w:rsidP="0081075A">
      <w:pPr>
        <w:pStyle w:val="Default"/>
        <w:jc w:val="both"/>
        <w:rPr>
          <w:u w:val="single"/>
        </w:rPr>
      </w:pPr>
    </w:p>
    <w:p w14:paraId="7C64E79D" w14:textId="77777777" w:rsidR="0081075A" w:rsidRPr="00B307DC" w:rsidRDefault="0081075A" w:rsidP="0081075A">
      <w:pPr>
        <w:pStyle w:val="Default"/>
        <w:jc w:val="both"/>
        <w:rPr>
          <w:sz w:val="22"/>
          <w:szCs w:val="22"/>
        </w:rPr>
      </w:pPr>
      <w:r>
        <w:rPr>
          <w:sz w:val="22"/>
          <w:szCs w:val="22"/>
        </w:rPr>
        <w:t xml:space="preserve">One utilisation of media attention may be that with regards to incidents to which the police are conducting ongoing enquiries, the media can be used to extract new information from which may be relevant and resourceful to the investigation. </w:t>
      </w:r>
    </w:p>
    <w:p w14:paraId="46167ADB" w14:textId="77777777" w:rsidR="0081075A" w:rsidRDefault="0081075A" w:rsidP="0081075A">
      <w:pPr>
        <w:pStyle w:val="Default"/>
        <w:jc w:val="both"/>
        <w:rPr>
          <w:u w:val="single"/>
        </w:rPr>
      </w:pPr>
    </w:p>
    <w:p w14:paraId="6773F11B" w14:textId="77777777" w:rsidR="0081075A" w:rsidRDefault="0081075A" w:rsidP="0081075A">
      <w:pPr>
        <w:pStyle w:val="Default"/>
        <w:jc w:val="both"/>
        <w:rPr>
          <w:sz w:val="22"/>
          <w:szCs w:val="22"/>
        </w:rPr>
      </w:pPr>
      <w:r>
        <w:rPr>
          <w:sz w:val="22"/>
          <w:szCs w:val="22"/>
        </w:rPr>
        <w:t xml:space="preserve">Bennett (2020) suggested the media could be used as an investigative resource. Using the example of cold cases, Bennett stated new information could be obtained by media coverage on the anniversaries of the crimes committed. This allows an opportunity to engage with the media, remind the public that the case is still unsolved and demonstrates the police’s dedication in solving the case. </w:t>
      </w:r>
    </w:p>
    <w:p w14:paraId="65F598EF" w14:textId="77777777" w:rsidR="0081075A" w:rsidRDefault="0081075A" w:rsidP="0081075A">
      <w:pPr>
        <w:pStyle w:val="Default"/>
        <w:jc w:val="both"/>
        <w:rPr>
          <w:sz w:val="22"/>
          <w:szCs w:val="22"/>
        </w:rPr>
      </w:pPr>
    </w:p>
    <w:p w14:paraId="19F8F9E5" w14:textId="77777777" w:rsidR="0081075A" w:rsidRDefault="0081075A" w:rsidP="0081075A">
      <w:pPr>
        <w:pStyle w:val="Default"/>
        <w:jc w:val="both"/>
        <w:rPr>
          <w:sz w:val="22"/>
          <w:szCs w:val="22"/>
        </w:rPr>
      </w:pPr>
      <w:r>
        <w:rPr>
          <w:sz w:val="22"/>
          <w:szCs w:val="22"/>
        </w:rPr>
        <w:t xml:space="preserve">However, Bennett (2020) also identified a limitation to this method. This was explained through a case study in which a missing person, heavily documented in the media at the time was located deceased. Due to the poor relationship between the police force and the local media outlet at the time, the media associated the incident with a known local offender, who was not involved nor did the police at the time believe them to be. This subsequently feeds the general </w:t>
      </w:r>
      <w:r>
        <w:rPr>
          <w:sz w:val="22"/>
          <w:szCs w:val="22"/>
        </w:rPr>
        <w:lastRenderedPageBreak/>
        <w:t xml:space="preserve">public an inaccurate representation of the incident, which can in turn have a detrimental effect on the investigation. </w:t>
      </w:r>
    </w:p>
    <w:p w14:paraId="7F977D56" w14:textId="77777777" w:rsidR="0081075A" w:rsidRDefault="0081075A" w:rsidP="0081075A">
      <w:pPr>
        <w:pStyle w:val="Default"/>
        <w:jc w:val="both"/>
        <w:rPr>
          <w:sz w:val="22"/>
          <w:szCs w:val="22"/>
        </w:rPr>
      </w:pPr>
    </w:p>
    <w:p w14:paraId="71B04074" w14:textId="77777777" w:rsidR="0081075A" w:rsidRDefault="0081075A" w:rsidP="0081075A">
      <w:pPr>
        <w:pStyle w:val="Default"/>
        <w:jc w:val="both"/>
        <w:rPr>
          <w:sz w:val="22"/>
          <w:szCs w:val="22"/>
        </w:rPr>
      </w:pPr>
      <w:r>
        <w:rPr>
          <w:sz w:val="22"/>
          <w:szCs w:val="22"/>
        </w:rPr>
        <w:t xml:space="preserve">Media attention in public protection incidents also allow the victim to have a voice. Operation Yewtree was an investigation launched by the Metropolitan police in 2012. The investigation focused on sexual abuse allegations of high profile individuals, such as Jimmy Savile. A report of the investigation in 2013, detailed failings by police and other organisations in prosecuting Savile at the time of these allegations taking place. </w:t>
      </w:r>
    </w:p>
    <w:p w14:paraId="11A597DB" w14:textId="77777777" w:rsidR="0081075A" w:rsidRDefault="0081075A" w:rsidP="0081075A">
      <w:pPr>
        <w:pStyle w:val="Default"/>
        <w:jc w:val="both"/>
        <w:rPr>
          <w:sz w:val="22"/>
          <w:szCs w:val="22"/>
        </w:rPr>
      </w:pPr>
    </w:p>
    <w:p w14:paraId="18BF6DD3" w14:textId="77777777" w:rsidR="0081075A" w:rsidRDefault="0081075A" w:rsidP="0081075A">
      <w:pPr>
        <w:pStyle w:val="Default"/>
        <w:jc w:val="both"/>
        <w:rPr>
          <w:sz w:val="22"/>
          <w:szCs w:val="22"/>
        </w:rPr>
      </w:pPr>
      <w:r>
        <w:rPr>
          <w:sz w:val="22"/>
          <w:szCs w:val="22"/>
        </w:rPr>
        <w:t xml:space="preserve">Through the use of this investigation, further high-profile offenders have been identified such as Rolf Harris and Max Clifford, who have subsequently been convicted of sexual offences (Grierson, 2015). </w:t>
      </w:r>
    </w:p>
    <w:p w14:paraId="02E4F326" w14:textId="77777777" w:rsidR="0081075A" w:rsidRDefault="0081075A" w:rsidP="0081075A">
      <w:pPr>
        <w:pStyle w:val="Default"/>
        <w:jc w:val="both"/>
        <w:rPr>
          <w:sz w:val="22"/>
          <w:szCs w:val="22"/>
        </w:rPr>
      </w:pPr>
    </w:p>
    <w:p w14:paraId="2450B4D3" w14:textId="77777777" w:rsidR="0081075A" w:rsidRDefault="0081075A" w:rsidP="0081075A">
      <w:pPr>
        <w:pStyle w:val="Default"/>
        <w:jc w:val="both"/>
        <w:rPr>
          <w:sz w:val="22"/>
          <w:szCs w:val="22"/>
        </w:rPr>
      </w:pPr>
      <w:r>
        <w:rPr>
          <w:sz w:val="22"/>
          <w:szCs w:val="22"/>
        </w:rPr>
        <w:t xml:space="preserve">Gray and Watt (2013) in a report into the allegations made against Savile, stated that the investigation was formed as a result of five victims who appeared on an ITV programme which was broadcast in late 2012. </w:t>
      </w:r>
    </w:p>
    <w:p w14:paraId="4735C916" w14:textId="77777777" w:rsidR="0081075A" w:rsidRDefault="0081075A" w:rsidP="0081075A">
      <w:pPr>
        <w:pStyle w:val="Default"/>
        <w:jc w:val="both"/>
        <w:rPr>
          <w:sz w:val="22"/>
          <w:szCs w:val="22"/>
        </w:rPr>
      </w:pPr>
    </w:p>
    <w:p w14:paraId="757037F1" w14:textId="77777777" w:rsidR="0081075A" w:rsidRDefault="0081075A" w:rsidP="0081075A">
      <w:pPr>
        <w:pStyle w:val="Default"/>
        <w:jc w:val="both"/>
        <w:rPr>
          <w:sz w:val="22"/>
          <w:szCs w:val="22"/>
        </w:rPr>
      </w:pPr>
      <w:r>
        <w:rPr>
          <w:sz w:val="22"/>
          <w:szCs w:val="22"/>
        </w:rPr>
        <w:t xml:space="preserve">This media appearance allowed the victims to recount the traumatic abuse they had been subjected to, as well as broadcast their dissatisfaction with how they had been treated. Not only did this highlight the failings of law enforcement, which allowed for reviews and improvement on sexual abuse investigations, it gave additional victims the confidence to step forward and report historical abuse from the same perpetrator. This has in turn, led to the further conviction of high-profile, violent offenders and perhaps prevented further victims from being subjected to abuse. </w:t>
      </w:r>
    </w:p>
    <w:p w14:paraId="6D1F086B" w14:textId="77777777" w:rsidR="0081075A" w:rsidRDefault="0081075A" w:rsidP="0081075A">
      <w:pPr>
        <w:pStyle w:val="Default"/>
        <w:jc w:val="both"/>
        <w:rPr>
          <w:sz w:val="22"/>
          <w:szCs w:val="22"/>
        </w:rPr>
      </w:pPr>
    </w:p>
    <w:p w14:paraId="5A92D20D" w14:textId="77777777" w:rsidR="0081075A" w:rsidRPr="004F20E8" w:rsidRDefault="0081075A" w:rsidP="0081075A">
      <w:pPr>
        <w:pStyle w:val="Default"/>
        <w:jc w:val="both"/>
        <w:rPr>
          <w:sz w:val="22"/>
          <w:szCs w:val="22"/>
        </w:rPr>
      </w:pPr>
      <w:r>
        <w:rPr>
          <w:sz w:val="22"/>
          <w:szCs w:val="22"/>
        </w:rPr>
        <w:t xml:space="preserve">Whilst this may seem like an overall positive use of media attention, other have identified some negative aspects. For example, Gallagher (2021) stated that whilst some believe the attention brought from media has allowed an environment in which victims can come forward and feel confident in being believed, others are under the impression that Operation Yewtree has amounted to a ‘witch hunt’ against celebrities, and a criminalisation of ‘harmless’ behaviour. </w:t>
      </w:r>
    </w:p>
    <w:p w14:paraId="4D912D31" w14:textId="77777777" w:rsidR="0081075A" w:rsidRDefault="0081075A" w:rsidP="0081075A">
      <w:pPr>
        <w:pStyle w:val="Default"/>
        <w:jc w:val="both"/>
        <w:rPr>
          <w:u w:val="single"/>
        </w:rPr>
      </w:pPr>
    </w:p>
    <w:p w14:paraId="557F7CED" w14:textId="77777777" w:rsidR="0081075A" w:rsidRDefault="0081075A" w:rsidP="0081075A">
      <w:pPr>
        <w:pStyle w:val="Default"/>
        <w:jc w:val="both"/>
        <w:rPr>
          <w:u w:val="single"/>
        </w:rPr>
      </w:pPr>
      <w:r>
        <w:rPr>
          <w:u w:val="single"/>
        </w:rPr>
        <w:t xml:space="preserve">Now what? </w:t>
      </w:r>
    </w:p>
    <w:p w14:paraId="16E87EEB" w14:textId="77777777" w:rsidR="0081075A" w:rsidRDefault="0081075A" w:rsidP="0081075A">
      <w:pPr>
        <w:pStyle w:val="Default"/>
        <w:jc w:val="both"/>
        <w:rPr>
          <w:u w:val="single"/>
        </w:rPr>
      </w:pPr>
    </w:p>
    <w:p w14:paraId="7059C9A5" w14:textId="77777777" w:rsidR="0081075A" w:rsidRDefault="0081075A" w:rsidP="0081075A">
      <w:pPr>
        <w:pStyle w:val="Default"/>
        <w:jc w:val="both"/>
        <w:rPr>
          <w:sz w:val="22"/>
          <w:szCs w:val="22"/>
        </w:rPr>
      </w:pPr>
      <w:r>
        <w:rPr>
          <w:sz w:val="22"/>
          <w:szCs w:val="22"/>
        </w:rPr>
        <w:t xml:space="preserve">The above mentioned is just a brief insight into the vast amount of literature surrounding the discussion of the positive and negative aspects of media attention to public protection incidents. It appears that there is not necessarily one argument that favours the other. </w:t>
      </w:r>
    </w:p>
    <w:p w14:paraId="3F99BBB3" w14:textId="77777777" w:rsidR="0081075A" w:rsidRDefault="0081075A" w:rsidP="0081075A">
      <w:pPr>
        <w:pStyle w:val="Default"/>
        <w:jc w:val="both"/>
        <w:rPr>
          <w:sz w:val="22"/>
          <w:szCs w:val="22"/>
        </w:rPr>
      </w:pPr>
    </w:p>
    <w:p w14:paraId="07C28624" w14:textId="77777777" w:rsidR="0081075A" w:rsidRDefault="0081075A" w:rsidP="0081075A">
      <w:pPr>
        <w:pStyle w:val="Default"/>
        <w:jc w:val="both"/>
        <w:rPr>
          <w:sz w:val="22"/>
          <w:szCs w:val="22"/>
        </w:rPr>
      </w:pPr>
      <w:r>
        <w:rPr>
          <w:sz w:val="22"/>
          <w:szCs w:val="22"/>
        </w:rPr>
        <w:t xml:space="preserve">In my opinion, it appears as though for every positive aspect, a negative aspect can also be identified. Whilst the utilisation of the media in public protection incidents can be beneficial by progressing old investigations through the use of appeals, allowing victims to feel heard and in turn identifying further victims seeking justice, allowing for police and other organisations to hold themselves accountable for mistakes, encouraging improvement, and identifying and prosecuting violent offenders who would not be necessarily convicted by other means, it can also open the gates for a flood of further criticism of the police by the public. </w:t>
      </w:r>
    </w:p>
    <w:p w14:paraId="4CA0CAD3" w14:textId="77777777" w:rsidR="0081075A" w:rsidRDefault="0081075A" w:rsidP="0081075A">
      <w:pPr>
        <w:pStyle w:val="Default"/>
        <w:jc w:val="both"/>
        <w:rPr>
          <w:sz w:val="22"/>
          <w:szCs w:val="22"/>
        </w:rPr>
      </w:pPr>
    </w:p>
    <w:p w14:paraId="4F91DFE3" w14:textId="77777777" w:rsidR="0081075A" w:rsidRDefault="0081075A" w:rsidP="0081075A">
      <w:pPr>
        <w:pStyle w:val="Default"/>
        <w:jc w:val="both"/>
        <w:rPr>
          <w:sz w:val="22"/>
          <w:szCs w:val="22"/>
        </w:rPr>
      </w:pPr>
      <w:r>
        <w:rPr>
          <w:sz w:val="22"/>
          <w:szCs w:val="22"/>
        </w:rPr>
        <w:t xml:space="preserve">By identifying and publicising mistakes made by the police, this can instil a further lack of trust and confidence that the general public already holds. In addition to this, by appealing to the public for ongoing investigations, there is a risk for false information to be passed, as well as false victims, which can have a detrimental effect on an investigation. I believe going forward it is important that the police seek to better their relationship with the media, as media platforms are ever growing, and the interest in high profile public protection incidents are ever increasing. </w:t>
      </w:r>
    </w:p>
    <w:p w14:paraId="2A46DC23" w14:textId="77777777" w:rsidR="0081075A" w:rsidRDefault="0081075A" w:rsidP="0081075A"/>
    <w:p w14:paraId="2403E751" w14:textId="77777777" w:rsidR="0081075A" w:rsidRDefault="0081075A" w:rsidP="00490789">
      <w:pPr>
        <w:jc w:val="both"/>
      </w:pPr>
    </w:p>
    <w:p w14:paraId="594E3601" w14:textId="1CC74738" w:rsidR="00490789" w:rsidRPr="0081075A" w:rsidRDefault="00490789" w:rsidP="00490789">
      <w:pPr>
        <w:jc w:val="both"/>
      </w:pPr>
      <w:r w:rsidRPr="00490789">
        <w:rPr>
          <w:rFonts w:ascii="Arial" w:hAnsi="Arial" w:cs="Arial"/>
          <w:b/>
          <w:bCs/>
          <w:u w:val="single"/>
        </w:rPr>
        <w:lastRenderedPageBreak/>
        <w:t>Essay Five</w:t>
      </w:r>
    </w:p>
    <w:p w14:paraId="439E93BC" w14:textId="77777777" w:rsidR="00490789" w:rsidRPr="00EA1C72" w:rsidRDefault="00490789" w:rsidP="00490789">
      <w:pPr>
        <w:pStyle w:val="Default"/>
        <w:jc w:val="both"/>
        <w:rPr>
          <w:b/>
          <w:bCs/>
          <w:sz w:val="22"/>
          <w:szCs w:val="22"/>
        </w:rPr>
      </w:pPr>
      <w:r w:rsidRPr="00EA1C72">
        <w:rPr>
          <w:b/>
          <w:bCs/>
          <w:sz w:val="22"/>
          <w:szCs w:val="22"/>
        </w:rPr>
        <w:t xml:space="preserve">“Despite some progress, the system of juvenile justice in the United Kingdom remains excessively punitive. The state's response to juvenile crime should focus more on rehabilitation” (Hammarberg, 2012). Examine the effectiveness of rehabilitation and/or restorative justice as a means of reducing re-offending among young offenders. </w:t>
      </w:r>
    </w:p>
    <w:p w14:paraId="58FBD0B9" w14:textId="77777777" w:rsidR="000E72D2" w:rsidRDefault="000E72D2" w:rsidP="000E72D2">
      <w:pPr>
        <w:pStyle w:val="Default"/>
        <w:jc w:val="both"/>
        <w:rPr>
          <w:sz w:val="22"/>
          <w:szCs w:val="22"/>
        </w:rPr>
      </w:pPr>
    </w:p>
    <w:p w14:paraId="4F832F42" w14:textId="77777777" w:rsidR="000E72D2" w:rsidRDefault="000E72D2" w:rsidP="000E72D2">
      <w:pPr>
        <w:pStyle w:val="Default"/>
        <w:jc w:val="both"/>
        <w:rPr>
          <w:sz w:val="22"/>
          <w:szCs w:val="22"/>
        </w:rPr>
      </w:pPr>
    </w:p>
    <w:p w14:paraId="76B8DFF3" w14:textId="77777777" w:rsidR="000E72D2" w:rsidRPr="000E72D2" w:rsidRDefault="000E72D2" w:rsidP="000E72D2">
      <w:pPr>
        <w:pStyle w:val="Default"/>
        <w:jc w:val="both"/>
        <w:rPr>
          <w:sz w:val="22"/>
          <w:szCs w:val="22"/>
          <w:u w:val="single"/>
        </w:rPr>
      </w:pPr>
      <w:r w:rsidRPr="000E72D2">
        <w:rPr>
          <w:sz w:val="22"/>
          <w:szCs w:val="22"/>
          <w:u w:val="single"/>
        </w:rPr>
        <w:t xml:space="preserve">Introduction </w:t>
      </w:r>
    </w:p>
    <w:p w14:paraId="2D74597A" w14:textId="77777777" w:rsidR="000E72D2" w:rsidRPr="000E72D2" w:rsidRDefault="000E72D2" w:rsidP="000E72D2">
      <w:pPr>
        <w:pStyle w:val="Default"/>
        <w:jc w:val="both"/>
        <w:rPr>
          <w:sz w:val="22"/>
          <w:szCs w:val="22"/>
        </w:rPr>
      </w:pPr>
    </w:p>
    <w:p w14:paraId="63995BE2" w14:textId="77777777" w:rsidR="000E72D2" w:rsidRPr="000E72D2" w:rsidRDefault="000E72D2" w:rsidP="000E72D2">
      <w:pPr>
        <w:pStyle w:val="Default"/>
        <w:jc w:val="both"/>
        <w:rPr>
          <w:sz w:val="22"/>
          <w:szCs w:val="22"/>
        </w:rPr>
      </w:pPr>
      <w:r w:rsidRPr="000E72D2">
        <w:rPr>
          <w:sz w:val="22"/>
          <w:szCs w:val="22"/>
        </w:rPr>
        <w:t xml:space="preserve">This essay is a discussion on the reoffending rates among young offenders in the United Kingdom, and the effectiveness of rehabilitation and restorative justice as a means of reduction. The essay will also be structured using The Borton Model (2021). </w:t>
      </w:r>
    </w:p>
    <w:p w14:paraId="0D66E0A5" w14:textId="77777777" w:rsidR="000E72D2" w:rsidRPr="000E72D2" w:rsidRDefault="000E72D2" w:rsidP="000E72D2">
      <w:pPr>
        <w:pStyle w:val="Default"/>
        <w:jc w:val="both"/>
        <w:rPr>
          <w:sz w:val="22"/>
          <w:szCs w:val="22"/>
        </w:rPr>
      </w:pPr>
    </w:p>
    <w:p w14:paraId="3EC4D0DD" w14:textId="77777777" w:rsidR="000E72D2" w:rsidRPr="000E72D2" w:rsidRDefault="000E72D2" w:rsidP="000E72D2">
      <w:pPr>
        <w:pStyle w:val="Default"/>
        <w:jc w:val="both"/>
        <w:rPr>
          <w:sz w:val="22"/>
          <w:szCs w:val="22"/>
        </w:rPr>
      </w:pPr>
      <w:r w:rsidRPr="000E72D2">
        <w:rPr>
          <w:sz w:val="22"/>
          <w:szCs w:val="22"/>
        </w:rPr>
        <w:t xml:space="preserve">Offending rates among young people has previously been an increasing problem within England and Wales. Research has found that in recent years however, the number of reoffending juveniles has actually been decreasing. Statistics for March 2021 show that the number of juvenile offenders reported had actually decreased by 3 percent compared to the previous year (MoJ, 2023). </w:t>
      </w:r>
    </w:p>
    <w:p w14:paraId="1F8D8D99" w14:textId="77777777" w:rsidR="000E72D2" w:rsidRPr="000E72D2" w:rsidRDefault="000E72D2" w:rsidP="000E72D2">
      <w:pPr>
        <w:pStyle w:val="Default"/>
        <w:jc w:val="both"/>
        <w:rPr>
          <w:sz w:val="22"/>
          <w:szCs w:val="22"/>
        </w:rPr>
      </w:pPr>
    </w:p>
    <w:p w14:paraId="147DDBDC" w14:textId="77777777" w:rsidR="000E72D2" w:rsidRPr="000E72D2" w:rsidRDefault="000E72D2" w:rsidP="000E72D2">
      <w:pPr>
        <w:pStyle w:val="Default"/>
        <w:jc w:val="both"/>
        <w:rPr>
          <w:sz w:val="22"/>
          <w:szCs w:val="22"/>
        </w:rPr>
      </w:pPr>
      <w:r w:rsidRPr="000E72D2">
        <w:rPr>
          <w:sz w:val="22"/>
          <w:szCs w:val="22"/>
        </w:rPr>
        <w:t xml:space="preserve">However, despite the decrease in the overall record of juvenile offenders, they still remain the highest reoffenders, compared to adults. The Youth Justice Board (2021) published in their annual report that the reoffending rate for children was 34.2% compared to adults over the age of twenty-one, of whom the reoffending rate was 25.2%. </w:t>
      </w:r>
    </w:p>
    <w:p w14:paraId="3B684005" w14:textId="77777777" w:rsidR="000E72D2" w:rsidRPr="000E72D2" w:rsidRDefault="000E72D2" w:rsidP="000E72D2">
      <w:pPr>
        <w:pStyle w:val="Default"/>
        <w:jc w:val="both"/>
        <w:rPr>
          <w:sz w:val="22"/>
          <w:szCs w:val="22"/>
        </w:rPr>
      </w:pPr>
    </w:p>
    <w:p w14:paraId="296CC307" w14:textId="77777777" w:rsidR="000E72D2" w:rsidRPr="000E72D2" w:rsidRDefault="000E72D2" w:rsidP="000E72D2">
      <w:pPr>
        <w:pStyle w:val="Default"/>
        <w:jc w:val="both"/>
        <w:rPr>
          <w:sz w:val="22"/>
          <w:szCs w:val="22"/>
        </w:rPr>
      </w:pPr>
      <w:r w:rsidRPr="000E72D2">
        <w:rPr>
          <w:sz w:val="22"/>
          <w:szCs w:val="22"/>
        </w:rPr>
        <w:t xml:space="preserve">The Youth Justice Board (2024) stated for the year ending in March 2023, sentencing for children in court had increased by eight percent, for the first time in ten years. </w:t>
      </w:r>
    </w:p>
    <w:p w14:paraId="4C82BAC2" w14:textId="77777777" w:rsidR="000E72D2" w:rsidRPr="000E72D2" w:rsidRDefault="000E72D2" w:rsidP="000E72D2">
      <w:pPr>
        <w:pStyle w:val="Default"/>
        <w:jc w:val="both"/>
        <w:rPr>
          <w:sz w:val="22"/>
          <w:szCs w:val="22"/>
        </w:rPr>
      </w:pPr>
    </w:p>
    <w:p w14:paraId="10CA1EA6" w14:textId="77777777" w:rsidR="000E72D2" w:rsidRPr="000E72D2" w:rsidRDefault="000E72D2" w:rsidP="000E72D2">
      <w:pPr>
        <w:pStyle w:val="Default"/>
        <w:jc w:val="both"/>
        <w:rPr>
          <w:sz w:val="22"/>
          <w:szCs w:val="22"/>
          <w:u w:val="single"/>
        </w:rPr>
      </w:pPr>
      <w:r w:rsidRPr="000E72D2">
        <w:rPr>
          <w:sz w:val="22"/>
          <w:szCs w:val="22"/>
          <w:u w:val="single"/>
        </w:rPr>
        <w:t xml:space="preserve">What? </w:t>
      </w:r>
    </w:p>
    <w:p w14:paraId="3506876B" w14:textId="77777777" w:rsidR="000E72D2" w:rsidRPr="000E72D2" w:rsidRDefault="000E72D2" w:rsidP="000E72D2">
      <w:pPr>
        <w:pStyle w:val="Default"/>
        <w:jc w:val="both"/>
        <w:rPr>
          <w:sz w:val="22"/>
          <w:szCs w:val="22"/>
          <w:u w:val="single"/>
        </w:rPr>
      </w:pPr>
    </w:p>
    <w:p w14:paraId="5685E7CA" w14:textId="77777777" w:rsidR="000E72D2" w:rsidRPr="000E72D2" w:rsidRDefault="000E72D2" w:rsidP="000E72D2">
      <w:pPr>
        <w:pStyle w:val="Default"/>
        <w:jc w:val="both"/>
        <w:rPr>
          <w:sz w:val="22"/>
          <w:szCs w:val="22"/>
        </w:rPr>
      </w:pPr>
      <w:r w:rsidRPr="000E72D2">
        <w:rPr>
          <w:sz w:val="22"/>
          <w:szCs w:val="22"/>
        </w:rPr>
        <w:t xml:space="preserve">The reasoning behind Juvenile crime has long been studied and theorised. One of the most world-wide recognised reason is the Adverse Childhood Experience. </w:t>
      </w:r>
    </w:p>
    <w:p w14:paraId="6A1A1B01" w14:textId="77777777" w:rsidR="000E72D2" w:rsidRPr="000E72D2" w:rsidRDefault="000E72D2" w:rsidP="000E72D2">
      <w:pPr>
        <w:pStyle w:val="Default"/>
        <w:jc w:val="both"/>
        <w:rPr>
          <w:sz w:val="22"/>
          <w:szCs w:val="22"/>
        </w:rPr>
      </w:pPr>
    </w:p>
    <w:p w14:paraId="068AE16A" w14:textId="77777777" w:rsidR="000E72D2" w:rsidRPr="000E72D2" w:rsidRDefault="000E72D2" w:rsidP="000E72D2">
      <w:pPr>
        <w:pStyle w:val="Default"/>
        <w:jc w:val="both"/>
        <w:rPr>
          <w:sz w:val="22"/>
          <w:szCs w:val="22"/>
        </w:rPr>
      </w:pPr>
      <w:r w:rsidRPr="000E72D2">
        <w:rPr>
          <w:sz w:val="22"/>
          <w:szCs w:val="22"/>
        </w:rPr>
        <w:t xml:space="preserve">ACEs are understood as traumatic events experienced by a child that have a detrimental impact on their later life. These experiences have been categorised into ten events which include but are not limited to; physical and sexual abuse, neglect, witnessing domestic abuse or having a parent with mental health and/or drug misuse problems (Asmussen et al, 2020). </w:t>
      </w:r>
    </w:p>
    <w:p w14:paraId="18F65024" w14:textId="77777777" w:rsidR="000E72D2" w:rsidRPr="000E72D2" w:rsidRDefault="000E72D2" w:rsidP="000E72D2">
      <w:pPr>
        <w:pStyle w:val="Default"/>
        <w:jc w:val="both"/>
        <w:rPr>
          <w:sz w:val="22"/>
          <w:szCs w:val="22"/>
        </w:rPr>
      </w:pPr>
    </w:p>
    <w:p w14:paraId="3C6D2422" w14:textId="77777777" w:rsidR="000E72D2" w:rsidRPr="000E72D2" w:rsidRDefault="000E72D2" w:rsidP="000E72D2">
      <w:pPr>
        <w:pStyle w:val="Default"/>
        <w:jc w:val="both"/>
        <w:rPr>
          <w:sz w:val="22"/>
          <w:szCs w:val="22"/>
        </w:rPr>
      </w:pPr>
      <w:r w:rsidRPr="000E72D2">
        <w:rPr>
          <w:sz w:val="22"/>
          <w:szCs w:val="22"/>
        </w:rPr>
        <w:t xml:space="preserve">Research has found a consistency between justice involved children, and those characterised by ACEs (Gray et al, 2021). In Gray et al’s 2010 report, it was found that of the 200 children assessed in the report having committed serious youth violence, two thirds had experienced one or more ACEs. </w:t>
      </w:r>
    </w:p>
    <w:p w14:paraId="421008E3" w14:textId="77777777" w:rsidR="000E72D2" w:rsidRPr="000E72D2" w:rsidRDefault="000E72D2" w:rsidP="000E72D2">
      <w:pPr>
        <w:pStyle w:val="Default"/>
        <w:jc w:val="both"/>
        <w:rPr>
          <w:sz w:val="22"/>
          <w:szCs w:val="22"/>
        </w:rPr>
      </w:pPr>
    </w:p>
    <w:p w14:paraId="7C31D2D0" w14:textId="77777777" w:rsidR="000E72D2" w:rsidRPr="000E72D2" w:rsidRDefault="000E72D2" w:rsidP="000E72D2">
      <w:pPr>
        <w:pStyle w:val="Default"/>
        <w:jc w:val="both"/>
        <w:rPr>
          <w:sz w:val="22"/>
          <w:szCs w:val="22"/>
        </w:rPr>
      </w:pPr>
      <w:r w:rsidRPr="000E72D2">
        <w:rPr>
          <w:sz w:val="22"/>
          <w:szCs w:val="22"/>
        </w:rPr>
        <w:t xml:space="preserve">Additionally to this, Sadiq Khan in an analysis in 2021 suggested the pandemic played a crucial role in the increase of young people participating in crime (London Assembly, 2021). </w:t>
      </w:r>
    </w:p>
    <w:p w14:paraId="1E717A6A" w14:textId="77777777" w:rsidR="000E72D2" w:rsidRPr="000E72D2" w:rsidRDefault="000E72D2" w:rsidP="000E72D2">
      <w:pPr>
        <w:pStyle w:val="Default"/>
        <w:jc w:val="both"/>
        <w:rPr>
          <w:sz w:val="22"/>
          <w:szCs w:val="22"/>
        </w:rPr>
      </w:pPr>
    </w:p>
    <w:p w14:paraId="0271E9F0" w14:textId="77777777" w:rsidR="000E72D2" w:rsidRPr="000E72D2" w:rsidRDefault="000E72D2" w:rsidP="000E72D2">
      <w:pPr>
        <w:pStyle w:val="Default"/>
        <w:jc w:val="both"/>
        <w:rPr>
          <w:sz w:val="22"/>
          <w:szCs w:val="22"/>
        </w:rPr>
      </w:pPr>
      <w:r w:rsidRPr="000E72D2">
        <w:rPr>
          <w:sz w:val="22"/>
          <w:szCs w:val="22"/>
        </w:rPr>
        <w:t xml:space="preserve">Currently, there is an independent body in place for supporting children involved within the criminal justice system. This is the Youth Offending Service. This service help in a number of ways by; running crime prevention programmes, supporting young people and their families at the arrest and court process. They also work in partnership with the police and probation service if a young offender has received a custodial sentence (Gov.uk, 2024). The aim of the YOS, is to prevent anti-social behaviour and reoffending of young people aged between ten and seventeen. </w:t>
      </w:r>
    </w:p>
    <w:p w14:paraId="39F06639" w14:textId="77777777" w:rsidR="000E72D2" w:rsidRPr="000E72D2" w:rsidRDefault="000E72D2" w:rsidP="000E72D2">
      <w:pPr>
        <w:pStyle w:val="Default"/>
        <w:jc w:val="both"/>
        <w:rPr>
          <w:sz w:val="22"/>
          <w:szCs w:val="22"/>
        </w:rPr>
      </w:pPr>
    </w:p>
    <w:p w14:paraId="67283CDB" w14:textId="77777777" w:rsidR="000E72D2" w:rsidRPr="000E72D2" w:rsidRDefault="000E72D2" w:rsidP="000E72D2">
      <w:pPr>
        <w:pStyle w:val="Default"/>
        <w:jc w:val="both"/>
        <w:rPr>
          <w:sz w:val="22"/>
          <w:szCs w:val="22"/>
        </w:rPr>
      </w:pPr>
      <w:r w:rsidRPr="000E72D2">
        <w:rPr>
          <w:sz w:val="22"/>
          <w:szCs w:val="22"/>
          <w:u w:val="single"/>
        </w:rPr>
        <w:t xml:space="preserve">So what? </w:t>
      </w:r>
    </w:p>
    <w:p w14:paraId="0DB37EE5" w14:textId="77777777" w:rsidR="000E72D2" w:rsidRPr="000E72D2" w:rsidRDefault="000E72D2" w:rsidP="000E72D2">
      <w:pPr>
        <w:pStyle w:val="Default"/>
        <w:jc w:val="both"/>
        <w:rPr>
          <w:sz w:val="22"/>
          <w:szCs w:val="22"/>
          <w:u w:val="single"/>
        </w:rPr>
      </w:pPr>
    </w:p>
    <w:p w14:paraId="3A17DFCC" w14:textId="77777777" w:rsidR="000E72D2" w:rsidRPr="000E72D2" w:rsidRDefault="000E72D2" w:rsidP="000E72D2">
      <w:pPr>
        <w:pStyle w:val="Default"/>
        <w:jc w:val="both"/>
        <w:rPr>
          <w:sz w:val="22"/>
          <w:szCs w:val="22"/>
        </w:rPr>
      </w:pPr>
      <w:r w:rsidRPr="000E72D2">
        <w:rPr>
          <w:sz w:val="22"/>
          <w:szCs w:val="22"/>
        </w:rPr>
        <w:t xml:space="preserve">The way in which the local Youth Offending Teams carry out these aims of reduction, is through the use of restorative justice and rehabilitation. Restorative justice is the process in which both the victim and offender collectively resolve the outcome of an incident. This can be done face to face or through a third party (CPS, 2023). </w:t>
      </w:r>
    </w:p>
    <w:p w14:paraId="40F16F53" w14:textId="77777777" w:rsidR="000E72D2" w:rsidRPr="000E72D2" w:rsidRDefault="000E72D2" w:rsidP="000E72D2">
      <w:pPr>
        <w:pStyle w:val="Default"/>
        <w:jc w:val="both"/>
        <w:rPr>
          <w:sz w:val="22"/>
          <w:szCs w:val="22"/>
        </w:rPr>
      </w:pPr>
    </w:p>
    <w:p w14:paraId="0948914E" w14:textId="77777777" w:rsidR="000E72D2" w:rsidRPr="000E72D2" w:rsidRDefault="000E72D2" w:rsidP="000E72D2">
      <w:pPr>
        <w:pStyle w:val="Default"/>
        <w:jc w:val="both"/>
        <w:rPr>
          <w:sz w:val="22"/>
          <w:szCs w:val="22"/>
        </w:rPr>
      </w:pPr>
      <w:r w:rsidRPr="000E72D2">
        <w:rPr>
          <w:sz w:val="22"/>
          <w:szCs w:val="22"/>
        </w:rPr>
        <w:t xml:space="preserve">Research has found that restorative justice has an overall positive effective outcome for both offenders and victims. In 2015, it was found that 75% of victims who participated in the restorative justice process were overall satisfied and would recommend the process to other people (RJC, 2015). In addition, face to face meetings with the victim reduced the rate of reoffending by 14%. </w:t>
      </w:r>
    </w:p>
    <w:p w14:paraId="3FFB221F" w14:textId="77777777" w:rsidR="000E72D2" w:rsidRPr="000E72D2" w:rsidRDefault="000E72D2" w:rsidP="000E72D2">
      <w:pPr>
        <w:pStyle w:val="Default"/>
        <w:jc w:val="both"/>
        <w:rPr>
          <w:sz w:val="22"/>
          <w:szCs w:val="22"/>
        </w:rPr>
      </w:pPr>
    </w:p>
    <w:p w14:paraId="2058CF5D" w14:textId="77777777" w:rsidR="000E72D2" w:rsidRPr="000E72D2" w:rsidRDefault="000E72D2" w:rsidP="000E72D2">
      <w:pPr>
        <w:pStyle w:val="Default"/>
        <w:jc w:val="both"/>
        <w:rPr>
          <w:sz w:val="22"/>
          <w:szCs w:val="22"/>
        </w:rPr>
      </w:pPr>
      <w:r w:rsidRPr="000E72D2">
        <w:rPr>
          <w:sz w:val="22"/>
          <w:szCs w:val="22"/>
        </w:rPr>
        <w:t>In addition to this is the use of rehabilitation. Youth Rehabilitation Orders are court issued orders designed to punish, protect the public and reduce reoffending. Orders can be issued in the form of; unpaid work, curfews, attendance to specific programmes relating to the offence committed and/or mental health and drug and alcohol treatment (MoJ, 2021).</w:t>
      </w:r>
    </w:p>
    <w:p w14:paraId="0A17DCEF" w14:textId="77777777" w:rsidR="000E72D2" w:rsidRPr="000E72D2" w:rsidRDefault="000E72D2" w:rsidP="000E72D2">
      <w:pPr>
        <w:pStyle w:val="Default"/>
        <w:jc w:val="both"/>
        <w:rPr>
          <w:sz w:val="22"/>
          <w:szCs w:val="22"/>
        </w:rPr>
      </w:pPr>
    </w:p>
    <w:p w14:paraId="50836E80" w14:textId="77777777" w:rsidR="000E72D2" w:rsidRPr="000E72D2" w:rsidRDefault="000E72D2" w:rsidP="000E72D2">
      <w:pPr>
        <w:pStyle w:val="Default"/>
        <w:jc w:val="both"/>
        <w:rPr>
          <w:sz w:val="22"/>
          <w:szCs w:val="22"/>
        </w:rPr>
      </w:pPr>
      <w:r w:rsidRPr="000E72D2">
        <w:rPr>
          <w:sz w:val="22"/>
          <w:szCs w:val="22"/>
        </w:rPr>
        <w:t>In a study conducted on the effectiveness of young offenders’ participation in the above named programmes, it was found that within the control group, those who received the programme were less likely to reoffend later on by 33% (CoP, 2017).</w:t>
      </w:r>
    </w:p>
    <w:p w14:paraId="5D330EBF" w14:textId="77777777" w:rsidR="000E72D2" w:rsidRPr="000E72D2" w:rsidRDefault="000E72D2" w:rsidP="000E72D2">
      <w:pPr>
        <w:pStyle w:val="Default"/>
        <w:jc w:val="both"/>
        <w:rPr>
          <w:sz w:val="22"/>
          <w:szCs w:val="22"/>
        </w:rPr>
      </w:pPr>
    </w:p>
    <w:p w14:paraId="0AC9A4F5" w14:textId="77777777" w:rsidR="000E72D2" w:rsidRPr="000E72D2" w:rsidRDefault="000E72D2" w:rsidP="000E72D2">
      <w:pPr>
        <w:pStyle w:val="Default"/>
        <w:jc w:val="both"/>
        <w:rPr>
          <w:sz w:val="22"/>
          <w:szCs w:val="22"/>
        </w:rPr>
      </w:pPr>
      <w:r w:rsidRPr="000E72D2">
        <w:rPr>
          <w:sz w:val="22"/>
          <w:szCs w:val="22"/>
        </w:rPr>
        <w:t>However, there may be some limitations to the use of this process. Manica (2022) found that whilst face to face meetings with the victim’s families appeared to have more of a positive effect towards reoffending rates in young offenders compared to meetings with just the victim and offender, this effect in turn vanished over time.</w:t>
      </w:r>
    </w:p>
    <w:p w14:paraId="74CA103C" w14:textId="77777777" w:rsidR="000E72D2" w:rsidRPr="000E72D2" w:rsidRDefault="000E72D2" w:rsidP="000E72D2">
      <w:pPr>
        <w:pStyle w:val="Default"/>
        <w:jc w:val="both"/>
        <w:rPr>
          <w:sz w:val="22"/>
          <w:szCs w:val="22"/>
        </w:rPr>
      </w:pPr>
    </w:p>
    <w:p w14:paraId="0543329D" w14:textId="77777777" w:rsidR="000E72D2" w:rsidRPr="000E72D2" w:rsidRDefault="000E72D2" w:rsidP="000E72D2">
      <w:pPr>
        <w:pStyle w:val="Default"/>
        <w:jc w:val="both"/>
        <w:rPr>
          <w:sz w:val="22"/>
          <w:szCs w:val="22"/>
          <w:u w:val="single"/>
        </w:rPr>
      </w:pPr>
      <w:r w:rsidRPr="000E72D2">
        <w:rPr>
          <w:sz w:val="22"/>
          <w:szCs w:val="22"/>
          <w:u w:val="single"/>
        </w:rPr>
        <w:t xml:space="preserve">Now what? </w:t>
      </w:r>
    </w:p>
    <w:p w14:paraId="7DF96BED" w14:textId="77777777" w:rsidR="000E72D2" w:rsidRPr="000E72D2" w:rsidRDefault="000E72D2" w:rsidP="000E72D2">
      <w:pPr>
        <w:pStyle w:val="Default"/>
        <w:jc w:val="both"/>
        <w:rPr>
          <w:sz w:val="22"/>
          <w:szCs w:val="22"/>
          <w:u w:val="single"/>
        </w:rPr>
      </w:pPr>
    </w:p>
    <w:p w14:paraId="64AE5A75" w14:textId="77777777" w:rsidR="000E72D2" w:rsidRPr="000E72D2" w:rsidRDefault="000E72D2" w:rsidP="000E72D2">
      <w:pPr>
        <w:jc w:val="both"/>
        <w:rPr>
          <w:rFonts w:ascii="Arial" w:hAnsi="Arial" w:cs="Arial"/>
        </w:rPr>
      </w:pPr>
      <w:r w:rsidRPr="000E72D2">
        <w:rPr>
          <w:rFonts w:ascii="Arial" w:hAnsi="Arial" w:cs="Arial"/>
        </w:rPr>
        <w:t xml:space="preserve">Since the identification of factors that contribute towards youth offending, there has been ample research and support developed in order to reduce the likelihood of reoffending. Youth Offending Teams do a lot to support offenders throughout the criminal justice system, as well as support victims of crime, by ensuring they are satisfied with the outcome of an offence. </w:t>
      </w:r>
    </w:p>
    <w:p w14:paraId="0FD121FC" w14:textId="77777777" w:rsidR="000E72D2" w:rsidRPr="000E72D2" w:rsidRDefault="000E72D2" w:rsidP="000E72D2">
      <w:pPr>
        <w:jc w:val="both"/>
        <w:rPr>
          <w:rFonts w:ascii="Arial" w:hAnsi="Arial" w:cs="Arial"/>
        </w:rPr>
      </w:pPr>
      <w:r w:rsidRPr="000E72D2">
        <w:rPr>
          <w:rFonts w:ascii="Arial" w:hAnsi="Arial" w:cs="Arial"/>
        </w:rPr>
        <w:t xml:space="preserve">There is sufficient evidence to suggest that the uses of restorative justice and rehabilitation methods do have a positive impact on the current reoffending rate within England and Wales. </w:t>
      </w:r>
    </w:p>
    <w:p w14:paraId="1ACB137D" w14:textId="65116E1A" w:rsidR="000E72D2" w:rsidRPr="000E72D2" w:rsidRDefault="000E72D2" w:rsidP="000E72D2">
      <w:pPr>
        <w:pStyle w:val="Default"/>
        <w:jc w:val="both"/>
        <w:rPr>
          <w:sz w:val="22"/>
          <w:szCs w:val="22"/>
        </w:rPr>
      </w:pPr>
      <w:r w:rsidRPr="000E72D2">
        <w:rPr>
          <w:sz w:val="22"/>
          <w:szCs w:val="22"/>
        </w:rPr>
        <w:t>However there is also evidence to suggest the impact is short lived. Whilst having physical contact with the victim’s families may have a significant impact on the offender at the time, it may not be that impactful as to have a long lasting effect on the offender when they commit a further crime involving a new victim. Additionally, there is still a high and steadily increasing rate of reoffending in young people within England and Wales, suggesting improvements need to be made on the use of rehabilitation as a form of effective recidivism.</w:t>
      </w:r>
    </w:p>
    <w:p w14:paraId="44F3654A" w14:textId="77777777" w:rsidR="000E72D2" w:rsidRDefault="000E72D2" w:rsidP="00490789">
      <w:pPr>
        <w:pStyle w:val="Default"/>
        <w:jc w:val="both"/>
        <w:rPr>
          <w:sz w:val="22"/>
          <w:szCs w:val="22"/>
        </w:rPr>
      </w:pPr>
    </w:p>
    <w:p w14:paraId="31177D04" w14:textId="77777777" w:rsidR="000E72D2" w:rsidRDefault="000E72D2" w:rsidP="00490789">
      <w:pPr>
        <w:pStyle w:val="Default"/>
        <w:jc w:val="both"/>
        <w:rPr>
          <w:sz w:val="22"/>
          <w:szCs w:val="22"/>
        </w:rPr>
      </w:pPr>
    </w:p>
    <w:p w14:paraId="13933D40" w14:textId="77777777" w:rsidR="000E72D2" w:rsidRDefault="000E72D2" w:rsidP="00490789">
      <w:pPr>
        <w:pStyle w:val="Default"/>
        <w:jc w:val="both"/>
        <w:rPr>
          <w:sz w:val="22"/>
          <w:szCs w:val="22"/>
        </w:rPr>
      </w:pPr>
    </w:p>
    <w:p w14:paraId="25AAECC6" w14:textId="1CB0D5E5" w:rsidR="00490789" w:rsidRDefault="0081075A" w:rsidP="00490789">
      <w:pPr>
        <w:jc w:val="both"/>
        <w:rPr>
          <w:rFonts w:ascii="Arial" w:hAnsi="Arial" w:cs="Arial"/>
          <w:b/>
          <w:bCs/>
          <w:u w:val="single"/>
        </w:rPr>
      </w:pPr>
      <w:r w:rsidRPr="0081075A">
        <w:rPr>
          <w:rFonts w:ascii="Arial" w:hAnsi="Arial" w:cs="Arial"/>
          <w:b/>
          <w:bCs/>
          <w:u w:val="single"/>
        </w:rPr>
        <w:t xml:space="preserve">Bibliography </w:t>
      </w:r>
    </w:p>
    <w:p w14:paraId="6965496A" w14:textId="77777777" w:rsidR="0081075A" w:rsidRDefault="0081075A" w:rsidP="00490789">
      <w:pPr>
        <w:jc w:val="both"/>
        <w:rPr>
          <w:rFonts w:ascii="Arial" w:hAnsi="Arial" w:cs="Arial"/>
          <w:b/>
          <w:bCs/>
          <w:u w:val="single"/>
        </w:rPr>
      </w:pPr>
    </w:p>
    <w:p w14:paraId="059C3E16"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t xml:space="preserve">Asmussen, K., Fischer, F., Drayton, E., McBride, T. (2020) ‘Adverse childhood experiences: What we know, what we don’t know, and what should happen next’ Available at: </w:t>
      </w:r>
      <w:hyperlink r:id="rId4" w:history="1">
        <w:r w:rsidRPr="00FB1A72">
          <w:rPr>
            <w:rStyle w:val="Hyperlink"/>
            <w:rFonts w:ascii="Arial" w:hAnsi="Arial" w:cs="Arial"/>
            <w:color w:val="auto"/>
            <w:shd w:val="clear" w:color="auto" w:fill="FFFFFF"/>
          </w:rPr>
          <w:t>https://www.eif.org.uk/report/adverse-childhood-experiences-what-we-know-what-we-dont-know-and-what-should-happen-next</w:t>
        </w:r>
      </w:hyperlink>
      <w:r w:rsidRPr="00FB1A72">
        <w:rPr>
          <w:rFonts w:ascii="Arial" w:hAnsi="Arial" w:cs="Arial"/>
          <w:shd w:val="clear" w:color="auto" w:fill="FFFFFF"/>
        </w:rPr>
        <w:t xml:space="preserve"> (Accessed: 21</w:t>
      </w:r>
      <w:r w:rsidRPr="00FB1A72">
        <w:rPr>
          <w:rFonts w:ascii="Arial" w:hAnsi="Arial" w:cs="Arial"/>
          <w:shd w:val="clear" w:color="auto" w:fill="FFFFFF"/>
          <w:vertAlign w:val="superscript"/>
        </w:rPr>
        <w:t>st</w:t>
      </w:r>
      <w:r w:rsidRPr="00FB1A72">
        <w:rPr>
          <w:rFonts w:ascii="Arial" w:hAnsi="Arial" w:cs="Arial"/>
          <w:shd w:val="clear" w:color="auto" w:fill="FFFFFF"/>
        </w:rPr>
        <w:t xml:space="preserve"> January 2024). </w:t>
      </w:r>
    </w:p>
    <w:p w14:paraId="56068372" w14:textId="77777777" w:rsidR="0081075A" w:rsidRPr="00FB1A72" w:rsidRDefault="0081075A" w:rsidP="0081075A">
      <w:pPr>
        <w:jc w:val="both"/>
        <w:rPr>
          <w:rFonts w:ascii="Arial" w:hAnsi="Arial" w:cs="Arial"/>
          <w:shd w:val="clear" w:color="auto" w:fill="FFFFFF"/>
        </w:rPr>
      </w:pPr>
    </w:p>
    <w:p w14:paraId="52ED81C2" w14:textId="77777777" w:rsidR="0081075A" w:rsidRDefault="0081075A" w:rsidP="0081075A">
      <w:pPr>
        <w:jc w:val="both"/>
        <w:rPr>
          <w:rFonts w:ascii="Arial" w:hAnsi="Arial" w:cs="Arial"/>
        </w:rPr>
      </w:pPr>
      <w:r w:rsidRPr="00FB1A72">
        <w:rPr>
          <w:rFonts w:ascii="Arial" w:hAnsi="Arial" w:cs="Arial"/>
        </w:rPr>
        <w:lastRenderedPageBreak/>
        <w:t>Bennett, K (2020) The media as an investigative resource : reflections from English cold</w:t>
      </w:r>
      <w:r w:rsidRPr="00FB1A72">
        <w:rPr>
          <w:rFonts w:ascii="Arial" w:hAnsi="Arial" w:cs="Arial"/>
        </w:rPr>
        <w:t xml:space="preserve">case units. Journal of Criminal Psychology, 10 (2). pp. 145-166. ISSN 2009-3829 DOI: </w:t>
      </w:r>
      <w:hyperlink r:id="rId5" w:history="1">
        <w:r w:rsidRPr="00FB1A72">
          <w:rPr>
            <w:rStyle w:val="Hyperlink"/>
            <w:rFonts w:ascii="Arial" w:hAnsi="Arial" w:cs="Arial"/>
            <w:color w:val="auto"/>
          </w:rPr>
          <w:t>https://doi.org/10.1108/jcp-02-2020-0009</w:t>
        </w:r>
      </w:hyperlink>
      <w:r w:rsidRPr="00FB1A72">
        <w:rPr>
          <w:rFonts w:ascii="Arial" w:hAnsi="Arial" w:cs="Arial"/>
        </w:rPr>
        <w:t xml:space="preserve"> </w:t>
      </w:r>
    </w:p>
    <w:p w14:paraId="7C97C50B" w14:textId="77777777" w:rsidR="0081075A" w:rsidRPr="00FB1A72" w:rsidRDefault="0081075A" w:rsidP="0081075A">
      <w:pPr>
        <w:jc w:val="both"/>
        <w:rPr>
          <w:rFonts w:ascii="Arial" w:hAnsi="Arial" w:cs="Arial"/>
          <w:shd w:val="clear" w:color="auto" w:fill="FFFFFF"/>
        </w:rPr>
      </w:pPr>
    </w:p>
    <w:p w14:paraId="656F2178"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t xml:space="preserve">Cheshire Constabulary (2024) Public Protection  Available at: </w:t>
      </w:r>
      <w:hyperlink r:id="rId6" w:history="1">
        <w:r w:rsidRPr="00FB1A72">
          <w:rPr>
            <w:rStyle w:val="Hyperlink"/>
            <w:rFonts w:ascii="Arial" w:hAnsi="Arial" w:cs="Arial"/>
            <w:color w:val="auto"/>
            <w:shd w:val="clear" w:color="auto" w:fill="FFFFFF"/>
          </w:rPr>
          <w:t>https://www.cheshire.police.uk/police-forces/cheshire-constabulary/areas/cheshire/about-us/about-us/public-protection/</w:t>
        </w:r>
      </w:hyperlink>
      <w:r w:rsidRPr="00FB1A72">
        <w:rPr>
          <w:rFonts w:ascii="Arial" w:hAnsi="Arial" w:cs="Arial"/>
          <w:shd w:val="clear" w:color="auto" w:fill="FFFFFF"/>
        </w:rPr>
        <w:t xml:space="preserve"> (Accessed: 27</w:t>
      </w:r>
      <w:r w:rsidRPr="00FB1A72">
        <w:rPr>
          <w:rFonts w:ascii="Arial" w:hAnsi="Arial" w:cs="Arial"/>
          <w:shd w:val="clear" w:color="auto" w:fill="FFFFFF"/>
          <w:vertAlign w:val="superscript"/>
        </w:rPr>
        <w:t>th</w:t>
      </w:r>
      <w:r w:rsidRPr="00FB1A72">
        <w:rPr>
          <w:rFonts w:ascii="Arial" w:hAnsi="Arial" w:cs="Arial"/>
          <w:shd w:val="clear" w:color="auto" w:fill="FFFFFF"/>
        </w:rPr>
        <w:t xml:space="preserve"> January 2024). </w:t>
      </w:r>
    </w:p>
    <w:p w14:paraId="7363D6C7" w14:textId="77777777" w:rsidR="0081075A" w:rsidRPr="00FB1A72" w:rsidRDefault="0081075A" w:rsidP="0081075A">
      <w:pPr>
        <w:jc w:val="both"/>
        <w:rPr>
          <w:rFonts w:ascii="Arial" w:hAnsi="Arial" w:cs="Arial"/>
          <w:shd w:val="clear" w:color="auto" w:fill="FFFFFF"/>
        </w:rPr>
      </w:pPr>
    </w:p>
    <w:p w14:paraId="5833767E"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t>Colin Rogers 1955- author (Ed.). (2017). </w:t>
      </w:r>
      <w:r w:rsidRPr="00FB1A72">
        <w:rPr>
          <w:rFonts w:ascii="Arial" w:hAnsi="Arial" w:cs="Arial"/>
          <w:i/>
          <w:iCs/>
          <w:shd w:val="clear" w:color="auto" w:fill="FFFFFF"/>
        </w:rPr>
        <w:t>Plural policing : theory and practice</w:t>
      </w:r>
      <w:r w:rsidRPr="00FB1A72">
        <w:rPr>
          <w:rFonts w:ascii="Arial" w:hAnsi="Arial" w:cs="Arial"/>
          <w:shd w:val="clear" w:color="auto" w:fill="FFFFFF"/>
        </w:rPr>
        <w:t>. Policy Press</w:t>
      </w:r>
    </w:p>
    <w:p w14:paraId="4955B6AF" w14:textId="77777777" w:rsidR="0081075A" w:rsidRPr="00FB1A72" w:rsidRDefault="0081075A" w:rsidP="0081075A">
      <w:pPr>
        <w:jc w:val="both"/>
        <w:rPr>
          <w:rFonts w:ascii="Arial" w:hAnsi="Arial" w:cs="Arial"/>
          <w:shd w:val="clear" w:color="auto" w:fill="FFFFFF"/>
        </w:rPr>
      </w:pPr>
    </w:p>
    <w:p w14:paraId="784E3B87"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t xml:space="preserve">College of Policing (2017) Youth offending aftercare  Available at: </w:t>
      </w:r>
      <w:hyperlink r:id="rId7" w:anchor=":~:text=In%20studies%20with%20a%20large,not%20receive%20an%20aftercare%20programme" w:history="1">
        <w:r w:rsidRPr="00FB1A72">
          <w:rPr>
            <w:rStyle w:val="Hyperlink"/>
            <w:rFonts w:ascii="Arial" w:hAnsi="Arial" w:cs="Arial"/>
            <w:color w:val="auto"/>
            <w:shd w:val="clear" w:color="auto" w:fill="FFFFFF"/>
          </w:rPr>
          <w:t>https://www.college.police.uk/research/crime-reduction-toolkit/young-offender-aftercare#:~:text=In%20studies%20with%20a%20large,not%20receive%20an%20aftercare%20programme</w:t>
        </w:r>
      </w:hyperlink>
      <w:r w:rsidRPr="00FB1A72">
        <w:rPr>
          <w:rFonts w:ascii="Arial" w:hAnsi="Arial" w:cs="Arial"/>
          <w:shd w:val="clear" w:color="auto" w:fill="FFFFFF"/>
        </w:rPr>
        <w:t>. (Accessed: 27</w:t>
      </w:r>
      <w:r w:rsidRPr="00FB1A72">
        <w:rPr>
          <w:rFonts w:ascii="Arial" w:hAnsi="Arial" w:cs="Arial"/>
          <w:shd w:val="clear" w:color="auto" w:fill="FFFFFF"/>
          <w:vertAlign w:val="superscript"/>
        </w:rPr>
        <w:t>th</w:t>
      </w:r>
      <w:r w:rsidRPr="00FB1A72">
        <w:rPr>
          <w:rFonts w:ascii="Arial" w:hAnsi="Arial" w:cs="Arial"/>
          <w:shd w:val="clear" w:color="auto" w:fill="FFFFFF"/>
        </w:rPr>
        <w:t xml:space="preserve"> January 2024). </w:t>
      </w:r>
    </w:p>
    <w:p w14:paraId="6C4E8FB8" w14:textId="77777777" w:rsidR="0081075A" w:rsidRPr="00FB1A72" w:rsidRDefault="0081075A" w:rsidP="0081075A">
      <w:pPr>
        <w:jc w:val="both"/>
        <w:rPr>
          <w:rFonts w:ascii="Arial" w:hAnsi="Arial" w:cs="Arial"/>
          <w:shd w:val="clear" w:color="auto" w:fill="FFFFFF"/>
        </w:rPr>
      </w:pPr>
    </w:p>
    <w:p w14:paraId="1CEC726B" w14:textId="77777777" w:rsidR="0081075A" w:rsidRDefault="0081075A" w:rsidP="0081075A">
      <w:pPr>
        <w:jc w:val="both"/>
        <w:rPr>
          <w:rFonts w:ascii="Arial" w:hAnsi="Arial" w:cs="Arial"/>
        </w:rPr>
      </w:pPr>
      <w:r w:rsidRPr="00FB1A72">
        <w:rPr>
          <w:rFonts w:ascii="Arial" w:hAnsi="Arial" w:cs="Arial"/>
        </w:rPr>
        <w:t xml:space="preserve">College of Policing (2020) Introduction to Initial Accounts   Available at: </w:t>
      </w:r>
      <w:hyperlink r:id="rId8" w:history="1">
        <w:r w:rsidRPr="00FB1A72">
          <w:rPr>
            <w:rStyle w:val="Hyperlink"/>
            <w:rFonts w:ascii="Arial" w:hAnsi="Arial" w:cs="Arial"/>
            <w:color w:val="auto"/>
          </w:rPr>
          <w:t>https://www.college.police.uk/guidance/obtaining-initial-accounts/introduction-initial-accounts</w:t>
        </w:r>
      </w:hyperlink>
      <w:r w:rsidRPr="00FB1A72">
        <w:rPr>
          <w:rFonts w:ascii="Arial" w:hAnsi="Arial" w:cs="Arial"/>
        </w:rPr>
        <w:t xml:space="preserve"> (Accessed: 18</w:t>
      </w:r>
      <w:r w:rsidRPr="00FB1A72">
        <w:rPr>
          <w:rFonts w:ascii="Arial" w:hAnsi="Arial" w:cs="Arial"/>
          <w:vertAlign w:val="superscript"/>
        </w:rPr>
        <w:t>th</w:t>
      </w:r>
      <w:r w:rsidRPr="00FB1A72">
        <w:rPr>
          <w:rFonts w:ascii="Arial" w:hAnsi="Arial" w:cs="Arial"/>
        </w:rPr>
        <w:t xml:space="preserve"> January 2024).</w:t>
      </w:r>
    </w:p>
    <w:p w14:paraId="35EE2DFE" w14:textId="77777777" w:rsidR="0081075A" w:rsidRPr="00FB1A72" w:rsidRDefault="0081075A" w:rsidP="0081075A">
      <w:pPr>
        <w:jc w:val="both"/>
        <w:rPr>
          <w:rFonts w:ascii="Arial" w:hAnsi="Arial" w:cs="Arial"/>
        </w:rPr>
      </w:pPr>
    </w:p>
    <w:p w14:paraId="0D6728D1" w14:textId="77777777" w:rsidR="0081075A" w:rsidRDefault="0081075A" w:rsidP="0081075A">
      <w:pPr>
        <w:jc w:val="both"/>
        <w:rPr>
          <w:rFonts w:ascii="Arial" w:hAnsi="Arial" w:cs="Arial"/>
        </w:rPr>
      </w:pPr>
      <w:r w:rsidRPr="00FB1A72">
        <w:rPr>
          <w:rFonts w:ascii="Arial" w:hAnsi="Arial" w:cs="Arial"/>
        </w:rPr>
        <w:t xml:space="preserve">College of Policing (2020) Transparent   Available at: </w:t>
      </w:r>
      <w:hyperlink r:id="rId9" w:history="1">
        <w:r w:rsidRPr="00FB1A72">
          <w:rPr>
            <w:rStyle w:val="Hyperlink"/>
            <w:rFonts w:ascii="Arial" w:hAnsi="Arial" w:cs="Arial"/>
            <w:color w:val="auto"/>
          </w:rPr>
          <w:t>https://www.college.police.uk/app/stop-and-search/transparent#community-engagement</w:t>
        </w:r>
      </w:hyperlink>
      <w:r w:rsidRPr="00FB1A72">
        <w:rPr>
          <w:rFonts w:ascii="Arial" w:hAnsi="Arial" w:cs="Arial"/>
        </w:rPr>
        <w:t xml:space="preserve"> (Accessed: 27</w:t>
      </w:r>
      <w:r w:rsidRPr="00FB1A72">
        <w:rPr>
          <w:rFonts w:ascii="Arial" w:hAnsi="Arial" w:cs="Arial"/>
          <w:vertAlign w:val="superscript"/>
        </w:rPr>
        <w:t>th</w:t>
      </w:r>
      <w:r w:rsidRPr="00FB1A72">
        <w:rPr>
          <w:rFonts w:ascii="Arial" w:hAnsi="Arial" w:cs="Arial"/>
        </w:rPr>
        <w:t xml:space="preserve"> January 2024).</w:t>
      </w:r>
    </w:p>
    <w:p w14:paraId="49958E9A" w14:textId="77777777" w:rsidR="0081075A" w:rsidRPr="00FB1A72" w:rsidRDefault="0081075A" w:rsidP="0081075A">
      <w:pPr>
        <w:jc w:val="both"/>
        <w:rPr>
          <w:rFonts w:ascii="Arial" w:hAnsi="Arial" w:cs="Arial"/>
        </w:rPr>
      </w:pPr>
    </w:p>
    <w:p w14:paraId="098C7806" w14:textId="77777777" w:rsidR="0081075A" w:rsidRDefault="0081075A" w:rsidP="0081075A">
      <w:pPr>
        <w:jc w:val="both"/>
        <w:rPr>
          <w:rFonts w:ascii="Arial" w:hAnsi="Arial" w:cs="Arial"/>
        </w:rPr>
      </w:pPr>
      <w:r w:rsidRPr="00FB1A72">
        <w:rPr>
          <w:rFonts w:ascii="Arial" w:hAnsi="Arial" w:cs="Arial"/>
        </w:rPr>
        <w:t xml:space="preserve">College of Policing (2024) Investigative Interviewing   Available at: </w:t>
      </w:r>
      <w:hyperlink r:id="rId10" w:history="1">
        <w:r w:rsidRPr="00FB1A72">
          <w:rPr>
            <w:rStyle w:val="Hyperlink"/>
            <w:rFonts w:ascii="Arial" w:hAnsi="Arial" w:cs="Arial"/>
            <w:color w:val="auto"/>
          </w:rPr>
          <w:t>https://www.college.police.uk/app/investigation/investigative-interviewing</w:t>
        </w:r>
      </w:hyperlink>
      <w:r w:rsidRPr="00FB1A72">
        <w:rPr>
          <w:rFonts w:ascii="Arial" w:hAnsi="Arial" w:cs="Arial"/>
        </w:rPr>
        <w:t xml:space="preserve"> (Accessed: 18</w:t>
      </w:r>
      <w:r w:rsidRPr="00FB1A72">
        <w:rPr>
          <w:rFonts w:ascii="Arial" w:hAnsi="Arial" w:cs="Arial"/>
          <w:vertAlign w:val="superscript"/>
        </w:rPr>
        <w:t>th</w:t>
      </w:r>
      <w:r w:rsidRPr="00FB1A72">
        <w:rPr>
          <w:rFonts w:ascii="Arial" w:hAnsi="Arial" w:cs="Arial"/>
        </w:rPr>
        <w:t xml:space="preserve"> January 2024). </w:t>
      </w:r>
    </w:p>
    <w:p w14:paraId="6CE53BFE" w14:textId="77777777" w:rsidR="0081075A" w:rsidRPr="00FB1A72" w:rsidRDefault="0081075A" w:rsidP="0081075A">
      <w:pPr>
        <w:jc w:val="both"/>
        <w:rPr>
          <w:rFonts w:ascii="Arial" w:hAnsi="Arial" w:cs="Arial"/>
        </w:rPr>
      </w:pPr>
    </w:p>
    <w:p w14:paraId="313B79DB"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t xml:space="preserve">CPS (2023) Restorative Justice  Available at: </w:t>
      </w:r>
      <w:hyperlink r:id="rId11" w:history="1">
        <w:r w:rsidRPr="00FB1A72">
          <w:rPr>
            <w:rStyle w:val="Hyperlink"/>
            <w:rFonts w:ascii="Arial" w:hAnsi="Arial" w:cs="Arial"/>
            <w:color w:val="auto"/>
            <w:shd w:val="clear" w:color="auto" w:fill="FFFFFF"/>
          </w:rPr>
          <w:t>https://www.cps.gov.uk/legal-guidance/restorative-justice</w:t>
        </w:r>
      </w:hyperlink>
      <w:r w:rsidRPr="00FB1A72">
        <w:rPr>
          <w:rFonts w:ascii="Arial" w:hAnsi="Arial" w:cs="Arial"/>
          <w:shd w:val="clear" w:color="auto" w:fill="FFFFFF"/>
        </w:rPr>
        <w:t xml:space="preserve"> (Accessed: 26</w:t>
      </w:r>
      <w:r w:rsidRPr="00FB1A72">
        <w:rPr>
          <w:rFonts w:ascii="Arial" w:hAnsi="Arial" w:cs="Arial"/>
          <w:shd w:val="clear" w:color="auto" w:fill="FFFFFF"/>
          <w:vertAlign w:val="superscript"/>
        </w:rPr>
        <w:t>th</w:t>
      </w:r>
      <w:r w:rsidRPr="00FB1A72">
        <w:rPr>
          <w:rFonts w:ascii="Arial" w:hAnsi="Arial" w:cs="Arial"/>
          <w:shd w:val="clear" w:color="auto" w:fill="FFFFFF"/>
        </w:rPr>
        <w:t xml:space="preserve"> January 2024). </w:t>
      </w:r>
    </w:p>
    <w:p w14:paraId="51BEA6B1" w14:textId="77777777" w:rsidR="0081075A" w:rsidRPr="00FB1A72" w:rsidRDefault="0081075A" w:rsidP="0081075A">
      <w:pPr>
        <w:jc w:val="both"/>
        <w:rPr>
          <w:rFonts w:ascii="Arial" w:hAnsi="Arial" w:cs="Arial"/>
          <w:shd w:val="clear" w:color="auto" w:fill="FFFFFF"/>
        </w:rPr>
      </w:pPr>
    </w:p>
    <w:p w14:paraId="1A0DAFDE" w14:textId="77777777" w:rsidR="0081075A" w:rsidRDefault="0081075A" w:rsidP="0081075A">
      <w:pPr>
        <w:jc w:val="both"/>
        <w:rPr>
          <w:rStyle w:val="doilink"/>
          <w:rFonts w:ascii="Arial" w:hAnsi="Arial" w:cs="Arial"/>
          <w:shd w:val="clear" w:color="auto" w:fill="FFFFFF"/>
        </w:rPr>
      </w:pPr>
      <w:r w:rsidRPr="00FB1A72">
        <w:rPr>
          <w:rStyle w:val="doilink"/>
          <w:rFonts w:ascii="Arial" w:hAnsi="Arial" w:cs="Arial"/>
          <w:shd w:val="clear" w:color="auto" w:fill="FFFFFF"/>
        </w:rPr>
        <w:t xml:space="preserve">Dando, C., Wilcock, R., Milne, R. (2009) </w:t>
      </w:r>
      <w:r w:rsidRPr="00FB1A72">
        <w:rPr>
          <w:rStyle w:val="arttitle"/>
          <w:rFonts w:ascii="Arial" w:hAnsi="Arial" w:cs="Arial"/>
          <w:shd w:val="clear" w:color="auto" w:fill="FFFFFF"/>
        </w:rPr>
        <w:t>The Cognitive Interview: novice police officers' witness/victim interviewing practices,</w:t>
      </w:r>
      <w:r w:rsidRPr="00FB1A72">
        <w:rPr>
          <w:rFonts w:ascii="Arial" w:hAnsi="Arial" w:cs="Arial"/>
          <w:shd w:val="clear" w:color="auto" w:fill="FFFFFF"/>
        </w:rPr>
        <w:t> </w:t>
      </w:r>
      <w:r w:rsidRPr="00FB1A72">
        <w:rPr>
          <w:rStyle w:val="serialtitle"/>
          <w:rFonts w:ascii="Arial" w:hAnsi="Arial" w:cs="Arial"/>
          <w:shd w:val="clear" w:color="auto" w:fill="FFFFFF"/>
        </w:rPr>
        <w:t>Psychology, Crime &amp; Law,</w:t>
      </w:r>
      <w:r w:rsidRPr="00FB1A72">
        <w:rPr>
          <w:rFonts w:ascii="Arial" w:hAnsi="Arial" w:cs="Arial"/>
          <w:shd w:val="clear" w:color="auto" w:fill="FFFFFF"/>
        </w:rPr>
        <w:t> </w:t>
      </w:r>
      <w:r w:rsidRPr="00FB1A72">
        <w:rPr>
          <w:rStyle w:val="volumeissue"/>
          <w:rFonts w:ascii="Arial" w:hAnsi="Arial" w:cs="Arial"/>
          <w:shd w:val="clear" w:color="auto" w:fill="FFFFFF"/>
        </w:rPr>
        <w:t>15:8,</w:t>
      </w:r>
      <w:r w:rsidRPr="00FB1A72">
        <w:rPr>
          <w:rFonts w:ascii="Arial" w:hAnsi="Arial" w:cs="Arial"/>
          <w:shd w:val="clear" w:color="auto" w:fill="FFFFFF"/>
        </w:rPr>
        <w:t> </w:t>
      </w:r>
      <w:r w:rsidRPr="00FB1A72">
        <w:rPr>
          <w:rStyle w:val="pagerange"/>
          <w:rFonts w:ascii="Arial" w:hAnsi="Arial" w:cs="Arial"/>
          <w:shd w:val="clear" w:color="auto" w:fill="FFFFFF"/>
        </w:rPr>
        <w:t>679-696,</w:t>
      </w:r>
      <w:r w:rsidRPr="00FB1A72">
        <w:rPr>
          <w:rFonts w:ascii="Arial" w:hAnsi="Arial" w:cs="Arial"/>
          <w:shd w:val="clear" w:color="auto" w:fill="FFFFFF"/>
        </w:rPr>
        <w:t> </w:t>
      </w:r>
      <w:r w:rsidRPr="00FB1A72">
        <w:rPr>
          <w:rStyle w:val="doilink"/>
          <w:rFonts w:ascii="Arial" w:hAnsi="Arial" w:cs="Arial"/>
          <w:shd w:val="clear" w:color="auto" w:fill="FFFFFF"/>
        </w:rPr>
        <w:t>DOI: </w:t>
      </w:r>
      <w:hyperlink r:id="rId12" w:history="1">
        <w:r w:rsidRPr="00FB1A72">
          <w:rPr>
            <w:rStyle w:val="Hyperlink"/>
            <w:rFonts w:ascii="Arial" w:hAnsi="Arial" w:cs="Arial"/>
            <w:color w:val="auto"/>
            <w:shd w:val="clear" w:color="auto" w:fill="FFFFFF"/>
          </w:rPr>
          <w:t>10.1080/10683160802203963</w:t>
        </w:r>
      </w:hyperlink>
      <w:r w:rsidRPr="00FB1A72">
        <w:rPr>
          <w:rStyle w:val="doilink"/>
          <w:rFonts w:ascii="Arial" w:hAnsi="Arial" w:cs="Arial"/>
          <w:shd w:val="clear" w:color="auto" w:fill="FFFFFF"/>
        </w:rPr>
        <w:t xml:space="preserve"> </w:t>
      </w:r>
    </w:p>
    <w:p w14:paraId="1A2089C7" w14:textId="77777777" w:rsidR="0081075A" w:rsidRPr="00FB1A72" w:rsidRDefault="0081075A" w:rsidP="0081075A">
      <w:pPr>
        <w:jc w:val="both"/>
        <w:rPr>
          <w:rStyle w:val="doilink"/>
          <w:rFonts w:ascii="Arial" w:hAnsi="Arial" w:cs="Arial"/>
          <w:shd w:val="clear" w:color="auto" w:fill="FFFFFF"/>
        </w:rPr>
      </w:pPr>
    </w:p>
    <w:p w14:paraId="6D525E9F"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t xml:space="preserve">Dodier, O., Ginet, M., Teissedre, F., </w:t>
      </w:r>
      <w:proofErr w:type="spellStart"/>
      <w:r w:rsidRPr="00FB1A72">
        <w:rPr>
          <w:rFonts w:ascii="Arial" w:hAnsi="Arial" w:cs="Arial"/>
          <w:shd w:val="clear" w:color="auto" w:fill="FFFFFF"/>
        </w:rPr>
        <w:t>Verkampt</w:t>
      </w:r>
      <w:proofErr w:type="spellEnd"/>
      <w:r w:rsidRPr="00FB1A72">
        <w:rPr>
          <w:rFonts w:ascii="Arial" w:hAnsi="Arial" w:cs="Arial"/>
          <w:shd w:val="clear" w:color="auto" w:fill="FFFFFF"/>
        </w:rPr>
        <w:t>, F., &amp; Fisher, R. P. (2021). Using the cognitive interview to recall real</w:t>
      </w:r>
      <w:r w:rsidRPr="00FB1A72">
        <w:rPr>
          <w:rFonts w:ascii="Cambria Math" w:hAnsi="Cambria Math" w:cs="Cambria Math"/>
          <w:shd w:val="clear" w:color="auto" w:fill="FFFFFF"/>
        </w:rPr>
        <w:t>‐</w:t>
      </w:r>
      <w:r w:rsidRPr="00FB1A72">
        <w:rPr>
          <w:rFonts w:ascii="Arial" w:hAnsi="Arial" w:cs="Arial"/>
          <w:shd w:val="clear" w:color="auto" w:fill="FFFFFF"/>
        </w:rPr>
        <w:t>world emotionally stressful experiences: Road accidents. </w:t>
      </w:r>
      <w:r w:rsidRPr="00FB1A72">
        <w:rPr>
          <w:rFonts w:ascii="Arial" w:hAnsi="Arial" w:cs="Arial"/>
          <w:i/>
          <w:iCs/>
          <w:shd w:val="clear" w:color="auto" w:fill="FFFFFF"/>
        </w:rPr>
        <w:t>Applied Cognitive Psychology</w:t>
      </w:r>
      <w:r w:rsidRPr="00FB1A72">
        <w:rPr>
          <w:rFonts w:ascii="Arial" w:hAnsi="Arial" w:cs="Arial"/>
          <w:shd w:val="clear" w:color="auto" w:fill="FFFFFF"/>
        </w:rPr>
        <w:t>, </w:t>
      </w:r>
      <w:r w:rsidRPr="00FB1A72">
        <w:rPr>
          <w:rFonts w:ascii="Arial" w:hAnsi="Arial" w:cs="Arial"/>
          <w:i/>
          <w:iCs/>
          <w:shd w:val="clear" w:color="auto" w:fill="FFFFFF"/>
        </w:rPr>
        <w:t>35</w:t>
      </w:r>
      <w:r w:rsidRPr="00FB1A72">
        <w:rPr>
          <w:rFonts w:ascii="Arial" w:hAnsi="Arial" w:cs="Arial"/>
          <w:shd w:val="clear" w:color="auto" w:fill="FFFFFF"/>
        </w:rPr>
        <w:t xml:space="preserve">(4), 1099–1105. </w:t>
      </w:r>
      <w:hyperlink r:id="rId13" w:history="1">
        <w:r w:rsidRPr="00FB1A72">
          <w:rPr>
            <w:rStyle w:val="Hyperlink"/>
            <w:rFonts w:ascii="Arial" w:hAnsi="Arial" w:cs="Arial"/>
            <w:color w:val="auto"/>
            <w:shd w:val="clear" w:color="auto" w:fill="FFFFFF"/>
          </w:rPr>
          <w:t>https://doi.org/10.1002/acp.3828</w:t>
        </w:r>
      </w:hyperlink>
      <w:r w:rsidRPr="00FB1A72">
        <w:rPr>
          <w:rFonts w:ascii="Arial" w:hAnsi="Arial" w:cs="Arial"/>
          <w:shd w:val="clear" w:color="auto" w:fill="FFFFFF"/>
        </w:rPr>
        <w:t xml:space="preserve"> </w:t>
      </w:r>
    </w:p>
    <w:p w14:paraId="0C04F6F8" w14:textId="77777777" w:rsidR="0081075A" w:rsidRPr="00FB1A72" w:rsidRDefault="0081075A" w:rsidP="0081075A">
      <w:pPr>
        <w:jc w:val="both"/>
        <w:rPr>
          <w:rFonts w:ascii="Arial" w:hAnsi="Arial" w:cs="Arial"/>
          <w:shd w:val="clear" w:color="auto" w:fill="FFFFFF"/>
        </w:rPr>
      </w:pPr>
    </w:p>
    <w:p w14:paraId="35834FA7"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t xml:space="preserve">Fisher, R. P., &amp; Geiselman, R. E. (2010). The Cognitive Interview method of conducting police interviews: Eliciting extensive information and promoting Therapeutic </w:t>
      </w:r>
      <w:r w:rsidRPr="00FB1A72">
        <w:rPr>
          <w:rFonts w:ascii="Arial" w:hAnsi="Arial" w:cs="Arial"/>
          <w:shd w:val="clear" w:color="auto" w:fill="FFFFFF"/>
        </w:rPr>
        <w:lastRenderedPageBreak/>
        <w:t>Jurisprudence. </w:t>
      </w:r>
      <w:r w:rsidRPr="00FB1A72">
        <w:rPr>
          <w:rFonts w:ascii="Arial" w:hAnsi="Arial" w:cs="Arial"/>
          <w:i/>
          <w:iCs/>
          <w:shd w:val="clear" w:color="auto" w:fill="FFFFFF"/>
        </w:rPr>
        <w:t>International Journal of Law and Psychiatry</w:t>
      </w:r>
      <w:r w:rsidRPr="00FB1A72">
        <w:rPr>
          <w:rFonts w:ascii="Arial" w:hAnsi="Arial" w:cs="Arial"/>
          <w:shd w:val="clear" w:color="auto" w:fill="FFFFFF"/>
        </w:rPr>
        <w:t>, </w:t>
      </w:r>
      <w:r w:rsidRPr="00FB1A72">
        <w:rPr>
          <w:rFonts w:ascii="Arial" w:hAnsi="Arial" w:cs="Arial"/>
          <w:i/>
          <w:iCs/>
          <w:shd w:val="clear" w:color="auto" w:fill="FFFFFF"/>
        </w:rPr>
        <w:t>33</w:t>
      </w:r>
      <w:r w:rsidRPr="00FB1A72">
        <w:rPr>
          <w:rFonts w:ascii="Arial" w:hAnsi="Arial" w:cs="Arial"/>
          <w:shd w:val="clear" w:color="auto" w:fill="FFFFFF"/>
        </w:rPr>
        <w:t xml:space="preserve">(5), 321–328. Available at: </w:t>
      </w:r>
      <w:hyperlink r:id="rId14" w:history="1">
        <w:r w:rsidRPr="00FB1A72">
          <w:rPr>
            <w:rStyle w:val="Hyperlink"/>
            <w:rFonts w:ascii="Arial" w:hAnsi="Arial" w:cs="Arial"/>
            <w:color w:val="auto"/>
            <w:shd w:val="clear" w:color="auto" w:fill="FFFFFF"/>
          </w:rPr>
          <w:t>https://doi.org/10.1016/j.ijlp.2010.09.004</w:t>
        </w:r>
      </w:hyperlink>
      <w:r w:rsidRPr="00FB1A72">
        <w:rPr>
          <w:rFonts w:ascii="Arial" w:hAnsi="Arial" w:cs="Arial"/>
          <w:shd w:val="clear" w:color="auto" w:fill="FFFFFF"/>
        </w:rPr>
        <w:t xml:space="preserve">  (Accessed: 27</w:t>
      </w:r>
      <w:r w:rsidRPr="00FB1A72">
        <w:rPr>
          <w:rFonts w:ascii="Arial" w:hAnsi="Arial" w:cs="Arial"/>
          <w:shd w:val="clear" w:color="auto" w:fill="FFFFFF"/>
          <w:vertAlign w:val="superscript"/>
        </w:rPr>
        <w:t>th</w:t>
      </w:r>
      <w:r w:rsidRPr="00FB1A72">
        <w:rPr>
          <w:rFonts w:ascii="Arial" w:hAnsi="Arial" w:cs="Arial"/>
          <w:shd w:val="clear" w:color="auto" w:fill="FFFFFF"/>
        </w:rPr>
        <w:t xml:space="preserve"> January 2024).</w:t>
      </w:r>
    </w:p>
    <w:p w14:paraId="09937F0E" w14:textId="77777777" w:rsidR="0081075A" w:rsidRPr="00FB1A72" w:rsidRDefault="0081075A" w:rsidP="0081075A">
      <w:pPr>
        <w:jc w:val="both"/>
        <w:rPr>
          <w:rFonts w:ascii="Arial" w:hAnsi="Arial" w:cs="Arial"/>
          <w:shd w:val="clear" w:color="auto" w:fill="FFFFFF"/>
        </w:rPr>
      </w:pPr>
    </w:p>
    <w:p w14:paraId="7A7DF733"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t>Fisher, R. P., Geiselman, R. E., &amp; Amador, M. (1989). Field Test of the Cognitive Interview: Enhancing the Recollection of Actual Victims and Witnesses of Crime. </w:t>
      </w:r>
      <w:r w:rsidRPr="00FB1A72">
        <w:rPr>
          <w:rFonts w:ascii="Arial" w:hAnsi="Arial" w:cs="Arial"/>
          <w:i/>
          <w:iCs/>
          <w:shd w:val="clear" w:color="auto" w:fill="FFFFFF"/>
        </w:rPr>
        <w:t>Journal of Applied Psychology</w:t>
      </w:r>
      <w:r w:rsidRPr="00FB1A72">
        <w:rPr>
          <w:rFonts w:ascii="Arial" w:hAnsi="Arial" w:cs="Arial"/>
          <w:shd w:val="clear" w:color="auto" w:fill="FFFFFF"/>
        </w:rPr>
        <w:t>, </w:t>
      </w:r>
      <w:r w:rsidRPr="00FB1A72">
        <w:rPr>
          <w:rFonts w:ascii="Arial" w:hAnsi="Arial" w:cs="Arial"/>
          <w:i/>
          <w:iCs/>
          <w:shd w:val="clear" w:color="auto" w:fill="FFFFFF"/>
        </w:rPr>
        <w:t>74</w:t>
      </w:r>
      <w:r w:rsidRPr="00FB1A72">
        <w:rPr>
          <w:rFonts w:ascii="Arial" w:hAnsi="Arial" w:cs="Arial"/>
          <w:shd w:val="clear" w:color="auto" w:fill="FFFFFF"/>
        </w:rPr>
        <w:t xml:space="preserve">(5), 722–727. Available at: </w:t>
      </w:r>
      <w:hyperlink r:id="rId15" w:history="1">
        <w:r w:rsidRPr="00FB1A72">
          <w:rPr>
            <w:rStyle w:val="Hyperlink"/>
            <w:rFonts w:ascii="Arial" w:hAnsi="Arial" w:cs="Arial"/>
            <w:color w:val="auto"/>
            <w:shd w:val="clear" w:color="auto" w:fill="FFFFFF"/>
          </w:rPr>
          <w:t>https://doi.org/10.1037/0021-9010.74.5.722</w:t>
        </w:r>
      </w:hyperlink>
      <w:r w:rsidRPr="00FB1A72">
        <w:rPr>
          <w:rFonts w:ascii="Arial" w:hAnsi="Arial" w:cs="Arial"/>
          <w:shd w:val="clear" w:color="auto" w:fill="FFFFFF"/>
        </w:rPr>
        <w:t xml:space="preserve">  (Accessed: 27</w:t>
      </w:r>
      <w:r w:rsidRPr="00FB1A72">
        <w:rPr>
          <w:rFonts w:ascii="Arial" w:hAnsi="Arial" w:cs="Arial"/>
          <w:shd w:val="clear" w:color="auto" w:fill="FFFFFF"/>
          <w:vertAlign w:val="superscript"/>
        </w:rPr>
        <w:t>th</w:t>
      </w:r>
      <w:r w:rsidRPr="00FB1A72">
        <w:rPr>
          <w:rFonts w:ascii="Arial" w:hAnsi="Arial" w:cs="Arial"/>
          <w:shd w:val="clear" w:color="auto" w:fill="FFFFFF"/>
        </w:rPr>
        <w:t xml:space="preserve"> January 2024). </w:t>
      </w:r>
    </w:p>
    <w:p w14:paraId="4D816BCB" w14:textId="77777777" w:rsidR="0081075A" w:rsidRPr="00FB1A72" w:rsidRDefault="0081075A" w:rsidP="0081075A">
      <w:pPr>
        <w:jc w:val="both"/>
        <w:rPr>
          <w:rFonts w:ascii="Arial" w:hAnsi="Arial" w:cs="Arial"/>
          <w:shd w:val="clear" w:color="auto" w:fill="FFFFFF"/>
        </w:rPr>
      </w:pPr>
    </w:p>
    <w:p w14:paraId="791125C8"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t xml:space="preserve">Gallagher, B. (2021) ‘Rolf Harris </w:t>
      </w:r>
      <w:proofErr w:type="spellStart"/>
      <w:r w:rsidRPr="00FB1A72">
        <w:rPr>
          <w:rFonts w:ascii="Arial" w:hAnsi="Arial" w:cs="Arial"/>
          <w:shd w:val="clear" w:color="auto" w:fill="FFFFFF"/>
        </w:rPr>
        <w:t>guily</w:t>
      </w:r>
      <w:proofErr w:type="spellEnd"/>
      <w:r w:rsidRPr="00FB1A72">
        <w:rPr>
          <w:rFonts w:ascii="Arial" w:hAnsi="Arial" w:cs="Arial"/>
          <w:shd w:val="clear" w:color="auto" w:fill="FFFFFF"/>
        </w:rPr>
        <w:t xml:space="preserve">: but what has Operation Yewtree really taught us about sexual abuse?’  Available at: </w:t>
      </w:r>
      <w:hyperlink r:id="rId16" w:history="1">
        <w:r w:rsidRPr="00FB1A72">
          <w:rPr>
            <w:rStyle w:val="Hyperlink"/>
            <w:rFonts w:ascii="Arial" w:hAnsi="Arial" w:cs="Arial"/>
            <w:color w:val="auto"/>
            <w:shd w:val="clear" w:color="auto" w:fill="FFFFFF"/>
          </w:rPr>
          <w:t>https://www.newstatesman.com/politics/2014/07/rolf-harris-guilty-what-has-operation-yewtree-really-taught-us-about-sexual-abuse</w:t>
        </w:r>
      </w:hyperlink>
      <w:r w:rsidRPr="00FB1A72">
        <w:rPr>
          <w:rFonts w:ascii="Arial" w:hAnsi="Arial" w:cs="Arial"/>
          <w:shd w:val="clear" w:color="auto" w:fill="FFFFFF"/>
        </w:rPr>
        <w:t xml:space="preserve"> (Accessed: 28</w:t>
      </w:r>
      <w:r w:rsidRPr="00FB1A72">
        <w:rPr>
          <w:rFonts w:ascii="Arial" w:hAnsi="Arial" w:cs="Arial"/>
          <w:shd w:val="clear" w:color="auto" w:fill="FFFFFF"/>
          <w:vertAlign w:val="superscript"/>
        </w:rPr>
        <w:t>th</w:t>
      </w:r>
      <w:r w:rsidRPr="00FB1A72">
        <w:rPr>
          <w:rFonts w:ascii="Arial" w:hAnsi="Arial" w:cs="Arial"/>
          <w:shd w:val="clear" w:color="auto" w:fill="FFFFFF"/>
        </w:rPr>
        <w:t xml:space="preserve"> January 2024). </w:t>
      </w:r>
    </w:p>
    <w:p w14:paraId="21E35E19" w14:textId="77777777" w:rsidR="0081075A" w:rsidRPr="00FB1A72" w:rsidRDefault="0081075A" w:rsidP="0081075A">
      <w:pPr>
        <w:jc w:val="both"/>
        <w:rPr>
          <w:rFonts w:ascii="Arial" w:hAnsi="Arial" w:cs="Arial"/>
          <w:shd w:val="clear" w:color="auto" w:fill="FFFFFF"/>
        </w:rPr>
      </w:pPr>
    </w:p>
    <w:p w14:paraId="2A9DA30D"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t>Geiselman, R. E., Fisher, R. P., MacKinnon, D. P., &amp; Holland, H. L. (1986). Enhancement of Eyewitness Memory with the Cognitive Interview. </w:t>
      </w:r>
      <w:r w:rsidRPr="00FB1A72">
        <w:rPr>
          <w:rFonts w:ascii="Arial" w:hAnsi="Arial" w:cs="Arial"/>
          <w:i/>
          <w:iCs/>
          <w:shd w:val="clear" w:color="auto" w:fill="FFFFFF"/>
        </w:rPr>
        <w:t>The American Journal of Psychology</w:t>
      </w:r>
      <w:r w:rsidRPr="00FB1A72">
        <w:rPr>
          <w:rFonts w:ascii="Arial" w:hAnsi="Arial" w:cs="Arial"/>
          <w:shd w:val="clear" w:color="auto" w:fill="FFFFFF"/>
        </w:rPr>
        <w:t>, </w:t>
      </w:r>
      <w:r w:rsidRPr="00FB1A72">
        <w:rPr>
          <w:rFonts w:ascii="Arial" w:hAnsi="Arial" w:cs="Arial"/>
          <w:i/>
          <w:iCs/>
          <w:shd w:val="clear" w:color="auto" w:fill="FFFFFF"/>
        </w:rPr>
        <w:t>99</w:t>
      </w:r>
      <w:r w:rsidRPr="00FB1A72">
        <w:rPr>
          <w:rFonts w:ascii="Arial" w:hAnsi="Arial" w:cs="Arial"/>
          <w:shd w:val="clear" w:color="auto" w:fill="FFFFFF"/>
        </w:rPr>
        <w:t xml:space="preserve">(3), 385–401. Available at: </w:t>
      </w:r>
      <w:hyperlink r:id="rId17" w:history="1">
        <w:r w:rsidRPr="00FB1A72">
          <w:rPr>
            <w:rStyle w:val="Hyperlink"/>
            <w:rFonts w:ascii="Arial" w:hAnsi="Arial" w:cs="Arial"/>
            <w:color w:val="auto"/>
            <w:shd w:val="clear" w:color="auto" w:fill="FFFFFF"/>
          </w:rPr>
          <w:t>https://doi.org/10.2307/1422492</w:t>
        </w:r>
      </w:hyperlink>
      <w:r w:rsidRPr="00FB1A72">
        <w:rPr>
          <w:rFonts w:ascii="Arial" w:hAnsi="Arial" w:cs="Arial"/>
          <w:shd w:val="clear" w:color="auto" w:fill="FFFFFF"/>
        </w:rPr>
        <w:t xml:space="preserve">  (Accessed: 26</w:t>
      </w:r>
      <w:r w:rsidRPr="00FB1A72">
        <w:rPr>
          <w:rFonts w:ascii="Arial" w:hAnsi="Arial" w:cs="Arial"/>
          <w:shd w:val="clear" w:color="auto" w:fill="FFFFFF"/>
          <w:vertAlign w:val="superscript"/>
        </w:rPr>
        <w:t>th</w:t>
      </w:r>
      <w:r w:rsidRPr="00FB1A72">
        <w:rPr>
          <w:rFonts w:ascii="Arial" w:hAnsi="Arial" w:cs="Arial"/>
          <w:shd w:val="clear" w:color="auto" w:fill="FFFFFF"/>
        </w:rPr>
        <w:t xml:space="preserve"> January 2024). </w:t>
      </w:r>
    </w:p>
    <w:p w14:paraId="7C84E583" w14:textId="77777777" w:rsidR="0081075A" w:rsidRPr="00FB1A72" w:rsidRDefault="0081075A" w:rsidP="0081075A">
      <w:pPr>
        <w:jc w:val="both"/>
        <w:rPr>
          <w:rFonts w:ascii="Arial" w:hAnsi="Arial" w:cs="Arial"/>
          <w:shd w:val="clear" w:color="auto" w:fill="FFFFFF"/>
        </w:rPr>
      </w:pPr>
    </w:p>
    <w:p w14:paraId="1165D0D9"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t>GILL, C., WEISBURD, D., TELEP, C.W., VITTER, Z. and BENNETT, T., 2014. Community-oriented policing to reduce crime, disorder and fear and increase satisfaction and legitimacy among citizens: a systematic review. </w:t>
      </w:r>
      <w:r w:rsidRPr="00FB1A72">
        <w:rPr>
          <w:rFonts w:ascii="Arial" w:hAnsi="Arial" w:cs="Arial"/>
          <w:i/>
          <w:iCs/>
          <w:shd w:val="clear" w:color="auto" w:fill="FFFFFF"/>
        </w:rPr>
        <w:t>Journal of Experimental Criminology, </w:t>
      </w:r>
      <w:r w:rsidRPr="00FB1A72">
        <w:rPr>
          <w:rFonts w:ascii="Arial" w:hAnsi="Arial" w:cs="Arial"/>
          <w:b/>
          <w:bCs/>
          <w:shd w:val="clear" w:color="auto" w:fill="FFFFFF"/>
        </w:rPr>
        <w:t>10</w:t>
      </w:r>
      <w:r w:rsidRPr="00FB1A72">
        <w:rPr>
          <w:rFonts w:ascii="Arial" w:hAnsi="Arial" w:cs="Arial"/>
          <w:shd w:val="clear" w:color="auto" w:fill="FFFFFF"/>
        </w:rPr>
        <w:t xml:space="preserve">(4), pp. 399-428. </w:t>
      </w:r>
    </w:p>
    <w:p w14:paraId="0A09CADC" w14:textId="77777777" w:rsidR="0081075A" w:rsidRPr="00FB1A72" w:rsidRDefault="0081075A" w:rsidP="0081075A">
      <w:pPr>
        <w:jc w:val="both"/>
        <w:rPr>
          <w:rFonts w:ascii="Arial" w:hAnsi="Arial" w:cs="Arial"/>
          <w:shd w:val="clear" w:color="auto" w:fill="FFFFFF"/>
        </w:rPr>
      </w:pPr>
    </w:p>
    <w:p w14:paraId="34B80BFA"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t xml:space="preserve">GOV.UK (2024) Youth Offending Teams  Available at: </w:t>
      </w:r>
      <w:hyperlink r:id="rId18" w:history="1">
        <w:r w:rsidRPr="00FB1A72">
          <w:rPr>
            <w:rStyle w:val="Hyperlink"/>
            <w:rFonts w:ascii="Arial" w:hAnsi="Arial" w:cs="Arial"/>
            <w:color w:val="auto"/>
            <w:shd w:val="clear" w:color="auto" w:fill="FFFFFF"/>
          </w:rPr>
          <w:t>https://www.gov.uk/youth-offending-team</w:t>
        </w:r>
      </w:hyperlink>
      <w:r w:rsidRPr="00FB1A72">
        <w:rPr>
          <w:rFonts w:ascii="Arial" w:hAnsi="Arial" w:cs="Arial"/>
          <w:shd w:val="clear" w:color="auto" w:fill="FFFFFF"/>
        </w:rPr>
        <w:t xml:space="preserve"> (Accessed: 26</w:t>
      </w:r>
      <w:r w:rsidRPr="00FB1A72">
        <w:rPr>
          <w:rFonts w:ascii="Arial" w:hAnsi="Arial" w:cs="Arial"/>
          <w:shd w:val="clear" w:color="auto" w:fill="FFFFFF"/>
          <w:vertAlign w:val="superscript"/>
        </w:rPr>
        <w:t>th</w:t>
      </w:r>
      <w:r w:rsidRPr="00FB1A72">
        <w:rPr>
          <w:rFonts w:ascii="Arial" w:hAnsi="Arial" w:cs="Arial"/>
          <w:shd w:val="clear" w:color="auto" w:fill="FFFFFF"/>
        </w:rPr>
        <w:t xml:space="preserve"> January 2024). </w:t>
      </w:r>
    </w:p>
    <w:p w14:paraId="13B03630" w14:textId="77777777" w:rsidR="0081075A" w:rsidRPr="00FB1A72" w:rsidRDefault="0081075A" w:rsidP="0081075A">
      <w:pPr>
        <w:jc w:val="both"/>
        <w:rPr>
          <w:rFonts w:ascii="Arial" w:hAnsi="Arial" w:cs="Arial"/>
          <w:shd w:val="clear" w:color="auto" w:fill="FFFFFF"/>
        </w:rPr>
      </w:pPr>
    </w:p>
    <w:p w14:paraId="6A1B8409"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t xml:space="preserve">Gray, D., Watt, P. (2013) Giving Victims a Voice  Available at: </w:t>
      </w:r>
      <w:hyperlink r:id="rId19" w:history="1">
        <w:r w:rsidRPr="00FB1A72">
          <w:rPr>
            <w:rStyle w:val="Hyperlink"/>
            <w:rFonts w:ascii="Arial" w:hAnsi="Arial" w:cs="Arial"/>
            <w:color w:val="auto"/>
            <w:shd w:val="clear" w:color="auto" w:fill="FFFFFF"/>
          </w:rPr>
          <w:t>https://synergyessex.org.uk/includes/items/pdf/2450_giving-victims-a-voice-metropolitan-police.pdf</w:t>
        </w:r>
      </w:hyperlink>
      <w:r w:rsidRPr="00FB1A72">
        <w:rPr>
          <w:rFonts w:ascii="Arial" w:hAnsi="Arial" w:cs="Arial"/>
          <w:shd w:val="clear" w:color="auto" w:fill="FFFFFF"/>
        </w:rPr>
        <w:t xml:space="preserve"> (Accessed: 28</w:t>
      </w:r>
      <w:r w:rsidRPr="00FB1A72">
        <w:rPr>
          <w:rFonts w:ascii="Arial" w:hAnsi="Arial" w:cs="Arial"/>
          <w:shd w:val="clear" w:color="auto" w:fill="FFFFFF"/>
          <w:vertAlign w:val="superscript"/>
        </w:rPr>
        <w:t>th</w:t>
      </w:r>
      <w:r w:rsidRPr="00FB1A72">
        <w:rPr>
          <w:rFonts w:ascii="Arial" w:hAnsi="Arial" w:cs="Arial"/>
          <w:shd w:val="clear" w:color="auto" w:fill="FFFFFF"/>
        </w:rPr>
        <w:t xml:space="preserve"> January 2024). </w:t>
      </w:r>
    </w:p>
    <w:p w14:paraId="3CA53ABE" w14:textId="77777777" w:rsidR="0081075A" w:rsidRPr="00FB1A72" w:rsidRDefault="0081075A" w:rsidP="0081075A">
      <w:pPr>
        <w:jc w:val="both"/>
        <w:rPr>
          <w:rFonts w:ascii="Arial" w:hAnsi="Arial" w:cs="Arial"/>
          <w:shd w:val="clear" w:color="auto" w:fill="FFFFFF"/>
        </w:rPr>
      </w:pPr>
    </w:p>
    <w:p w14:paraId="29CB4CF6"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t xml:space="preserve">Gray, P., Smithson, H., Jump, D. (2021) ‘Serious youth violence and its relationship with adverse childhood experiences’ Available at: </w:t>
      </w:r>
      <w:hyperlink r:id="rId20" w:history="1">
        <w:r w:rsidRPr="00FB1A72">
          <w:rPr>
            <w:rStyle w:val="Hyperlink"/>
            <w:rFonts w:ascii="Arial" w:hAnsi="Arial" w:cs="Arial"/>
            <w:color w:val="auto"/>
            <w:shd w:val="clear" w:color="auto" w:fill="FFFFFF"/>
          </w:rPr>
          <w:t>https://www.justiceinspectorates.gov.uk/hmiprobation/wp-content/uploads/sites/5/2021/11/Academic-Insights-Gray-et-al.pdf</w:t>
        </w:r>
      </w:hyperlink>
      <w:r w:rsidRPr="00FB1A72">
        <w:rPr>
          <w:rFonts w:ascii="Arial" w:hAnsi="Arial" w:cs="Arial"/>
          <w:shd w:val="clear" w:color="auto" w:fill="FFFFFF"/>
        </w:rPr>
        <w:t xml:space="preserve"> (Accessed: 21</w:t>
      </w:r>
      <w:r w:rsidRPr="00FB1A72">
        <w:rPr>
          <w:rFonts w:ascii="Arial" w:hAnsi="Arial" w:cs="Arial"/>
          <w:shd w:val="clear" w:color="auto" w:fill="FFFFFF"/>
          <w:vertAlign w:val="superscript"/>
        </w:rPr>
        <w:t>st</w:t>
      </w:r>
      <w:r w:rsidRPr="00FB1A72">
        <w:rPr>
          <w:rFonts w:ascii="Arial" w:hAnsi="Arial" w:cs="Arial"/>
          <w:shd w:val="clear" w:color="auto" w:fill="FFFFFF"/>
        </w:rPr>
        <w:t xml:space="preserve"> January 2024). </w:t>
      </w:r>
    </w:p>
    <w:p w14:paraId="77544D35" w14:textId="77777777" w:rsidR="0081075A" w:rsidRPr="00FB1A72" w:rsidRDefault="0081075A" w:rsidP="0081075A">
      <w:pPr>
        <w:jc w:val="both"/>
        <w:rPr>
          <w:rFonts w:ascii="Arial" w:hAnsi="Arial" w:cs="Arial"/>
          <w:shd w:val="clear" w:color="auto" w:fill="FFFFFF"/>
        </w:rPr>
      </w:pPr>
    </w:p>
    <w:p w14:paraId="7822F445"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t xml:space="preserve">Grierson, J. (2015) ‘ Police child abuse inquiries: Operation Yewtree to Operation Midland’  Available at: </w:t>
      </w:r>
      <w:hyperlink r:id="rId21" w:history="1">
        <w:r w:rsidRPr="00FB1A72">
          <w:rPr>
            <w:rStyle w:val="Hyperlink"/>
            <w:rFonts w:ascii="Arial" w:hAnsi="Arial" w:cs="Arial"/>
            <w:color w:val="auto"/>
            <w:shd w:val="clear" w:color="auto" w:fill="FFFFFF"/>
          </w:rPr>
          <w:t>https://www.theguardian.com/politics/2015/aug/04/police-child-abuse-inquiries-operation-yewtree-to-operation-midland</w:t>
        </w:r>
      </w:hyperlink>
      <w:r w:rsidRPr="00FB1A72">
        <w:rPr>
          <w:rFonts w:ascii="Arial" w:hAnsi="Arial" w:cs="Arial"/>
          <w:shd w:val="clear" w:color="auto" w:fill="FFFFFF"/>
        </w:rPr>
        <w:t xml:space="preserve"> (Accessed: 28</w:t>
      </w:r>
      <w:r w:rsidRPr="00FB1A72">
        <w:rPr>
          <w:rFonts w:ascii="Arial" w:hAnsi="Arial" w:cs="Arial"/>
          <w:shd w:val="clear" w:color="auto" w:fill="FFFFFF"/>
          <w:vertAlign w:val="superscript"/>
        </w:rPr>
        <w:t>th</w:t>
      </w:r>
      <w:r w:rsidRPr="00FB1A72">
        <w:rPr>
          <w:rFonts w:ascii="Arial" w:hAnsi="Arial" w:cs="Arial"/>
          <w:shd w:val="clear" w:color="auto" w:fill="FFFFFF"/>
        </w:rPr>
        <w:t xml:space="preserve"> January 2024).  </w:t>
      </w:r>
    </w:p>
    <w:p w14:paraId="7001EB62" w14:textId="77777777" w:rsidR="0081075A" w:rsidRPr="00FB1A72" w:rsidRDefault="0081075A" w:rsidP="0081075A">
      <w:pPr>
        <w:jc w:val="both"/>
        <w:rPr>
          <w:rFonts w:ascii="Arial" w:hAnsi="Arial" w:cs="Arial"/>
          <w:shd w:val="clear" w:color="auto" w:fill="FFFFFF"/>
        </w:rPr>
      </w:pPr>
    </w:p>
    <w:p w14:paraId="14AFF33C"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lastRenderedPageBreak/>
        <w:t xml:space="preserve">HMICFRS (2023) Public protection unit  Available at: </w:t>
      </w:r>
      <w:hyperlink r:id="rId22" w:history="1">
        <w:r w:rsidRPr="00FB1A72">
          <w:rPr>
            <w:rStyle w:val="Hyperlink"/>
            <w:rFonts w:ascii="Arial" w:hAnsi="Arial" w:cs="Arial"/>
            <w:color w:val="auto"/>
            <w:shd w:val="clear" w:color="auto" w:fill="FFFFFF"/>
          </w:rPr>
          <w:t>https://hmicfrs.justiceinspectorates.gov.uk/glossary/public-protection-unit/#:~:text=The%20section%20of%20a%20police,Glossary</w:t>
        </w:r>
      </w:hyperlink>
      <w:r w:rsidRPr="00FB1A72">
        <w:rPr>
          <w:rFonts w:ascii="Arial" w:hAnsi="Arial" w:cs="Arial"/>
          <w:shd w:val="clear" w:color="auto" w:fill="FFFFFF"/>
        </w:rPr>
        <w:t xml:space="preserve"> (Accessed: 28</w:t>
      </w:r>
      <w:r w:rsidRPr="00FB1A72">
        <w:rPr>
          <w:rFonts w:ascii="Arial" w:hAnsi="Arial" w:cs="Arial"/>
          <w:shd w:val="clear" w:color="auto" w:fill="FFFFFF"/>
          <w:vertAlign w:val="superscript"/>
        </w:rPr>
        <w:t>th</w:t>
      </w:r>
      <w:r w:rsidRPr="00FB1A72">
        <w:rPr>
          <w:rFonts w:ascii="Arial" w:hAnsi="Arial" w:cs="Arial"/>
          <w:shd w:val="clear" w:color="auto" w:fill="FFFFFF"/>
        </w:rPr>
        <w:t xml:space="preserve"> January 2024). </w:t>
      </w:r>
    </w:p>
    <w:p w14:paraId="3D12F62D" w14:textId="77777777" w:rsidR="0081075A" w:rsidRPr="00FB1A72" w:rsidRDefault="0081075A" w:rsidP="0081075A">
      <w:pPr>
        <w:jc w:val="both"/>
        <w:rPr>
          <w:rFonts w:ascii="Arial" w:hAnsi="Arial" w:cs="Arial"/>
          <w:shd w:val="clear" w:color="auto" w:fill="FFFFFF"/>
        </w:rPr>
      </w:pPr>
    </w:p>
    <w:p w14:paraId="1B7AEABA"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t>LIOU, K.T. and SAVAGE, E.G., 1996. Citizen perception of community policing impact. </w:t>
      </w:r>
      <w:r w:rsidRPr="00FB1A72">
        <w:rPr>
          <w:rFonts w:ascii="Arial" w:hAnsi="Arial" w:cs="Arial"/>
          <w:i/>
          <w:iCs/>
          <w:shd w:val="clear" w:color="auto" w:fill="FFFFFF"/>
        </w:rPr>
        <w:t>Public Administration Quarterly, </w:t>
      </w:r>
      <w:r w:rsidRPr="00FB1A72">
        <w:rPr>
          <w:rFonts w:ascii="Arial" w:hAnsi="Arial" w:cs="Arial"/>
          <w:b/>
          <w:bCs/>
          <w:shd w:val="clear" w:color="auto" w:fill="FFFFFF"/>
        </w:rPr>
        <w:t>20</w:t>
      </w:r>
      <w:r w:rsidRPr="00FB1A72">
        <w:rPr>
          <w:rFonts w:ascii="Arial" w:hAnsi="Arial" w:cs="Arial"/>
          <w:shd w:val="clear" w:color="auto" w:fill="FFFFFF"/>
        </w:rPr>
        <w:t xml:space="preserve">(2), pp. 163-179. </w:t>
      </w:r>
    </w:p>
    <w:p w14:paraId="558B94E5" w14:textId="77777777" w:rsidR="0081075A" w:rsidRPr="00FB1A72" w:rsidRDefault="0081075A" w:rsidP="0081075A">
      <w:pPr>
        <w:jc w:val="both"/>
        <w:rPr>
          <w:rFonts w:ascii="Arial" w:hAnsi="Arial" w:cs="Arial"/>
          <w:shd w:val="clear" w:color="auto" w:fill="FFFFFF"/>
        </w:rPr>
      </w:pPr>
    </w:p>
    <w:p w14:paraId="66DBFF4A"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t xml:space="preserve">London Assembly (2021) Mayor reveals driving factors behind violence affecting young people  Available at: </w:t>
      </w:r>
      <w:hyperlink r:id="rId23" w:history="1">
        <w:r w:rsidRPr="00FB1A72">
          <w:rPr>
            <w:rStyle w:val="Hyperlink"/>
            <w:rFonts w:ascii="Arial" w:hAnsi="Arial" w:cs="Arial"/>
            <w:color w:val="auto"/>
            <w:shd w:val="clear" w:color="auto" w:fill="FFFFFF"/>
          </w:rPr>
          <w:t>https://www.london.gov.uk/press-releases/mayoral/driving-factors-behind-violence-affecting-young-pe</w:t>
        </w:r>
      </w:hyperlink>
      <w:r w:rsidRPr="00FB1A72">
        <w:rPr>
          <w:rFonts w:ascii="Arial" w:hAnsi="Arial" w:cs="Arial"/>
          <w:shd w:val="clear" w:color="auto" w:fill="FFFFFF"/>
        </w:rPr>
        <w:t xml:space="preserve">  (Accessed: 26</w:t>
      </w:r>
      <w:r w:rsidRPr="00FB1A72">
        <w:rPr>
          <w:rFonts w:ascii="Arial" w:hAnsi="Arial" w:cs="Arial"/>
          <w:shd w:val="clear" w:color="auto" w:fill="FFFFFF"/>
          <w:vertAlign w:val="superscript"/>
        </w:rPr>
        <w:t>th</w:t>
      </w:r>
      <w:r w:rsidRPr="00FB1A72">
        <w:rPr>
          <w:rFonts w:ascii="Arial" w:hAnsi="Arial" w:cs="Arial"/>
          <w:shd w:val="clear" w:color="auto" w:fill="FFFFFF"/>
        </w:rPr>
        <w:t xml:space="preserve"> January 2024). </w:t>
      </w:r>
    </w:p>
    <w:p w14:paraId="20DD9B84" w14:textId="77777777" w:rsidR="0081075A" w:rsidRPr="00FB1A72" w:rsidRDefault="0081075A" w:rsidP="0081075A">
      <w:pPr>
        <w:jc w:val="both"/>
        <w:rPr>
          <w:rFonts w:ascii="Arial" w:hAnsi="Arial" w:cs="Arial"/>
          <w:shd w:val="clear" w:color="auto" w:fill="FFFFFF"/>
        </w:rPr>
      </w:pPr>
    </w:p>
    <w:p w14:paraId="70A3E46D"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t xml:space="preserve">Manica, M. (2022) Effectiveness of Approaches to Prevent Re-Offending in Young People: A Rapid Review of the Evidence  Available at: </w:t>
      </w:r>
      <w:hyperlink r:id="rId24" w:history="1">
        <w:r w:rsidRPr="00FB1A72">
          <w:rPr>
            <w:rStyle w:val="Hyperlink"/>
            <w:rFonts w:ascii="Arial" w:hAnsi="Arial" w:cs="Arial"/>
            <w:color w:val="auto"/>
            <w:shd w:val="clear" w:color="auto" w:fill="FFFFFF"/>
          </w:rPr>
          <w:t>https://www.svru.co.uk/wp-content/uploads/2022/05/Martina-Manica-Approaches-to-reducing-violent-youth-offending-Evidence-Review-.pdf</w:t>
        </w:r>
      </w:hyperlink>
      <w:r w:rsidRPr="00FB1A72">
        <w:rPr>
          <w:rFonts w:ascii="Arial" w:hAnsi="Arial" w:cs="Arial"/>
          <w:shd w:val="clear" w:color="auto" w:fill="FFFFFF"/>
        </w:rPr>
        <w:t xml:space="preserve"> (Accessed: 27</w:t>
      </w:r>
      <w:r w:rsidRPr="00FB1A72">
        <w:rPr>
          <w:rFonts w:ascii="Arial" w:hAnsi="Arial" w:cs="Arial"/>
          <w:shd w:val="clear" w:color="auto" w:fill="FFFFFF"/>
          <w:vertAlign w:val="superscript"/>
        </w:rPr>
        <w:t>th</w:t>
      </w:r>
      <w:r w:rsidRPr="00FB1A72">
        <w:rPr>
          <w:rFonts w:ascii="Arial" w:hAnsi="Arial" w:cs="Arial"/>
          <w:shd w:val="clear" w:color="auto" w:fill="FFFFFF"/>
        </w:rPr>
        <w:t xml:space="preserve"> January 2024). </w:t>
      </w:r>
    </w:p>
    <w:p w14:paraId="5A7F22C1" w14:textId="77777777" w:rsidR="0081075A" w:rsidRPr="00FB1A72" w:rsidRDefault="0081075A" w:rsidP="0081075A">
      <w:pPr>
        <w:jc w:val="both"/>
        <w:rPr>
          <w:rFonts w:ascii="Arial" w:hAnsi="Arial" w:cs="Arial"/>
          <w:shd w:val="clear" w:color="auto" w:fill="FFFFFF"/>
        </w:rPr>
      </w:pPr>
    </w:p>
    <w:p w14:paraId="5A653B60" w14:textId="77777777" w:rsidR="0081075A" w:rsidRDefault="0081075A" w:rsidP="0081075A">
      <w:pPr>
        <w:jc w:val="both"/>
        <w:rPr>
          <w:rFonts w:ascii="Arial" w:hAnsi="Arial" w:cs="Arial"/>
          <w:shd w:val="clear" w:color="auto" w:fill="FFFFFF"/>
        </w:rPr>
      </w:pPr>
      <w:proofErr w:type="spellStart"/>
      <w:r w:rsidRPr="00FB1A72">
        <w:rPr>
          <w:rFonts w:ascii="Arial" w:hAnsi="Arial" w:cs="Arial"/>
          <w:shd w:val="clear" w:color="auto" w:fill="FFFFFF"/>
        </w:rPr>
        <w:t>Mcleod</w:t>
      </w:r>
      <w:proofErr w:type="spellEnd"/>
      <w:r w:rsidRPr="00FB1A72">
        <w:rPr>
          <w:rFonts w:ascii="Arial" w:hAnsi="Arial" w:cs="Arial"/>
          <w:shd w:val="clear" w:color="auto" w:fill="FFFFFF"/>
        </w:rPr>
        <w:t xml:space="preserve">, S. (2023) Cognitive Interview Available at: </w:t>
      </w:r>
      <w:hyperlink r:id="rId25" w:history="1">
        <w:r w:rsidRPr="00FB1A72">
          <w:rPr>
            <w:rStyle w:val="Hyperlink"/>
            <w:rFonts w:ascii="Arial" w:hAnsi="Arial" w:cs="Arial"/>
            <w:color w:val="auto"/>
            <w:shd w:val="clear" w:color="auto" w:fill="FFFFFF"/>
          </w:rPr>
          <w:t>https://www.simplypsychology.org/cognitive-interview.html</w:t>
        </w:r>
      </w:hyperlink>
      <w:r w:rsidRPr="00FB1A72">
        <w:rPr>
          <w:rFonts w:ascii="Arial" w:hAnsi="Arial" w:cs="Arial"/>
          <w:shd w:val="clear" w:color="auto" w:fill="FFFFFF"/>
        </w:rPr>
        <w:t xml:space="preserve"> (Accessed: 18</w:t>
      </w:r>
      <w:r w:rsidRPr="00FB1A72">
        <w:rPr>
          <w:rFonts w:ascii="Arial" w:hAnsi="Arial" w:cs="Arial"/>
          <w:shd w:val="clear" w:color="auto" w:fill="FFFFFF"/>
          <w:vertAlign w:val="superscript"/>
        </w:rPr>
        <w:t>th</w:t>
      </w:r>
      <w:r w:rsidRPr="00FB1A72">
        <w:rPr>
          <w:rFonts w:ascii="Arial" w:hAnsi="Arial" w:cs="Arial"/>
          <w:shd w:val="clear" w:color="auto" w:fill="FFFFFF"/>
        </w:rPr>
        <w:t xml:space="preserve"> January 2024).</w:t>
      </w:r>
    </w:p>
    <w:p w14:paraId="78A3B5FA" w14:textId="77777777" w:rsidR="0081075A" w:rsidRPr="00FB1A72" w:rsidRDefault="0081075A" w:rsidP="0081075A">
      <w:pPr>
        <w:jc w:val="both"/>
        <w:rPr>
          <w:rFonts w:ascii="Arial" w:hAnsi="Arial" w:cs="Arial"/>
          <w:shd w:val="clear" w:color="auto" w:fill="FFFFFF"/>
        </w:rPr>
      </w:pPr>
    </w:p>
    <w:p w14:paraId="3B892B6F"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t>Memon, A., Meissner, C. A., &amp; Fraser, J. (2010). THE COGNITIVE INTERVIEW: A Meta-Analytic Review and Study Space Analysis of the Past 25 Years. </w:t>
      </w:r>
      <w:r w:rsidRPr="00FB1A72">
        <w:rPr>
          <w:rFonts w:ascii="Arial" w:hAnsi="Arial" w:cs="Arial"/>
          <w:i/>
          <w:iCs/>
          <w:shd w:val="clear" w:color="auto" w:fill="FFFFFF"/>
        </w:rPr>
        <w:t>Psychology, Public Policy, and Law</w:t>
      </w:r>
      <w:r w:rsidRPr="00FB1A72">
        <w:rPr>
          <w:rFonts w:ascii="Arial" w:hAnsi="Arial" w:cs="Arial"/>
          <w:shd w:val="clear" w:color="auto" w:fill="FFFFFF"/>
        </w:rPr>
        <w:t>, </w:t>
      </w:r>
      <w:r w:rsidRPr="00FB1A72">
        <w:rPr>
          <w:rFonts w:ascii="Arial" w:hAnsi="Arial" w:cs="Arial"/>
          <w:i/>
          <w:iCs/>
          <w:shd w:val="clear" w:color="auto" w:fill="FFFFFF"/>
        </w:rPr>
        <w:t>16</w:t>
      </w:r>
      <w:r w:rsidRPr="00FB1A72">
        <w:rPr>
          <w:rFonts w:ascii="Arial" w:hAnsi="Arial" w:cs="Arial"/>
          <w:shd w:val="clear" w:color="auto" w:fill="FFFFFF"/>
        </w:rPr>
        <w:t xml:space="preserve">(4), 340–372. Available at: </w:t>
      </w:r>
      <w:hyperlink r:id="rId26" w:history="1">
        <w:r w:rsidRPr="00FB1A72">
          <w:rPr>
            <w:rStyle w:val="Hyperlink"/>
            <w:rFonts w:ascii="Arial" w:hAnsi="Arial" w:cs="Arial"/>
            <w:color w:val="auto"/>
            <w:shd w:val="clear" w:color="auto" w:fill="FFFFFF"/>
          </w:rPr>
          <w:t>https://doi.org/10.1037/a0020518</w:t>
        </w:r>
      </w:hyperlink>
      <w:r w:rsidRPr="00FB1A72">
        <w:rPr>
          <w:rFonts w:ascii="Arial" w:hAnsi="Arial" w:cs="Arial"/>
          <w:shd w:val="clear" w:color="auto" w:fill="FFFFFF"/>
        </w:rPr>
        <w:t xml:space="preserve"> (Accessed: 27</w:t>
      </w:r>
      <w:r w:rsidRPr="00FB1A72">
        <w:rPr>
          <w:rFonts w:ascii="Arial" w:hAnsi="Arial" w:cs="Arial"/>
          <w:shd w:val="clear" w:color="auto" w:fill="FFFFFF"/>
          <w:vertAlign w:val="superscript"/>
        </w:rPr>
        <w:t>th</w:t>
      </w:r>
      <w:r w:rsidRPr="00FB1A72">
        <w:rPr>
          <w:rFonts w:ascii="Arial" w:hAnsi="Arial" w:cs="Arial"/>
          <w:shd w:val="clear" w:color="auto" w:fill="FFFFFF"/>
        </w:rPr>
        <w:t xml:space="preserve"> January 2024). </w:t>
      </w:r>
    </w:p>
    <w:p w14:paraId="185425A8" w14:textId="77777777" w:rsidR="0081075A" w:rsidRPr="00FB1A72" w:rsidRDefault="0081075A" w:rsidP="0081075A">
      <w:pPr>
        <w:jc w:val="both"/>
        <w:rPr>
          <w:rFonts w:ascii="Arial" w:hAnsi="Arial" w:cs="Arial"/>
          <w:shd w:val="clear" w:color="auto" w:fill="FFFFFF"/>
        </w:rPr>
      </w:pPr>
    </w:p>
    <w:p w14:paraId="6F3559D2"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t xml:space="preserve">Ministry of Justice (2021) Youth Rehabilitation Orders (YROs) Available at: </w:t>
      </w:r>
      <w:hyperlink r:id="rId27" w:history="1">
        <w:r w:rsidRPr="00FB1A72">
          <w:rPr>
            <w:rStyle w:val="Hyperlink"/>
            <w:rFonts w:ascii="Arial" w:hAnsi="Arial" w:cs="Arial"/>
            <w:color w:val="auto"/>
            <w:shd w:val="clear" w:color="auto" w:fill="FFFFFF"/>
          </w:rPr>
          <w:t>https://consult.justice.gov.uk/sentencing-council/sentencing-youths/user_uploads/youth-rehabilitation-orders.pdf-1</w:t>
        </w:r>
      </w:hyperlink>
      <w:r w:rsidRPr="00FB1A72">
        <w:rPr>
          <w:rFonts w:ascii="Arial" w:hAnsi="Arial" w:cs="Arial"/>
          <w:shd w:val="clear" w:color="auto" w:fill="FFFFFF"/>
        </w:rPr>
        <w:t xml:space="preserve"> (Accessed: 27</w:t>
      </w:r>
      <w:r w:rsidRPr="00FB1A72">
        <w:rPr>
          <w:rFonts w:ascii="Arial" w:hAnsi="Arial" w:cs="Arial"/>
          <w:shd w:val="clear" w:color="auto" w:fill="FFFFFF"/>
          <w:vertAlign w:val="superscript"/>
        </w:rPr>
        <w:t>th</w:t>
      </w:r>
      <w:r w:rsidRPr="00FB1A72">
        <w:rPr>
          <w:rFonts w:ascii="Arial" w:hAnsi="Arial" w:cs="Arial"/>
          <w:shd w:val="clear" w:color="auto" w:fill="FFFFFF"/>
        </w:rPr>
        <w:t xml:space="preserve"> January 2024). </w:t>
      </w:r>
    </w:p>
    <w:p w14:paraId="6CC3CB8A" w14:textId="77777777" w:rsidR="0081075A" w:rsidRPr="00FB1A72" w:rsidRDefault="0081075A" w:rsidP="0081075A">
      <w:pPr>
        <w:jc w:val="both"/>
        <w:rPr>
          <w:rFonts w:ascii="Arial" w:hAnsi="Arial" w:cs="Arial"/>
          <w:shd w:val="clear" w:color="auto" w:fill="FFFFFF"/>
        </w:rPr>
      </w:pPr>
    </w:p>
    <w:p w14:paraId="2E646FE2"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t xml:space="preserve">Ministry of Justice (2023) ‘Proven reoffending statistics quarterly bulletin, January to March 2021’ Available at: </w:t>
      </w:r>
      <w:hyperlink r:id="rId28" w:history="1">
        <w:r w:rsidRPr="00FB1A72">
          <w:rPr>
            <w:rStyle w:val="Hyperlink"/>
            <w:rFonts w:ascii="Arial" w:hAnsi="Arial" w:cs="Arial"/>
            <w:color w:val="auto"/>
            <w:shd w:val="clear" w:color="auto" w:fill="FFFFFF"/>
          </w:rPr>
          <w:t>https://assets.publishing.service.gov.uk/media/63d171bfe90e071ba9122343/PRSQ_Bulletin_2020_F4.pdf</w:t>
        </w:r>
      </w:hyperlink>
      <w:r w:rsidRPr="00FB1A72">
        <w:rPr>
          <w:rFonts w:ascii="Arial" w:hAnsi="Arial" w:cs="Arial"/>
          <w:shd w:val="clear" w:color="auto" w:fill="FFFFFF"/>
        </w:rPr>
        <w:t xml:space="preserve"> (Accessed: 21</w:t>
      </w:r>
      <w:r w:rsidRPr="00FB1A72">
        <w:rPr>
          <w:rFonts w:ascii="Arial" w:hAnsi="Arial" w:cs="Arial"/>
          <w:shd w:val="clear" w:color="auto" w:fill="FFFFFF"/>
          <w:vertAlign w:val="superscript"/>
        </w:rPr>
        <w:t>st</w:t>
      </w:r>
      <w:r w:rsidRPr="00FB1A72">
        <w:rPr>
          <w:rFonts w:ascii="Arial" w:hAnsi="Arial" w:cs="Arial"/>
          <w:shd w:val="clear" w:color="auto" w:fill="FFFFFF"/>
        </w:rPr>
        <w:t xml:space="preserve"> January 2024). </w:t>
      </w:r>
    </w:p>
    <w:p w14:paraId="5E250997" w14:textId="77777777" w:rsidR="0081075A" w:rsidRPr="00FB1A72" w:rsidRDefault="0081075A" w:rsidP="0081075A">
      <w:pPr>
        <w:jc w:val="both"/>
        <w:rPr>
          <w:rFonts w:ascii="Arial" w:hAnsi="Arial" w:cs="Arial"/>
          <w:shd w:val="clear" w:color="auto" w:fill="FFFFFF"/>
        </w:rPr>
      </w:pPr>
    </w:p>
    <w:p w14:paraId="4DEDD38D"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t xml:space="preserve">NHS Lothian (2024) Public Protection  Available at: </w:t>
      </w:r>
      <w:hyperlink r:id="rId29" w:history="1">
        <w:r w:rsidRPr="00FB1A72">
          <w:rPr>
            <w:rStyle w:val="Hyperlink"/>
            <w:rFonts w:ascii="Arial" w:hAnsi="Arial" w:cs="Arial"/>
            <w:color w:val="auto"/>
            <w:shd w:val="clear" w:color="auto" w:fill="FFFFFF"/>
          </w:rPr>
          <w:t>https://policyonline.nhslothian.scot/policy_page/public-protection/#:~:text=Public%20Protection%20is%20about%20preventing,most%20challenging%20areas%20of%20work</w:t>
        </w:r>
      </w:hyperlink>
      <w:r w:rsidRPr="00FB1A72">
        <w:rPr>
          <w:rFonts w:ascii="Arial" w:hAnsi="Arial" w:cs="Arial"/>
          <w:shd w:val="clear" w:color="auto" w:fill="FFFFFF"/>
        </w:rPr>
        <w:t xml:space="preserve"> (Accessed: 28</w:t>
      </w:r>
      <w:r w:rsidRPr="00FB1A72">
        <w:rPr>
          <w:rFonts w:ascii="Arial" w:hAnsi="Arial" w:cs="Arial"/>
          <w:shd w:val="clear" w:color="auto" w:fill="FFFFFF"/>
          <w:vertAlign w:val="superscript"/>
        </w:rPr>
        <w:t>th</w:t>
      </w:r>
      <w:r w:rsidRPr="00FB1A72">
        <w:rPr>
          <w:rFonts w:ascii="Arial" w:hAnsi="Arial" w:cs="Arial"/>
          <w:shd w:val="clear" w:color="auto" w:fill="FFFFFF"/>
        </w:rPr>
        <w:t xml:space="preserve"> January 2024). </w:t>
      </w:r>
    </w:p>
    <w:p w14:paraId="37D99F11" w14:textId="77777777" w:rsidR="0081075A" w:rsidRPr="00FB1A72" w:rsidRDefault="0081075A" w:rsidP="0081075A">
      <w:pPr>
        <w:jc w:val="both"/>
        <w:rPr>
          <w:rFonts w:ascii="Arial" w:hAnsi="Arial" w:cs="Arial"/>
          <w:shd w:val="clear" w:color="auto" w:fill="FFFFFF"/>
        </w:rPr>
      </w:pPr>
    </w:p>
    <w:p w14:paraId="32B816A9"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t xml:space="preserve">Nickerson, C. (2024) Schema Theory in Psychology  Available at: </w:t>
      </w:r>
      <w:hyperlink r:id="rId30" w:history="1">
        <w:r w:rsidRPr="00FB1A72">
          <w:rPr>
            <w:rStyle w:val="Hyperlink"/>
            <w:rFonts w:ascii="Arial" w:hAnsi="Arial" w:cs="Arial"/>
            <w:color w:val="auto"/>
            <w:shd w:val="clear" w:color="auto" w:fill="FFFFFF"/>
          </w:rPr>
          <w:t>https://www.simplypsychology.org/what-is-a-schema.html</w:t>
        </w:r>
      </w:hyperlink>
      <w:r w:rsidRPr="00FB1A72">
        <w:rPr>
          <w:rFonts w:ascii="Arial" w:hAnsi="Arial" w:cs="Arial"/>
          <w:shd w:val="clear" w:color="auto" w:fill="FFFFFF"/>
        </w:rPr>
        <w:t xml:space="preserve"> (Accessed: 19</w:t>
      </w:r>
      <w:r w:rsidRPr="00FB1A72">
        <w:rPr>
          <w:rFonts w:ascii="Arial" w:hAnsi="Arial" w:cs="Arial"/>
          <w:shd w:val="clear" w:color="auto" w:fill="FFFFFF"/>
          <w:vertAlign w:val="superscript"/>
        </w:rPr>
        <w:t>th</w:t>
      </w:r>
      <w:r w:rsidRPr="00FB1A72">
        <w:rPr>
          <w:rFonts w:ascii="Arial" w:hAnsi="Arial" w:cs="Arial"/>
          <w:shd w:val="clear" w:color="auto" w:fill="FFFFFF"/>
        </w:rPr>
        <w:t xml:space="preserve"> January 2024). </w:t>
      </w:r>
    </w:p>
    <w:p w14:paraId="5B4A0FCF" w14:textId="77777777" w:rsidR="0081075A" w:rsidRPr="00FB1A72" w:rsidRDefault="0081075A" w:rsidP="0081075A">
      <w:pPr>
        <w:jc w:val="both"/>
        <w:rPr>
          <w:rFonts w:ascii="Arial" w:hAnsi="Arial" w:cs="Arial"/>
          <w:shd w:val="clear" w:color="auto" w:fill="FFFFFF"/>
        </w:rPr>
      </w:pPr>
    </w:p>
    <w:p w14:paraId="434D5DCD"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t xml:space="preserve">O’Reilly , C., Agnew-Pauley, W., Lundrigan, S. (2022) Restoring public confidence through the delivery of improved community policing in </w:t>
      </w:r>
      <w:proofErr w:type="spellStart"/>
      <w:r w:rsidRPr="00FB1A72">
        <w:rPr>
          <w:rFonts w:ascii="Arial" w:hAnsi="Arial" w:cs="Arial"/>
          <w:shd w:val="clear" w:color="auto" w:fill="FFFFFF"/>
        </w:rPr>
        <w:t>Rackhamshire</w:t>
      </w:r>
      <w:proofErr w:type="spellEnd"/>
      <w:r w:rsidRPr="00FB1A72">
        <w:rPr>
          <w:rFonts w:ascii="Arial" w:hAnsi="Arial" w:cs="Arial"/>
          <w:shd w:val="clear" w:color="auto" w:fill="FFFFFF"/>
        </w:rPr>
        <w:t>. </w:t>
      </w:r>
      <w:r w:rsidRPr="00FB1A72">
        <w:rPr>
          <w:rFonts w:ascii="Arial" w:hAnsi="Arial" w:cs="Arial"/>
          <w:i/>
          <w:iCs/>
          <w:shd w:val="clear" w:color="auto" w:fill="FFFFFF"/>
        </w:rPr>
        <w:t>Safer Communities, </w:t>
      </w:r>
      <w:r w:rsidRPr="00FB1A72">
        <w:rPr>
          <w:rFonts w:ascii="Arial" w:hAnsi="Arial" w:cs="Arial"/>
          <w:b/>
          <w:bCs/>
          <w:shd w:val="clear" w:color="auto" w:fill="FFFFFF"/>
        </w:rPr>
        <w:t>21</w:t>
      </w:r>
      <w:r w:rsidRPr="00FB1A72">
        <w:rPr>
          <w:rFonts w:ascii="Arial" w:hAnsi="Arial" w:cs="Arial"/>
          <w:shd w:val="clear" w:color="auto" w:fill="FFFFFF"/>
        </w:rPr>
        <w:t xml:space="preserve">(2), pp. 69-84. </w:t>
      </w:r>
    </w:p>
    <w:p w14:paraId="0A146701" w14:textId="77777777" w:rsidR="0081075A" w:rsidRPr="00FB1A72" w:rsidRDefault="0081075A" w:rsidP="0081075A">
      <w:pPr>
        <w:jc w:val="both"/>
        <w:rPr>
          <w:rFonts w:ascii="Arial" w:hAnsi="Arial" w:cs="Arial"/>
          <w:shd w:val="clear" w:color="auto" w:fill="FFFFFF"/>
        </w:rPr>
      </w:pPr>
    </w:p>
    <w:p w14:paraId="4BC0498F" w14:textId="77777777" w:rsidR="0081075A" w:rsidRDefault="0081075A" w:rsidP="0081075A">
      <w:pPr>
        <w:jc w:val="both"/>
        <w:rPr>
          <w:rFonts w:ascii="Arial" w:hAnsi="Arial" w:cs="Arial"/>
        </w:rPr>
      </w:pPr>
      <w:proofErr w:type="spellStart"/>
      <w:r w:rsidRPr="00FB1A72">
        <w:rPr>
          <w:rFonts w:ascii="Arial" w:hAnsi="Arial" w:cs="Arial"/>
        </w:rPr>
        <w:t>Physiopedia</w:t>
      </w:r>
      <w:proofErr w:type="spellEnd"/>
      <w:r w:rsidRPr="00FB1A72">
        <w:rPr>
          <w:rFonts w:ascii="Arial" w:hAnsi="Arial" w:cs="Arial"/>
        </w:rPr>
        <w:t xml:space="preserve"> (2021) </w:t>
      </w:r>
      <w:r w:rsidRPr="00FB1A72">
        <w:rPr>
          <w:rFonts w:ascii="Arial" w:hAnsi="Arial" w:cs="Arial"/>
          <w:i/>
          <w:iCs/>
        </w:rPr>
        <w:t xml:space="preserve">Borton’s Development Framework   </w:t>
      </w:r>
      <w:r w:rsidRPr="00FB1A72">
        <w:rPr>
          <w:rFonts w:ascii="Arial" w:hAnsi="Arial" w:cs="Arial"/>
        </w:rPr>
        <w:t xml:space="preserve">Available at: </w:t>
      </w:r>
      <w:hyperlink r:id="rId31" w:history="1">
        <w:r w:rsidRPr="00FB1A72">
          <w:rPr>
            <w:rStyle w:val="Hyperlink"/>
            <w:rFonts w:ascii="Arial" w:hAnsi="Arial" w:cs="Arial"/>
            <w:color w:val="auto"/>
          </w:rPr>
          <w:t>https://www.physio-pedia.com/Borton%27s_Development_Framework</w:t>
        </w:r>
      </w:hyperlink>
      <w:r w:rsidRPr="00FB1A72">
        <w:rPr>
          <w:rFonts w:ascii="Arial" w:hAnsi="Arial" w:cs="Arial"/>
        </w:rPr>
        <w:t xml:space="preserve"> (Accessed: 18</w:t>
      </w:r>
      <w:r w:rsidRPr="00FB1A72">
        <w:rPr>
          <w:rFonts w:ascii="Arial" w:hAnsi="Arial" w:cs="Arial"/>
          <w:vertAlign w:val="superscript"/>
        </w:rPr>
        <w:t>th</w:t>
      </w:r>
      <w:r w:rsidRPr="00FB1A72">
        <w:rPr>
          <w:rFonts w:ascii="Arial" w:hAnsi="Arial" w:cs="Arial"/>
        </w:rPr>
        <w:t xml:space="preserve"> January 2024). </w:t>
      </w:r>
    </w:p>
    <w:p w14:paraId="2AD2D5A2" w14:textId="77777777" w:rsidR="0081075A" w:rsidRPr="00FB1A72" w:rsidRDefault="0081075A" w:rsidP="0081075A">
      <w:pPr>
        <w:jc w:val="both"/>
        <w:rPr>
          <w:rFonts w:ascii="Arial" w:hAnsi="Arial" w:cs="Arial"/>
        </w:rPr>
      </w:pPr>
    </w:p>
    <w:p w14:paraId="755A63CB"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t xml:space="preserve">Restorative Justice Council (2015) Restorative justice in youth offending teams  Available at: </w:t>
      </w:r>
      <w:hyperlink r:id="rId32" w:history="1">
        <w:r w:rsidRPr="00FB1A72">
          <w:rPr>
            <w:rStyle w:val="Hyperlink"/>
            <w:rFonts w:ascii="Arial" w:hAnsi="Arial" w:cs="Arial"/>
            <w:color w:val="auto"/>
            <w:shd w:val="clear" w:color="auto" w:fill="FFFFFF"/>
          </w:rPr>
          <w:t>https://restorativejustice.org.uk/sites/default/files/news/files/dpn8_yot_infopack.pdf</w:t>
        </w:r>
      </w:hyperlink>
      <w:r w:rsidRPr="00FB1A72">
        <w:rPr>
          <w:rFonts w:ascii="Arial" w:hAnsi="Arial" w:cs="Arial"/>
          <w:shd w:val="clear" w:color="auto" w:fill="FFFFFF"/>
        </w:rPr>
        <w:t xml:space="preserve"> (Accessed: 27</w:t>
      </w:r>
      <w:r w:rsidRPr="00FB1A72">
        <w:rPr>
          <w:rFonts w:ascii="Arial" w:hAnsi="Arial" w:cs="Arial"/>
          <w:shd w:val="clear" w:color="auto" w:fill="FFFFFF"/>
          <w:vertAlign w:val="superscript"/>
        </w:rPr>
        <w:t>th</w:t>
      </w:r>
      <w:r w:rsidRPr="00FB1A72">
        <w:rPr>
          <w:rFonts w:ascii="Arial" w:hAnsi="Arial" w:cs="Arial"/>
          <w:shd w:val="clear" w:color="auto" w:fill="FFFFFF"/>
        </w:rPr>
        <w:t xml:space="preserve"> January 2024). </w:t>
      </w:r>
    </w:p>
    <w:p w14:paraId="27B34893" w14:textId="77777777" w:rsidR="0081075A" w:rsidRPr="00FB1A72" w:rsidRDefault="0081075A" w:rsidP="0081075A">
      <w:pPr>
        <w:jc w:val="both"/>
        <w:rPr>
          <w:rFonts w:ascii="Arial" w:hAnsi="Arial" w:cs="Arial"/>
          <w:shd w:val="clear" w:color="auto" w:fill="FFFFFF"/>
        </w:rPr>
      </w:pPr>
    </w:p>
    <w:p w14:paraId="23F4038D" w14:textId="77777777" w:rsidR="0081075A" w:rsidRDefault="0081075A" w:rsidP="0081075A">
      <w:pPr>
        <w:jc w:val="both"/>
        <w:rPr>
          <w:rFonts w:ascii="Arial" w:hAnsi="Arial" w:cs="Arial"/>
          <w:shd w:val="clear" w:color="auto" w:fill="FFFFFF"/>
        </w:rPr>
      </w:pPr>
      <w:proofErr w:type="spellStart"/>
      <w:r w:rsidRPr="00FB1A72">
        <w:rPr>
          <w:rFonts w:ascii="Arial" w:hAnsi="Arial" w:cs="Arial"/>
          <w:shd w:val="clear" w:color="auto" w:fill="FFFFFF"/>
        </w:rPr>
        <w:t>StudySmarter</w:t>
      </w:r>
      <w:proofErr w:type="spellEnd"/>
      <w:r w:rsidRPr="00FB1A72">
        <w:rPr>
          <w:rFonts w:ascii="Arial" w:hAnsi="Arial" w:cs="Arial"/>
          <w:shd w:val="clear" w:color="auto" w:fill="FFFFFF"/>
        </w:rPr>
        <w:t xml:space="preserve">. Cognitive Interview   Available at: </w:t>
      </w:r>
      <w:hyperlink r:id="rId33" w:history="1">
        <w:r w:rsidRPr="00FB1A72">
          <w:rPr>
            <w:rStyle w:val="Hyperlink"/>
            <w:rFonts w:ascii="Arial" w:hAnsi="Arial" w:cs="Arial"/>
            <w:color w:val="auto"/>
            <w:shd w:val="clear" w:color="auto" w:fill="FFFFFF"/>
          </w:rPr>
          <w:t>https://www.studysmarter.co.uk/explanations/psychology/basic-psychology/cognitive-interview/</w:t>
        </w:r>
      </w:hyperlink>
      <w:r w:rsidRPr="00FB1A72">
        <w:rPr>
          <w:rFonts w:ascii="Arial" w:hAnsi="Arial" w:cs="Arial"/>
          <w:shd w:val="clear" w:color="auto" w:fill="FFFFFF"/>
        </w:rPr>
        <w:t xml:space="preserve"> (Accessed: 19</w:t>
      </w:r>
      <w:r w:rsidRPr="00FB1A72">
        <w:rPr>
          <w:rFonts w:ascii="Arial" w:hAnsi="Arial" w:cs="Arial"/>
          <w:shd w:val="clear" w:color="auto" w:fill="FFFFFF"/>
          <w:vertAlign w:val="superscript"/>
        </w:rPr>
        <w:t>th</w:t>
      </w:r>
      <w:r w:rsidRPr="00FB1A72">
        <w:rPr>
          <w:rFonts w:ascii="Arial" w:hAnsi="Arial" w:cs="Arial"/>
          <w:shd w:val="clear" w:color="auto" w:fill="FFFFFF"/>
        </w:rPr>
        <w:t xml:space="preserve"> January 2024).</w:t>
      </w:r>
    </w:p>
    <w:p w14:paraId="6338EB06" w14:textId="77777777" w:rsidR="0081075A" w:rsidRPr="00FB1A72" w:rsidRDefault="0081075A" w:rsidP="0081075A">
      <w:pPr>
        <w:jc w:val="both"/>
        <w:rPr>
          <w:rFonts w:ascii="Arial" w:hAnsi="Arial" w:cs="Arial"/>
          <w:shd w:val="clear" w:color="auto" w:fill="FFFFFF"/>
        </w:rPr>
      </w:pPr>
    </w:p>
    <w:p w14:paraId="199D24DE" w14:textId="77777777" w:rsidR="0081075A" w:rsidRDefault="0081075A" w:rsidP="0081075A">
      <w:pPr>
        <w:jc w:val="both"/>
        <w:rPr>
          <w:rStyle w:val="doilink"/>
          <w:rFonts w:ascii="Arial" w:hAnsi="Arial" w:cs="Arial"/>
          <w:shd w:val="clear" w:color="auto" w:fill="FFFFFF"/>
        </w:rPr>
      </w:pPr>
      <w:r w:rsidRPr="00FB1A72">
        <w:rPr>
          <w:rStyle w:val="authorname"/>
          <w:rFonts w:ascii="Arial" w:hAnsi="Arial" w:cs="Arial"/>
          <w:shd w:val="clear" w:color="auto" w:fill="FFFFFF"/>
        </w:rPr>
        <w:t>Willis, R.</w:t>
      </w:r>
      <w:r w:rsidRPr="00FB1A72">
        <w:rPr>
          <w:rFonts w:ascii="Arial" w:hAnsi="Arial" w:cs="Arial"/>
          <w:shd w:val="clear" w:color="auto" w:fill="FFFFFF"/>
        </w:rPr>
        <w:t> </w:t>
      </w:r>
      <w:r w:rsidRPr="00FB1A72">
        <w:rPr>
          <w:rStyle w:val="date"/>
          <w:rFonts w:ascii="Arial" w:hAnsi="Arial" w:cs="Arial"/>
          <w:shd w:val="clear" w:color="auto" w:fill="FFFFFF"/>
        </w:rPr>
        <w:t>(2016)</w:t>
      </w:r>
      <w:r w:rsidRPr="00FB1A72">
        <w:rPr>
          <w:rFonts w:ascii="Arial" w:hAnsi="Arial" w:cs="Arial"/>
          <w:shd w:val="clear" w:color="auto" w:fill="FFFFFF"/>
        </w:rPr>
        <w:t> </w:t>
      </w:r>
      <w:r w:rsidRPr="00FB1A72">
        <w:rPr>
          <w:rStyle w:val="arttitle"/>
          <w:rFonts w:ascii="Arial" w:hAnsi="Arial" w:cs="Arial"/>
          <w:shd w:val="clear" w:color="auto" w:fill="FFFFFF"/>
        </w:rPr>
        <w:t>Three approaches to community in restorative justice, explored through a young person’s experiences of a youth offender team in England,</w:t>
      </w:r>
      <w:r w:rsidRPr="00FB1A72">
        <w:rPr>
          <w:rFonts w:ascii="Arial" w:hAnsi="Arial" w:cs="Arial"/>
          <w:shd w:val="clear" w:color="auto" w:fill="FFFFFF"/>
        </w:rPr>
        <w:t> </w:t>
      </w:r>
      <w:r w:rsidRPr="00FB1A72">
        <w:rPr>
          <w:rStyle w:val="serialtitle"/>
          <w:rFonts w:ascii="Arial" w:hAnsi="Arial" w:cs="Arial"/>
          <w:shd w:val="clear" w:color="auto" w:fill="FFFFFF"/>
        </w:rPr>
        <w:t>Restorative Justice,</w:t>
      </w:r>
      <w:r w:rsidRPr="00FB1A72">
        <w:rPr>
          <w:rFonts w:ascii="Arial" w:hAnsi="Arial" w:cs="Arial"/>
          <w:shd w:val="clear" w:color="auto" w:fill="FFFFFF"/>
        </w:rPr>
        <w:t> </w:t>
      </w:r>
      <w:r w:rsidRPr="00FB1A72">
        <w:rPr>
          <w:rStyle w:val="volumeissue"/>
          <w:rFonts w:ascii="Arial" w:hAnsi="Arial" w:cs="Arial"/>
          <w:shd w:val="clear" w:color="auto" w:fill="FFFFFF"/>
        </w:rPr>
        <w:t>4:2,</w:t>
      </w:r>
      <w:r w:rsidRPr="00FB1A72">
        <w:rPr>
          <w:rFonts w:ascii="Arial" w:hAnsi="Arial" w:cs="Arial"/>
          <w:shd w:val="clear" w:color="auto" w:fill="FFFFFF"/>
        </w:rPr>
        <w:t> </w:t>
      </w:r>
      <w:r w:rsidRPr="00FB1A72">
        <w:rPr>
          <w:rStyle w:val="pagerange"/>
          <w:rFonts w:ascii="Arial" w:hAnsi="Arial" w:cs="Arial"/>
          <w:shd w:val="clear" w:color="auto" w:fill="FFFFFF"/>
        </w:rPr>
        <w:t>168-194,</w:t>
      </w:r>
      <w:r w:rsidRPr="00FB1A72">
        <w:rPr>
          <w:rFonts w:ascii="Arial" w:hAnsi="Arial" w:cs="Arial"/>
          <w:shd w:val="clear" w:color="auto" w:fill="FFFFFF"/>
        </w:rPr>
        <w:t> </w:t>
      </w:r>
      <w:r w:rsidRPr="00FB1A72">
        <w:rPr>
          <w:rStyle w:val="doilink"/>
          <w:rFonts w:ascii="Arial" w:hAnsi="Arial" w:cs="Arial"/>
          <w:shd w:val="clear" w:color="auto" w:fill="FFFFFF"/>
        </w:rPr>
        <w:t>DOI: </w:t>
      </w:r>
      <w:hyperlink r:id="rId34" w:history="1">
        <w:r w:rsidRPr="00FB1A72">
          <w:rPr>
            <w:rStyle w:val="Hyperlink"/>
            <w:rFonts w:ascii="Arial" w:hAnsi="Arial" w:cs="Arial"/>
            <w:color w:val="auto"/>
            <w:shd w:val="clear" w:color="auto" w:fill="FFFFFF"/>
          </w:rPr>
          <w:t>10.1080/20504721.2016.1197521</w:t>
        </w:r>
      </w:hyperlink>
      <w:r w:rsidRPr="00FB1A72">
        <w:rPr>
          <w:rStyle w:val="doilink"/>
          <w:rFonts w:ascii="Arial" w:hAnsi="Arial" w:cs="Arial"/>
          <w:shd w:val="clear" w:color="auto" w:fill="FFFFFF"/>
        </w:rPr>
        <w:t xml:space="preserve"> </w:t>
      </w:r>
    </w:p>
    <w:p w14:paraId="3C9C0A67" w14:textId="77777777" w:rsidR="0081075A" w:rsidRPr="00FB1A72" w:rsidRDefault="0081075A" w:rsidP="0081075A">
      <w:pPr>
        <w:jc w:val="both"/>
        <w:rPr>
          <w:rFonts w:ascii="Arial" w:hAnsi="Arial" w:cs="Arial"/>
          <w:shd w:val="clear" w:color="auto" w:fill="FFFFFF"/>
        </w:rPr>
      </w:pPr>
    </w:p>
    <w:p w14:paraId="4947DC45"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t xml:space="preserve">Youth Justice Board (2024) Youth Justice Statistics: 2022 to 2023  Available at: </w:t>
      </w:r>
      <w:hyperlink r:id="rId35" w:history="1">
        <w:r w:rsidRPr="00FB1A72">
          <w:rPr>
            <w:rStyle w:val="Hyperlink"/>
            <w:rFonts w:ascii="Arial" w:hAnsi="Arial" w:cs="Arial"/>
            <w:color w:val="auto"/>
            <w:shd w:val="clear" w:color="auto" w:fill="FFFFFF"/>
          </w:rPr>
          <w:t>https://www.gov.uk/government/statistics/youth-justice-statistics-2022-to-2023/youth-justice-statistics-2022-to-2023-accessible-version</w:t>
        </w:r>
      </w:hyperlink>
      <w:r w:rsidRPr="00FB1A72">
        <w:rPr>
          <w:rFonts w:ascii="Arial" w:hAnsi="Arial" w:cs="Arial"/>
          <w:shd w:val="clear" w:color="auto" w:fill="FFFFFF"/>
        </w:rPr>
        <w:t xml:space="preserve"> (Accessed: 26</w:t>
      </w:r>
      <w:r w:rsidRPr="00FB1A72">
        <w:rPr>
          <w:rFonts w:ascii="Arial" w:hAnsi="Arial" w:cs="Arial"/>
          <w:shd w:val="clear" w:color="auto" w:fill="FFFFFF"/>
          <w:vertAlign w:val="superscript"/>
        </w:rPr>
        <w:t>th</w:t>
      </w:r>
      <w:r w:rsidRPr="00FB1A72">
        <w:rPr>
          <w:rFonts w:ascii="Arial" w:hAnsi="Arial" w:cs="Arial"/>
          <w:shd w:val="clear" w:color="auto" w:fill="FFFFFF"/>
        </w:rPr>
        <w:t xml:space="preserve"> January 2024). </w:t>
      </w:r>
    </w:p>
    <w:p w14:paraId="64DA2E83" w14:textId="77777777" w:rsidR="0081075A" w:rsidRPr="00FB1A72" w:rsidRDefault="0081075A" w:rsidP="0081075A">
      <w:pPr>
        <w:jc w:val="both"/>
        <w:rPr>
          <w:rFonts w:ascii="Arial" w:hAnsi="Arial" w:cs="Arial"/>
          <w:shd w:val="clear" w:color="auto" w:fill="FFFFFF"/>
        </w:rPr>
      </w:pPr>
    </w:p>
    <w:p w14:paraId="21374390" w14:textId="77777777" w:rsidR="0081075A" w:rsidRDefault="0081075A" w:rsidP="0081075A">
      <w:pPr>
        <w:jc w:val="both"/>
        <w:rPr>
          <w:rFonts w:ascii="Arial" w:hAnsi="Arial" w:cs="Arial"/>
          <w:shd w:val="clear" w:color="auto" w:fill="FFFFFF"/>
        </w:rPr>
      </w:pPr>
      <w:r w:rsidRPr="00FB1A72">
        <w:rPr>
          <w:rFonts w:ascii="Arial" w:hAnsi="Arial" w:cs="Arial"/>
          <w:shd w:val="clear" w:color="auto" w:fill="FFFFFF"/>
        </w:rPr>
        <w:t xml:space="preserve">Youth Justice Legal Centre (2021) ‘Youth Justice Board – Youth Justice Statistics 2020/21’ Available at: </w:t>
      </w:r>
      <w:hyperlink r:id="rId36" w:anchor=":~:text=Despite%20the%20downhill%20trend%20in,24%25%20and%2025.2%25%20respectively" w:history="1">
        <w:r w:rsidRPr="00FB1A72">
          <w:rPr>
            <w:rStyle w:val="Hyperlink"/>
            <w:rFonts w:ascii="Arial" w:hAnsi="Arial" w:cs="Arial"/>
            <w:color w:val="auto"/>
            <w:shd w:val="clear" w:color="auto" w:fill="FFFFFF"/>
          </w:rPr>
          <w:t>https://yjlc.uk/resources/legal-updates/youth-justice-board-publishes-annual-statistics-2020-2021-highlighting#:~:text=Despite%20the%20downhill%20trend%20in,24%25%20and%2025.2%25%20respectively</w:t>
        </w:r>
      </w:hyperlink>
      <w:r w:rsidRPr="00FB1A72">
        <w:rPr>
          <w:rFonts w:ascii="Arial" w:hAnsi="Arial" w:cs="Arial"/>
          <w:shd w:val="clear" w:color="auto" w:fill="FFFFFF"/>
        </w:rPr>
        <w:t>. (Accessed: 21</w:t>
      </w:r>
      <w:r w:rsidRPr="00FB1A72">
        <w:rPr>
          <w:rFonts w:ascii="Arial" w:hAnsi="Arial" w:cs="Arial"/>
          <w:shd w:val="clear" w:color="auto" w:fill="FFFFFF"/>
          <w:vertAlign w:val="superscript"/>
        </w:rPr>
        <w:t>st</w:t>
      </w:r>
      <w:r w:rsidRPr="00FB1A72">
        <w:rPr>
          <w:rFonts w:ascii="Arial" w:hAnsi="Arial" w:cs="Arial"/>
          <w:shd w:val="clear" w:color="auto" w:fill="FFFFFF"/>
        </w:rPr>
        <w:t xml:space="preserve"> January 2024). </w:t>
      </w:r>
    </w:p>
    <w:p w14:paraId="3CB1A1E2" w14:textId="77777777" w:rsidR="0081075A" w:rsidRPr="0081075A" w:rsidRDefault="0081075A" w:rsidP="00490789">
      <w:pPr>
        <w:jc w:val="both"/>
        <w:rPr>
          <w:rFonts w:ascii="Arial" w:hAnsi="Arial" w:cs="Arial"/>
        </w:rPr>
      </w:pPr>
    </w:p>
    <w:p w14:paraId="1C324923" w14:textId="77777777" w:rsidR="00490789" w:rsidRPr="00490789" w:rsidRDefault="00490789" w:rsidP="00490789">
      <w:pPr>
        <w:jc w:val="both"/>
      </w:pPr>
    </w:p>
    <w:sectPr w:rsidR="00490789" w:rsidRPr="004907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789"/>
    <w:rsid w:val="000976B9"/>
    <w:rsid w:val="000E72D2"/>
    <w:rsid w:val="00233AF1"/>
    <w:rsid w:val="00490789"/>
    <w:rsid w:val="00605650"/>
    <w:rsid w:val="0081075A"/>
    <w:rsid w:val="009C7822"/>
    <w:rsid w:val="009D7C21"/>
    <w:rsid w:val="00C924C3"/>
    <w:rsid w:val="00E074B2"/>
    <w:rsid w:val="00EA1C72"/>
    <w:rsid w:val="00EA2C83"/>
    <w:rsid w:val="00F5400C"/>
    <w:rsid w:val="00FD7156"/>
    <w:rsid w:val="00FF7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90365"/>
  <w15:chartTrackingRefBased/>
  <w15:docId w15:val="{CAB20345-85C2-49CC-AFA3-95CAC0144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90789"/>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unhideWhenUsed/>
    <w:rsid w:val="00EA1C72"/>
    <w:rPr>
      <w:color w:val="0563C1" w:themeColor="hyperlink"/>
      <w:u w:val="single"/>
    </w:rPr>
  </w:style>
  <w:style w:type="paragraph" w:styleId="ListParagraph">
    <w:name w:val="List Paragraph"/>
    <w:basedOn w:val="Normal"/>
    <w:uiPriority w:val="34"/>
    <w:qFormat/>
    <w:rsid w:val="0081075A"/>
    <w:pPr>
      <w:ind w:left="720"/>
      <w:contextualSpacing/>
    </w:pPr>
  </w:style>
  <w:style w:type="character" w:customStyle="1" w:styleId="authorname">
    <w:name w:val="authorname"/>
    <w:basedOn w:val="DefaultParagraphFont"/>
    <w:rsid w:val="0081075A"/>
  </w:style>
  <w:style w:type="character" w:customStyle="1" w:styleId="date">
    <w:name w:val="date"/>
    <w:basedOn w:val="DefaultParagraphFont"/>
    <w:rsid w:val="0081075A"/>
  </w:style>
  <w:style w:type="character" w:customStyle="1" w:styleId="arttitle">
    <w:name w:val="art_title"/>
    <w:basedOn w:val="DefaultParagraphFont"/>
    <w:rsid w:val="0081075A"/>
  </w:style>
  <w:style w:type="character" w:customStyle="1" w:styleId="serialtitle">
    <w:name w:val="serial_title"/>
    <w:basedOn w:val="DefaultParagraphFont"/>
    <w:rsid w:val="0081075A"/>
  </w:style>
  <w:style w:type="character" w:customStyle="1" w:styleId="volumeissue">
    <w:name w:val="volume_issue"/>
    <w:basedOn w:val="DefaultParagraphFont"/>
    <w:rsid w:val="0081075A"/>
  </w:style>
  <w:style w:type="character" w:customStyle="1" w:styleId="pagerange">
    <w:name w:val="page_range"/>
    <w:basedOn w:val="DefaultParagraphFont"/>
    <w:rsid w:val="0081075A"/>
  </w:style>
  <w:style w:type="character" w:customStyle="1" w:styleId="doilink">
    <w:name w:val="doi_link"/>
    <w:basedOn w:val="DefaultParagraphFont"/>
    <w:rsid w:val="008107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2/acp.3828" TargetMode="External"/><Relationship Id="rId18" Type="http://schemas.openxmlformats.org/officeDocument/2006/relationships/hyperlink" Target="https://www.gov.uk/youth-offending-team" TargetMode="External"/><Relationship Id="rId26" Type="http://schemas.openxmlformats.org/officeDocument/2006/relationships/hyperlink" Target="https://doi.org/10.1037/a0020518" TargetMode="External"/><Relationship Id="rId21" Type="http://schemas.openxmlformats.org/officeDocument/2006/relationships/hyperlink" Target="https://www.theguardian.com/politics/2015/aug/04/police-child-abuse-inquiries-operation-yewtree-to-operation-midland" TargetMode="External"/><Relationship Id="rId34" Type="http://schemas.openxmlformats.org/officeDocument/2006/relationships/hyperlink" Target="https://doi-org.ezproxy.uwtsd.ac.uk/10.1080/20504721.2016.1197521" TargetMode="External"/><Relationship Id="rId7" Type="http://schemas.openxmlformats.org/officeDocument/2006/relationships/hyperlink" Target="https://www.college.police.uk/research/crime-reduction-toolkit/young-offender-aftercare" TargetMode="External"/><Relationship Id="rId12" Type="http://schemas.openxmlformats.org/officeDocument/2006/relationships/hyperlink" Target="https://doi-org.ezproxy.uwtsd.ac.uk/10.1080/10683160802203963" TargetMode="External"/><Relationship Id="rId17" Type="http://schemas.openxmlformats.org/officeDocument/2006/relationships/hyperlink" Target="https://doi.org/10.2307/1422492" TargetMode="External"/><Relationship Id="rId25" Type="http://schemas.openxmlformats.org/officeDocument/2006/relationships/hyperlink" Target="https://www.simplypsychology.org/cognitive-interview.html" TargetMode="External"/><Relationship Id="rId33" Type="http://schemas.openxmlformats.org/officeDocument/2006/relationships/hyperlink" Target="https://www.studysmarter.co.uk/explanations/psychology/basic-psychology/cognitive-interview/"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newstatesman.com/politics/2014/07/rolf-harris-guilty-what-has-operation-yewtree-really-taught-us-about-sexual-abuse" TargetMode="External"/><Relationship Id="rId20" Type="http://schemas.openxmlformats.org/officeDocument/2006/relationships/hyperlink" Target="https://www.justiceinspectorates.gov.uk/hmiprobation/wp-content/uploads/sites/5/2021/11/Academic-Insights-Gray-et-al.pdf" TargetMode="External"/><Relationship Id="rId29" Type="http://schemas.openxmlformats.org/officeDocument/2006/relationships/hyperlink" Target="https://policyonline.nhslothian.scot/policy_page/public-protection/#:~:text=Public%20Protection%20is%20about%20preventing,most%20challenging%20areas%20of%20work" TargetMode="External"/><Relationship Id="rId1" Type="http://schemas.openxmlformats.org/officeDocument/2006/relationships/styles" Target="styles.xml"/><Relationship Id="rId6" Type="http://schemas.openxmlformats.org/officeDocument/2006/relationships/hyperlink" Target="https://www.cheshire.police.uk/police-forces/cheshire-constabulary/areas/cheshire/about-us/about-us/public-protection/" TargetMode="External"/><Relationship Id="rId11" Type="http://schemas.openxmlformats.org/officeDocument/2006/relationships/hyperlink" Target="https://www.cps.gov.uk/legal-guidance/restorative-justice" TargetMode="External"/><Relationship Id="rId24" Type="http://schemas.openxmlformats.org/officeDocument/2006/relationships/hyperlink" Target="https://www.svru.co.uk/wp-content/uploads/2022/05/Martina-Manica-Approaches-to-reducing-violent-youth-offending-Evidence-Review-.pdf" TargetMode="External"/><Relationship Id="rId32" Type="http://schemas.openxmlformats.org/officeDocument/2006/relationships/hyperlink" Target="https://restorativejustice.org.uk/sites/default/files/news/files/dpn8_yot_infopack.pdf" TargetMode="External"/><Relationship Id="rId37" Type="http://schemas.openxmlformats.org/officeDocument/2006/relationships/fontTable" Target="fontTable.xml"/><Relationship Id="rId5" Type="http://schemas.openxmlformats.org/officeDocument/2006/relationships/hyperlink" Target="https://doi.org/10.1108/jcp-02-2020-0009" TargetMode="External"/><Relationship Id="rId15" Type="http://schemas.openxmlformats.org/officeDocument/2006/relationships/hyperlink" Target="https://doi.org/10.1037/0021-9010.74.5.722" TargetMode="External"/><Relationship Id="rId23" Type="http://schemas.openxmlformats.org/officeDocument/2006/relationships/hyperlink" Target="https://www.london.gov.uk/press-releases/mayoral/driving-factors-behind-violence-affecting-young-pe" TargetMode="External"/><Relationship Id="rId28" Type="http://schemas.openxmlformats.org/officeDocument/2006/relationships/hyperlink" Target="https://assets.publishing.service.gov.uk/media/63d171bfe90e071ba9122343/PRSQ_Bulletin_2020_F4.pdf" TargetMode="External"/><Relationship Id="rId36" Type="http://schemas.openxmlformats.org/officeDocument/2006/relationships/hyperlink" Target="https://yjlc.uk/resources/legal-updates/youth-justice-board-publishes-annual-statistics-2020-2021-highlighting" TargetMode="External"/><Relationship Id="rId10" Type="http://schemas.openxmlformats.org/officeDocument/2006/relationships/hyperlink" Target="https://www.college.police.uk/app/investigation/investigative-interviewing" TargetMode="External"/><Relationship Id="rId19" Type="http://schemas.openxmlformats.org/officeDocument/2006/relationships/hyperlink" Target="https://synergyessex.org.uk/includes/items/pdf/2450_giving-victims-a-voice-metropolitan-police.pdf" TargetMode="External"/><Relationship Id="rId31" Type="http://schemas.openxmlformats.org/officeDocument/2006/relationships/hyperlink" Target="https://www.physio-pedia.com/Borton%27s_Development_Framework" TargetMode="External"/><Relationship Id="rId4" Type="http://schemas.openxmlformats.org/officeDocument/2006/relationships/hyperlink" Target="https://www.eif.org.uk/report/adverse-childhood-experiences-what-we-know-what-we-dont-know-and-what-should-happen-next" TargetMode="External"/><Relationship Id="rId9" Type="http://schemas.openxmlformats.org/officeDocument/2006/relationships/hyperlink" Target="https://www.college.police.uk/app/stop-and-search/transparent#community-engagement" TargetMode="External"/><Relationship Id="rId14" Type="http://schemas.openxmlformats.org/officeDocument/2006/relationships/hyperlink" Target="https://doi.org/10.1016/j.ijlp.2010.09.004" TargetMode="External"/><Relationship Id="rId22" Type="http://schemas.openxmlformats.org/officeDocument/2006/relationships/hyperlink" Target="https://hmicfrs.justiceinspectorates.gov.uk/glossary/public-protection-unit/#:~:text=The%20section%20of%20a%20police,Glossary" TargetMode="External"/><Relationship Id="rId27" Type="http://schemas.openxmlformats.org/officeDocument/2006/relationships/hyperlink" Target="https://consult.justice.gov.uk/sentencing-council/sentencing-youths/user_uploads/youth-rehabilitation-orders.pdf-1" TargetMode="External"/><Relationship Id="rId30" Type="http://schemas.openxmlformats.org/officeDocument/2006/relationships/hyperlink" Target="https://www.simplypsychology.org/what-is-a-schema.html" TargetMode="External"/><Relationship Id="rId35" Type="http://schemas.openxmlformats.org/officeDocument/2006/relationships/hyperlink" Target="https://www.gov.uk/government/statistics/youth-justice-statistics-2022-to-2023/youth-justice-statistics-2022-to-2023-accessible-version" TargetMode="External"/><Relationship Id="rId8" Type="http://schemas.openxmlformats.org/officeDocument/2006/relationships/hyperlink" Target="https://www.college.police.uk/guidance/obtaining-initial-accounts/introduction-initial-accounts"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12</Pages>
  <Words>5538</Words>
  <Characters>31567</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Baker,Molly swp8305</dc:creator>
  <cp:keywords/>
  <dc:description/>
  <cp:lastModifiedBy>Baker,Molly swp8305</cp:lastModifiedBy>
  <cp:revision>10</cp:revision>
  <dcterms:created xsi:type="dcterms:W3CDTF">2024-02-08T03:32:00Z</dcterms:created>
  <dcterms:modified xsi:type="dcterms:W3CDTF">2024-03-04T10:59:00Z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2024-02-08T03:38:18Z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3bc9c1e3-8c6e-43ce-8a69-9716e49b1c87</vt:lpwstr>
  </property>
  <property fmtid="{D5CDD505-2E9C-101B-9397-08002B2CF9AE}" pid="8" name="MSIP_Label_66cf8fe5-b7b7-4df7-b38d-1c61ac2f6639_ContentBits">
    <vt:lpwstr>0</vt:lpwstr>
  </property>
</Properties>
</file>