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FE789C" w14:textId="77777777" w:rsidR="009B7EDC" w:rsidRDefault="009B7EDC" w:rsidP="009B7EDC">
      <w:pPr>
        <w:pStyle w:val="NormalWeb"/>
        <w:spacing w:before="0" w:beforeAutospacing="0" w:after="0" w:afterAutospacing="0"/>
        <w:ind w:left="-180" w:right="-334"/>
      </w:pPr>
      <w:bookmarkStart w:id="0" w:name="_Hlk3622917"/>
      <w:r>
        <w:rPr>
          <w:noProof/>
        </w:rPr>
        <w:drawing>
          <wp:inline distT="0" distB="0" distL="0" distR="0" wp14:anchorId="628CE75B" wp14:editId="52947AC7">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865D55B" w14:textId="77777777" w:rsidR="009B7EDC" w:rsidRDefault="009B7EDC" w:rsidP="009B7EDC">
      <w:pPr>
        <w:pStyle w:val="NormalWeb"/>
        <w:spacing w:before="0" w:beforeAutospacing="0" w:after="0" w:afterAutospacing="0"/>
        <w:ind w:left="-180" w:right="-334"/>
      </w:pPr>
    </w:p>
    <w:p w14:paraId="55B6F859" w14:textId="77777777" w:rsidR="009B7EDC" w:rsidRDefault="009B7EDC" w:rsidP="009B7EDC">
      <w:pPr>
        <w:pStyle w:val="NormalWeb"/>
        <w:spacing w:before="0" w:beforeAutospacing="0" w:after="0" w:afterAutospacing="0"/>
        <w:ind w:left="-180" w:right="-334"/>
      </w:pPr>
    </w:p>
    <w:p w14:paraId="67624493" w14:textId="77777777" w:rsidR="009B7EDC" w:rsidRDefault="009B7EDC" w:rsidP="009B7ED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FED97DD" w14:textId="77777777" w:rsidR="009B7EDC" w:rsidRPr="00230F35" w:rsidRDefault="009B7EDC" w:rsidP="009B7ED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8E7D8AC" w14:textId="77777777" w:rsidR="009B7EDC" w:rsidRPr="00230F35" w:rsidRDefault="009B7EDC" w:rsidP="009B7EDC">
      <w:pPr>
        <w:rPr>
          <w:rFonts w:ascii="Arial" w:hAnsi="Arial" w:cs="Arial"/>
          <w:sz w:val="28"/>
          <w:szCs w:val="28"/>
          <w:lang w:val="cy-GB"/>
        </w:rPr>
      </w:pPr>
    </w:p>
    <w:p w14:paraId="116FFABB" w14:textId="77777777" w:rsidR="009B7EDC" w:rsidRDefault="009B7EDC" w:rsidP="009B7EDC">
      <w:pPr>
        <w:pStyle w:val="Heading3"/>
        <w:jc w:val="center"/>
        <w:rPr>
          <w:lang w:val="cy-GB"/>
        </w:rPr>
      </w:pPr>
      <w:r>
        <w:rPr>
          <w:lang w:val="cy-GB"/>
        </w:rPr>
        <w:t>THIS SHEET MUST BE THE FIRST PAGE OF THE ASSIGNMENT YOU ARE SUBMITTING  (DO NOT SEND AS A SEPARATE FILE)</w:t>
      </w:r>
    </w:p>
    <w:p w14:paraId="0FF28CE9" w14:textId="77777777" w:rsidR="009B7EDC" w:rsidRDefault="009B7EDC" w:rsidP="009B7ED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B7EDC" w:rsidRPr="00230F35" w14:paraId="1A07CD22" w14:textId="77777777" w:rsidTr="00E57292">
        <w:trPr>
          <w:trHeight w:val="614"/>
        </w:trPr>
        <w:tc>
          <w:tcPr>
            <w:tcW w:w="8856" w:type="dxa"/>
            <w:gridSpan w:val="5"/>
          </w:tcPr>
          <w:p w14:paraId="67148A3A" w14:textId="77777777"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B7EDC" w:rsidRPr="00230F35" w14:paraId="02F3F898" w14:textId="77777777" w:rsidTr="00E57292">
        <w:trPr>
          <w:trHeight w:val="718"/>
        </w:trPr>
        <w:tc>
          <w:tcPr>
            <w:tcW w:w="8856" w:type="dxa"/>
            <w:gridSpan w:val="5"/>
          </w:tcPr>
          <w:p w14:paraId="385540B5" w14:textId="77777777" w:rsidR="009B7EDC"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 Harrer</w:t>
            </w:r>
          </w:p>
          <w:p w14:paraId="39A031CD" w14:textId="77777777" w:rsidR="009B7EDC" w:rsidRPr="00230F35" w:rsidRDefault="009B7EDC" w:rsidP="00E57292">
            <w:pPr>
              <w:pStyle w:val="NormalWeb"/>
              <w:spacing w:before="0" w:beforeAutospacing="0" w:after="0" w:afterAutospacing="0"/>
              <w:ind w:right="34"/>
              <w:rPr>
                <w:rFonts w:ascii="Arial" w:hAnsi="Arial" w:cs="Arial"/>
                <w:sz w:val="22"/>
                <w:szCs w:val="22"/>
              </w:rPr>
            </w:pPr>
          </w:p>
          <w:p w14:paraId="51A35B57" w14:textId="77777777"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1814398@student.uwtsd.ac.uk</w:t>
            </w:r>
          </w:p>
        </w:tc>
      </w:tr>
      <w:tr w:rsidR="009B7EDC" w:rsidRPr="00230F35" w14:paraId="2FDF54BE" w14:textId="77777777" w:rsidTr="00E57292">
        <w:trPr>
          <w:trHeight w:val="849"/>
        </w:trPr>
        <w:tc>
          <w:tcPr>
            <w:tcW w:w="4788" w:type="dxa"/>
          </w:tcPr>
          <w:p w14:paraId="6494867B" w14:textId="3E3F0A97"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HPCA7018</w:t>
            </w:r>
          </w:p>
          <w:p w14:paraId="30F7FD6B" w14:textId="77777777" w:rsidR="009B7EDC" w:rsidRPr="00230F35" w:rsidRDefault="009B7EDC" w:rsidP="00E57292">
            <w:pPr>
              <w:pStyle w:val="NormalWeb"/>
              <w:spacing w:before="0" w:beforeAutospacing="0" w:after="0" w:afterAutospacing="0"/>
              <w:ind w:right="34"/>
              <w:rPr>
                <w:rFonts w:ascii="Arial" w:hAnsi="Arial" w:cs="Arial"/>
                <w:sz w:val="22"/>
                <w:szCs w:val="22"/>
              </w:rPr>
            </w:pPr>
          </w:p>
          <w:p w14:paraId="34C1CF75" w14:textId="7A64CF7B" w:rsidR="009B7EDC"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0A409054" w14:textId="77777777" w:rsidR="009B7EDC" w:rsidRDefault="009B7EDC" w:rsidP="00E57292">
            <w:pPr>
              <w:pStyle w:val="NormalWeb"/>
              <w:spacing w:before="0" w:beforeAutospacing="0" w:after="0" w:afterAutospacing="0"/>
              <w:ind w:right="34"/>
              <w:rPr>
                <w:rFonts w:ascii="Arial" w:hAnsi="Arial" w:cs="Arial"/>
                <w:sz w:val="22"/>
                <w:szCs w:val="22"/>
              </w:rPr>
            </w:pPr>
          </w:p>
          <w:p w14:paraId="69ED8B4E" w14:textId="77777777" w:rsidR="009B7EDC" w:rsidRPr="00230F35" w:rsidRDefault="009B7EDC" w:rsidP="00E57292">
            <w:pPr>
              <w:pStyle w:val="NormalWeb"/>
              <w:spacing w:before="0" w:beforeAutospacing="0" w:after="0" w:afterAutospacing="0"/>
              <w:ind w:right="34"/>
              <w:rPr>
                <w:rFonts w:ascii="Arial" w:hAnsi="Arial" w:cs="Arial"/>
                <w:sz w:val="22"/>
                <w:szCs w:val="22"/>
              </w:rPr>
            </w:pPr>
          </w:p>
        </w:tc>
        <w:tc>
          <w:tcPr>
            <w:tcW w:w="2266" w:type="dxa"/>
            <w:gridSpan w:val="3"/>
          </w:tcPr>
          <w:p w14:paraId="5906104B" w14:textId="77777777"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1814398</w:t>
            </w:r>
          </w:p>
        </w:tc>
        <w:tc>
          <w:tcPr>
            <w:tcW w:w="1802" w:type="dxa"/>
          </w:tcPr>
          <w:p w14:paraId="58ABE8BB" w14:textId="77777777"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0C45D1" w14:textId="2E4A054A" w:rsidR="009B7EDC" w:rsidRPr="00230F35" w:rsidRDefault="009B7EDC" w:rsidP="00E57292">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9B7EDC" w:rsidRPr="00230F35" w14:paraId="30B2C885" w14:textId="77777777" w:rsidTr="00E57292">
        <w:trPr>
          <w:trHeight w:val="1139"/>
        </w:trPr>
        <w:tc>
          <w:tcPr>
            <w:tcW w:w="8856" w:type="dxa"/>
            <w:gridSpan w:val="5"/>
          </w:tcPr>
          <w:p w14:paraId="25C2D37E" w14:textId="776D7030"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14:paraId="3E3853C7" w14:textId="77777777" w:rsidR="009B7EDC" w:rsidRPr="00230F35" w:rsidRDefault="009B7EDC" w:rsidP="00E57292">
            <w:pPr>
              <w:pStyle w:val="NormalWeb"/>
              <w:spacing w:before="0" w:beforeAutospacing="0" w:after="0" w:afterAutospacing="0"/>
              <w:ind w:right="34"/>
              <w:rPr>
                <w:rFonts w:ascii="Arial" w:hAnsi="Arial" w:cs="Arial"/>
                <w:sz w:val="22"/>
                <w:szCs w:val="22"/>
              </w:rPr>
            </w:pPr>
          </w:p>
          <w:p w14:paraId="11F2CC51" w14:textId="77777777" w:rsidR="009B7EDC" w:rsidRDefault="009B7EDC" w:rsidP="00E57292">
            <w:pPr>
              <w:pStyle w:val="NormalWeb"/>
              <w:spacing w:before="0" w:beforeAutospacing="0" w:after="0" w:afterAutospacing="0"/>
              <w:ind w:right="34"/>
              <w:rPr>
                <w:rFonts w:ascii="Arial" w:hAnsi="Arial" w:cs="Arial"/>
                <w:sz w:val="22"/>
                <w:szCs w:val="22"/>
              </w:rPr>
            </w:pPr>
          </w:p>
          <w:p w14:paraId="2A94FCCB" w14:textId="2956E4FA"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04/12/2020</w:t>
            </w:r>
          </w:p>
        </w:tc>
      </w:tr>
      <w:tr w:rsidR="009B7EDC" w:rsidRPr="00230F35" w14:paraId="4498CCE1" w14:textId="77777777" w:rsidTr="00E57292">
        <w:trPr>
          <w:trHeight w:val="978"/>
        </w:trPr>
        <w:tc>
          <w:tcPr>
            <w:tcW w:w="8856" w:type="dxa"/>
            <w:gridSpan w:val="5"/>
            <w:tcBorders>
              <w:bottom w:val="single" w:sz="4" w:space="0" w:color="000000"/>
            </w:tcBorders>
          </w:tcPr>
          <w:p w14:paraId="55C368D0" w14:textId="6DF2BB1F" w:rsidR="009B7EDC" w:rsidRPr="00230F35" w:rsidRDefault="009B7EDC" w:rsidP="00E5729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8A20D8">
              <w:rPr>
                <w:rFonts w:ascii="Arial" w:hAnsi="Arial" w:cs="Arial"/>
              </w:rPr>
            </w:r>
            <w:r w:rsidR="008A20D8">
              <w:rPr>
                <w:rFonts w:ascii="Arial" w:hAnsi="Arial" w:cs="Arial"/>
              </w:rPr>
              <w:fldChar w:fldCharType="separate"/>
            </w:r>
            <w:r w:rsidRPr="00230F35">
              <w:rPr>
                <w:rFonts w:ascii="Arial" w:hAnsi="Arial" w:cs="Arial"/>
              </w:rPr>
              <w:fldChar w:fldCharType="end"/>
            </w:r>
            <w:r>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8A20D8">
              <w:rPr>
                <w:rFonts w:ascii="Arial" w:hAnsi="Arial" w:cs="Arial"/>
              </w:rPr>
            </w:r>
            <w:r w:rsidR="008A20D8">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8A20D8">
              <w:rPr>
                <w:rFonts w:ascii="Arial" w:hAnsi="Arial" w:cs="Arial"/>
              </w:rPr>
            </w:r>
            <w:r w:rsidR="008A20D8">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1"/>
                  </w:checkBox>
                </w:ffData>
              </w:fldChar>
            </w:r>
            <w:bookmarkStart w:id="3" w:name="Check16"/>
            <w:r>
              <w:rPr>
                <w:rFonts w:ascii="Arial" w:hAnsi="Arial" w:cs="Arial"/>
              </w:rPr>
              <w:instrText xml:space="preserve"> FORMCHECKBOX </w:instrText>
            </w:r>
            <w:r w:rsidR="008A20D8">
              <w:rPr>
                <w:rFonts w:ascii="Arial" w:hAnsi="Arial" w:cs="Arial"/>
              </w:rPr>
            </w:r>
            <w:r w:rsidR="008A20D8">
              <w:rPr>
                <w:rFonts w:ascii="Arial" w:hAnsi="Arial" w:cs="Arial"/>
              </w:rPr>
              <w:fldChar w:fldCharType="separate"/>
            </w:r>
            <w:r>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8A20D8">
              <w:rPr>
                <w:rFonts w:ascii="Arial" w:hAnsi="Arial" w:cs="Arial"/>
              </w:rPr>
            </w:r>
            <w:r w:rsidR="008A20D8">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8A20D8">
              <w:rPr>
                <w:rFonts w:ascii="Arial" w:hAnsi="Arial" w:cs="Arial"/>
              </w:rPr>
            </w:r>
            <w:r w:rsidR="008A20D8">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B7EDC" w:rsidRPr="00230F35" w14:paraId="7294864C" w14:textId="77777777" w:rsidTr="00E57292">
        <w:trPr>
          <w:trHeight w:val="978"/>
        </w:trPr>
        <w:tc>
          <w:tcPr>
            <w:tcW w:w="8856" w:type="dxa"/>
            <w:gridSpan w:val="5"/>
            <w:shd w:val="clear" w:color="auto" w:fill="D9D9D9"/>
          </w:tcPr>
          <w:p w14:paraId="34F89AFF" w14:textId="77777777" w:rsidR="009B7EDC" w:rsidRPr="00230F35"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05EF883" w14:textId="77777777" w:rsidR="009B7EDC" w:rsidRDefault="009B7EDC" w:rsidP="00E572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p>
          <w:p w14:paraId="16708532" w14:textId="77777777" w:rsidR="009B7EDC" w:rsidRDefault="009B7EDC" w:rsidP="00E57292">
            <w:pPr>
              <w:pStyle w:val="NormalWeb"/>
              <w:spacing w:before="0" w:beforeAutospacing="0" w:after="0" w:afterAutospacing="0"/>
              <w:ind w:right="34"/>
              <w:rPr>
                <w:rFonts w:ascii="Arial" w:hAnsi="Arial" w:cs="Arial"/>
                <w:sz w:val="22"/>
                <w:szCs w:val="22"/>
              </w:rPr>
            </w:pPr>
            <w:r>
              <w:rPr>
                <w:rFonts w:ascii="Arial" w:hAnsi="Arial" w:cs="Arial"/>
                <w:sz w:val="22"/>
                <w:szCs w:val="22"/>
              </w:rPr>
              <w:t>Kimberley M. Harrer</w:t>
            </w:r>
          </w:p>
          <w:p w14:paraId="75B28D34" w14:textId="77777777" w:rsidR="009B7EDC" w:rsidRDefault="009B7EDC" w:rsidP="00E5729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5DDFED03" w14:textId="77777777" w:rsidR="009B7EDC" w:rsidRPr="00230F35" w:rsidRDefault="009B7EDC" w:rsidP="00E5729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B7EDC" w:rsidRPr="00230F35" w14:paraId="15EE6717" w14:textId="77777777" w:rsidTr="00E57292">
        <w:trPr>
          <w:trHeight w:val="3972"/>
        </w:trPr>
        <w:tc>
          <w:tcPr>
            <w:tcW w:w="8856" w:type="dxa"/>
            <w:gridSpan w:val="5"/>
          </w:tcPr>
          <w:p w14:paraId="46F0F544" w14:textId="77777777" w:rsidR="009B7EDC" w:rsidRDefault="009B7EDC" w:rsidP="00E57292">
            <w:pPr>
              <w:rPr>
                <w:rFonts w:ascii="Arial" w:hAnsi="Arial"/>
                <w:b/>
              </w:rPr>
            </w:pPr>
          </w:p>
          <w:p w14:paraId="24FDFBA9" w14:textId="77777777" w:rsidR="009B7EDC" w:rsidRPr="00116CE6" w:rsidRDefault="009B7EDC" w:rsidP="00E5729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B7EDC" w:rsidRPr="00116CE6" w14:paraId="4C0E4DF3" w14:textId="77777777" w:rsidTr="00E57292">
              <w:tc>
                <w:tcPr>
                  <w:tcW w:w="6970" w:type="dxa"/>
                </w:tcPr>
                <w:p w14:paraId="3EAC4096" w14:textId="77777777" w:rsidR="009B7EDC" w:rsidRPr="00116CE6" w:rsidRDefault="009B7EDC" w:rsidP="00E57292">
                  <w:pPr>
                    <w:rPr>
                      <w:rFonts w:ascii="Arial" w:hAnsi="Arial"/>
                      <w:sz w:val="20"/>
                      <w:szCs w:val="20"/>
                    </w:rPr>
                  </w:pPr>
                </w:p>
                <w:p w14:paraId="71368B30" w14:textId="77777777" w:rsidR="009B7EDC" w:rsidRPr="00116CE6" w:rsidRDefault="009B7EDC" w:rsidP="00E5729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486A254" w14:textId="77777777" w:rsidR="009B7EDC" w:rsidRPr="00116CE6" w:rsidRDefault="009B7EDC" w:rsidP="00E57292">
                  <w:pPr>
                    <w:rPr>
                      <w:rFonts w:ascii="Arial" w:hAnsi="Arial"/>
                      <w:sz w:val="20"/>
                      <w:szCs w:val="20"/>
                    </w:rPr>
                  </w:pPr>
                </w:p>
              </w:tc>
            </w:tr>
            <w:tr w:rsidR="009B7EDC" w:rsidRPr="00116CE6" w14:paraId="36F201B4" w14:textId="77777777" w:rsidTr="00E57292">
              <w:tc>
                <w:tcPr>
                  <w:tcW w:w="6970" w:type="dxa"/>
                </w:tcPr>
                <w:p w14:paraId="5BD15085" w14:textId="77777777" w:rsidR="009B7EDC" w:rsidRPr="00116CE6" w:rsidRDefault="009B7EDC" w:rsidP="00E57292">
                  <w:pPr>
                    <w:rPr>
                      <w:rFonts w:ascii="Arial" w:hAnsi="Arial"/>
                      <w:sz w:val="20"/>
                      <w:szCs w:val="20"/>
                    </w:rPr>
                  </w:pPr>
                </w:p>
                <w:p w14:paraId="080AF814" w14:textId="77777777" w:rsidR="009B7EDC" w:rsidRPr="00116CE6" w:rsidRDefault="009B7EDC" w:rsidP="00E5729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7DBD11D" w14:textId="77777777" w:rsidR="009B7EDC" w:rsidRPr="00116CE6" w:rsidRDefault="009B7EDC" w:rsidP="00E57292">
                  <w:pPr>
                    <w:rPr>
                      <w:rFonts w:ascii="Arial" w:hAnsi="Arial"/>
                      <w:sz w:val="20"/>
                      <w:szCs w:val="20"/>
                    </w:rPr>
                  </w:pPr>
                </w:p>
              </w:tc>
            </w:tr>
            <w:tr w:rsidR="009B7EDC" w:rsidRPr="00116CE6" w14:paraId="41D545E5" w14:textId="77777777" w:rsidTr="00E57292">
              <w:tc>
                <w:tcPr>
                  <w:tcW w:w="6970" w:type="dxa"/>
                </w:tcPr>
                <w:p w14:paraId="7D382AC2" w14:textId="77777777" w:rsidR="009B7EDC" w:rsidRPr="00116CE6" w:rsidRDefault="009B7EDC" w:rsidP="00E57292">
                  <w:pPr>
                    <w:rPr>
                      <w:rFonts w:ascii="Arial" w:hAnsi="Arial"/>
                      <w:sz w:val="20"/>
                      <w:szCs w:val="20"/>
                    </w:rPr>
                  </w:pPr>
                </w:p>
                <w:p w14:paraId="6ECD428B" w14:textId="77777777" w:rsidR="009B7EDC" w:rsidRPr="00116CE6" w:rsidRDefault="009B7EDC" w:rsidP="00E5729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7EC841" w14:textId="77777777" w:rsidR="009B7EDC" w:rsidRPr="00116CE6" w:rsidRDefault="009B7EDC" w:rsidP="00E57292">
                  <w:pPr>
                    <w:rPr>
                      <w:rFonts w:ascii="Arial" w:hAnsi="Arial"/>
                      <w:sz w:val="20"/>
                      <w:szCs w:val="20"/>
                    </w:rPr>
                  </w:pPr>
                </w:p>
              </w:tc>
            </w:tr>
            <w:tr w:rsidR="009B7EDC" w:rsidRPr="00116CE6" w14:paraId="51935D59" w14:textId="77777777" w:rsidTr="00E57292">
              <w:tc>
                <w:tcPr>
                  <w:tcW w:w="6970" w:type="dxa"/>
                </w:tcPr>
                <w:p w14:paraId="2DE74BB1" w14:textId="77777777" w:rsidR="009B7EDC" w:rsidRDefault="009B7EDC" w:rsidP="00E57292">
                  <w:pPr>
                    <w:rPr>
                      <w:rFonts w:ascii="Arial" w:hAnsi="Arial"/>
                      <w:sz w:val="20"/>
                      <w:szCs w:val="20"/>
                    </w:rPr>
                  </w:pPr>
                </w:p>
                <w:p w14:paraId="1D4F958D" w14:textId="77777777" w:rsidR="009B7EDC" w:rsidRPr="00022345" w:rsidRDefault="009B7EDC" w:rsidP="00E57292">
                  <w:pPr>
                    <w:rPr>
                      <w:rFonts w:ascii="Arial" w:hAnsi="Arial"/>
                      <w:b/>
                      <w:sz w:val="20"/>
                      <w:szCs w:val="20"/>
                    </w:rPr>
                  </w:pPr>
                  <w:r w:rsidRPr="00022345">
                    <w:rPr>
                      <w:rFonts w:ascii="Arial" w:hAnsi="Arial"/>
                      <w:b/>
                      <w:sz w:val="20"/>
                      <w:szCs w:val="20"/>
                    </w:rPr>
                    <w:t>Final Mark</w:t>
                  </w:r>
                </w:p>
                <w:p w14:paraId="11290A4F" w14:textId="77777777" w:rsidR="009B7EDC" w:rsidRPr="00116CE6" w:rsidRDefault="009B7EDC" w:rsidP="00E57292">
                  <w:pPr>
                    <w:rPr>
                      <w:rFonts w:ascii="Arial" w:hAnsi="Arial"/>
                      <w:sz w:val="20"/>
                      <w:szCs w:val="20"/>
                    </w:rPr>
                  </w:pPr>
                </w:p>
              </w:tc>
              <w:tc>
                <w:tcPr>
                  <w:tcW w:w="1660" w:type="dxa"/>
                </w:tcPr>
                <w:p w14:paraId="6E7D2222" w14:textId="77777777" w:rsidR="009B7EDC" w:rsidRPr="00116CE6" w:rsidRDefault="009B7EDC" w:rsidP="00E57292">
                  <w:pPr>
                    <w:rPr>
                      <w:rFonts w:ascii="Arial" w:hAnsi="Arial"/>
                      <w:sz w:val="20"/>
                      <w:szCs w:val="20"/>
                    </w:rPr>
                  </w:pPr>
                </w:p>
              </w:tc>
            </w:tr>
          </w:tbl>
          <w:p w14:paraId="1D7107DC" w14:textId="77777777" w:rsidR="009B7EDC" w:rsidRDefault="009B7EDC" w:rsidP="00E57292">
            <w:pPr>
              <w:pStyle w:val="NormalWeb"/>
              <w:spacing w:before="0" w:beforeAutospacing="0" w:after="0" w:afterAutospacing="0"/>
              <w:ind w:left="142" w:right="34"/>
              <w:rPr>
                <w:rFonts w:ascii="Arial" w:hAnsi="Arial" w:cs="Arial"/>
                <w:b/>
                <w:sz w:val="22"/>
                <w:szCs w:val="22"/>
              </w:rPr>
            </w:pPr>
          </w:p>
          <w:p w14:paraId="14474550" w14:textId="77777777" w:rsidR="009B7EDC" w:rsidRPr="00230F35" w:rsidRDefault="009B7EDC" w:rsidP="00E5729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D3ABEFE" w14:textId="77777777" w:rsidR="009B7EDC" w:rsidRDefault="009B7EDC" w:rsidP="00E57292">
            <w:pPr>
              <w:pStyle w:val="NormalWeb"/>
              <w:spacing w:before="0" w:beforeAutospacing="0" w:after="0" w:afterAutospacing="0"/>
              <w:rPr>
                <w:rFonts w:ascii="Arial" w:hAnsi="Arial" w:cs="Arial"/>
                <w:b/>
                <w:sz w:val="22"/>
                <w:szCs w:val="22"/>
              </w:rPr>
            </w:pPr>
          </w:p>
          <w:p w14:paraId="21BDE134" w14:textId="77777777" w:rsidR="009B7EDC" w:rsidRDefault="009B7EDC" w:rsidP="00E57292">
            <w:pPr>
              <w:pStyle w:val="NormalWeb"/>
              <w:spacing w:before="0" w:beforeAutospacing="0" w:after="0" w:afterAutospacing="0"/>
              <w:rPr>
                <w:rFonts w:ascii="Arial" w:hAnsi="Arial" w:cs="Arial"/>
                <w:b/>
                <w:sz w:val="22"/>
                <w:szCs w:val="22"/>
              </w:rPr>
            </w:pPr>
          </w:p>
          <w:p w14:paraId="0C7553F2" w14:textId="77777777" w:rsidR="009B7EDC" w:rsidRDefault="009B7EDC" w:rsidP="00E57292">
            <w:pPr>
              <w:pStyle w:val="NormalWeb"/>
              <w:spacing w:before="0" w:beforeAutospacing="0" w:after="0" w:afterAutospacing="0"/>
              <w:rPr>
                <w:rFonts w:ascii="Arial" w:hAnsi="Arial" w:cs="Arial"/>
                <w:b/>
                <w:sz w:val="22"/>
                <w:szCs w:val="22"/>
              </w:rPr>
            </w:pPr>
          </w:p>
          <w:p w14:paraId="0C222C68" w14:textId="77777777" w:rsidR="009B7EDC" w:rsidRDefault="009B7EDC" w:rsidP="00E57292">
            <w:pPr>
              <w:pStyle w:val="NormalWeb"/>
              <w:spacing w:before="0" w:beforeAutospacing="0" w:after="0" w:afterAutospacing="0"/>
              <w:rPr>
                <w:rFonts w:ascii="Arial" w:hAnsi="Arial" w:cs="Arial"/>
                <w:b/>
                <w:sz w:val="22"/>
                <w:szCs w:val="22"/>
              </w:rPr>
            </w:pPr>
          </w:p>
          <w:p w14:paraId="160E3BD2" w14:textId="77777777" w:rsidR="009B7EDC" w:rsidRDefault="009B7EDC" w:rsidP="00E57292">
            <w:pPr>
              <w:pStyle w:val="NormalWeb"/>
              <w:spacing w:before="0" w:beforeAutospacing="0" w:after="0" w:afterAutospacing="0"/>
              <w:rPr>
                <w:rFonts w:ascii="Arial" w:hAnsi="Arial" w:cs="Arial"/>
                <w:b/>
                <w:sz w:val="22"/>
                <w:szCs w:val="22"/>
              </w:rPr>
            </w:pPr>
          </w:p>
          <w:p w14:paraId="3B1996F2" w14:textId="77777777" w:rsidR="009B7EDC" w:rsidRPr="00230F35" w:rsidRDefault="009B7EDC" w:rsidP="00E5729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FC08978" w14:textId="77777777" w:rsidR="009B7EDC" w:rsidRDefault="009B7EDC" w:rsidP="00E5729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866AC56" w14:textId="77777777" w:rsidR="009B7EDC" w:rsidRPr="00001C3B" w:rsidRDefault="009B7EDC" w:rsidP="00E57292">
            <w:pPr>
              <w:pStyle w:val="NormalWeb"/>
              <w:rPr>
                <w:rFonts w:ascii="Arial" w:hAnsi="Arial" w:cs="Arial"/>
                <w:sz w:val="22"/>
                <w:szCs w:val="22"/>
              </w:rPr>
            </w:pPr>
          </w:p>
        </w:tc>
      </w:tr>
      <w:tr w:rsidR="009B7EDC" w:rsidRPr="00230F35" w14:paraId="400A8766" w14:textId="77777777" w:rsidTr="00E57292">
        <w:trPr>
          <w:trHeight w:val="492"/>
        </w:trPr>
        <w:tc>
          <w:tcPr>
            <w:tcW w:w="6768" w:type="dxa"/>
            <w:gridSpan w:val="3"/>
          </w:tcPr>
          <w:p w14:paraId="75F59CF7" w14:textId="77777777" w:rsidR="009B7EDC" w:rsidRPr="00230F35" w:rsidRDefault="009B7EDC" w:rsidP="00E5729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A93B819" w14:textId="77777777" w:rsidR="009B7EDC" w:rsidRPr="00230F35" w:rsidRDefault="009B7EDC" w:rsidP="00E57292">
            <w:pPr>
              <w:pStyle w:val="NormalWeb"/>
              <w:spacing w:after="0"/>
              <w:ind w:left="142" w:right="34"/>
              <w:rPr>
                <w:rFonts w:ascii="Arial" w:hAnsi="Arial" w:cs="Arial"/>
                <w:sz w:val="22"/>
                <w:szCs w:val="22"/>
              </w:rPr>
            </w:pPr>
            <w:r w:rsidRPr="00230F35">
              <w:rPr>
                <w:rFonts w:ascii="Arial" w:hAnsi="Arial" w:cs="Arial"/>
                <w:sz w:val="22"/>
                <w:szCs w:val="22"/>
              </w:rPr>
              <w:t>Date:</w:t>
            </w:r>
          </w:p>
        </w:tc>
      </w:tr>
      <w:tr w:rsidR="009B7EDC" w:rsidRPr="002F467C" w14:paraId="3A3AAE0A" w14:textId="77777777" w:rsidTr="00E57292">
        <w:tc>
          <w:tcPr>
            <w:tcW w:w="8856" w:type="dxa"/>
            <w:gridSpan w:val="5"/>
          </w:tcPr>
          <w:p w14:paraId="6EF9389B" w14:textId="77777777" w:rsidR="009B7EDC" w:rsidRPr="00230F35" w:rsidRDefault="009B7EDC" w:rsidP="00E57292">
            <w:pPr>
              <w:pStyle w:val="NormalWeb"/>
              <w:spacing w:before="0" w:beforeAutospacing="0" w:after="0" w:afterAutospacing="0"/>
              <w:ind w:right="-334"/>
              <w:rPr>
                <w:rFonts w:ascii="Arial" w:hAnsi="Arial" w:cs="Arial"/>
                <w:bCs/>
                <w:i/>
                <w:sz w:val="22"/>
                <w:szCs w:val="22"/>
              </w:rPr>
            </w:pPr>
          </w:p>
          <w:p w14:paraId="69FD895E" w14:textId="77777777" w:rsidR="009B7EDC" w:rsidRPr="00230F35" w:rsidRDefault="009B7EDC" w:rsidP="00E5729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E8BCD1D" w14:textId="77777777" w:rsidR="009B7EDC" w:rsidRPr="00230F35" w:rsidRDefault="009B7EDC" w:rsidP="00E57292">
            <w:pPr>
              <w:pStyle w:val="NormalWeb"/>
              <w:spacing w:before="0" w:beforeAutospacing="0" w:after="0" w:afterAutospacing="0"/>
              <w:ind w:right="-334"/>
              <w:rPr>
                <w:rFonts w:ascii="Arial" w:hAnsi="Arial" w:cs="Arial"/>
                <w:b/>
                <w:bCs/>
                <w:sz w:val="22"/>
                <w:szCs w:val="22"/>
              </w:rPr>
            </w:pPr>
          </w:p>
          <w:p w14:paraId="1448B5F1"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478A150"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62D14DD5"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12A3C111"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2F32771A"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3E0FF6B0"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05779A67"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586B1A70"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1FE21D4C"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408AA195" w14:textId="77777777" w:rsidR="009B7EDC" w:rsidRDefault="009B7EDC" w:rsidP="00E57292">
            <w:pPr>
              <w:pStyle w:val="NormalWeb"/>
              <w:spacing w:before="0" w:beforeAutospacing="0" w:after="0" w:afterAutospacing="0"/>
              <w:ind w:right="-334"/>
              <w:rPr>
                <w:rFonts w:ascii="Arial" w:hAnsi="Arial" w:cs="Arial"/>
                <w:bCs/>
                <w:sz w:val="22"/>
                <w:szCs w:val="22"/>
              </w:rPr>
            </w:pPr>
          </w:p>
          <w:p w14:paraId="2165BB14"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56C6C1F6"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220BD016"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tc>
      </w:tr>
      <w:tr w:rsidR="009B7EDC" w:rsidRPr="002F467C" w14:paraId="5AEF9BBF" w14:textId="77777777" w:rsidTr="00E57292">
        <w:trPr>
          <w:trHeight w:val="720"/>
        </w:trPr>
        <w:tc>
          <w:tcPr>
            <w:tcW w:w="5211" w:type="dxa"/>
            <w:gridSpan w:val="2"/>
          </w:tcPr>
          <w:p w14:paraId="78338B7F"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C7B8D7B"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B7EDC" w:rsidRPr="002F467C" w14:paraId="500E46CD" w14:textId="77777777" w:rsidTr="00E57292">
        <w:trPr>
          <w:trHeight w:val="720"/>
        </w:trPr>
        <w:tc>
          <w:tcPr>
            <w:tcW w:w="8856" w:type="dxa"/>
            <w:gridSpan w:val="5"/>
          </w:tcPr>
          <w:p w14:paraId="3536D62A" w14:textId="77777777" w:rsidR="009B7EDC" w:rsidRPr="00B34964" w:rsidRDefault="009B7EDC" w:rsidP="00E57292">
            <w:pPr>
              <w:rPr>
                <w:rFonts w:ascii="Arial" w:hAnsi="Arial" w:cs="Arial"/>
                <w:b/>
              </w:rPr>
            </w:pPr>
            <w:r w:rsidRPr="00B34964">
              <w:rPr>
                <w:rFonts w:ascii="Arial" w:hAnsi="Arial" w:cs="Arial"/>
                <w:b/>
              </w:rPr>
              <w:t>External Examiner’s comments (if relevant)</w:t>
            </w:r>
          </w:p>
          <w:p w14:paraId="13C2D2B1"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34198414"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51ECBA72"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01B996B0"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47D6874C"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0C1152A5"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0F9C3ADE"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778B0F97"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2CE215DC" w14:textId="77777777" w:rsidR="009B7EDC" w:rsidRDefault="009B7EDC" w:rsidP="00E57292">
            <w:pPr>
              <w:pStyle w:val="NormalWeb"/>
              <w:spacing w:before="0" w:beforeAutospacing="0" w:after="0" w:afterAutospacing="0"/>
              <w:ind w:right="-334"/>
              <w:rPr>
                <w:rFonts w:ascii="Arial" w:hAnsi="Arial" w:cs="Arial"/>
                <w:bCs/>
                <w:sz w:val="22"/>
                <w:szCs w:val="22"/>
              </w:rPr>
            </w:pPr>
          </w:p>
          <w:p w14:paraId="786D5217"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p w14:paraId="14F32CE7" w14:textId="77777777" w:rsidR="009B7EDC" w:rsidRPr="00230F35" w:rsidRDefault="009B7EDC" w:rsidP="00E57292">
            <w:pPr>
              <w:pStyle w:val="NormalWeb"/>
              <w:spacing w:before="0" w:beforeAutospacing="0" w:after="0" w:afterAutospacing="0"/>
              <w:ind w:right="-334"/>
              <w:rPr>
                <w:rFonts w:ascii="Arial" w:hAnsi="Arial" w:cs="Arial"/>
                <w:bCs/>
                <w:sz w:val="22"/>
                <w:szCs w:val="22"/>
              </w:rPr>
            </w:pPr>
          </w:p>
        </w:tc>
      </w:tr>
      <w:tr w:rsidR="009B7EDC" w:rsidRPr="002F467C" w14:paraId="76EF14BA" w14:textId="77777777" w:rsidTr="00E57292">
        <w:trPr>
          <w:trHeight w:val="720"/>
        </w:trPr>
        <w:tc>
          <w:tcPr>
            <w:tcW w:w="5211" w:type="dxa"/>
            <w:gridSpan w:val="2"/>
          </w:tcPr>
          <w:p w14:paraId="4EBEF8BE" w14:textId="77777777" w:rsidR="009B7EDC" w:rsidRPr="00230F35" w:rsidRDefault="009B7EDC" w:rsidP="00E57292">
            <w:pPr>
              <w:rPr>
                <w:rFonts w:ascii="Arial" w:hAnsi="Arial" w:cs="Arial"/>
              </w:rPr>
            </w:pPr>
            <w:r w:rsidRPr="00230F35">
              <w:rPr>
                <w:rFonts w:ascii="Arial" w:hAnsi="Arial" w:cs="Arial"/>
              </w:rPr>
              <w:t>External Examiner’s Signature:</w:t>
            </w:r>
          </w:p>
        </w:tc>
        <w:tc>
          <w:tcPr>
            <w:tcW w:w="3645" w:type="dxa"/>
            <w:gridSpan w:val="3"/>
          </w:tcPr>
          <w:p w14:paraId="0F597BCD" w14:textId="77777777" w:rsidR="009B7EDC" w:rsidRPr="00230F35" w:rsidRDefault="009B7EDC" w:rsidP="00E57292">
            <w:pPr>
              <w:rPr>
                <w:rFonts w:ascii="Arial" w:hAnsi="Arial" w:cs="Arial"/>
              </w:rPr>
            </w:pPr>
            <w:r w:rsidRPr="00230F35">
              <w:rPr>
                <w:rFonts w:ascii="Arial" w:hAnsi="Arial" w:cs="Arial"/>
              </w:rPr>
              <w:t>Date:</w:t>
            </w:r>
          </w:p>
        </w:tc>
      </w:tr>
    </w:tbl>
    <w:p w14:paraId="4CFB18AF" w14:textId="77777777" w:rsidR="009B7EDC" w:rsidRPr="00D67BF8" w:rsidRDefault="009B7EDC" w:rsidP="009B7EDC">
      <w:pPr>
        <w:pStyle w:val="NormalWeb"/>
        <w:spacing w:before="0" w:beforeAutospacing="0" w:after="0" w:afterAutospacing="0"/>
        <w:ind w:right="-334"/>
        <w:rPr>
          <w:rFonts w:ascii="Trebuchet MS" w:hAnsi="Trebuchet MS" w:cs="Tahoma"/>
          <w:bCs/>
          <w:sz w:val="24"/>
          <w:szCs w:val="24"/>
        </w:rPr>
      </w:pPr>
    </w:p>
    <w:p w14:paraId="57EEC7D1" w14:textId="77777777" w:rsidR="009B7EDC" w:rsidRDefault="009B7EDC" w:rsidP="009B7EDC"/>
    <w:p w14:paraId="7E747962" w14:textId="77777777" w:rsidR="009B7EDC" w:rsidRDefault="009B7EDC" w:rsidP="009B7EDC">
      <w:pPr>
        <w:jc w:val="center"/>
      </w:pPr>
    </w:p>
    <w:p w14:paraId="5561AA59" w14:textId="77777777" w:rsidR="009B7EDC" w:rsidRDefault="009B7EDC" w:rsidP="009B7EDC">
      <w:pPr>
        <w:jc w:val="center"/>
      </w:pPr>
    </w:p>
    <w:p w14:paraId="1ED0FB04" w14:textId="77777777" w:rsidR="009B7EDC" w:rsidRDefault="009B7EDC" w:rsidP="009B7EDC">
      <w:pPr>
        <w:jc w:val="center"/>
      </w:pPr>
    </w:p>
    <w:p w14:paraId="523A8465" w14:textId="77777777" w:rsidR="009B7EDC" w:rsidRDefault="009B7EDC" w:rsidP="009B7EDC">
      <w:pPr>
        <w:jc w:val="center"/>
      </w:pPr>
    </w:p>
    <w:p w14:paraId="29F5FC85" w14:textId="77777777" w:rsidR="009B7EDC" w:rsidRDefault="009B7EDC" w:rsidP="009B7EDC">
      <w:pPr>
        <w:jc w:val="center"/>
      </w:pPr>
    </w:p>
    <w:p w14:paraId="5CE54E62" w14:textId="77777777" w:rsidR="009B7EDC" w:rsidRDefault="009B7EDC" w:rsidP="009B7EDC">
      <w:pPr>
        <w:jc w:val="center"/>
      </w:pPr>
    </w:p>
    <w:p w14:paraId="63FCFE29" w14:textId="77777777" w:rsidR="009B7EDC" w:rsidRDefault="009B7EDC" w:rsidP="009B7EDC">
      <w:pPr>
        <w:jc w:val="center"/>
      </w:pPr>
    </w:p>
    <w:p w14:paraId="7BAF4EB2" w14:textId="77777777" w:rsidR="009B7EDC" w:rsidRDefault="009B7EDC" w:rsidP="009B7EDC">
      <w:pPr>
        <w:jc w:val="center"/>
      </w:pPr>
    </w:p>
    <w:p w14:paraId="0F6B00C6" w14:textId="77777777" w:rsidR="009B7EDC" w:rsidRDefault="009B7EDC" w:rsidP="009B7EDC">
      <w:pPr>
        <w:jc w:val="center"/>
      </w:pPr>
    </w:p>
    <w:p w14:paraId="17095405" w14:textId="77777777" w:rsidR="009B7EDC" w:rsidRDefault="009B7EDC" w:rsidP="009B7EDC">
      <w:pPr>
        <w:jc w:val="center"/>
      </w:pPr>
    </w:p>
    <w:p w14:paraId="5BE8FE1C" w14:textId="77777777" w:rsidR="009B7EDC" w:rsidRDefault="009B7EDC" w:rsidP="009B7EDC">
      <w:pPr>
        <w:jc w:val="center"/>
      </w:pPr>
    </w:p>
    <w:p w14:paraId="14695E27" w14:textId="77777777" w:rsidR="009B7EDC" w:rsidRDefault="009B7EDC" w:rsidP="009B7EDC">
      <w:pPr>
        <w:jc w:val="center"/>
      </w:pPr>
    </w:p>
    <w:p w14:paraId="294DB9D0" w14:textId="77777777" w:rsidR="009B7EDC" w:rsidRDefault="009B7EDC" w:rsidP="009B7EDC">
      <w:pPr>
        <w:jc w:val="center"/>
      </w:pPr>
    </w:p>
    <w:p w14:paraId="25DE2A85" w14:textId="77777777" w:rsidR="009B7EDC" w:rsidRDefault="009B7EDC" w:rsidP="009B7EDC">
      <w:pPr>
        <w:jc w:val="center"/>
      </w:pPr>
    </w:p>
    <w:p w14:paraId="5711EE81" w14:textId="77777777" w:rsidR="009B7EDC" w:rsidRDefault="009B7EDC" w:rsidP="009B7EDC">
      <w:pPr>
        <w:jc w:val="center"/>
      </w:pPr>
    </w:p>
    <w:p w14:paraId="65F7C1EC" w14:textId="77777777" w:rsidR="009B7EDC" w:rsidRDefault="009B7EDC" w:rsidP="009B7EDC">
      <w:pPr>
        <w:jc w:val="center"/>
      </w:pPr>
    </w:p>
    <w:p w14:paraId="6CD76C9F" w14:textId="77777777" w:rsidR="009B7EDC" w:rsidRDefault="009B7EDC" w:rsidP="009B7EDC">
      <w:pPr>
        <w:jc w:val="center"/>
      </w:pPr>
    </w:p>
    <w:p w14:paraId="1F6F1390" w14:textId="77777777" w:rsidR="009B7EDC" w:rsidRDefault="009B7EDC" w:rsidP="009B7EDC">
      <w:pPr>
        <w:jc w:val="center"/>
        <w:sectPr w:rsidR="009B7EDC" w:rsidSect="00E27FAA">
          <w:footerReference w:type="default" r:id="rId8"/>
          <w:headerReference w:type="first" r:id="rId9"/>
          <w:footerReference w:type="first" r:id="rId10"/>
          <w:pgSz w:w="12240" w:h="15840"/>
          <w:pgMar w:top="1440" w:right="1440" w:bottom="1440" w:left="1440" w:header="576" w:footer="720" w:gutter="0"/>
          <w:cols w:space="720"/>
          <w:titlePg/>
          <w:docGrid w:linePitch="360"/>
        </w:sectPr>
      </w:pPr>
    </w:p>
    <w:p w14:paraId="034E4246" w14:textId="641BB9CA" w:rsidR="009B7EDC" w:rsidRDefault="009B7EDC" w:rsidP="009B7EDC">
      <w:pPr>
        <w:jc w:val="center"/>
      </w:pPr>
      <w:r>
        <w:lastRenderedPageBreak/>
        <w:t>A Critical Comparison of Two Secondary Sources</w:t>
      </w:r>
    </w:p>
    <w:p w14:paraId="6C512B6D" w14:textId="2BBE5E62" w:rsidR="009B7EDC" w:rsidRDefault="009B7EDC" w:rsidP="009B7EDC">
      <w:pPr>
        <w:jc w:val="center"/>
      </w:pPr>
      <w:r>
        <w:t xml:space="preserve">Word Count: </w:t>
      </w:r>
      <w:r w:rsidR="00097D34">
        <w:t>2.571</w:t>
      </w:r>
    </w:p>
    <w:p w14:paraId="2F562281" w14:textId="4411E888" w:rsidR="00EF7B53" w:rsidRDefault="00EF7B53" w:rsidP="00EF7B53">
      <w:pPr>
        <w:ind w:firstLine="720"/>
      </w:pPr>
      <w:r w:rsidRPr="00E720C5">
        <w:t xml:space="preserve">This essay compares and contrasts two </w:t>
      </w:r>
      <w:r>
        <w:t>secondary sources</w:t>
      </w:r>
      <w:r w:rsidRPr="00E720C5">
        <w:t xml:space="preserve">.  The two </w:t>
      </w:r>
      <w:r>
        <w:t>sources</w:t>
      </w:r>
      <w:r w:rsidRPr="00E720C5">
        <w:t xml:space="preserve"> chosen are </w:t>
      </w:r>
      <w:r>
        <w:t xml:space="preserve">David Bentley Hart’s 2013 article ‘Jung’s Therapeutic Gnosticism’ published in the Institute on Religion and Public Life’s </w:t>
      </w:r>
      <w:r w:rsidRPr="009F216B">
        <w:rPr>
          <w:i/>
          <w:iCs/>
        </w:rPr>
        <w:t>First Things</w:t>
      </w:r>
      <w:r>
        <w:t xml:space="preserve"> journal, and Andreas Schweizer’s 2011 article ‘The Son of the Earth in C. G. Jung’s The Red Book’ published in </w:t>
      </w:r>
      <w:r w:rsidRPr="009F216B">
        <w:rPr>
          <w:i/>
          <w:iCs/>
        </w:rPr>
        <w:t>Jung Journal: Culture &amp; Psyche.</w:t>
      </w:r>
      <w:r w:rsidRPr="009F216B">
        <w:rPr>
          <w:rStyle w:val="FootnoteReference"/>
          <w:i/>
          <w:iCs/>
        </w:rPr>
        <w:footnoteReference w:id="1"/>
      </w:r>
      <w:r>
        <w:t xml:space="preserve">  These articles often discuss the same themes seen in </w:t>
      </w:r>
      <w:r w:rsidRPr="00EF7B53">
        <w:rPr>
          <w:i/>
          <w:iCs/>
        </w:rPr>
        <w:t>The Red Book</w:t>
      </w:r>
      <w:r>
        <w:t xml:space="preserve"> but present divergent perspectives on their meanings and offer differing writing styles.  In this essay, I will examine the authors’ dissimilar applications of references in their articles, their views on whether Jung presents himself as a prophet, and what their understanding is of transcendence according to Jung in order to sample the diverse implications of Jung’s </w:t>
      </w:r>
      <w:r w:rsidR="00D57735">
        <w:t xml:space="preserve">experience writing </w:t>
      </w:r>
      <w:r w:rsidR="00D57735" w:rsidRPr="00D57735">
        <w:rPr>
          <w:i/>
          <w:iCs/>
        </w:rPr>
        <w:t>The Red Book</w:t>
      </w:r>
      <w:r>
        <w:t>.</w:t>
      </w:r>
    </w:p>
    <w:p w14:paraId="0629FDAD" w14:textId="6BB7B4F3" w:rsidR="00D55336" w:rsidRDefault="003A247B" w:rsidP="00C47B47">
      <w:pPr>
        <w:ind w:firstLine="720"/>
      </w:pPr>
      <w:r>
        <w:t>Hart’s</w:t>
      </w:r>
      <w:r w:rsidR="009B7EDC">
        <w:t xml:space="preserve"> article</w:t>
      </w:r>
      <w:r w:rsidR="00585EDB">
        <w:t xml:space="preserve"> assumes </w:t>
      </w:r>
      <w:r w:rsidR="00920959">
        <w:t>his</w:t>
      </w:r>
      <w:r w:rsidR="00D444B7">
        <w:t xml:space="preserve"> </w:t>
      </w:r>
      <w:r w:rsidR="00585EDB">
        <w:t xml:space="preserve">readership is educated </w:t>
      </w:r>
      <w:r w:rsidR="001D2559">
        <w:t xml:space="preserve">– </w:t>
      </w:r>
      <w:r w:rsidR="00585EDB">
        <w:t xml:space="preserve">though not scholarly </w:t>
      </w:r>
      <w:r w:rsidR="001D2559">
        <w:t xml:space="preserve">– </w:t>
      </w:r>
      <w:r w:rsidR="00585EDB">
        <w:t>a</w:t>
      </w:r>
      <w:r w:rsidR="001D2559">
        <w:t>n</w:t>
      </w:r>
      <w:r w:rsidR="00585EDB">
        <w:t>d</w:t>
      </w:r>
      <w:r w:rsidR="00D55336">
        <w:t xml:space="preserve">, omitting detailed explanations of archetypes and the collective unconscious, assumes </w:t>
      </w:r>
      <w:r w:rsidR="008475B8">
        <w:t>readers have</w:t>
      </w:r>
      <w:r w:rsidR="00585EDB">
        <w:t xml:space="preserve"> at least a surface-level understanding of </w:t>
      </w:r>
      <w:r w:rsidR="00D55336">
        <w:t>these ideas.</w:t>
      </w:r>
      <w:r w:rsidR="001D2559">
        <w:t xml:space="preserve">  He does not, however, assume the readers to have much knowledge of </w:t>
      </w:r>
      <w:r w:rsidR="001D2559" w:rsidRPr="00D55336">
        <w:rPr>
          <w:i/>
          <w:iCs/>
        </w:rPr>
        <w:t>The Red Book</w:t>
      </w:r>
      <w:r w:rsidR="00D55336">
        <w:t xml:space="preserve"> as he</w:t>
      </w:r>
      <w:r w:rsidR="001D2559">
        <w:t xml:space="preserve"> </w:t>
      </w:r>
      <w:r w:rsidR="00D55336">
        <w:t xml:space="preserve">provides </w:t>
      </w:r>
      <w:r w:rsidR="008475B8">
        <w:t>the book’s background</w:t>
      </w:r>
      <w:r w:rsidR="00D55336">
        <w:t xml:space="preserve"> and analyzes several of its scenes</w:t>
      </w:r>
      <w:r w:rsidR="00274F28">
        <w:t xml:space="preserve"> and characters</w:t>
      </w:r>
      <w:r w:rsidR="00D55336">
        <w:t xml:space="preserve">.  </w:t>
      </w:r>
      <w:r w:rsidR="00A376B6">
        <w:t xml:space="preserve">The audience for which it is written is a conservatively Christian one – a group which Hart </w:t>
      </w:r>
      <w:r w:rsidR="00EA0F33">
        <w:t xml:space="preserve">can </w:t>
      </w:r>
      <w:r w:rsidR="00653B62">
        <w:t>easily approach</w:t>
      </w:r>
      <w:r w:rsidR="00A376B6">
        <w:t xml:space="preserve"> as an Eastern Orthodox Theologian who has translated the New Testament</w:t>
      </w:r>
      <w:r w:rsidR="00D55336">
        <w:t xml:space="preserve"> – and it is this lens through which Hart evaluates </w:t>
      </w:r>
      <w:r w:rsidR="00D55336" w:rsidRPr="00D55336">
        <w:rPr>
          <w:i/>
          <w:iCs/>
        </w:rPr>
        <w:t>The Red Book</w:t>
      </w:r>
      <w:r w:rsidR="00A376B6">
        <w:t>.</w:t>
      </w:r>
      <w:r w:rsidR="001D2559">
        <w:t xml:space="preserve"> </w:t>
      </w:r>
      <w:r w:rsidR="00A376B6">
        <w:t xml:space="preserve"> </w:t>
      </w:r>
      <w:r w:rsidR="00BC5C36">
        <w:t xml:space="preserve">Similar to Hart, Schweizer also assumes his readers to have an understanding of Jung’s theories.  His article, however, is targeted at an audience </w:t>
      </w:r>
      <w:r w:rsidR="00CD7F53">
        <w:t>possessing</w:t>
      </w:r>
      <w:r w:rsidR="00BC5C36">
        <w:t xml:space="preserve"> </w:t>
      </w:r>
      <w:r w:rsidR="00FE0FA7">
        <w:t xml:space="preserve">a </w:t>
      </w:r>
      <w:r w:rsidR="00EA0F33">
        <w:t>high</w:t>
      </w:r>
      <w:r w:rsidR="00F8083E">
        <w:t>er</w:t>
      </w:r>
      <w:r w:rsidR="00EA0F33">
        <w:t xml:space="preserve"> level of familiarity</w:t>
      </w:r>
      <w:r w:rsidR="00BC5C36">
        <w:t xml:space="preserve"> </w:t>
      </w:r>
      <w:r w:rsidR="00CD7F53">
        <w:t>with</w:t>
      </w:r>
      <w:r w:rsidR="00BC5C36">
        <w:t xml:space="preserve"> these theories</w:t>
      </w:r>
      <w:r w:rsidR="00F8083E">
        <w:t xml:space="preserve"> than Hart’s</w:t>
      </w:r>
      <w:r w:rsidR="00F84D5B">
        <w:t>.</w:t>
      </w:r>
      <w:r w:rsidR="00FE0FA7">
        <w:t xml:space="preserve"> </w:t>
      </w:r>
      <w:r w:rsidR="00F84D5B">
        <w:t xml:space="preserve"> The journal is Jungian, written for Jungians by Jungians, and for those of us tasked with writing comparative essays.  T</w:t>
      </w:r>
      <w:r w:rsidR="00FE0FA7">
        <w:t xml:space="preserve">he ideas of </w:t>
      </w:r>
      <w:r w:rsidR="00AD2F7C">
        <w:t xml:space="preserve">the </w:t>
      </w:r>
      <w:r w:rsidR="00FE0FA7">
        <w:t xml:space="preserve">archetypes and the collective unconscious </w:t>
      </w:r>
      <w:r w:rsidR="00653B62">
        <w:t xml:space="preserve">in Schweizer’s article </w:t>
      </w:r>
      <w:r w:rsidR="00FE0FA7">
        <w:t xml:space="preserve">are </w:t>
      </w:r>
      <w:r w:rsidR="002C5E80">
        <w:t xml:space="preserve">implicit and expressed through </w:t>
      </w:r>
      <w:r w:rsidR="00920959">
        <w:t>the</w:t>
      </w:r>
      <w:r w:rsidR="002C5E80">
        <w:t xml:space="preserve"> “creative language” </w:t>
      </w:r>
      <w:r w:rsidR="00920959">
        <w:t>of</w:t>
      </w:r>
      <w:r w:rsidR="002C5E80">
        <w:t xml:space="preserve"> </w:t>
      </w:r>
      <w:r w:rsidR="002C5E80" w:rsidRPr="002C5E80">
        <w:rPr>
          <w:i/>
          <w:iCs/>
        </w:rPr>
        <w:t>The Red Book</w:t>
      </w:r>
      <w:r w:rsidR="002C5E80">
        <w:t>.</w:t>
      </w:r>
      <w:r w:rsidR="002C5E80">
        <w:rPr>
          <w:rStyle w:val="FootnoteReference"/>
        </w:rPr>
        <w:footnoteReference w:id="2"/>
      </w:r>
      <w:r w:rsidR="008475B8">
        <w:t xml:space="preserve">  Schweizer extols the value of Jungian psychology and Jung’s </w:t>
      </w:r>
      <w:r w:rsidR="00ED4E16">
        <w:t>encounter with the unconscious.</w:t>
      </w:r>
    </w:p>
    <w:p w14:paraId="7A695F8A" w14:textId="58A24FE6" w:rsidR="00A376B6" w:rsidRDefault="00C47B47" w:rsidP="009B7EDC">
      <w:pPr>
        <w:ind w:firstLine="720"/>
      </w:pPr>
      <w:r>
        <w:t xml:space="preserve">Hart explicitly states </w:t>
      </w:r>
      <w:r w:rsidR="001D2559">
        <w:t>“I have never been an admirer of Jung’s writings”</w:t>
      </w:r>
      <w:r>
        <w:t xml:space="preserve"> early on in the article</w:t>
      </w:r>
      <w:r w:rsidR="00C17E00">
        <w:t>, and continually asserts acerbic opinions of Jung and his writing</w:t>
      </w:r>
      <w:r w:rsidR="005D4D34">
        <w:t xml:space="preserve">, </w:t>
      </w:r>
      <w:r w:rsidR="00CD7F53">
        <w:t>denoting</w:t>
      </w:r>
      <w:r w:rsidR="005D4D34">
        <w:t xml:space="preserve"> it as immature, pretentious, and heavy-handed</w:t>
      </w:r>
      <w:r w:rsidR="001D2559">
        <w:t>.</w:t>
      </w:r>
      <w:r w:rsidR="001D2559">
        <w:rPr>
          <w:rStyle w:val="FootnoteReference"/>
        </w:rPr>
        <w:footnoteReference w:id="3"/>
      </w:r>
      <w:r>
        <w:t xml:space="preserve">  </w:t>
      </w:r>
      <w:r w:rsidR="005D4D34">
        <w:t>These opinions fuel his main concern</w:t>
      </w:r>
      <w:r>
        <w:t xml:space="preserve"> with what Jung’s </w:t>
      </w:r>
      <w:r w:rsidR="00C17E00">
        <w:t xml:space="preserve">pairing of psychology and </w:t>
      </w:r>
      <w:r w:rsidR="005D4D34">
        <w:t>religion – specifically his Gnostic tendencies –</w:t>
      </w:r>
      <w:r w:rsidR="00C17E00">
        <w:t xml:space="preserve"> </w:t>
      </w:r>
      <w:r w:rsidR="005D4D34">
        <w:t>i</w:t>
      </w:r>
      <w:r>
        <w:t>ndicates about the wider</w:t>
      </w:r>
      <w:r w:rsidR="00C17E00">
        <w:t xml:space="preserve"> spiritual culture of the modern era</w:t>
      </w:r>
      <w:r w:rsidR="005D4D34">
        <w:t xml:space="preserve">.  The </w:t>
      </w:r>
      <w:r w:rsidR="00ED4E16">
        <w:t xml:space="preserve">existential </w:t>
      </w:r>
      <w:r w:rsidR="005D4D34">
        <w:t xml:space="preserve">emptiness he </w:t>
      </w:r>
      <w:r w:rsidR="00883964">
        <w:t>senses</w:t>
      </w:r>
      <w:r w:rsidR="005D4D34">
        <w:t xml:space="preserve"> in Jung’s ideas combined with their popularity make</w:t>
      </w:r>
      <w:r w:rsidR="00C17E00">
        <w:t xml:space="preserve"> </w:t>
      </w:r>
      <w:r w:rsidR="00C17E00" w:rsidRPr="005D4D34">
        <w:rPr>
          <w:i/>
          <w:iCs/>
        </w:rPr>
        <w:t>The Red Book</w:t>
      </w:r>
      <w:r w:rsidR="00C17E00">
        <w:t xml:space="preserve"> </w:t>
      </w:r>
      <w:r w:rsidR="005D4D34">
        <w:t xml:space="preserve">for Hart </w:t>
      </w:r>
      <w:r w:rsidR="00C17E00">
        <w:t>a “symptom…of the desire for transcendence without transcendence”.</w:t>
      </w:r>
      <w:r w:rsidR="00C17E00">
        <w:rPr>
          <w:rStyle w:val="FootnoteReference"/>
        </w:rPr>
        <w:footnoteReference w:id="4"/>
      </w:r>
      <w:r w:rsidR="00C17E00">
        <w:t xml:space="preserve">  </w:t>
      </w:r>
      <w:r w:rsidR="00510742">
        <w:t>Hart thinks of Jung as representative of what he sees as a</w:t>
      </w:r>
      <w:r w:rsidR="002A4745">
        <w:t xml:space="preserve"> steady disconnection of the </w:t>
      </w:r>
      <w:r w:rsidR="00510742">
        <w:t>cosmological</w:t>
      </w:r>
      <w:r w:rsidR="002A4745">
        <w:t xml:space="preserve"> from the spiritual</w:t>
      </w:r>
      <w:r w:rsidR="00510742">
        <w:t>, a side effect of an increasingly</w:t>
      </w:r>
      <w:r w:rsidR="00F8083E">
        <w:t>-</w:t>
      </w:r>
      <w:r w:rsidR="00510742">
        <w:t>mechanized, spiritually</w:t>
      </w:r>
      <w:r w:rsidR="00F8083E">
        <w:t>-</w:t>
      </w:r>
      <w:r w:rsidR="00510742">
        <w:t>distanced world.</w:t>
      </w:r>
      <w:r w:rsidR="00510742">
        <w:rPr>
          <w:rStyle w:val="FootnoteReference"/>
        </w:rPr>
        <w:footnoteReference w:id="5"/>
      </w:r>
      <w:r w:rsidR="00510742">
        <w:t xml:space="preserve">  </w:t>
      </w:r>
      <w:r w:rsidR="006249D6">
        <w:t>Modern spiritual practices informed by science, according to Hart, only amplify the human need for the possibility of transcending to something greater while</w:t>
      </w:r>
      <w:r w:rsidR="00F8083E">
        <w:t xml:space="preserve"> effectively</w:t>
      </w:r>
      <w:r w:rsidR="006249D6">
        <w:t xml:space="preserve"> eliminating that </w:t>
      </w:r>
      <w:r w:rsidR="001869D4">
        <w:t xml:space="preserve">to </w:t>
      </w:r>
      <w:r w:rsidR="006249D6">
        <w:t xml:space="preserve">which could be transcended.  </w:t>
      </w:r>
      <w:r w:rsidR="00510742">
        <w:t xml:space="preserve">As an Eastern Orthodox theologian, Hart is promoting a view of a God-centered cosmos which is </w:t>
      </w:r>
      <w:r w:rsidR="00ED4E16">
        <w:t>purposefully</w:t>
      </w:r>
      <w:r w:rsidR="00510742">
        <w:t xml:space="preserve"> made </w:t>
      </w:r>
      <w:r w:rsidR="00510742">
        <w:lastRenderedPageBreak/>
        <w:t>comprehensive for humankind</w:t>
      </w:r>
      <w:r w:rsidR="006249D6">
        <w:t xml:space="preserve"> and which “upholds a basic dualism between God and the world” without removing God from the world.</w:t>
      </w:r>
      <w:r w:rsidR="006249D6">
        <w:rPr>
          <w:rStyle w:val="FootnoteReference"/>
        </w:rPr>
        <w:footnoteReference w:id="6"/>
      </w:r>
      <w:r w:rsidR="006249D6">
        <w:t xml:space="preserve"> </w:t>
      </w:r>
    </w:p>
    <w:p w14:paraId="0B713D7C" w14:textId="513BA0F5" w:rsidR="00641EB8" w:rsidRDefault="00641EB8" w:rsidP="009B7EDC">
      <w:pPr>
        <w:ind w:firstLine="720"/>
      </w:pPr>
      <w:r>
        <w:t xml:space="preserve">The language that for Hart </w:t>
      </w:r>
      <w:r w:rsidR="00D22103">
        <w:t>is</w:t>
      </w:r>
      <w:r>
        <w:t xml:space="preserve"> immature, pretentious, and heavy-handed is “beautiful”, “striking”, and “Impressive” for Andreas Schweizer.</w:t>
      </w:r>
      <w:r>
        <w:rPr>
          <w:rStyle w:val="FootnoteReference"/>
        </w:rPr>
        <w:footnoteReference w:id="7"/>
      </w:r>
      <w:r w:rsidR="002C5E80">
        <w:t xml:space="preserve">  Schweizer</w:t>
      </w:r>
      <w:r w:rsidR="00ED4E16">
        <w:t>’s</w:t>
      </w:r>
      <w:r w:rsidR="00AD2F7C">
        <w:t xml:space="preserve"> is a practicing Jungian analyst with a background in theology, comparative religion, and Egyptology.  This background</w:t>
      </w:r>
      <w:r w:rsidR="00ED4E16">
        <w:t xml:space="preserve"> leads him to examine</w:t>
      </w:r>
      <w:r w:rsidR="002C5E80">
        <w:t xml:space="preserve"> </w:t>
      </w:r>
      <w:r w:rsidR="002C5E80" w:rsidRPr="002C5E80">
        <w:rPr>
          <w:i/>
          <w:iCs/>
        </w:rPr>
        <w:t>The Red Book</w:t>
      </w:r>
      <w:r w:rsidR="002C5E80">
        <w:t xml:space="preserve"> as a through-line in time, connecting Jung’s imagery and myth to those of</w:t>
      </w:r>
      <w:r w:rsidR="00D22103">
        <w:t xml:space="preserve"> </w:t>
      </w:r>
      <w:r w:rsidR="00F8083E">
        <w:t>ancient periods</w:t>
      </w:r>
      <w:r w:rsidR="00D22103">
        <w:t xml:space="preserve"> </w:t>
      </w:r>
      <w:r w:rsidR="00653B62">
        <w:t xml:space="preserve">and </w:t>
      </w:r>
      <w:r w:rsidR="00D22103">
        <w:t>to Jung’s future works.</w:t>
      </w:r>
      <w:r w:rsidR="00D22103">
        <w:rPr>
          <w:rStyle w:val="FootnoteReference"/>
        </w:rPr>
        <w:footnoteReference w:id="8"/>
      </w:r>
      <w:r w:rsidR="00375BF6">
        <w:t xml:space="preserve">  </w:t>
      </w:r>
      <w:r w:rsidR="009479CA">
        <w:t>This connection of opposing time periods is reflective of h</w:t>
      </w:r>
      <w:r w:rsidR="002E4549">
        <w:t xml:space="preserve">is </w:t>
      </w:r>
      <w:r w:rsidR="009479CA">
        <w:t xml:space="preserve">article’s main concern: </w:t>
      </w:r>
      <w:r w:rsidR="002E4549">
        <w:t>the integration of opposites within the individu</w:t>
      </w:r>
      <w:r w:rsidR="009479CA">
        <w:t>al</w:t>
      </w:r>
      <w:r w:rsidR="00920959">
        <w:t xml:space="preserve"> – Jung’s idea of individuation</w:t>
      </w:r>
      <w:r w:rsidR="009479CA">
        <w:t>.  In particular,</w:t>
      </w:r>
      <w:r w:rsidR="00770BDA">
        <w:t xml:space="preserve"> </w:t>
      </w:r>
      <w:r w:rsidR="001F27D8">
        <w:t xml:space="preserve">this integration requires accepting one’s own darkness.  In </w:t>
      </w:r>
      <w:proofErr w:type="gramStart"/>
      <w:r w:rsidR="001F27D8" w:rsidRPr="001F27D8">
        <w:rPr>
          <w:i/>
          <w:iCs/>
        </w:rPr>
        <w:t>The</w:t>
      </w:r>
      <w:proofErr w:type="gramEnd"/>
      <w:r w:rsidR="001F27D8" w:rsidRPr="001F27D8">
        <w:rPr>
          <w:i/>
          <w:iCs/>
        </w:rPr>
        <w:t xml:space="preserve"> Red Book</w:t>
      </w:r>
      <w:r w:rsidR="00ED4E16">
        <w:rPr>
          <w:i/>
          <w:iCs/>
        </w:rPr>
        <w:t>,</w:t>
      </w:r>
      <w:r w:rsidR="001F27D8">
        <w:t xml:space="preserve"> Jung explains </w:t>
      </w:r>
      <w:r w:rsidR="009479CA">
        <w:t>“He who comprehends the darkness in himself, to him the light is near.  He who climbs down into his darkness reaches the staircase of the working light”</w:t>
      </w:r>
      <w:r w:rsidR="001F27D8">
        <w:t xml:space="preserve">, a line </w:t>
      </w:r>
      <w:r w:rsidR="00053B4D">
        <w:t xml:space="preserve">which posits that transcendence is possible through </w:t>
      </w:r>
      <w:r w:rsidR="00AB204C">
        <w:t>a full interior experience and acceptance of the psyche</w:t>
      </w:r>
      <w:r w:rsidR="009479CA">
        <w:t>.</w:t>
      </w:r>
      <w:r w:rsidR="009479CA">
        <w:rPr>
          <w:rStyle w:val="FootnoteReference"/>
        </w:rPr>
        <w:footnoteReference w:id="9"/>
      </w:r>
      <w:r w:rsidR="001F27D8">
        <w:t xml:space="preserve">  </w:t>
      </w:r>
      <w:r w:rsidR="00053B4D">
        <w:t xml:space="preserve">In opposition to Hart, Schweizer proposes that the use of Jungian psychology as a means to understanding the Self is concomitantly a means to understanding and </w:t>
      </w:r>
      <w:r w:rsidR="00ED4E16">
        <w:t>transcending</w:t>
      </w:r>
      <w:r w:rsidR="00053B4D">
        <w:t xml:space="preserve">, rather than disconnecting, with the spiritual cosmos.  </w:t>
      </w:r>
    </w:p>
    <w:p w14:paraId="506E7454" w14:textId="1B4375FF" w:rsidR="00166170" w:rsidRDefault="002175F7" w:rsidP="009B7EDC">
      <w:pPr>
        <w:ind w:firstLine="720"/>
      </w:pPr>
      <w:r>
        <w:t>One</w:t>
      </w:r>
      <w:r w:rsidR="00B80DB8">
        <w:t xml:space="preserve"> major difference between these two articles is the</w:t>
      </w:r>
      <w:r w:rsidR="00D55100">
        <w:t>ir</w:t>
      </w:r>
      <w:r w:rsidR="00B80DB8">
        <w:t xml:space="preserve"> use of references.  </w:t>
      </w:r>
      <w:r w:rsidR="00166170">
        <w:t xml:space="preserve">What is </w:t>
      </w:r>
      <w:r w:rsidR="00835628">
        <w:t>notable</w:t>
      </w:r>
      <w:r w:rsidR="00166170">
        <w:t xml:space="preserve"> about </w:t>
      </w:r>
      <w:r w:rsidR="003167E2">
        <w:t xml:space="preserve">the content in </w:t>
      </w:r>
      <w:r w:rsidR="00166170">
        <w:t xml:space="preserve">Hart’s article is </w:t>
      </w:r>
      <w:r w:rsidR="00F1105B">
        <w:t>the</w:t>
      </w:r>
      <w:r w:rsidR="001869D4">
        <w:t>ir</w:t>
      </w:r>
      <w:r w:rsidR="00F1105B">
        <w:t xml:space="preserve"> absence</w:t>
      </w:r>
      <w:r w:rsidR="00166170">
        <w:t xml:space="preserve">.  </w:t>
      </w:r>
      <w:r w:rsidR="00BB18DF">
        <w:t>While he does tend to specify Jung’s ideas, q</w:t>
      </w:r>
      <w:r w:rsidR="00653B62">
        <w:t>uotations</w:t>
      </w:r>
      <w:r w:rsidR="00AD1B0E">
        <w:t xml:space="preserve"> in many places </w:t>
      </w:r>
      <w:r w:rsidR="00653B62">
        <w:t>have</w:t>
      </w:r>
      <w:r w:rsidR="00814ACD">
        <w:t xml:space="preserve"> no</w:t>
      </w:r>
      <w:r w:rsidR="00AD1B0E">
        <w:t xml:space="preserve"> </w:t>
      </w:r>
      <w:r>
        <w:t>indication of</w:t>
      </w:r>
      <w:r w:rsidR="000D3499">
        <w:t xml:space="preserve"> their source</w:t>
      </w:r>
      <w:r w:rsidR="00AD2F7C">
        <w:t>s</w:t>
      </w:r>
      <w:r w:rsidR="00AD1B0E">
        <w:t xml:space="preserve">.  For example, when discussing his thoughts on the </w:t>
      </w:r>
      <w:r w:rsidR="001869D4">
        <w:t>“alienation</w:t>
      </w:r>
      <w:r w:rsidR="00AD1B0E">
        <w:t xml:space="preserve"> from the natural world that defines modernity”, in one sentence Hart uses two quotes for terms which are unattributed</w:t>
      </w:r>
      <w:r w:rsidR="0018224C">
        <w:t>, saying</w:t>
      </w:r>
      <w:r w:rsidR="00AD1B0E">
        <w:t xml:space="preserve"> “…the mutability of the ‘transparent society’, the shrill fragmentariness of the ‘society of the spectacle’…”.</w:t>
      </w:r>
      <w:r w:rsidR="00AD1B0E">
        <w:rPr>
          <w:rStyle w:val="FootnoteReference"/>
        </w:rPr>
        <w:footnoteReference w:id="10"/>
      </w:r>
      <w:r w:rsidR="00AD1B0E">
        <w:t xml:space="preserve">  </w:t>
      </w:r>
      <w:r w:rsidR="0018224C">
        <w:t>It is unclear if these terms are</w:t>
      </w:r>
      <w:r w:rsidR="00AD1B0E">
        <w:t xml:space="preserve"> </w:t>
      </w:r>
      <w:r w:rsidR="00714BE2">
        <w:t>recognized</w:t>
      </w:r>
      <w:r w:rsidR="00230A67">
        <w:t xml:space="preserve"> philosophical ideas </w:t>
      </w:r>
      <w:r w:rsidR="004C4D9E">
        <w:t>to which he is referring</w:t>
      </w:r>
      <w:r w:rsidR="0018224C">
        <w:t xml:space="preserve"> </w:t>
      </w:r>
      <w:r w:rsidR="001869D4">
        <w:t xml:space="preserve">or </w:t>
      </w:r>
      <w:r w:rsidR="0018224C">
        <w:t>if</w:t>
      </w:r>
      <w:r w:rsidR="00230A67">
        <w:t xml:space="preserve"> these </w:t>
      </w:r>
      <w:r w:rsidR="001869D4">
        <w:t xml:space="preserve">sentiments </w:t>
      </w:r>
      <w:r w:rsidR="0018224C">
        <w:t>are</w:t>
      </w:r>
      <w:r w:rsidR="00AD1B0E">
        <w:t xml:space="preserve"> from Hart himself,</w:t>
      </w:r>
      <w:r w:rsidR="004C4D9E">
        <w:t xml:space="preserve"> which gives them the air of </w:t>
      </w:r>
      <w:r w:rsidR="00714BE2">
        <w:t>catchphrases</w:t>
      </w:r>
      <w:r w:rsidR="004C4D9E">
        <w:t xml:space="preserve"> rather than </w:t>
      </w:r>
      <w:r w:rsidR="00714BE2">
        <w:t>substantive concepts</w:t>
      </w:r>
      <w:r w:rsidR="0018224C">
        <w:t xml:space="preserve">. </w:t>
      </w:r>
      <w:r w:rsidR="00230A67">
        <w:t xml:space="preserve"> </w:t>
      </w:r>
      <w:r w:rsidR="00F1105B">
        <w:t xml:space="preserve">The only </w:t>
      </w:r>
      <w:r w:rsidR="001C224F">
        <w:t>clear</w:t>
      </w:r>
      <w:r w:rsidR="0018224C">
        <w:t xml:space="preserve"> </w:t>
      </w:r>
      <w:r w:rsidR="00F1105B">
        <w:t>attribution</w:t>
      </w:r>
      <w:r w:rsidR="00BB18DF">
        <w:t>s</w:t>
      </w:r>
      <w:r w:rsidR="00F1105B">
        <w:t xml:space="preserve"> he offers </w:t>
      </w:r>
      <w:r w:rsidR="00BB18DF">
        <w:t>are to German philosopher Hans Jonas and</w:t>
      </w:r>
      <w:r w:rsidR="00F1105B">
        <w:t xml:space="preserve"> to Burt Myer</w:t>
      </w:r>
      <w:r w:rsidR="003167E2">
        <w:t xml:space="preserve"> – a</w:t>
      </w:r>
      <w:r w:rsidR="001C224F">
        <w:t xml:space="preserve"> fellow</w:t>
      </w:r>
      <w:r w:rsidR="003167E2">
        <w:t xml:space="preserve"> frequent writer for </w:t>
      </w:r>
      <w:r w:rsidR="003167E2" w:rsidRPr="003167E2">
        <w:rPr>
          <w:i/>
          <w:iCs/>
        </w:rPr>
        <w:t>First Things</w:t>
      </w:r>
      <w:r w:rsidR="00BB18DF">
        <w:t xml:space="preserve">.  </w:t>
      </w:r>
      <w:r>
        <w:t xml:space="preserve">Hart’s decision to omit references </w:t>
      </w:r>
      <w:r w:rsidR="00B27B23">
        <w:t>is related</w:t>
      </w:r>
      <w:r>
        <w:t xml:space="preserve"> to </w:t>
      </w:r>
      <w:r w:rsidR="006A74D0">
        <w:t>his</w:t>
      </w:r>
      <w:r>
        <w:t xml:space="preserve"> audience.  As mentioned </w:t>
      </w:r>
      <w:r w:rsidR="00714BE2">
        <w:t>earlier</w:t>
      </w:r>
      <w:r>
        <w:t xml:space="preserve">, </w:t>
      </w:r>
      <w:r w:rsidR="00C50BE0">
        <w:t>this</w:t>
      </w:r>
      <w:r>
        <w:t xml:space="preserve"> audience is educated but not academic – an audience which </w:t>
      </w:r>
      <w:r w:rsidR="00C50BE0">
        <w:t>permits</w:t>
      </w:r>
      <w:r>
        <w:t xml:space="preserve"> a different set of </w:t>
      </w:r>
      <w:r w:rsidR="006A74D0">
        <w:t xml:space="preserve">writing </w:t>
      </w:r>
      <w:r>
        <w:t>standards</w:t>
      </w:r>
      <w:r w:rsidR="00C50BE0">
        <w:t xml:space="preserve"> and style</w:t>
      </w:r>
      <w:r w:rsidR="000D3499">
        <w:t xml:space="preserve">.  </w:t>
      </w:r>
      <w:r w:rsidR="004C4D9E">
        <w:t xml:space="preserve">The </w:t>
      </w:r>
      <w:r w:rsidR="001C224F">
        <w:t>journal’s specifically conservative Christian worldview provides an exclusive readership among whom there are presumabl</w:t>
      </w:r>
      <w:r w:rsidR="00C50BE0">
        <w:t>y</w:t>
      </w:r>
      <w:r w:rsidR="001C224F">
        <w:t xml:space="preserve"> very few dissenters as evidenced by the </w:t>
      </w:r>
      <w:r w:rsidR="00AF53E5">
        <w:t xml:space="preserve">reader-addressed </w:t>
      </w:r>
      <w:r w:rsidR="001C224F">
        <w:t xml:space="preserve">message </w:t>
      </w:r>
      <w:r w:rsidR="00C50BE0">
        <w:t xml:space="preserve">from </w:t>
      </w:r>
      <w:r w:rsidR="00742487">
        <w:t>the</w:t>
      </w:r>
      <w:r w:rsidR="00C50BE0">
        <w:t xml:space="preserve"> editor </w:t>
      </w:r>
      <w:r w:rsidR="001C224F">
        <w:t xml:space="preserve">on </w:t>
      </w:r>
      <w:r w:rsidR="00AF53E5">
        <w:t>its</w:t>
      </w:r>
      <w:r w:rsidR="001C224F">
        <w:t xml:space="preserve"> website which states “we enter the fray of contemporary cultural and political discussions with the confidence that it is God above who oversees our victories and setbacks”.</w:t>
      </w:r>
      <w:r w:rsidR="00AF53E5">
        <w:rPr>
          <w:rStyle w:val="FootnoteReference"/>
        </w:rPr>
        <w:footnoteReference w:id="11"/>
      </w:r>
      <w:r w:rsidR="001C224F">
        <w:t xml:space="preserve"> </w:t>
      </w:r>
      <w:r w:rsidR="000D3499">
        <w:t xml:space="preserve"> Hart does not </w:t>
      </w:r>
      <w:r w:rsidR="006A74D0">
        <w:t>require</w:t>
      </w:r>
      <w:r w:rsidR="000D3499">
        <w:t xml:space="preserve"> the space (</w:t>
      </w:r>
      <w:r w:rsidR="001C224F">
        <w:t>n</w:t>
      </w:r>
      <w:r w:rsidR="000D3499">
        <w:t xml:space="preserve">or structure) to </w:t>
      </w:r>
      <w:r w:rsidR="001C224F">
        <w:t xml:space="preserve">persuasively </w:t>
      </w:r>
      <w:r w:rsidR="00CD7F53">
        <w:t>validate</w:t>
      </w:r>
      <w:r w:rsidR="000D3499">
        <w:t xml:space="preserve"> his claims</w:t>
      </w:r>
      <w:r w:rsidR="001C224F">
        <w:t xml:space="preserve"> as he is </w:t>
      </w:r>
      <w:r w:rsidR="00AF53E5">
        <w:t>not tasked with developing an</w:t>
      </w:r>
      <w:r w:rsidR="00670962">
        <w:t xml:space="preserve"> academic</w:t>
      </w:r>
      <w:r w:rsidR="00AF53E5">
        <w:t xml:space="preserve"> argument</w:t>
      </w:r>
      <w:r w:rsidR="006A74D0">
        <w:t xml:space="preserve">.  He is instead tasked with </w:t>
      </w:r>
      <w:r w:rsidR="00C50BE0">
        <w:t>reinforcing</w:t>
      </w:r>
      <w:r w:rsidR="00AF53E5">
        <w:t xml:space="preserve"> the overall message of the journal and the viewpoint of its readership. </w:t>
      </w:r>
    </w:p>
    <w:p w14:paraId="15583BBB" w14:textId="321B3076" w:rsidR="002D6FCD" w:rsidRDefault="006A74D0" w:rsidP="00A71510">
      <w:pPr>
        <w:ind w:firstLine="720"/>
      </w:pPr>
      <w:r>
        <w:t>Schweize</w:t>
      </w:r>
      <w:r w:rsidR="00AD2F7C">
        <w:t>r</w:t>
      </w:r>
      <w:r>
        <w:t xml:space="preserve"> </w:t>
      </w:r>
      <w:r w:rsidR="00670962">
        <w:t xml:space="preserve">develops an academic argument </w:t>
      </w:r>
      <w:r w:rsidR="00612268">
        <w:t xml:space="preserve">– albeit a more conversational style </w:t>
      </w:r>
      <w:r w:rsidR="00742487">
        <w:t xml:space="preserve">of writing, </w:t>
      </w:r>
      <w:r w:rsidR="0059691C">
        <w:t>occasionally</w:t>
      </w:r>
      <w:r w:rsidR="00742487">
        <w:t xml:space="preserve"> addressing the reader</w:t>
      </w:r>
      <w:r w:rsidR="00612268">
        <w:t xml:space="preserve"> - </w:t>
      </w:r>
      <w:r w:rsidR="007714EE">
        <w:t>and provides</w:t>
      </w:r>
      <w:r w:rsidR="00670962">
        <w:t xml:space="preserve"> a complete bibliography.  </w:t>
      </w:r>
      <w:r w:rsidR="0092309A">
        <w:t>Experts</w:t>
      </w:r>
      <w:r w:rsidR="00F5452A">
        <w:t xml:space="preserve"> such as</w:t>
      </w:r>
      <w:r w:rsidR="0092309A">
        <w:t xml:space="preserve"> the religious </w:t>
      </w:r>
      <w:r w:rsidR="0092309A">
        <w:lastRenderedPageBreak/>
        <w:t>scholar,</w:t>
      </w:r>
      <w:r w:rsidR="00F5452A">
        <w:t xml:space="preserve"> Albrecht Dieterich</w:t>
      </w:r>
      <w:r w:rsidR="0092309A">
        <w:t>;</w:t>
      </w:r>
      <w:r w:rsidR="00F5452A">
        <w:t xml:space="preserve"> </w:t>
      </w:r>
      <w:r w:rsidR="0092309A">
        <w:t xml:space="preserve">Jungian, </w:t>
      </w:r>
      <w:r w:rsidR="00F5452A">
        <w:t>Barbara Hannah</w:t>
      </w:r>
      <w:r w:rsidR="0092309A">
        <w:t>;</w:t>
      </w:r>
      <w:r w:rsidR="00F5452A">
        <w:t xml:space="preserve"> and </w:t>
      </w:r>
      <w:r w:rsidR="0092309A">
        <w:t xml:space="preserve">American New Testament and Nag Hammadi scholar, </w:t>
      </w:r>
      <w:r w:rsidR="00F5452A">
        <w:t xml:space="preserve">James </w:t>
      </w:r>
      <w:r w:rsidR="0092309A">
        <w:t xml:space="preserve">M. </w:t>
      </w:r>
      <w:r w:rsidR="00F5452A">
        <w:t>Robinson</w:t>
      </w:r>
      <w:r w:rsidR="0092309A">
        <w:t>,</w:t>
      </w:r>
      <w:r w:rsidR="00F5452A">
        <w:t xml:space="preserve"> are </w:t>
      </w:r>
      <w:r w:rsidR="00B12946">
        <w:t>brought in to support</w:t>
      </w:r>
      <w:r w:rsidR="00742487">
        <w:t xml:space="preserve"> his claims</w:t>
      </w:r>
      <w:r w:rsidR="00F5452A">
        <w:t xml:space="preserve">.  </w:t>
      </w:r>
      <w:r w:rsidR="00835628">
        <w:t>What is significant about this article</w:t>
      </w:r>
      <w:r w:rsidR="00012E81">
        <w:t>, though,</w:t>
      </w:r>
      <w:r w:rsidR="00835628">
        <w:t xml:space="preserve"> is Jung’s </w:t>
      </w:r>
      <w:r w:rsidR="0057571F">
        <w:t xml:space="preserve">own </w:t>
      </w:r>
      <w:r w:rsidR="00835628">
        <w:t>presence</w:t>
      </w:r>
      <w:r w:rsidR="00B12946">
        <w:t xml:space="preserve"> within it</w:t>
      </w:r>
      <w:r w:rsidR="00835628">
        <w:t xml:space="preserve">.  Schweizer </w:t>
      </w:r>
      <w:r w:rsidR="00012E81">
        <w:t xml:space="preserve">looks to Jung himself for answers to questions about </w:t>
      </w:r>
      <w:r w:rsidR="00742487">
        <w:rPr>
          <w:i/>
          <w:iCs/>
        </w:rPr>
        <w:t>T</w:t>
      </w:r>
      <w:r w:rsidR="00012E81" w:rsidRPr="00742487">
        <w:rPr>
          <w:i/>
          <w:iCs/>
        </w:rPr>
        <w:t>he Red Book</w:t>
      </w:r>
      <w:r w:rsidR="0092309A">
        <w:t>.  He</w:t>
      </w:r>
      <w:r w:rsidR="00742487">
        <w:t xml:space="preserve"> </w:t>
      </w:r>
      <w:r w:rsidR="0092309A">
        <w:t xml:space="preserve">makes ample use of his other work such as </w:t>
      </w:r>
      <w:proofErr w:type="spellStart"/>
      <w:r w:rsidR="0092309A" w:rsidRPr="00835628">
        <w:rPr>
          <w:i/>
          <w:iCs/>
        </w:rPr>
        <w:t>Aion</w:t>
      </w:r>
      <w:proofErr w:type="spellEnd"/>
      <w:r w:rsidR="0092309A">
        <w:t xml:space="preserve">, </w:t>
      </w:r>
      <w:r w:rsidR="0092309A" w:rsidRPr="00835628">
        <w:rPr>
          <w:i/>
          <w:iCs/>
        </w:rPr>
        <w:t>The Collected Works of C. G. Jung</w:t>
      </w:r>
      <w:r w:rsidR="0092309A">
        <w:t xml:space="preserve">, </w:t>
      </w:r>
      <w:r w:rsidR="0092309A" w:rsidRPr="00835628">
        <w:rPr>
          <w:i/>
          <w:iCs/>
        </w:rPr>
        <w:t>Alchemical Studies</w:t>
      </w:r>
      <w:r w:rsidR="0092309A">
        <w:t xml:space="preserve">, and </w:t>
      </w:r>
      <w:r w:rsidR="0092309A" w:rsidRPr="00835628">
        <w:rPr>
          <w:i/>
          <w:iCs/>
        </w:rPr>
        <w:t>The Symbolic Life</w:t>
      </w:r>
      <w:r w:rsidR="0092309A">
        <w:t xml:space="preserve">, and says “I believe that some passages of the </w:t>
      </w:r>
      <w:proofErr w:type="spellStart"/>
      <w:r w:rsidR="0092309A" w:rsidRPr="00A71510">
        <w:rPr>
          <w:i/>
          <w:iCs/>
        </w:rPr>
        <w:t>Protokolle</w:t>
      </w:r>
      <w:proofErr w:type="spellEnd"/>
      <w:r w:rsidR="0092309A">
        <w:t xml:space="preserve"> can help us to clarify the real intention of the Red Book”.</w:t>
      </w:r>
      <w:r w:rsidR="0092309A">
        <w:rPr>
          <w:rStyle w:val="FootnoteReference"/>
        </w:rPr>
        <w:footnoteReference w:id="12"/>
      </w:r>
      <w:r w:rsidR="0092309A">
        <w:t xml:space="preserve">  He relies on Jung’s work to better understand Jung’s motivation, experience, and mindset on a personal level through his own words.  </w:t>
      </w:r>
      <w:r w:rsidR="00012E81">
        <w:t xml:space="preserve">Buttressing this attempt at personal understanding, Schweizer </w:t>
      </w:r>
      <w:r w:rsidR="0092309A">
        <w:t>modifies</w:t>
      </w:r>
      <w:r w:rsidR="00012E81">
        <w:t xml:space="preserve"> his academic voice with his </w:t>
      </w:r>
      <w:r w:rsidR="00F5452A">
        <w:t>personal experience of the text</w:t>
      </w:r>
      <w:r w:rsidR="0057571F">
        <w:t xml:space="preserve"> and makes use of his experience with it as his own source.  For example, Schweizer </w:t>
      </w:r>
      <w:r w:rsidR="00612268">
        <w:t xml:space="preserve">brings attention to a specific passage from the Bible used by Jung in </w:t>
      </w:r>
      <w:r w:rsidR="00612268" w:rsidRPr="00612268">
        <w:rPr>
          <w:i/>
          <w:iCs/>
        </w:rPr>
        <w:t>The Red Book</w:t>
      </w:r>
      <w:r w:rsidR="00612268">
        <w:t xml:space="preserve">.  His analysis of this quote and its place within the text is conveyed through his own journey in thinking about the passage.  He says, “For quite a while, I really pondered over the question of why Jung…had chosen this passage of the Bible…”. </w:t>
      </w:r>
      <w:r w:rsidR="00742487">
        <w:rPr>
          <w:rStyle w:val="FootnoteReference"/>
        </w:rPr>
        <w:footnoteReference w:id="13"/>
      </w:r>
      <w:r w:rsidR="00742487">
        <w:t xml:space="preserve">  </w:t>
      </w:r>
      <w:r w:rsidR="00F07D76">
        <w:t xml:space="preserve">He then progresses this question from his personal curiosity (denoted by his use of ‘I’) to </w:t>
      </w:r>
      <w:r w:rsidR="00DC51A3">
        <w:t xml:space="preserve">his consultation of Jung’s works to find answers, to Jung’s own words </w:t>
      </w:r>
      <w:r w:rsidR="0092309A">
        <w:t xml:space="preserve">which </w:t>
      </w:r>
      <w:r w:rsidR="00DC51A3">
        <w:t>ultimately provid</w:t>
      </w:r>
      <w:r w:rsidR="0092309A">
        <w:t>e</w:t>
      </w:r>
      <w:r w:rsidR="00DC51A3">
        <w:t xml:space="preserve"> his reasoning</w:t>
      </w:r>
      <w:r w:rsidR="00F07D76">
        <w:t xml:space="preserve">.  He simultaneously </w:t>
      </w:r>
      <w:r w:rsidR="00612268">
        <w:t>engages his academic sources for support</w:t>
      </w:r>
      <w:r w:rsidR="00F07D76">
        <w:t xml:space="preserve"> while using</w:t>
      </w:r>
      <w:r w:rsidR="00612268">
        <w:t xml:space="preserve"> his own engagement with the text </w:t>
      </w:r>
      <w:r w:rsidR="00012E81">
        <w:t>to legitimize the book and frame it as an experience.</w:t>
      </w:r>
      <w:r w:rsidR="00F07D76">
        <w:t xml:space="preserve">  In Hart’s article, the lines between opinion and substantiated claim are blurred without references, while Schweizer makes it clear through his language and the use of citations </w:t>
      </w:r>
      <w:r w:rsidR="00A71510">
        <w:t>whether</w:t>
      </w:r>
      <w:r w:rsidR="00F07D76">
        <w:t xml:space="preserve"> his thoughts are being expressed or if they are those of another.  </w:t>
      </w:r>
    </w:p>
    <w:p w14:paraId="3A5E67B0" w14:textId="7FA48819" w:rsidR="00BE01C7" w:rsidRDefault="00166170" w:rsidP="006C72EA">
      <w:pPr>
        <w:ind w:firstLine="720"/>
      </w:pPr>
      <w:r>
        <w:t xml:space="preserve">Both authors address the question of whether Jung presents himself as a prophet.  </w:t>
      </w:r>
      <w:r w:rsidR="00E15CF4">
        <w:t xml:space="preserve">For </w:t>
      </w:r>
      <w:r w:rsidR="00FD59B7">
        <w:t>Hart</w:t>
      </w:r>
      <w:r w:rsidR="00E15CF4">
        <w:t xml:space="preserve">, this question is confronted </w:t>
      </w:r>
      <w:r w:rsidR="00653B62">
        <w:t>in his opening statements</w:t>
      </w:r>
      <w:r w:rsidR="00E15CF4">
        <w:t xml:space="preserve">.  He </w:t>
      </w:r>
      <w:r w:rsidR="00FD59B7">
        <w:t xml:space="preserve">begins by discussing the </w:t>
      </w:r>
      <w:r w:rsidR="0009023F">
        <w:t>mythos</w:t>
      </w:r>
      <w:r w:rsidR="00FD59B7">
        <w:t xml:space="preserve"> which </w:t>
      </w:r>
      <w:r w:rsidR="00A71510">
        <w:t xml:space="preserve">grew </w:t>
      </w:r>
      <w:r w:rsidR="00FD59B7">
        <w:t xml:space="preserve">around </w:t>
      </w:r>
      <w:r w:rsidR="00E15CF4">
        <w:t xml:space="preserve">the </w:t>
      </w:r>
      <w:proofErr w:type="spellStart"/>
      <w:r w:rsidR="009344A8">
        <w:rPr>
          <w:i/>
          <w:iCs/>
        </w:rPr>
        <w:t>The</w:t>
      </w:r>
      <w:proofErr w:type="spellEnd"/>
      <w:r w:rsidR="00F5452A">
        <w:rPr>
          <w:i/>
          <w:iCs/>
        </w:rPr>
        <w:t xml:space="preserve"> </w:t>
      </w:r>
      <w:r w:rsidR="00E15CF4" w:rsidRPr="00E15CF4">
        <w:rPr>
          <w:i/>
          <w:iCs/>
        </w:rPr>
        <w:t>Red Book</w:t>
      </w:r>
      <w:r w:rsidR="00FD59B7">
        <w:t xml:space="preserve"> as a consequence of its secrec</w:t>
      </w:r>
      <w:r w:rsidR="0009023F">
        <w:t>y</w:t>
      </w:r>
      <w:r w:rsidR="00E15CF4">
        <w:t xml:space="preserve"> and created an orphic impression of the text among the public.  </w:t>
      </w:r>
      <w:r w:rsidR="00FA7B7A">
        <w:t>In anticipation of the book</w:t>
      </w:r>
      <w:r w:rsidR="0009023F">
        <w:t xml:space="preserve">, </w:t>
      </w:r>
      <w:r w:rsidR="00E0047E">
        <w:t xml:space="preserve">he says, </w:t>
      </w:r>
      <w:r w:rsidR="00650E90">
        <w:t xml:space="preserve">Jungians made “hopeful pilgrimages to Zurich” to see </w:t>
      </w:r>
      <w:r w:rsidR="00FA7B7A">
        <w:t>it</w:t>
      </w:r>
      <w:r w:rsidR="00650E90">
        <w:t xml:space="preserve"> </w:t>
      </w:r>
      <w:r w:rsidR="0009023F">
        <w:t>and describes the Jungians’ perspective of the text as “a secret visionary tome, written in the master’s own hand”</w:t>
      </w:r>
      <w:r w:rsidR="00202258">
        <w:t xml:space="preserve">, and refers to the origins of the book as a “genesis”, effectively molding </w:t>
      </w:r>
      <w:r w:rsidR="00202258" w:rsidRPr="005B00A7">
        <w:rPr>
          <w:i/>
          <w:iCs/>
        </w:rPr>
        <w:t>The Red Book</w:t>
      </w:r>
      <w:r w:rsidR="00202258">
        <w:t xml:space="preserve"> and Jungians into a parody of the Bible and believers</w:t>
      </w:r>
      <w:r w:rsidR="0009023F">
        <w:t>.</w:t>
      </w:r>
      <w:r w:rsidR="0009023F">
        <w:rPr>
          <w:rStyle w:val="FootnoteReference"/>
        </w:rPr>
        <w:footnoteReference w:id="14"/>
      </w:r>
      <w:r w:rsidR="00202258">
        <w:t xml:space="preserve">  </w:t>
      </w:r>
      <w:r w:rsidR="00FA7B7A">
        <w:t xml:space="preserve">Hart’s perspective is that </w:t>
      </w:r>
      <w:r w:rsidR="00FA7B7A" w:rsidRPr="00E0047E">
        <w:rPr>
          <w:i/>
          <w:iCs/>
        </w:rPr>
        <w:t>The Red Book</w:t>
      </w:r>
      <w:r w:rsidR="00FA7B7A">
        <w:t xml:space="preserve"> was intentionally presented with a likening to scripture </w:t>
      </w:r>
      <w:r w:rsidR="00E0047E">
        <w:t xml:space="preserve">as it </w:t>
      </w:r>
      <w:r w:rsidR="00E65F5C">
        <w:t>imparts Jung’s revelatory</w:t>
      </w:r>
      <w:r w:rsidR="00E0047E">
        <w:t xml:space="preserve"> visions onto </w:t>
      </w:r>
      <w:r w:rsidR="00E65F5C">
        <w:t>a wider public</w:t>
      </w:r>
      <w:r w:rsidR="00E0047E">
        <w:t>.</w:t>
      </w:r>
      <w:r w:rsidR="00E0047E">
        <w:rPr>
          <w:rStyle w:val="FootnoteReference"/>
        </w:rPr>
        <w:footnoteReference w:id="15"/>
      </w:r>
      <w:r w:rsidR="000F298C">
        <w:t xml:space="preserve">  </w:t>
      </w:r>
      <w:r w:rsidR="00E924ED">
        <w:t>While</w:t>
      </w:r>
      <w:r w:rsidR="000F298C">
        <w:t xml:space="preserve"> </w:t>
      </w:r>
      <w:r w:rsidR="00B45D57">
        <w:t>he</w:t>
      </w:r>
      <w:r w:rsidR="000F298C">
        <w:t xml:space="preserve"> creates an image of </w:t>
      </w:r>
      <w:r w:rsidR="000F298C" w:rsidRPr="00A71510">
        <w:rPr>
          <w:i/>
          <w:iCs/>
        </w:rPr>
        <w:t>The Red Book</w:t>
      </w:r>
      <w:r w:rsidR="000F298C">
        <w:t xml:space="preserve"> as a</w:t>
      </w:r>
      <w:r w:rsidR="001B75D4">
        <w:t>n</w:t>
      </w:r>
      <w:r w:rsidR="000F298C">
        <w:t xml:space="preserve"> </w:t>
      </w:r>
      <w:r w:rsidR="001B75D4">
        <w:t>imitation</w:t>
      </w:r>
      <w:r w:rsidR="000F298C">
        <w:t xml:space="preserve"> of religious texts, </w:t>
      </w:r>
      <w:r w:rsidR="00B45D57">
        <w:t>Hart</w:t>
      </w:r>
      <w:r w:rsidR="00683A85">
        <w:t xml:space="preserve"> does not describe Jung </w:t>
      </w:r>
      <w:r w:rsidR="001B75D4">
        <w:t>as a prophet but as</w:t>
      </w:r>
      <w:r w:rsidR="00E924ED">
        <w:t xml:space="preserve"> a</w:t>
      </w:r>
      <w:r w:rsidR="000F298C">
        <w:t xml:space="preserve"> hero </w:t>
      </w:r>
      <w:r w:rsidR="00E924ED">
        <w:t>on a quest</w:t>
      </w:r>
      <w:r w:rsidR="001B75D4">
        <w:t xml:space="preserve">.  </w:t>
      </w:r>
      <w:r w:rsidR="00E65F5C">
        <w:t xml:space="preserve">It is here that </w:t>
      </w:r>
      <w:r w:rsidR="00B45D57">
        <w:t>his</w:t>
      </w:r>
      <w:r w:rsidR="00E65F5C">
        <w:t xml:space="preserve"> perspective on this issue is revealed by omission.  By excluding the term ‘prophet’ and comparing Jung to a hero, Hart transforms Jung into a character and his book into a </w:t>
      </w:r>
      <w:r w:rsidR="00BE01C7">
        <w:t>fictional narrative</w:t>
      </w:r>
      <w:r w:rsidR="00E65F5C">
        <w:t>.</w:t>
      </w:r>
      <w:r w:rsidR="00BE01C7">
        <w:t xml:space="preserve">  Hart’s discussion of the hype surrounding the </w:t>
      </w:r>
      <w:r w:rsidR="00BE01C7" w:rsidRPr="009344A8">
        <w:rPr>
          <w:i/>
          <w:iCs/>
        </w:rPr>
        <w:t>Red Book</w:t>
      </w:r>
      <w:r w:rsidR="00BE01C7">
        <w:t xml:space="preserve"> and his tacit demotion of Jung from visionary to protagonist highlights his </w:t>
      </w:r>
      <w:r w:rsidR="00CF3CD5">
        <w:t xml:space="preserve">notion of Jung’s project as a </w:t>
      </w:r>
      <w:r w:rsidR="006C72EA">
        <w:t xml:space="preserve">hollow attempt </w:t>
      </w:r>
      <w:r w:rsidR="00CF3CD5">
        <w:t xml:space="preserve">to reach something of which it </w:t>
      </w:r>
      <w:r w:rsidR="0059691C">
        <w:t>fails to grasp</w:t>
      </w:r>
      <w:r w:rsidR="00CF3CD5">
        <w:t>.</w:t>
      </w:r>
    </w:p>
    <w:p w14:paraId="7352E13B" w14:textId="22CD9897" w:rsidR="006C72EA" w:rsidRDefault="00476B8A" w:rsidP="00DD6C27">
      <w:pPr>
        <w:ind w:firstLine="720"/>
      </w:pPr>
      <w:r>
        <w:t>Schweizer agrees that Jung was not a prophet</w:t>
      </w:r>
      <w:r w:rsidR="00E065E0">
        <w:t xml:space="preserve"> and </w:t>
      </w:r>
      <w:r w:rsidR="00202258">
        <w:t>furthermore</w:t>
      </w:r>
      <w:r w:rsidR="0059691C">
        <w:t xml:space="preserve"> </w:t>
      </w:r>
      <w:r w:rsidR="00E065E0">
        <w:t xml:space="preserve">argues that </w:t>
      </w:r>
      <w:r w:rsidR="00202258">
        <w:t>Jung</w:t>
      </w:r>
      <w:r w:rsidR="00E065E0">
        <w:t xml:space="preserve"> tried to dissuade others from thinking of him as such</w:t>
      </w:r>
      <w:r>
        <w:t xml:space="preserve">.  He comes to this conclusion by again </w:t>
      </w:r>
      <w:r w:rsidR="00F97E0E">
        <w:t>consulting</w:t>
      </w:r>
      <w:r>
        <w:t xml:space="preserve"> Jung’s own words.  </w:t>
      </w:r>
      <w:r w:rsidR="00F92725">
        <w:t xml:space="preserve">Jung himself downplays his own importance, recalling in </w:t>
      </w:r>
      <w:r w:rsidR="00F92725" w:rsidRPr="001D5947">
        <w:rPr>
          <w:i/>
          <w:iCs/>
        </w:rPr>
        <w:t>Memories</w:t>
      </w:r>
      <w:r w:rsidR="00194DAF">
        <w:rPr>
          <w:i/>
          <w:iCs/>
        </w:rPr>
        <w:t>,</w:t>
      </w:r>
      <w:r w:rsidR="00F92725" w:rsidRPr="001D5947">
        <w:rPr>
          <w:i/>
          <w:iCs/>
        </w:rPr>
        <w:t xml:space="preserve"> Dreams, Reflections</w:t>
      </w:r>
      <w:r w:rsidR="00F92725">
        <w:t xml:space="preserve">, “all my writings may be considered tasks imposed from within” and that throughout his career he </w:t>
      </w:r>
      <w:r w:rsidR="00F92725">
        <w:lastRenderedPageBreak/>
        <w:t>merely wrote about things which actively troubled him.</w:t>
      </w:r>
      <w:r w:rsidR="00F92725">
        <w:rPr>
          <w:rStyle w:val="FootnoteReference"/>
        </w:rPr>
        <w:footnoteReference w:id="16"/>
      </w:r>
      <w:r w:rsidR="00F92725">
        <w:t xml:space="preserve">  </w:t>
      </w:r>
      <w:r w:rsidR="00DD6C27">
        <w:t xml:space="preserve">In </w:t>
      </w:r>
      <w:r w:rsidR="00DD6C27" w:rsidRPr="008F767E">
        <w:rPr>
          <w:i/>
          <w:iCs/>
        </w:rPr>
        <w:t xml:space="preserve">The Red Book, </w:t>
      </w:r>
      <w:r w:rsidR="00202258">
        <w:t>he</w:t>
      </w:r>
      <w:r w:rsidR="00DD6C27">
        <w:t xml:space="preserve"> discourages readers from following </w:t>
      </w:r>
      <w:r w:rsidR="00E065E0">
        <w:t>him</w:t>
      </w:r>
      <w:r w:rsidR="00DD6C27">
        <w:t xml:space="preserve"> too closely, saying “There is only one way and that is your way…what is to come is created in you and from you…all other ways deceive and tempt you” which </w:t>
      </w:r>
      <w:r w:rsidR="0059691C">
        <w:t xml:space="preserve">firstly </w:t>
      </w:r>
      <w:r w:rsidR="00DD6C27">
        <w:t>distances himself from the role of a prophet</w:t>
      </w:r>
      <w:r w:rsidR="00E065E0">
        <w:t xml:space="preserve"> and </w:t>
      </w:r>
      <w:r w:rsidR="0059691C">
        <w:t xml:space="preserve">secondly </w:t>
      </w:r>
      <w:r w:rsidR="00E065E0">
        <w:t>acts as an equalizer</w:t>
      </w:r>
      <w:r w:rsidR="00DD6C27">
        <w:t>.</w:t>
      </w:r>
      <w:r w:rsidR="00DD6C27">
        <w:rPr>
          <w:rStyle w:val="FootnoteReference"/>
        </w:rPr>
        <w:footnoteReference w:id="17"/>
      </w:r>
      <w:r w:rsidR="00E065E0">
        <w:t xml:space="preserve">  Jung implies </w:t>
      </w:r>
      <w:r w:rsidR="00F92725">
        <w:t xml:space="preserve">that the </w:t>
      </w:r>
      <w:r w:rsidR="00E065E0">
        <w:t>responsibility to be his or her own guide</w:t>
      </w:r>
      <w:r w:rsidR="001D5947">
        <w:t xml:space="preserve"> </w:t>
      </w:r>
      <w:r w:rsidR="00F92725">
        <w:t>is equitably distributed to each individual, himself included</w:t>
      </w:r>
      <w:r w:rsidR="00E065E0">
        <w:t>.</w:t>
      </w:r>
      <w:r w:rsidR="001D5947">
        <w:t xml:space="preserve">  </w:t>
      </w:r>
      <w:r w:rsidR="00041328">
        <w:t xml:space="preserve">Schweizer responds to this sentiment with “who should live my life but </w:t>
      </w:r>
      <w:proofErr w:type="gramStart"/>
      <w:r w:rsidR="00041328">
        <w:t>I?...</w:t>
      </w:r>
      <w:proofErr w:type="gramEnd"/>
      <w:r w:rsidR="00041328">
        <w:t>I must do it in my own unique…way”</w:t>
      </w:r>
      <w:r w:rsidR="004E2B74">
        <w:t xml:space="preserve"> as Jung did</w:t>
      </w:r>
      <w:r w:rsidR="00041328">
        <w:t>.</w:t>
      </w:r>
      <w:r w:rsidR="00041328">
        <w:rPr>
          <w:rStyle w:val="FootnoteReference"/>
        </w:rPr>
        <w:footnoteReference w:id="18"/>
      </w:r>
      <w:r w:rsidR="00041328">
        <w:t xml:space="preserve"> </w:t>
      </w:r>
      <w:r w:rsidR="00F92725">
        <w:t xml:space="preserve"> For Jung, </w:t>
      </w:r>
      <w:r w:rsidR="00CA1686">
        <w:t xml:space="preserve">according to Schweizer, </w:t>
      </w:r>
      <w:r w:rsidR="00F92725">
        <w:t>the role of a prophet was simply as an orator</w:t>
      </w:r>
      <w:r w:rsidR="00CA1686">
        <w:t>.  While understanding or becoming conscious is an essential component to individuation, it is only a part</w:t>
      </w:r>
      <w:r w:rsidR="007225E9">
        <w:t xml:space="preserve"> of the process</w:t>
      </w:r>
      <w:r w:rsidR="00CA1686">
        <w:t>.  The other necessary piece is applying that understanding practically to the external world.</w:t>
      </w:r>
      <w:r w:rsidR="00CA1686">
        <w:rPr>
          <w:rStyle w:val="FootnoteReference"/>
        </w:rPr>
        <w:footnoteReference w:id="19"/>
      </w:r>
      <w:r w:rsidR="00CA1686">
        <w:t xml:space="preserve">  Schweitzer’s argument is that </w:t>
      </w:r>
      <w:r w:rsidR="007225E9">
        <w:t xml:space="preserve">the idea of Jung as a prophet dislodges him from his philosophical principles because it only </w:t>
      </w:r>
      <w:r w:rsidR="00962D59">
        <w:t xml:space="preserve">offers a space in which </w:t>
      </w:r>
      <w:r w:rsidR="00194DAF">
        <w:t xml:space="preserve">he </w:t>
      </w:r>
      <w:r w:rsidR="007225E9">
        <w:t xml:space="preserve">engages </w:t>
      </w:r>
      <w:r w:rsidR="00962D59">
        <w:t xml:space="preserve">his words and </w:t>
      </w:r>
      <w:r w:rsidR="00194DAF">
        <w:t>disallows</w:t>
      </w:r>
      <w:r w:rsidR="00962D59">
        <w:t xml:space="preserve"> the space needed for </w:t>
      </w:r>
      <w:r w:rsidR="00194DAF">
        <w:t xml:space="preserve">his </w:t>
      </w:r>
      <w:r w:rsidR="00962D59">
        <w:t xml:space="preserve">actions – the space </w:t>
      </w:r>
      <w:r w:rsidR="00194DAF">
        <w:t>of integration</w:t>
      </w:r>
      <w:r w:rsidR="00962D59">
        <w:t xml:space="preserve"> – ultimately leading to failure in the individuation process and the development of the “whole human being”.</w:t>
      </w:r>
      <w:r w:rsidR="00E871D7">
        <w:rPr>
          <w:rStyle w:val="FootnoteReference"/>
        </w:rPr>
        <w:footnoteReference w:id="20"/>
      </w:r>
      <w:r w:rsidR="007225E9">
        <w:t xml:space="preserve">  </w:t>
      </w:r>
    </w:p>
    <w:p w14:paraId="5E7FC394" w14:textId="39232055" w:rsidR="00E871D7" w:rsidRDefault="00E871D7" w:rsidP="002D6FCD">
      <w:r>
        <w:tab/>
      </w:r>
      <w:r w:rsidR="00AA1DE2">
        <w:t>Hart approaches the idea of transcendence as something to which you are called “</w:t>
      </w:r>
      <w:r w:rsidR="00BE20A5">
        <w:t>…</w:t>
      </w:r>
      <w:r w:rsidR="00AA1DE2">
        <w:t xml:space="preserve"> at once from within and from beyond all things”.</w:t>
      </w:r>
      <w:r w:rsidR="00AA1DE2">
        <w:rPr>
          <w:rStyle w:val="FootnoteReference"/>
        </w:rPr>
        <w:footnoteReference w:id="21"/>
      </w:r>
      <w:r w:rsidR="00AA1DE2">
        <w:t xml:space="preserve">  </w:t>
      </w:r>
      <w:r w:rsidR="00932535">
        <w:t xml:space="preserve">God </w:t>
      </w:r>
      <w:r w:rsidR="00182A9F">
        <w:t>remains</w:t>
      </w:r>
      <w:r w:rsidR="00C81858">
        <w:t xml:space="preserve"> mostly</w:t>
      </w:r>
      <w:r w:rsidR="00182A9F">
        <w:t xml:space="preserve"> outside human existence </w:t>
      </w:r>
      <w:r w:rsidR="000C7502">
        <w:t>and the path to transcendence is paved by exploring that external divinity</w:t>
      </w:r>
      <w:r w:rsidR="00182A9F">
        <w:t>.</w:t>
      </w:r>
      <w:r w:rsidR="00182A9F">
        <w:rPr>
          <w:rStyle w:val="FootnoteReference"/>
        </w:rPr>
        <w:footnoteReference w:id="22"/>
      </w:r>
      <w:r w:rsidR="00182A9F">
        <w:t xml:space="preserve">  </w:t>
      </w:r>
      <w:r w:rsidR="00681378">
        <w:t>Alternatively,</w:t>
      </w:r>
      <w:r w:rsidR="000C7502">
        <w:t xml:space="preserve"> </w:t>
      </w:r>
      <w:r w:rsidR="00681378">
        <w:t>Jung’s use of Gnosticism values inner-knowing of the Self over external understanding as it is the connection to ultimate reality</w:t>
      </w:r>
      <w:r w:rsidR="000C7502">
        <w:t>.</w:t>
      </w:r>
      <w:r w:rsidR="00681378">
        <w:rPr>
          <w:rStyle w:val="FootnoteReference"/>
        </w:rPr>
        <w:footnoteReference w:id="23"/>
      </w:r>
      <w:r w:rsidR="000C7502">
        <w:t xml:space="preserve">  H</w:t>
      </w:r>
      <w:r w:rsidR="00681378">
        <w:t>art</w:t>
      </w:r>
      <w:r w:rsidR="000C7502">
        <w:t xml:space="preserve"> acknowledges Jung’s application of Gnosticism, and although he is not a devotee of the faith, he brings attention to where he thinks Jung’s ideas could benefit from a more thorough application of it.  Hart </w:t>
      </w:r>
      <w:r w:rsidR="00BE20A5">
        <w:t>finds Jung’s</w:t>
      </w:r>
      <w:r w:rsidR="000C7502">
        <w:t xml:space="preserve"> method of transcendence </w:t>
      </w:r>
      <w:r w:rsidR="00BE20A5">
        <w:t>disappointing and suggests</w:t>
      </w:r>
      <w:r w:rsidR="000C7502">
        <w:t xml:space="preserve"> that the most “human aspect” of Gnosticism is missing, the “desperate longing for escape…liberation…a return to the God beyond”, in essence, a hope for something greater than the Self.</w:t>
      </w:r>
      <w:r w:rsidR="000C7502">
        <w:rPr>
          <w:rStyle w:val="FootnoteReference"/>
        </w:rPr>
        <w:footnoteReference w:id="24"/>
      </w:r>
      <w:r w:rsidR="00681378">
        <w:t xml:space="preserve">  He discusses transcendence </w:t>
      </w:r>
      <w:r w:rsidR="00C81858">
        <w:t>in terms of it being</w:t>
      </w:r>
      <w:r w:rsidR="00681378">
        <w:t xml:space="preserve"> a human need; however,</w:t>
      </w:r>
      <w:r w:rsidR="00681378" w:rsidRPr="00681378">
        <w:t xml:space="preserve"> </w:t>
      </w:r>
      <w:r w:rsidR="00C81858">
        <w:t xml:space="preserve">what becomes clear in his writing is that it is not so much transcendence that is the human need, but the need itself for transcendence.  The anticipation of a greater existence beyond his own </w:t>
      </w:r>
      <w:r w:rsidR="00D51413">
        <w:t>provides</w:t>
      </w:r>
      <w:r w:rsidR="00C81858">
        <w:t xml:space="preserve"> him and</w:t>
      </w:r>
      <w:r w:rsidR="00BE20A5">
        <w:t xml:space="preserve"> </w:t>
      </w:r>
      <w:r w:rsidR="00C81858">
        <w:t xml:space="preserve">humankind </w:t>
      </w:r>
      <w:r w:rsidR="00D51413">
        <w:t xml:space="preserve">with </w:t>
      </w:r>
      <w:r w:rsidR="00C81858">
        <w:t>purpose and meaning.</w:t>
      </w:r>
    </w:p>
    <w:p w14:paraId="4D2267F2" w14:textId="7C7E8DB3" w:rsidR="002D6FCD" w:rsidRDefault="00C81858" w:rsidP="002D6FCD">
      <w:r>
        <w:tab/>
      </w:r>
      <w:r w:rsidR="00394B6B">
        <w:t xml:space="preserve">In contrast, </w:t>
      </w:r>
      <w:r w:rsidR="00BE20A5">
        <w:t xml:space="preserve">the idea </w:t>
      </w:r>
      <w:r w:rsidR="00394B6B">
        <w:t xml:space="preserve">Schweizer asserts </w:t>
      </w:r>
      <w:r w:rsidR="00BE20A5">
        <w:t>has no requirement</w:t>
      </w:r>
      <w:r w:rsidR="00394B6B">
        <w:t xml:space="preserve"> for a specific image of God (internal or external) or adherence to a particular dogma in order to seek and find transcendence.</w:t>
      </w:r>
      <w:r w:rsidR="00394B6B">
        <w:rPr>
          <w:rStyle w:val="FootnoteReference"/>
        </w:rPr>
        <w:footnoteReference w:id="25"/>
      </w:r>
      <w:r w:rsidR="00394B6B">
        <w:t xml:space="preserve">  </w:t>
      </w:r>
      <w:r w:rsidR="00DF37B8">
        <w:t>Individuation is</w:t>
      </w:r>
      <w:r w:rsidR="00394B6B">
        <w:t xml:space="preserve"> a “psychological form of salvation”</w:t>
      </w:r>
      <w:r w:rsidR="00A34364">
        <w:t xml:space="preserve"> equated with healing</w:t>
      </w:r>
      <w:r w:rsidR="00BE20A5">
        <w:t>, and</w:t>
      </w:r>
      <w:r w:rsidR="00A34364">
        <w:t xml:space="preserve"> seeing the Self as a part of creation is ostensibly beholding it as divine.</w:t>
      </w:r>
      <w:r w:rsidR="00A34364">
        <w:rPr>
          <w:rStyle w:val="FootnoteReference"/>
        </w:rPr>
        <w:footnoteReference w:id="26"/>
      </w:r>
      <w:r w:rsidR="00A34364">
        <w:t xml:space="preserve">  For Jung, God, divinity, or connection with the greater reality is not found in certainties, but is instead found in the liminal spaces created by individuation where nothing is </w:t>
      </w:r>
      <w:r w:rsidR="00A34364">
        <w:lastRenderedPageBreak/>
        <w:t>either-or and everything is both-and.</w:t>
      </w:r>
      <w:r w:rsidR="00A34364">
        <w:rPr>
          <w:rStyle w:val="FootnoteReference"/>
        </w:rPr>
        <w:footnoteReference w:id="27"/>
      </w:r>
      <w:r w:rsidR="00194DAF">
        <w:t xml:space="preserve">  </w:t>
      </w:r>
      <w:r w:rsidR="00D84CE1">
        <w:t>Rather than transcending the material into the spiritual, the process of individuation reveals all images of God and spirit to be symbol</w:t>
      </w:r>
      <w:r w:rsidR="00DF37B8">
        <w:t>s</w:t>
      </w:r>
      <w:r w:rsidR="00D84CE1">
        <w:t xml:space="preserve"> of a greater reality</w:t>
      </w:r>
      <w:r w:rsidR="00DF37B8">
        <w:t xml:space="preserve"> which change over time </w:t>
      </w:r>
      <w:r w:rsidR="00BE20A5">
        <w:t>and are</w:t>
      </w:r>
      <w:r w:rsidR="00DF37B8">
        <w:t xml:space="preserve"> destroyed and created under human control.  </w:t>
      </w:r>
      <w:r w:rsidR="00D84CE1">
        <w:t xml:space="preserve">For Schweizer, and for Jung, those seeking spiritual transcendence will not ultimately </w:t>
      </w:r>
      <w:r w:rsidR="00DF37B8">
        <w:t xml:space="preserve">receive understanding through transcendence but will instead continually seek transcendence without understanding.  </w:t>
      </w:r>
      <w:r w:rsidR="00BE20A5">
        <w:t>Each author finds equal amounts of meaninglessness in one another’s theories. For Hart, transcendence cannot manifest if there is no solid belief in what is being transcended. For Schweizer, the belief</w:t>
      </w:r>
      <w:r w:rsidR="00CC584E">
        <w:t xml:space="preserve"> Hart asserts is a belief in symbols rather than the divine, short-sighting his concept of transcendence.</w:t>
      </w:r>
    </w:p>
    <w:p w14:paraId="1CF6C4D0" w14:textId="7F1D5FC2" w:rsidR="00CC584E" w:rsidRDefault="002D6FCD" w:rsidP="00CC584E">
      <w:r>
        <w:tab/>
      </w:r>
      <w:r w:rsidR="00EF7B53">
        <w:t xml:space="preserve">Through dissimilar writing styles, these authors </w:t>
      </w:r>
      <w:r w:rsidR="00D57735">
        <w:t xml:space="preserve">express equally dissimilar perspectives on the meaning in the themes of Jung’s </w:t>
      </w:r>
      <w:r w:rsidR="00D57735" w:rsidRPr="00D57735">
        <w:rPr>
          <w:i/>
          <w:iCs/>
        </w:rPr>
        <w:t>Red Book</w:t>
      </w:r>
      <w:r w:rsidR="00D57735">
        <w:t>.  Through this close examination of these author’s interpretations of the book’s themes, I hope I have given a comprehensive sample of the diverse philosophical implications of Jung’s experience with the Red Book.</w:t>
      </w:r>
    </w:p>
    <w:p w14:paraId="470A474A" w14:textId="77777777" w:rsidR="009B7EDC" w:rsidRDefault="009B7EDC" w:rsidP="009B7EDC">
      <w:pPr>
        <w:ind w:firstLine="720"/>
      </w:pPr>
    </w:p>
    <w:p w14:paraId="705DB773" w14:textId="77777777" w:rsidR="009B7EDC" w:rsidRDefault="009B7EDC" w:rsidP="009B7EDC">
      <w:pPr>
        <w:ind w:firstLine="720"/>
      </w:pPr>
    </w:p>
    <w:p w14:paraId="5653ACB7" w14:textId="77777777" w:rsidR="009B7EDC" w:rsidRDefault="009B7EDC" w:rsidP="009B7EDC">
      <w:pPr>
        <w:ind w:firstLine="720"/>
      </w:pPr>
    </w:p>
    <w:p w14:paraId="6315BEB9" w14:textId="77777777" w:rsidR="009B7EDC" w:rsidRDefault="009B7EDC" w:rsidP="009B7EDC">
      <w:pPr>
        <w:ind w:firstLine="720"/>
      </w:pPr>
    </w:p>
    <w:p w14:paraId="54429BAB" w14:textId="77777777" w:rsidR="009B7EDC" w:rsidRDefault="009B7EDC" w:rsidP="009B7EDC">
      <w:pPr>
        <w:ind w:firstLine="720"/>
      </w:pPr>
    </w:p>
    <w:p w14:paraId="1A5ACE82" w14:textId="77777777" w:rsidR="009B7EDC" w:rsidRDefault="009B7EDC" w:rsidP="009B7EDC">
      <w:pPr>
        <w:ind w:firstLine="720"/>
      </w:pPr>
    </w:p>
    <w:p w14:paraId="28B10D78" w14:textId="77777777" w:rsidR="009B7EDC" w:rsidRDefault="009B7EDC" w:rsidP="009B7EDC">
      <w:pPr>
        <w:ind w:firstLine="720"/>
      </w:pPr>
    </w:p>
    <w:p w14:paraId="2B5E8FEF" w14:textId="77777777" w:rsidR="009B7EDC" w:rsidRDefault="009B7EDC" w:rsidP="009B7EDC">
      <w:pPr>
        <w:ind w:firstLine="720"/>
      </w:pPr>
    </w:p>
    <w:p w14:paraId="65C48768" w14:textId="77777777" w:rsidR="009B7EDC" w:rsidRDefault="009B7EDC" w:rsidP="009B7EDC">
      <w:pPr>
        <w:ind w:firstLine="720"/>
      </w:pPr>
    </w:p>
    <w:p w14:paraId="3F8B9AD7" w14:textId="77777777" w:rsidR="009B7EDC" w:rsidRDefault="009B7EDC" w:rsidP="009B7EDC">
      <w:pPr>
        <w:rPr>
          <w:b/>
        </w:rPr>
        <w:sectPr w:rsidR="009B7EDC" w:rsidSect="00CC52C2">
          <w:headerReference w:type="default" r:id="rId11"/>
          <w:headerReference w:type="first" r:id="rId12"/>
          <w:pgSz w:w="12240" w:h="15840"/>
          <w:pgMar w:top="1440" w:right="1440" w:bottom="1440" w:left="1440" w:header="576" w:footer="720" w:gutter="0"/>
          <w:pgNumType w:start="1"/>
          <w:cols w:space="720"/>
          <w:docGrid w:linePitch="360"/>
        </w:sectPr>
      </w:pPr>
    </w:p>
    <w:bookmarkEnd w:id="0"/>
    <w:p w14:paraId="69BFFFD2" w14:textId="77777777" w:rsidR="009B7EDC" w:rsidRDefault="009B7EDC" w:rsidP="009B7EDC">
      <w:pPr>
        <w:jc w:val="center"/>
        <w:rPr>
          <w:b/>
        </w:rPr>
      </w:pPr>
      <w:r>
        <w:rPr>
          <w:b/>
        </w:rPr>
        <w:lastRenderedPageBreak/>
        <w:t>Bibliography</w:t>
      </w:r>
    </w:p>
    <w:p w14:paraId="05C613B4" w14:textId="6F17A3FA" w:rsidR="009B7EDC" w:rsidRPr="00BB18CC" w:rsidRDefault="004D121C" w:rsidP="009B7EDC">
      <w:pPr>
        <w:rPr>
          <w:b/>
        </w:rPr>
      </w:pPr>
      <w:r>
        <w:rPr>
          <w:b/>
        </w:rPr>
        <w:t>Primary Sources</w:t>
      </w:r>
    </w:p>
    <w:p w14:paraId="1373DF9B" w14:textId="13A565EA" w:rsidR="004D121C" w:rsidRDefault="004D121C" w:rsidP="009B7EDC">
      <w:r w:rsidRPr="004D121C">
        <w:t xml:space="preserve">Jung, C.G., Memories, Dreams, Reflections, </w:t>
      </w:r>
      <w:r>
        <w:t>E</w:t>
      </w:r>
      <w:r w:rsidRPr="004D121C">
        <w:t xml:space="preserve">d. Aniela Jaffe, </w:t>
      </w:r>
      <w:r>
        <w:t>T</w:t>
      </w:r>
      <w:r w:rsidRPr="004D121C">
        <w:t>rans. Richard and Clara Winston, Vintage Books (April 1989)</w:t>
      </w:r>
      <w:r>
        <w:t>.</w:t>
      </w:r>
    </w:p>
    <w:p w14:paraId="23DE1BBF" w14:textId="08648740" w:rsidR="004D121C" w:rsidRDefault="004D121C" w:rsidP="009B7EDC">
      <w:r w:rsidRPr="004D121C">
        <w:t xml:space="preserve">C.G. Jung, The Red Book Liber Novus, Ed. </w:t>
      </w:r>
      <w:proofErr w:type="spellStart"/>
      <w:r w:rsidRPr="004D121C">
        <w:t>Sonu</w:t>
      </w:r>
      <w:proofErr w:type="spellEnd"/>
      <w:r w:rsidRPr="004D121C">
        <w:t xml:space="preserve"> Shamdasani</w:t>
      </w:r>
      <w:r>
        <w:t>,</w:t>
      </w:r>
      <w:r w:rsidRPr="004D121C">
        <w:t xml:space="preserve"> Trans. Mark </w:t>
      </w:r>
      <w:proofErr w:type="spellStart"/>
      <w:r w:rsidRPr="004D121C">
        <w:t>Kyburz</w:t>
      </w:r>
      <w:proofErr w:type="spellEnd"/>
      <w:r w:rsidRPr="004D121C">
        <w:t xml:space="preserve">, John Peck, and </w:t>
      </w:r>
      <w:proofErr w:type="spellStart"/>
      <w:r w:rsidRPr="004D121C">
        <w:t>Sonu</w:t>
      </w:r>
      <w:proofErr w:type="spellEnd"/>
      <w:r w:rsidRPr="004D121C">
        <w:t xml:space="preserve"> Shamdasani, W. W. Norton &amp; Company: New York, London (2009)</w:t>
      </w:r>
      <w:r>
        <w:t>.</w:t>
      </w:r>
    </w:p>
    <w:p w14:paraId="725F9FF8" w14:textId="77777777" w:rsidR="009B7EDC" w:rsidRPr="00BB18CC" w:rsidRDefault="009B7EDC" w:rsidP="009B7EDC">
      <w:pPr>
        <w:rPr>
          <w:b/>
        </w:rPr>
      </w:pPr>
      <w:r w:rsidRPr="00BB18CC">
        <w:rPr>
          <w:b/>
        </w:rPr>
        <w:t>Secondary Sources</w:t>
      </w:r>
    </w:p>
    <w:p w14:paraId="760CC275" w14:textId="6B3551D8" w:rsidR="009B7EDC" w:rsidRPr="00E720C5" w:rsidRDefault="004D121C" w:rsidP="009B7EDC">
      <w:proofErr w:type="spellStart"/>
      <w:r w:rsidRPr="004D121C">
        <w:t>Balcomb</w:t>
      </w:r>
      <w:proofErr w:type="spellEnd"/>
      <w:r w:rsidRPr="004D121C">
        <w:t>, Anthony O., Re-enchanting a Disenchanted Universe – Post Modern Projects in Theologies of Space, Religion &amp; Theology, Col. 16 (2009),</w:t>
      </w:r>
      <w:r>
        <w:t xml:space="preserve"> pp. 77-89.</w:t>
      </w:r>
    </w:p>
    <w:p w14:paraId="7ADFEB3A" w14:textId="5C59AE28" w:rsidR="004D797B" w:rsidRDefault="004D121C">
      <w:r w:rsidRPr="004D121C">
        <w:t>Corbett, Lionel, ‘Jung’s The Red Book Dialogues with the Soul: Herald of a New Religion?’, Culture &amp; Psyche, Vol. 5, No. 3 (Summer 2011),</w:t>
      </w:r>
      <w:r>
        <w:t xml:space="preserve"> pp. 63-77.</w:t>
      </w:r>
    </w:p>
    <w:p w14:paraId="777B2572" w14:textId="48E2CC6A" w:rsidR="004D121C" w:rsidRDefault="004D121C">
      <w:r w:rsidRPr="004D121C">
        <w:t>Hart, David Bentley, ‘Jung’s Therapeutic Gnosticism’, First Things (January 2013), pp. 25-31</w:t>
      </w:r>
      <w:r>
        <w:t>.</w:t>
      </w:r>
    </w:p>
    <w:p w14:paraId="6F319175" w14:textId="3A9043CD" w:rsidR="004D121C" w:rsidRDefault="004D121C">
      <w:proofErr w:type="spellStart"/>
      <w:r w:rsidRPr="004D121C">
        <w:t>Pennachio</w:t>
      </w:r>
      <w:proofErr w:type="spellEnd"/>
      <w:r w:rsidRPr="004D121C">
        <w:t>, John, ‘Gnostic Inner Illumination and Carl Jung’s Individuation’, Journal of Religion and Health, Vol. 31, No. 3 (Fall 1992)</w:t>
      </w:r>
      <w:r>
        <w:t>, pp. 237-245.</w:t>
      </w:r>
    </w:p>
    <w:p w14:paraId="78A93E49" w14:textId="37EE37E3" w:rsidR="004D121C" w:rsidRDefault="004D121C">
      <w:r w:rsidRPr="004D121C">
        <w:t>Schweizer, Andreas, ‘The Son of the Earth in C. G. Jun’s The Red Book’, Jung Journal: Culture &amp; Psyche, Vol. 5, No.3 (Summer 2011), pp 78-93</w:t>
      </w:r>
      <w:r>
        <w:t>.</w:t>
      </w:r>
    </w:p>
    <w:p w14:paraId="6DFCD1C9" w14:textId="0C12E409" w:rsidR="004D121C" w:rsidRDefault="004D121C">
      <w:proofErr w:type="spellStart"/>
      <w:r w:rsidRPr="004D121C">
        <w:t>Ulanov</w:t>
      </w:r>
      <w:proofErr w:type="spellEnd"/>
      <w:r w:rsidRPr="004D121C">
        <w:t>, Ann Belford, ‘Encountering Jung Being Encountered’, Jung Journal: Culture &amp; Psyche, Vol. 5, No. 3 (Summer 2011),</w:t>
      </w:r>
      <w:r>
        <w:t xml:space="preserve"> pp. 54-62.</w:t>
      </w:r>
    </w:p>
    <w:p w14:paraId="4BC2D941" w14:textId="6460E25F" w:rsidR="004D121C" w:rsidRDefault="004D121C">
      <w:pPr>
        <w:rPr>
          <w:b/>
          <w:bCs/>
        </w:rPr>
      </w:pPr>
      <w:r>
        <w:rPr>
          <w:b/>
          <w:bCs/>
        </w:rPr>
        <w:t>Electronic Sources</w:t>
      </w:r>
    </w:p>
    <w:p w14:paraId="73D93285" w14:textId="6A9ADBDC" w:rsidR="004D121C" w:rsidRPr="004D121C" w:rsidRDefault="00FF47D7">
      <w:r w:rsidRPr="004D121C">
        <w:t>Institute on Religion and Public Life</w:t>
      </w:r>
      <w:r>
        <w:t xml:space="preserve">, </w:t>
      </w:r>
      <w:r w:rsidRPr="00FF47D7">
        <w:rPr>
          <w:i/>
          <w:iCs/>
        </w:rPr>
        <w:t>First Things</w:t>
      </w:r>
      <w:r>
        <w:t>,</w:t>
      </w:r>
      <w:r w:rsidRPr="004D121C">
        <w:t xml:space="preserve"> </w:t>
      </w:r>
      <w:r w:rsidR="004D121C" w:rsidRPr="004D121C">
        <w:t>Message to readers from R. R. Reno, Editor</w:t>
      </w:r>
      <w:r>
        <w:t xml:space="preserve">, </w:t>
      </w:r>
      <w:r w:rsidR="004D121C" w:rsidRPr="004D121C">
        <w:t>firstthings.com</w:t>
      </w:r>
      <w:r>
        <w:t xml:space="preserve">, </w:t>
      </w:r>
      <w:r w:rsidRPr="004D121C">
        <w:t>(2020)</w:t>
      </w:r>
      <w:r w:rsidR="004D121C" w:rsidRPr="004D121C">
        <w:t>.</w:t>
      </w:r>
    </w:p>
    <w:sectPr w:rsidR="004D121C" w:rsidRPr="004D121C" w:rsidSect="00CC52C2">
      <w:headerReference w:type="default" r:id="rId13"/>
      <w:pgSz w:w="12240" w:h="15840"/>
      <w:pgMar w:top="1440" w:right="1440" w:bottom="1440" w:left="1440" w:header="576"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F7CF65" w14:textId="77777777" w:rsidR="008A20D8" w:rsidRDefault="008A20D8" w:rsidP="009B7EDC">
      <w:pPr>
        <w:spacing w:after="0" w:line="240" w:lineRule="auto"/>
      </w:pPr>
      <w:r>
        <w:separator/>
      </w:r>
    </w:p>
  </w:endnote>
  <w:endnote w:type="continuationSeparator" w:id="0">
    <w:p w14:paraId="5B31A275" w14:textId="77777777" w:rsidR="008A20D8" w:rsidRDefault="008A20D8" w:rsidP="009B7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2C958B" w14:textId="77777777" w:rsidR="009B7EDC" w:rsidRDefault="009B7EDC">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288ABA" w14:textId="77777777" w:rsidR="009B7EDC" w:rsidRDefault="009B7EDC" w:rsidP="0035328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8370AD" w14:textId="77777777" w:rsidR="008A20D8" w:rsidRDefault="008A20D8" w:rsidP="009B7EDC">
      <w:pPr>
        <w:spacing w:after="0" w:line="240" w:lineRule="auto"/>
      </w:pPr>
      <w:r>
        <w:separator/>
      </w:r>
    </w:p>
  </w:footnote>
  <w:footnote w:type="continuationSeparator" w:id="0">
    <w:p w14:paraId="1E1A36ED" w14:textId="77777777" w:rsidR="008A20D8" w:rsidRDefault="008A20D8" w:rsidP="009B7EDC">
      <w:pPr>
        <w:spacing w:after="0" w:line="240" w:lineRule="auto"/>
      </w:pPr>
      <w:r>
        <w:continuationSeparator/>
      </w:r>
    </w:p>
  </w:footnote>
  <w:footnote w:id="1">
    <w:p w14:paraId="16767C7E" w14:textId="77777777" w:rsidR="00EF7B53" w:rsidRDefault="00EF7B53" w:rsidP="00EF7B53">
      <w:pPr>
        <w:pStyle w:val="FootnoteText"/>
        <w:ind w:firstLine="720"/>
      </w:pPr>
      <w:r>
        <w:rPr>
          <w:rStyle w:val="FootnoteReference"/>
        </w:rPr>
        <w:footnoteRef/>
      </w:r>
      <w:r>
        <w:t xml:space="preserve"> Hart, David Bentley, </w:t>
      </w:r>
      <w:r w:rsidRPr="009F216B">
        <w:t xml:space="preserve">‘Jung’s Therapeutic Gnosticism’, </w:t>
      </w:r>
      <w:r w:rsidRPr="009F216B">
        <w:rPr>
          <w:i/>
          <w:iCs/>
        </w:rPr>
        <w:t>First Things</w:t>
      </w:r>
      <w:r w:rsidRPr="009F216B">
        <w:t xml:space="preserve"> (January 2013), pp. 25-31</w:t>
      </w:r>
      <w:r>
        <w:t xml:space="preserve">; Schweizer, Andreas, ‘The Son of the Earth in C. G. Jun’s The Red Book’, </w:t>
      </w:r>
      <w:r w:rsidRPr="009F216B">
        <w:rPr>
          <w:i/>
          <w:iCs/>
        </w:rPr>
        <w:t>Jung Journal: Culture &amp; Psyche</w:t>
      </w:r>
      <w:r>
        <w:t>, Vol. 5, No.3 (Summer 2011), pp 78-93.</w:t>
      </w:r>
    </w:p>
  </w:footnote>
  <w:footnote w:id="2">
    <w:p w14:paraId="317694FD" w14:textId="1A29CE4E" w:rsidR="002C5E80" w:rsidRDefault="002C5E80" w:rsidP="002C5E80">
      <w:pPr>
        <w:pStyle w:val="FootnoteText"/>
        <w:ind w:firstLine="720"/>
      </w:pPr>
      <w:r>
        <w:rPr>
          <w:rStyle w:val="FootnoteReference"/>
        </w:rPr>
        <w:footnoteRef/>
      </w:r>
      <w:r>
        <w:t xml:space="preserve"> Schweizer, Andreas, ‘The Son of the Earth’, p. 82. </w:t>
      </w:r>
    </w:p>
  </w:footnote>
  <w:footnote w:id="3">
    <w:p w14:paraId="7956616A" w14:textId="14B69CCF" w:rsidR="001D2559" w:rsidRDefault="001D2559" w:rsidP="001D2559">
      <w:pPr>
        <w:pStyle w:val="FootnoteText"/>
        <w:ind w:firstLine="720"/>
      </w:pPr>
      <w:r>
        <w:rPr>
          <w:rStyle w:val="FootnoteReference"/>
        </w:rPr>
        <w:footnoteRef/>
      </w:r>
      <w:r>
        <w:t xml:space="preserve"> Hart, David Bentley, ‘Jung’s Therapeutic Gnosticism’, p. 27. </w:t>
      </w:r>
    </w:p>
  </w:footnote>
  <w:footnote w:id="4">
    <w:p w14:paraId="1A79E10F" w14:textId="77777777" w:rsidR="00C17E00" w:rsidRDefault="00C17E00" w:rsidP="00C17E00">
      <w:pPr>
        <w:pStyle w:val="FootnoteText"/>
        <w:ind w:firstLine="720"/>
      </w:pPr>
      <w:r>
        <w:rPr>
          <w:rStyle w:val="FootnoteReference"/>
        </w:rPr>
        <w:footnoteRef/>
      </w:r>
      <w:r>
        <w:t xml:space="preserve"> Hart, David Bentley, ‘Jung’s Therapeutic Gnosticism’, p. 27.</w:t>
      </w:r>
    </w:p>
  </w:footnote>
  <w:footnote w:id="5">
    <w:p w14:paraId="0DB20743" w14:textId="16BEBDD4" w:rsidR="00510742" w:rsidRDefault="00510742" w:rsidP="00510742">
      <w:pPr>
        <w:pStyle w:val="FootnoteText"/>
        <w:ind w:firstLine="720"/>
      </w:pPr>
      <w:r>
        <w:rPr>
          <w:rStyle w:val="FootnoteReference"/>
        </w:rPr>
        <w:footnoteRef/>
      </w:r>
      <w:r>
        <w:t xml:space="preserve"> Hart, ‘Gnosticism’, p. 29.</w:t>
      </w:r>
    </w:p>
  </w:footnote>
  <w:footnote w:id="6">
    <w:p w14:paraId="489BCE80" w14:textId="6D485CF9" w:rsidR="006249D6" w:rsidRDefault="006249D6" w:rsidP="006249D6">
      <w:pPr>
        <w:pStyle w:val="FootnoteText"/>
        <w:ind w:firstLine="720"/>
      </w:pPr>
      <w:r>
        <w:rPr>
          <w:rStyle w:val="FootnoteReference"/>
        </w:rPr>
        <w:footnoteRef/>
      </w:r>
      <w:r>
        <w:t xml:space="preserve"> </w:t>
      </w:r>
      <w:proofErr w:type="spellStart"/>
      <w:r>
        <w:t>Balcomb</w:t>
      </w:r>
      <w:proofErr w:type="spellEnd"/>
      <w:r>
        <w:t>, Anthony O., Re-enchanting a Disenchanted Universe – Post Modern Projects in Theologies of Space, Religion &amp; Theology, Col. 16 (2009), p. 86.</w:t>
      </w:r>
    </w:p>
  </w:footnote>
  <w:footnote w:id="7">
    <w:p w14:paraId="6F50F38B" w14:textId="47EB7682" w:rsidR="00641EB8" w:rsidRDefault="00641EB8" w:rsidP="00641EB8">
      <w:pPr>
        <w:pStyle w:val="FootnoteText"/>
        <w:ind w:firstLine="720"/>
      </w:pPr>
      <w:r>
        <w:rPr>
          <w:rStyle w:val="FootnoteReference"/>
        </w:rPr>
        <w:footnoteRef/>
      </w:r>
      <w:r>
        <w:t xml:space="preserve"> </w:t>
      </w:r>
      <w:r w:rsidR="00831DFA">
        <w:t>Schweizer, Andreas, ‘The Son of the Earth’, p. 91, 84, 86.</w:t>
      </w:r>
    </w:p>
  </w:footnote>
  <w:footnote w:id="8">
    <w:p w14:paraId="7AC0F8B5" w14:textId="21D7C6F7" w:rsidR="00D22103" w:rsidRDefault="00D22103" w:rsidP="00D22103">
      <w:pPr>
        <w:pStyle w:val="FootnoteText"/>
        <w:ind w:firstLine="720"/>
      </w:pPr>
      <w:r>
        <w:rPr>
          <w:rStyle w:val="FootnoteReference"/>
        </w:rPr>
        <w:footnoteRef/>
      </w:r>
      <w:r>
        <w:t xml:space="preserve"> Schweizer, ‘The Son of the Earth’, p. 82. </w:t>
      </w:r>
    </w:p>
  </w:footnote>
  <w:footnote w:id="9">
    <w:p w14:paraId="6DC6CACD" w14:textId="75FC504C" w:rsidR="009479CA" w:rsidRDefault="009479CA" w:rsidP="009479CA">
      <w:pPr>
        <w:pStyle w:val="FootnoteText"/>
        <w:ind w:firstLine="720"/>
      </w:pPr>
      <w:r>
        <w:rPr>
          <w:rStyle w:val="FootnoteReference"/>
        </w:rPr>
        <w:footnoteRef/>
      </w:r>
      <w:r>
        <w:t xml:space="preserve"> </w:t>
      </w:r>
      <w:r w:rsidR="00D57735" w:rsidRPr="00D57735">
        <w:t xml:space="preserve">C.G. Jung, </w:t>
      </w:r>
      <w:r w:rsidR="00D57735" w:rsidRPr="00D57735">
        <w:rPr>
          <w:i/>
          <w:iCs/>
        </w:rPr>
        <w:t>The Red Book</w:t>
      </w:r>
      <w:r w:rsidR="00D57735">
        <w:rPr>
          <w:i/>
          <w:iCs/>
        </w:rPr>
        <w:t xml:space="preserve"> Liber Novus</w:t>
      </w:r>
      <w:r w:rsidR="00D57735" w:rsidRPr="00D57735">
        <w:t xml:space="preserve">, </w:t>
      </w:r>
      <w:r w:rsidR="00D57735">
        <w:t xml:space="preserve">Trans. Mark </w:t>
      </w:r>
      <w:proofErr w:type="spellStart"/>
      <w:r w:rsidR="00D57735">
        <w:t>Kyburz</w:t>
      </w:r>
      <w:proofErr w:type="spellEnd"/>
      <w:r w:rsidR="00D57735">
        <w:t xml:space="preserve">, John Peck, and </w:t>
      </w:r>
      <w:proofErr w:type="spellStart"/>
      <w:r w:rsidR="00D57735">
        <w:t>Sonu</w:t>
      </w:r>
      <w:proofErr w:type="spellEnd"/>
      <w:r w:rsidR="00D57735">
        <w:t xml:space="preserve"> Shamdasani, Ed. </w:t>
      </w:r>
      <w:proofErr w:type="spellStart"/>
      <w:r w:rsidR="00D57735">
        <w:t>Sonu</w:t>
      </w:r>
      <w:proofErr w:type="spellEnd"/>
      <w:r w:rsidR="00D57735">
        <w:t xml:space="preserve"> Shamdasani</w:t>
      </w:r>
      <w:r w:rsidR="00D57735" w:rsidRPr="00D57735">
        <w:t>,</w:t>
      </w:r>
      <w:r w:rsidR="004D121C">
        <w:t xml:space="preserve"> W. W. Norton &amp; Company: New York, London (2009),</w:t>
      </w:r>
      <w:r w:rsidR="00D57735" w:rsidRPr="00D57735">
        <w:t xml:space="preserve"> p. </w:t>
      </w:r>
      <w:r w:rsidR="004D121C">
        <w:t>272.</w:t>
      </w:r>
    </w:p>
  </w:footnote>
  <w:footnote w:id="10">
    <w:p w14:paraId="61E76FB4" w14:textId="451809B4" w:rsidR="00AD1B0E" w:rsidRDefault="00AD1B0E" w:rsidP="00AD1B0E">
      <w:pPr>
        <w:pStyle w:val="FootnoteText"/>
        <w:ind w:firstLine="720"/>
      </w:pPr>
      <w:r>
        <w:rPr>
          <w:rStyle w:val="FootnoteReference"/>
        </w:rPr>
        <w:footnoteRef/>
      </w:r>
      <w:r>
        <w:t xml:space="preserve"> Hart, ‘Gnosticism’, p. 29.</w:t>
      </w:r>
    </w:p>
  </w:footnote>
  <w:footnote w:id="11">
    <w:p w14:paraId="1735B4FE" w14:textId="5A792DA7" w:rsidR="00AF53E5" w:rsidRDefault="00AF53E5" w:rsidP="00AF53E5">
      <w:pPr>
        <w:pStyle w:val="FootnoteText"/>
        <w:ind w:firstLine="720"/>
      </w:pPr>
      <w:r>
        <w:rPr>
          <w:rStyle w:val="FootnoteReference"/>
        </w:rPr>
        <w:footnoteRef/>
      </w:r>
      <w:r>
        <w:t xml:space="preserve"> </w:t>
      </w:r>
      <w:r w:rsidRPr="00DF37B8">
        <w:t xml:space="preserve">Message to readers from R. R. Reno, Editor, </w:t>
      </w:r>
      <w:r w:rsidRPr="00DF37B8">
        <w:rPr>
          <w:i/>
          <w:iCs/>
        </w:rPr>
        <w:t>First Things</w:t>
      </w:r>
      <w:r w:rsidRPr="00DF37B8">
        <w:t xml:space="preserve">, </w:t>
      </w:r>
      <w:r w:rsidR="006A74D0" w:rsidRPr="00DF37B8">
        <w:t xml:space="preserve">Institute on Religion and Public Life (2020), </w:t>
      </w:r>
      <w:r w:rsidRPr="00DF37B8">
        <w:t>firstthings.com</w:t>
      </w:r>
      <w:r w:rsidR="006A74D0" w:rsidRPr="00DF37B8">
        <w:t>.</w:t>
      </w:r>
    </w:p>
  </w:footnote>
  <w:footnote w:id="12">
    <w:p w14:paraId="58C86DC4" w14:textId="77777777" w:rsidR="0092309A" w:rsidRDefault="0092309A" w:rsidP="0092309A">
      <w:pPr>
        <w:pStyle w:val="FootnoteText"/>
        <w:ind w:firstLine="720"/>
      </w:pPr>
      <w:r>
        <w:rPr>
          <w:rStyle w:val="FootnoteReference"/>
        </w:rPr>
        <w:footnoteRef/>
      </w:r>
      <w:r>
        <w:t xml:space="preserve"> Schweizer, ‘Son of the Earth’, p. 79.</w:t>
      </w:r>
    </w:p>
  </w:footnote>
  <w:footnote w:id="13">
    <w:p w14:paraId="566FA2B1" w14:textId="2C47ED11" w:rsidR="00742487" w:rsidRDefault="00742487" w:rsidP="00742487">
      <w:pPr>
        <w:pStyle w:val="FootnoteText"/>
        <w:ind w:firstLine="720"/>
      </w:pPr>
      <w:r>
        <w:rPr>
          <w:rStyle w:val="FootnoteReference"/>
        </w:rPr>
        <w:footnoteRef/>
      </w:r>
      <w:r>
        <w:t xml:space="preserve"> Schweizer, ‘Son’, p. 80.</w:t>
      </w:r>
    </w:p>
  </w:footnote>
  <w:footnote w:id="14">
    <w:p w14:paraId="5205A231" w14:textId="11139F11" w:rsidR="0009023F" w:rsidRDefault="0009023F" w:rsidP="0009023F">
      <w:pPr>
        <w:pStyle w:val="FootnoteText"/>
        <w:ind w:firstLine="720"/>
      </w:pPr>
      <w:r>
        <w:rPr>
          <w:rStyle w:val="FootnoteReference"/>
        </w:rPr>
        <w:footnoteRef/>
      </w:r>
      <w:r>
        <w:t xml:space="preserve"> Hart, ‘Gnosticism’, p. 25</w:t>
      </w:r>
      <w:r w:rsidR="00202258">
        <w:t>-26</w:t>
      </w:r>
      <w:r>
        <w:t>.</w:t>
      </w:r>
    </w:p>
  </w:footnote>
  <w:footnote w:id="15">
    <w:p w14:paraId="2C4F058C" w14:textId="3732276C" w:rsidR="00E0047E" w:rsidRDefault="00E0047E" w:rsidP="00E0047E">
      <w:pPr>
        <w:pStyle w:val="FootnoteText"/>
        <w:ind w:firstLine="720"/>
      </w:pPr>
      <w:r>
        <w:rPr>
          <w:rStyle w:val="FootnoteReference"/>
        </w:rPr>
        <w:footnoteRef/>
      </w:r>
      <w:r>
        <w:t xml:space="preserve"> Hart, ‘Gnosticism’, p. 26.</w:t>
      </w:r>
    </w:p>
  </w:footnote>
  <w:footnote w:id="16">
    <w:p w14:paraId="13EE1183" w14:textId="77777777" w:rsidR="00F92725" w:rsidRDefault="00F92725" w:rsidP="00F92725">
      <w:pPr>
        <w:pStyle w:val="FootnoteText"/>
        <w:ind w:firstLine="720"/>
      </w:pPr>
      <w:r>
        <w:rPr>
          <w:rStyle w:val="FootnoteReference"/>
        </w:rPr>
        <w:footnoteRef/>
      </w:r>
      <w:r>
        <w:t xml:space="preserve"> Jung, C.G., </w:t>
      </w:r>
      <w:r w:rsidRPr="00B45D57">
        <w:rPr>
          <w:i/>
          <w:iCs/>
        </w:rPr>
        <w:t>Memories, Dreams, Reflections,</w:t>
      </w:r>
      <w:r>
        <w:t xml:space="preserve"> ed. Aniela Jaffe, trans. Richard and Clara Winston, Vintage Books (April 1989), p. 222.</w:t>
      </w:r>
    </w:p>
  </w:footnote>
  <w:footnote w:id="17">
    <w:p w14:paraId="3A244608" w14:textId="7666406B" w:rsidR="00DD6C27" w:rsidRDefault="00DD6C27" w:rsidP="00DD6C27">
      <w:pPr>
        <w:pStyle w:val="FootnoteText"/>
        <w:ind w:firstLine="720"/>
      </w:pPr>
      <w:r>
        <w:rPr>
          <w:rStyle w:val="FootnoteReference"/>
        </w:rPr>
        <w:footnoteRef/>
      </w:r>
      <w:r>
        <w:t xml:space="preserve"> Jung, ‘Red Book’, p. 308. </w:t>
      </w:r>
    </w:p>
  </w:footnote>
  <w:footnote w:id="18">
    <w:p w14:paraId="7ACF1722" w14:textId="0D366F2B" w:rsidR="00041328" w:rsidRDefault="00041328" w:rsidP="00041328">
      <w:pPr>
        <w:pStyle w:val="FootnoteText"/>
        <w:ind w:firstLine="720"/>
      </w:pPr>
      <w:r>
        <w:rPr>
          <w:rStyle w:val="FootnoteReference"/>
        </w:rPr>
        <w:footnoteRef/>
      </w:r>
      <w:r>
        <w:t xml:space="preserve"> Schweizer, Andreas, ‘</w:t>
      </w:r>
      <w:r w:rsidRPr="00041328">
        <w:t>Red</w:t>
      </w:r>
      <w:r>
        <w:t xml:space="preserve">’, </w:t>
      </w:r>
      <w:r w:rsidRPr="00041328">
        <w:rPr>
          <w:i/>
          <w:iCs/>
        </w:rPr>
        <w:t>Jung Journal: Culture &amp; Psyche</w:t>
      </w:r>
      <w:r>
        <w:t>, Vol. 5 No. 3 (Summer 2011), p. 26.</w:t>
      </w:r>
    </w:p>
  </w:footnote>
  <w:footnote w:id="19">
    <w:p w14:paraId="51562657" w14:textId="278CE592" w:rsidR="00CA1686" w:rsidRDefault="00CA1686" w:rsidP="00CA1686">
      <w:pPr>
        <w:pStyle w:val="FootnoteText"/>
        <w:ind w:firstLine="720"/>
      </w:pPr>
      <w:r>
        <w:rPr>
          <w:rStyle w:val="FootnoteReference"/>
        </w:rPr>
        <w:footnoteRef/>
      </w:r>
      <w:r>
        <w:t xml:space="preserve"> Schweizer, ‘Son of the Earth’, p. 81.</w:t>
      </w:r>
    </w:p>
  </w:footnote>
  <w:footnote w:id="20">
    <w:p w14:paraId="5B2D55EE" w14:textId="250F57A6" w:rsidR="00E871D7" w:rsidRDefault="00E871D7" w:rsidP="00E871D7">
      <w:pPr>
        <w:pStyle w:val="FootnoteText"/>
        <w:ind w:firstLine="720"/>
      </w:pPr>
      <w:r>
        <w:rPr>
          <w:rStyle w:val="FootnoteReference"/>
        </w:rPr>
        <w:footnoteRef/>
      </w:r>
      <w:r>
        <w:t xml:space="preserve"> Schweizer, ‘Son’, p. 79.</w:t>
      </w:r>
    </w:p>
  </w:footnote>
  <w:footnote w:id="21">
    <w:p w14:paraId="66DC6B2E" w14:textId="798FAC9E" w:rsidR="00AA1DE2" w:rsidRDefault="00AA1DE2" w:rsidP="00AA1DE2">
      <w:pPr>
        <w:pStyle w:val="FootnoteText"/>
        <w:ind w:firstLine="720"/>
      </w:pPr>
      <w:r>
        <w:rPr>
          <w:rStyle w:val="FootnoteReference"/>
        </w:rPr>
        <w:footnoteRef/>
      </w:r>
      <w:r>
        <w:t xml:space="preserve"> Hart, ‘Gnosticism’, p. 31.</w:t>
      </w:r>
    </w:p>
  </w:footnote>
  <w:footnote w:id="22">
    <w:p w14:paraId="69AB442A" w14:textId="6DE5787E" w:rsidR="00182A9F" w:rsidRDefault="00182A9F" w:rsidP="00182A9F">
      <w:pPr>
        <w:pStyle w:val="FootnoteText"/>
        <w:ind w:firstLine="720"/>
      </w:pPr>
      <w:r>
        <w:rPr>
          <w:rStyle w:val="FootnoteReference"/>
        </w:rPr>
        <w:footnoteRef/>
      </w:r>
      <w:r>
        <w:t xml:space="preserve"> </w:t>
      </w:r>
      <w:proofErr w:type="spellStart"/>
      <w:r>
        <w:t>Balcomb</w:t>
      </w:r>
      <w:proofErr w:type="spellEnd"/>
      <w:r>
        <w:t xml:space="preserve">, A. O., </w:t>
      </w:r>
      <w:proofErr w:type="spellStart"/>
      <w:r>
        <w:t>‘Re</w:t>
      </w:r>
      <w:proofErr w:type="spellEnd"/>
      <w:r>
        <w:t>-enchanting a Disenchanted Universe’, p. 87.</w:t>
      </w:r>
    </w:p>
  </w:footnote>
  <w:footnote w:id="23">
    <w:p w14:paraId="12DF225B" w14:textId="39978185" w:rsidR="00681378" w:rsidRDefault="00681378" w:rsidP="00681378">
      <w:pPr>
        <w:pStyle w:val="FootnoteText"/>
        <w:ind w:firstLine="720"/>
      </w:pPr>
      <w:r>
        <w:rPr>
          <w:rStyle w:val="FootnoteReference"/>
        </w:rPr>
        <w:footnoteRef/>
      </w:r>
      <w:r>
        <w:t xml:space="preserve"> </w:t>
      </w:r>
      <w:proofErr w:type="spellStart"/>
      <w:r>
        <w:t>Pennachio</w:t>
      </w:r>
      <w:proofErr w:type="spellEnd"/>
      <w:r>
        <w:t>, John, ‘Gnostic Inner Illumination and Carl Jung’s Individuation’, Journal of Religion and Health, Vol. 31, No. 3 (Fall 1992), p. 238.</w:t>
      </w:r>
    </w:p>
  </w:footnote>
  <w:footnote w:id="24">
    <w:p w14:paraId="2389FD1A" w14:textId="77777777" w:rsidR="000C7502" w:rsidRDefault="000C7502" w:rsidP="000C7502">
      <w:pPr>
        <w:pStyle w:val="FootnoteText"/>
        <w:ind w:firstLine="720"/>
      </w:pPr>
      <w:r>
        <w:rPr>
          <w:rStyle w:val="FootnoteReference"/>
        </w:rPr>
        <w:footnoteRef/>
      </w:r>
      <w:r>
        <w:t xml:space="preserve"> Hart, ‘Gnosticism’, p. 27.</w:t>
      </w:r>
    </w:p>
  </w:footnote>
  <w:footnote w:id="25">
    <w:p w14:paraId="6AC64495" w14:textId="18FC9050" w:rsidR="00394B6B" w:rsidRDefault="00394B6B" w:rsidP="00394B6B">
      <w:pPr>
        <w:pStyle w:val="FootnoteText"/>
        <w:ind w:firstLine="720"/>
      </w:pPr>
      <w:r>
        <w:rPr>
          <w:rStyle w:val="FootnoteReference"/>
        </w:rPr>
        <w:footnoteRef/>
      </w:r>
      <w:r>
        <w:t xml:space="preserve"> </w:t>
      </w:r>
      <w:r w:rsidR="00DF37B8">
        <w:t xml:space="preserve">Corbett, Lionel, ‘Jung’s The Red Book Dialogues with the Soul: Herald of a New Religion?’, </w:t>
      </w:r>
      <w:r w:rsidR="00DF37B8" w:rsidRPr="00DF37B8">
        <w:rPr>
          <w:i/>
          <w:iCs/>
        </w:rPr>
        <w:t>Culture &amp; Psyche</w:t>
      </w:r>
      <w:r w:rsidR="00DF37B8">
        <w:t>, Vol. 5, No. 3 (Summer 2011), p. 73 - 74</w:t>
      </w:r>
    </w:p>
  </w:footnote>
  <w:footnote w:id="26">
    <w:p w14:paraId="2A484B09" w14:textId="276BAE93" w:rsidR="00A34364" w:rsidRDefault="00A34364" w:rsidP="00A34364">
      <w:pPr>
        <w:pStyle w:val="FootnoteText"/>
        <w:ind w:firstLine="720"/>
      </w:pPr>
      <w:r>
        <w:rPr>
          <w:rStyle w:val="FootnoteReference"/>
        </w:rPr>
        <w:footnoteRef/>
      </w:r>
      <w:r>
        <w:t xml:space="preserve"> </w:t>
      </w:r>
      <w:r w:rsidR="00DF37B8">
        <w:t>Corbett, ‘Dialogues with the Soul’</w:t>
      </w:r>
      <w:r>
        <w:t>, p. 74.</w:t>
      </w:r>
    </w:p>
  </w:footnote>
  <w:footnote w:id="27">
    <w:p w14:paraId="2CAE6D7E" w14:textId="125A5486" w:rsidR="00A34364" w:rsidRDefault="00A34364" w:rsidP="00A34364">
      <w:pPr>
        <w:pStyle w:val="FootnoteText"/>
        <w:ind w:firstLine="720"/>
      </w:pPr>
      <w:r>
        <w:rPr>
          <w:rStyle w:val="FootnoteReference"/>
        </w:rPr>
        <w:footnoteRef/>
      </w:r>
      <w:r>
        <w:t xml:space="preserve"> </w:t>
      </w:r>
      <w:proofErr w:type="spellStart"/>
      <w:r w:rsidR="00194DAF">
        <w:t>Ulanov</w:t>
      </w:r>
      <w:proofErr w:type="spellEnd"/>
      <w:r w:rsidR="00194DAF">
        <w:t>, Ann Belford, ‘Encountering Jung Being Encountered’, Jung Journal: Culture &amp; Psyche, Vol. 5, No. 3 (Summer 2011), p. 59.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ACE1F" w14:textId="77777777" w:rsidR="009B7EDC" w:rsidRDefault="009B7EDC" w:rsidP="00353286">
    <w:pPr>
      <w:pStyle w:val="Header"/>
      <w:tabs>
        <w:tab w:val="clear" w:pos="4680"/>
        <w:tab w:val="clear" w:pos="9360"/>
        <w:tab w:val="left" w:pos="2445"/>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513201"/>
      <w:docPartObj>
        <w:docPartGallery w:val="Page Numbers (Top of Page)"/>
        <w:docPartUnique/>
      </w:docPartObj>
    </w:sdtPr>
    <w:sdtEndPr>
      <w:rPr>
        <w:noProof/>
      </w:rPr>
    </w:sdtEndPr>
    <w:sdtContent>
      <w:p w14:paraId="41F88C57" w14:textId="73B4E8EF" w:rsidR="00D54AF3" w:rsidRDefault="00D54AF3" w:rsidP="00D54AF3">
        <w:pPr>
          <w:pStyle w:val="Header"/>
        </w:pPr>
        <w:r>
          <w:t>Kim Harrer 1814389</w:t>
        </w:r>
        <w:r>
          <w:tab/>
        </w:r>
        <w:r>
          <w:tab/>
        </w:r>
        <w:r>
          <w:fldChar w:fldCharType="begin"/>
        </w:r>
        <w:r>
          <w:instrText xml:space="preserve"> PAGE   \* MERGEFORMAT </w:instrText>
        </w:r>
        <w:r>
          <w:fldChar w:fldCharType="separate"/>
        </w:r>
        <w:r>
          <w:rPr>
            <w:noProof/>
          </w:rPr>
          <w:t>2</w:t>
        </w:r>
        <w:r>
          <w:rPr>
            <w:noProof/>
          </w:rPr>
          <w:fldChar w:fldCharType="end"/>
        </w:r>
      </w:p>
    </w:sdtContent>
  </w:sdt>
  <w:p w14:paraId="738ED152" w14:textId="2EBA8396" w:rsidR="00D54AF3" w:rsidRDefault="00D54A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3F8BA" w14:textId="77777777" w:rsidR="009B7EDC" w:rsidRDefault="009B7EDC" w:rsidP="00353286">
    <w:pPr>
      <w:pStyle w:val="Header"/>
      <w:tabs>
        <w:tab w:val="clear" w:pos="4680"/>
        <w:tab w:val="clear" w:pos="9360"/>
        <w:tab w:val="left" w:pos="2445"/>
      </w:tabs>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85882" w14:textId="71113ECE" w:rsidR="00CC52C2" w:rsidRDefault="00F175ED">
    <w:pPr>
      <w:pStyle w:val="Header"/>
    </w:pPr>
    <w:r>
      <w:t>Kim Harrer 1814389</w:t>
    </w:r>
    <w:r>
      <w:ptab w:relativeTo="margin" w:alignment="center" w:leader="none"/>
    </w:r>
    <w:r>
      <w:ptab w:relativeTo="margin" w:alignment="right" w:leader="none"/>
    </w:r>
    <w:r w:rsidR="00D54AF3">
      <w:t>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EDC"/>
    <w:rsid w:val="00012E81"/>
    <w:rsid w:val="00015F09"/>
    <w:rsid w:val="000255B8"/>
    <w:rsid w:val="00041328"/>
    <w:rsid w:val="00053B4D"/>
    <w:rsid w:val="0009023F"/>
    <w:rsid w:val="00097D34"/>
    <w:rsid w:val="000C7502"/>
    <w:rsid w:val="000D3499"/>
    <w:rsid w:val="000D69D6"/>
    <w:rsid w:val="000F298C"/>
    <w:rsid w:val="00166170"/>
    <w:rsid w:val="0018224C"/>
    <w:rsid w:val="00182A9F"/>
    <w:rsid w:val="001869D4"/>
    <w:rsid w:val="00194DAF"/>
    <w:rsid w:val="001B75D4"/>
    <w:rsid w:val="001C224F"/>
    <w:rsid w:val="001D2559"/>
    <w:rsid w:val="001D5947"/>
    <w:rsid w:val="001F27D8"/>
    <w:rsid w:val="00202258"/>
    <w:rsid w:val="002175F7"/>
    <w:rsid w:val="00230A67"/>
    <w:rsid w:val="00274F28"/>
    <w:rsid w:val="002A4745"/>
    <w:rsid w:val="002C51B4"/>
    <w:rsid w:val="002C5E80"/>
    <w:rsid w:val="002D6FCD"/>
    <w:rsid w:val="002E4549"/>
    <w:rsid w:val="003167E2"/>
    <w:rsid w:val="00330DCE"/>
    <w:rsid w:val="00375BF6"/>
    <w:rsid w:val="00394B6B"/>
    <w:rsid w:val="003A247B"/>
    <w:rsid w:val="003B2FC6"/>
    <w:rsid w:val="00433AAD"/>
    <w:rsid w:val="00476B8A"/>
    <w:rsid w:val="004C4D9E"/>
    <w:rsid w:val="004D121C"/>
    <w:rsid w:val="004D797B"/>
    <w:rsid w:val="004E2B74"/>
    <w:rsid w:val="00510742"/>
    <w:rsid w:val="0057571F"/>
    <w:rsid w:val="00585EDB"/>
    <w:rsid w:val="0059691C"/>
    <w:rsid w:val="005B00A7"/>
    <w:rsid w:val="005D4D34"/>
    <w:rsid w:val="00612268"/>
    <w:rsid w:val="006249D6"/>
    <w:rsid w:val="00641EB8"/>
    <w:rsid w:val="00650E90"/>
    <w:rsid w:val="00653B62"/>
    <w:rsid w:val="00670962"/>
    <w:rsid w:val="00681378"/>
    <w:rsid w:val="00683A85"/>
    <w:rsid w:val="006A74D0"/>
    <w:rsid w:val="006C72EA"/>
    <w:rsid w:val="00714BE2"/>
    <w:rsid w:val="00721257"/>
    <w:rsid w:val="007225E9"/>
    <w:rsid w:val="00742487"/>
    <w:rsid w:val="00747EA4"/>
    <w:rsid w:val="00770BDA"/>
    <w:rsid w:val="007714EE"/>
    <w:rsid w:val="00776C9B"/>
    <w:rsid w:val="007E444C"/>
    <w:rsid w:val="007E7DF2"/>
    <w:rsid w:val="007F06AE"/>
    <w:rsid w:val="00811556"/>
    <w:rsid w:val="00814ACD"/>
    <w:rsid w:val="00831DFA"/>
    <w:rsid w:val="00835628"/>
    <w:rsid w:val="008475B8"/>
    <w:rsid w:val="00876609"/>
    <w:rsid w:val="00883964"/>
    <w:rsid w:val="008A20D8"/>
    <w:rsid w:val="008F767E"/>
    <w:rsid w:val="00920959"/>
    <w:rsid w:val="0092309A"/>
    <w:rsid w:val="00932535"/>
    <w:rsid w:val="009344A8"/>
    <w:rsid w:val="009479CA"/>
    <w:rsid w:val="00954FB8"/>
    <w:rsid w:val="009568CC"/>
    <w:rsid w:val="00962D59"/>
    <w:rsid w:val="0098402C"/>
    <w:rsid w:val="009B7EDC"/>
    <w:rsid w:val="009F216B"/>
    <w:rsid w:val="00A34364"/>
    <w:rsid w:val="00A376B6"/>
    <w:rsid w:val="00A71510"/>
    <w:rsid w:val="00AA1DE2"/>
    <w:rsid w:val="00AB204C"/>
    <w:rsid w:val="00AD1B0E"/>
    <w:rsid w:val="00AD2F7C"/>
    <w:rsid w:val="00AF53E5"/>
    <w:rsid w:val="00B12946"/>
    <w:rsid w:val="00B27B23"/>
    <w:rsid w:val="00B45D57"/>
    <w:rsid w:val="00B80DB8"/>
    <w:rsid w:val="00BB18DF"/>
    <w:rsid w:val="00BC5C36"/>
    <w:rsid w:val="00BE01C7"/>
    <w:rsid w:val="00BE20A5"/>
    <w:rsid w:val="00C17E00"/>
    <w:rsid w:val="00C341EE"/>
    <w:rsid w:val="00C47B47"/>
    <w:rsid w:val="00C50BE0"/>
    <w:rsid w:val="00C622B6"/>
    <w:rsid w:val="00C81858"/>
    <w:rsid w:val="00CA1686"/>
    <w:rsid w:val="00CC584E"/>
    <w:rsid w:val="00CD7F53"/>
    <w:rsid w:val="00CF3CD5"/>
    <w:rsid w:val="00D22103"/>
    <w:rsid w:val="00D444B7"/>
    <w:rsid w:val="00D51413"/>
    <w:rsid w:val="00D54AF3"/>
    <w:rsid w:val="00D55100"/>
    <w:rsid w:val="00D55336"/>
    <w:rsid w:val="00D57735"/>
    <w:rsid w:val="00D84CE1"/>
    <w:rsid w:val="00DC51A3"/>
    <w:rsid w:val="00DC6D30"/>
    <w:rsid w:val="00DD0920"/>
    <w:rsid w:val="00DD6C27"/>
    <w:rsid w:val="00DF37B8"/>
    <w:rsid w:val="00E0047E"/>
    <w:rsid w:val="00E065E0"/>
    <w:rsid w:val="00E15CF4"/>
    <w:rsid w:val="00E612E2"/>
    <w:rsid w:val="00E65F5C"/>
    <w:rsid w:val="00E871D7"/>
    <w:rsid w:val="00E924ED"/>
    <w:rsid w:val="00E93D78"/>
    <w:rsid w:val="00EA0F33"/>
    <w:rsid w:val="00EB0892"/>
    <w:rsid w:val="00ED4E16"/>
    <w:rsid w:val="00EF7B53"/>
    <w:rsid w:val="00F05168"/>
    <w:rsid w:val="00F07D76"/>
    <w:rsid w:val="00F1105B"/>
    <w:rsid w:val="00F175ED"/>
    <w:rsid w:val="00F5452A"/>
    <w:rsid w:val="00F8083E"/>
    <w:rsid w:val="00F84D5B"/>
    <w:rsid w:val="00F92725"/>
    <w:rsid w:val="00F97E0E"/>
    <w:rsid w:val="00FA7B7A"/>
    <w:rsid w:val="00FD59B7"/>
    <w:rsid w:val="00FE0FA7"/>
    <w:rsid w:val="00FF1DE5"/>
    <w:rsid w:val="00FF4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9720F"/>
  <w15:chartTrackingRefBased/>
  <w15:docId w15:val="{0BF6FD62-F802-4A52-AB61-EA91DDDD9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EDC"/>
  </w:style>
  <w:style w:type="paragraph" w:styleId="Heading3">
    <w:name w:val="heading 3"/>
    <w:basedOn w:val="Normal"/>
    <w:link w:val="Heading3Char"/>
    <w:semiHidden/>
    <w:unhideWhenUsed/>
    <w:qFormat/>
    <w:rsid w:val="009B7EDC"/>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9B7EDC"/>
    <w:rPr>
      <w:rFonts w:ascii="Tahoma" w:eastAsia="Times New Roman" w:hAnsi="Tahoma" w:cs="Tahoma"/>
      <w:b/>
      <w:bCs/>
      <w:sz w:val="20"/>
      <w:szCs w:val="20"/>
      <w:lang w:val="en-GB" w:eastAsia="zh-CN"/>
    </w:rPr>
  </w:style>
  <w:style w:type="paragraph" w:styleId="FootnoteText">
    <w:name w:val="footnote text"/>
    <w:basedOn w:val="Normal"/>
    <w:link w:val="FootnoteTextChar"/>
    <w:uiPriority w:val="99"/>
    <w:semiHidden/>
    <w:unhideWhenUsed/>
    <w:rsid w:val="009B7E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7EDC"/>
    <w:rPr>
      <w:sz w:val="20"/>
      <w:szCs w:val="20"/>
    </w:rPr>
  </w:style>
  <w:style w:type="character" w:styleId="FootnoteReference">
    <w:name w:val="footnote reference"/>
    <w:basedOn w:val="DefaultParagraphFont"/>
    <w:uiPriority w:val="99"/>
    <w:semiHidden/>
    <w:unhideWhenUsed/>
    <w:rsid w:val="009B7EDC"/>
    <w:rPr>
      <w:vertAlign w:val="superscript"/>
    </w:rPr>
  </w:style>
  <w:style w:type="paragraph" w:styleId="Header">
    <w:name w:val="header"/>
    <w:basedOn w:val="Normal"/>
    <w:link w:val="HeaderChar"/>
    <w:uiPriority w:val="99"/>
    <w:unhideWhenUsed/>
    <w:rsid w:val="009B7E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EDC"/>
  </w:style>
  <w:style w:type="paragraph" w:styleId="Footer">
    <w:name w:val="footer"/>
    <w:basedOn w:val="Normal"/>
    <w:link w:val="FooterChar"/>
    <w:uiPriority w:val="99"/>
    <w:unhideWhenUsed/>
    <w:rsid w:val="009B7E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EDC"/>
  </w:style>
  <w:style w:type="paragraph" w:styleId="NormalWeb">
    <w:name w:val="Normal (Web)"/>
    <w:basedOn w:val="Normal"/>
    <w:unhideWhenUsed/>
    <w:rsid w:val="009B7EDC"/>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CED8E-D7AA-46D8-846D-285E7EDDC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3667</TotalTime>
  <Pages>9</Pages>
  <Words>2560</Words>
  <Characters>14594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Kim Harrer</cp:lastModifiedBy>
  <cp:revision>27</cp:revision>
  <dcterms:created xsi:type="dcterms:W3CDTF">2020-11-30T12:44:00Z</dcterms:created>
  <dcterms:modified xsi:type="dcterms:W3CDTF">2020-12-05T01:12:00Z</dcterms:modified>
</cp:coreProperties>
</file>