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D1028C" w:rsidRDefault="00D1028C" w:rsidP="00D1028C">
      <w:pPr>
        <w:jc w:val="center"/>
        <w:rPr>
          <w:b/>
          <w:sz w:val="36"/>
        </w:rPr>
      </w:pPr>
    </w:p>
    <w:p w:rsidR="00D1028C" w:rsidRDefault="00D1028C" w:rsidP="00A77953">
      <w:pPr>
        <w:rPr>
          <w:b/>
          <w:sz w:val="36"/>
        </w:rPr>
      </w:pPr>
    </w:p>
    <w:p w:rsidR="00A77953" w:rsidRDefault="00A77953" w:rsidP="00A77953">
      <w:pPr>
        <w:rPr>
          <w:b/>
          <w:sz w:val="36"/>
        </w:rPr>
      </w:pPr>
    </w:p>
    <w:p w:rsidR="00A77953" w:rsidRDefault="00A77953" w:rsidP="00A77953">
      <w:pPr>
        <w:rPr>
          <w:b/>
          <w:sz w:val="36"/>
        </w:rPr>
      </w:pPr>
    </w:p>
    <w:p w:rsidR="00A77953" w:rsidRDefault="00A77953" w:rsidP="00A77953">
      <w:pPr>
        <w:rPr>
          <w:b/>
          <w:sz w:val="36"/>
        </w:rPr>
      </w:pPr>
    </w:p>
    <w:p w:rsidR="00D1028C" w:rsidRDefault="00D1028C" w:rsidP="00D1028C">
      <w:pPr>
        <w:jc w:val="center"/>
        <w:rPr>
          <w:b/>
          <w:sz w:val="36"/>
        </w:rPr>
      </w:pPr>
    </w:p>
    <w:p w:rsidR="00A77953" w:rsidRDefault="00A77953" w:rsidP="00D1028C">
      <w:pPr>
        <w:jc w:val="center"/>
        <w:rPr>
          <w:b/>
          <w:sz w:val="36"/>
        </w:rPr>
      </w:pPr>
      <w:r>
        <w:rPr>
          <w:b/>
          <w:sz w:val="36"/>
        </w:rPr>
        <w:t>Student name: Lucian-Gheorghe Cocos</w:t>
      </w:r>
    </w:p>
    <w:p w:rsidR="00A77953" w:rsidRDefault="00A77953" w:rsidP="00D1028C">
      <w:pPr>
        <w:jc w:val="center"/>
        <w:rPr>
          <w:b/>
          <w:sz w:val="36"/>
        </w:rPr>
      </w:pPr>
      <w:r>
        <w:rPr>
          <w:b/>
          <w:sz w:val="36"/>
        </w:rPr>
        <w:t>Student ID: 1915930</w:t>
      </w:r>
    </w:p>
    <w:p w:rsidR="00D1028C" w:rsidRDefault="00A77953" w:rsidP="00D1028C">
      <w:pPr>
        <w:jc w:val="center"/>
        <w:rPr>
          <w:b/>
          <w:sz w:val="36"/>
        </w:rPr>
      </w:pPr>
      <w:r>
        <w:rPr>
          <w:b/>
          <w:sz w:val="36"/>
        </w:rPr>
        <w:t xml:space="preserve">Module name: </w:t>
      </w:r>
      <w:r w:rsidR="00D1028C" w:rsidRPr="00D1028C">
        <w:rPr>
          <w:b/>
          <w:sz w:val="36"/>
        </w:rPr>
        <w:t>Management Accounting</w:t>
      </w:r>
    </w:p>
    <w:p w:rsidR="00A77953" w:rsidRPr="00D1028C" w:rsidRDefault="00A77953" w:rsidP="00D1028C">
      <w:pPr>
        <w:jc w:val="center"/>
        <w:rPr>
          <w:b/>
          <w:sz w:val="36"/>
        </w:rPr>
      </w:pPr>
      <w:r>
        <w:rPr>
          <w:b/>
          <w:sz w:val="36"/>
        </w:rPr>
        <w:t>Teacher name (for the resit): Riaz Bhatti</w:t>
      </w:r>
    </w:p>
    <w:p w:rsidR="00A77953" w:rsidRDefault="00A77953" w:rsidP="00D1028C">
      <w:pPr>
        <w:pBdr>
          <w:bottom w:val="single" w:sz="4" w:space="1" w:color="auto"/>
        </w:pBdr>
        <w:jc w:val="center"/>
        <w:rPr>
          <w:b/>
          <w:sz w:val="36"/>
        </w:rPr>
      </w:pPr>
      <w:r>
        <w:rPr>
          <w:b/>
          <w:sz w:val="36"/>
        </w:rPr>
        <w:t>RESIT Assignment 1</w:t>
      </w:r>
      <w:r w:rsidR="00D1028C" w:rsidRPr="00D1028C">
        <w:rPr>
          <w:b/>
          <w:sz w:val="36"/>
        </w:rPr>
        <w:t>: Essay</w:t>
      </w:r>
    </w:p>
    <w:p w:rsidR="00D1028C" w:rsidRDefault="00D1028C" w:rsidP="00D1028C">
      <w:pPr>
        <w:pBdr>
          <w:bottom w:val="single" w:sz="4" w:space="1" w:color="auto"/>
        </w:pBdr>
        <w:jc w:val="center"/>
        <w:rPr>
          <w:b/>
        </w:rPr>
      </w:pPr>
      <w:r>
        <w:rPr>
          <w:b/>
        </w:rPr>
        <w:br w:type="page"/>
      </w:r>
    </w:p>
    <w:sdt>
      <w:sdtPr>
        <w:rPr>
          <w:rFonts w:ascii="Times New Roman" w:eastAsia="Times New Roman" w:hAnsi="Times New Roman" w:cs="Times New Roman"/>
          <w:color w:val="auto"/>
          <w:sz w:val="24"/>
          <w:szCs w:val="24"/>
          <w:lang w:val="en-GB"/>
        </w:rPr>
        <w:id w:val="1142777545"/>
        <w:docPartObj>
          <w:docPartGallery w:val="Table of Contents"/>
          <w:docPartUnique/>
        </w:docPartObj>
      </w:sdtPr>
      <w:sdtEndPr>
        <w:rPr>
          <w:b/>
          <w:bCs/>
          <w:noProof/>
        </w:rPr>
      </w:sdtEndPr>
      <w:sdtContent>
        <w:p w:rsidR="00D1028C" w:rsidRPr="00D1028C" w:rsidRDefault="00D1028C" w:rsidP="00D1028C">
          <w:pPr>
            <w:pStyle w:val="TOCHeading"/>
            <w:spacing w:line="360" w:lineRule="auto"/>
            <w:jc w:val="center"/>
            <w:rPr>
              <w:rFonts w:ascii="Times New Roman" w:hAnsi="Times New Roman" w:cs="Times New Roman"/>
              <w:b/>
              <w:color w:val="000000" w:themeColor="text1"/>
              <w:sz w:val="24"/>
              <w:szCs w:val="24"/>
            </w:rPr>
          </w:pPr>
          <w:r w:rsidRPr="00D1028C">
            <w:rPr>
              <w:rFonts w:ascii="Times New Roman" w:hAnsi="Times New Roman" w:cs="Times New Roman"/>
              <w:b/>
              <w:color w:val="000000" w:themeColor="text1"/>
              <w:sz w:val="24"/>
              <w:szCs w:val="24"/>
            </w:rPr>
            <w:t>Table of Contents</w:t>
          </w:r>
        </w:p>
        <w:p w:rsidR="00D1028C" w:rsidRPr="00D1028C" w:rsidRDefault="00D1028C" w:rsidP="00D1028C">
          <w:pPr>
            <w:pStyle w:val="TOC1"/>
            <w:tabs>
              <w:tab w:val="right" w:leader="dot" w:pos="9016"/>
            </w:tabs>
            <w:rPr>
              <w:noProof/>
            </w:rPr>
          </w:pPr>
          <w:r w:rsidRPr="00D1028C">
            <w:fldChar w:fldCharType="begin"/>
          </w:r>
          <w:r w:rsidRPr="00D1028C">
            <w:instrText xml:space="preserve"> TOC \o "1-3" \h \z \u </w:instrText>
          </w:r>
          <w:r w:rsidRPr="00D1028C">
            <w:fldChar w:fldCharType="separate"/>
          </w:r>
          <w:hyperlink w:anchor="_Toc79263541" w:history="1">
            <w:r w:rsidRPr="00D1028C">
              <w:rPr>
                <w:rStyle w:val="Hyperlink"/>
                <w:noProof/>
              </w:rPr>
              <w:t>Introduction</w:t>
            </w:r>
            <w:r w:rsidRPr="00D1028C">
              <w:rPr>
                <w:noProof/>
                <w:webHidden/>
              </w:rPr>
              <w:tab/>
            </w:r>
            <w:r w:rsidRPr="00D1028C">
              <w:rPr>
                <w:noProof/>
                <w:webHidden/>
              </w:rPr>
              <w:fldChar w:fldCharType="begin"/>
            </w:r>
            <w:r w:rsidRPr="00D1028C">
              <w:rPr>
                <w:noProof/>
                <w:webHidden/>
              </w:rPr>
              <w:instrText xml:space="preserve"> PAGEREF _Toc79263541 \h </w:instrText>
            </w:r>
            <w:r w:rsidRPr="00D1028C">
              <w:rPr>
                <w:noProof/>
                <w:webHidden/>
              </w:rPr>
            </w:r>
            <w:r w:rsidRPr="00D1028C">
              <w:rPr>
                <w:noProof/>
                <w:webHidden/>
              </w:rPr>
              <w:fldChar w:fldCharType="separate"/>
            </w:r>
            <w:r w:rsidRPr="00D1028C">
              <w:rPr>
                <w:noProof/>
                <w:webHidden/>
              </w:rPr>
              <w:t>3</w:t>
            </w:r>
            <w:r w:rsidRPr="00D1028C">
              <w:rPr>
                <w:noProof/>
                <w:webHidden/>
              </w:rPr>
              <w:fldChar w:fldCharType="end"/>
            </w:r>
          </w:hyperlink>
        </w:p>
        <w:p w:rsidR="00D1028C" w:rsidRPr="00D1028C" w:rsidRDefault="00101ED7" w:rsidP="00D1028C">
          <w:pPr>
            <w:pStyle w:val="TOC1"/>
            <w:tabs>
              <w:tab w:val="right" w:leader="dot" w:pos="9016"/>
            </w:tabs>
            <w:rPr>
              <w:noProof/>
            </w:rPr>
          </w:pPr>
          <w:hyperlink w:anchor="_Toc79263542" w:history="1">
            <w:r w:rsidR="00D1028C" w:rsidRPr="00D1028C">
              <w:rPr>
                <w:rStyle w:val="Hyperlink"/>
                <w:noProof/>
              </w:rPr>
              <w:t>Discussions</w:t>
            </w:r>
            <w:r w:rsidR="00D1028C" w:rsidRPr="00D1028C">
              <w:rPr>
                <w:noProof/>
                <w:webHidden/>
              </w:rPr>
              <w:tab/>
            </w:r>
            <w:r w:rsidR="00D1028C" w:rsidRPr="00D1028C">
              <w:rPr>
                <w:noProof/>
                <w:webHidden/>
              </w:rPr>
              <w:fldChar w:fldCharType="begin"/>
            </w:r>
            <w:r w:rsidR="00D1028C" w:rsidRPr="00D1028C">
              <w:rPr>
                <w:noProof/>
                <w:webHidden/>
              </w:rPr>
              <w:instrText xml:space="preserve"> PAGEREF _Toc79263542 \h </w:instrText>
            </w:r>
            <w:r w:rsidR="00D1028C" w:rsidRPr="00D1028C">
              <w:rPr>
                <w:noProof/>
                <w:webHidden/>
              </w:rPr>
            </w:r>
            <w:r w:rsidR="00D1028C" w:rsidRPr="00D1028C">
              <w:rPr>
                <w:noProof/>
                <w:webHidden/>
              </w:rPr>
              <w:fldChar w:fldCharType="separate"/>
            </w:r>
            <w:r w:rsidR="00D1028C" w:rsidRPr="00D1028C">
              <w:rPr>
                <w:noProof/>
                <w:webHidden/>
              </w:rPr>
              <w:t>3</w:t>
            </w:r>
            <w:r w:rsidR="00D1028C" w:rsidRPr="00D1028C">
              <w:rPr>
                <w:noProof/>
                <w:webHidden/>
              </w:rPr>
              <w:fldChar w:fldCharType="end"/>
            </w:r>
          </w:hyperlink>
          <w:r w:rsidR="00A77953">
            <w:rPr>
              <w:noProof/>
            </w:rPr>
            <w:t>-7</w:t>
          </w:r>
        </w:p>
        <w:p w:rsidR="00D1028C" w:rsidRPr="00D1028C" w:rsidRDefault="00101ED7" w:rsidP="00D1028C">
          <w:pPr>
            <w:pStyle w:val="TOC1"/>
            <w:tabs>
              <w:tab w:val="right" w:leader="dot" w:pos="9016"/>
            </w:tabs>
            <w:rPr>
              <w:noProof/>
            </w:rPr>
          </w:pPr>
          <w:hyperlink w:anchor="_Toc79263543" w:history="1">
            <w:r w:rsidR="00D1028C" w:rsidRPr="00D1028C">
              <w:rPr>
                <w:rStyle w:val="Hyperlink"/>
                <w:noProof/>
              </w:rPr>
              <w:t>Conclusions</w:t>
            </w:r>
            <w:r w:rsidR="00D1028C" w:rsidRPr="00D1028C">
              <w:rPr>
                <w:noProof/>
                <w:webHidden/>
              </w:rPr>
              <w:tab/>
            </w:r>
            <w:r w:rsidR="00A77953">
              <w:rPr>
                <w:noProof/>
                <w:webHidden/>
              </w:rPr>
              <w:t>8</w:t>
            </w:r>
          </w:hyperlink>
        </w:p>
        <w:p w:rsidR="00D1028C" w:rsidRPr="00D1028C" w:rsidRDefault="00101ED7" w:rsidP="00D1028C">
          <w:pPr>
            <w:pStyle w:val="TOC1"/>
            <w:tabs>
              <w:tab w:val="right" w:leader="dot" w:pos="9016"/>
            </w:tabs>
            <w:rPr>
              <w:noProof/>
            </w:rPr>
          </w:pPr>
          <w:hyperlink w:anchor="_Toc79263544" w:history="1">
            <w:r w:rsidR="00D1028C" w:rsidRPr="00D1028C">
              <w:rPr>
                <w:rStyle w:val="Hyperlink"/>
                <w:noProof/>
              </w:rPr>
              <w:t>References</w:t>
            </w:r>
            <w:r w:rsidR="00D1028C" w:rsidRPr="00D1028C">
              <w:rPr>
                <w:noProof/>
                <w:webHidden/>
              </w:rPr>
              <w:tab/>
            </w:r>
            <w:r w:rsidR="00D1028C" w:rsidRPr="00D1028C">
              <w:rPr>
                <w:noProof/>
                <w:webHidden/>
              </w:rPr>
              <w:fldChar w:fldCharType="begin"/>
            </w:r>
            <w:r w:rsidR="00D1028C" w:rsidRPr="00D1028C">
              <w:rPr>
                <w:noProof/>
                <w:webHidden/>
              </w:rPr>
              <w:instrText xml:space="preserve"> PAGEREF _Toc79263544 \h </w:instrText>
            </w:r>
            <w:r w:rsidR="00D1028C" w:rsidRPr="00D1028C">
              <w:rPr>
                <w:noProof/>
                <w:webHidden/>
              </w:rPr>
            </w:r>
            <w:r w:rsidR="00D1028C" w:rsidRPr="00D1028C">
              <w:rPr>
                <w:noProof/>
                <w:webHidden/>
              </w:rPr>
              <w:fldChar w:fldCharType="separate"/>
            </w:r>
            <w:r w:rsidR="00D1028C" w:rsidRPr="00D1028C">
              <w:rPr>
                <w:noProof/>
                <w:webHidden/>
              </w:rPr>
              <w:t>8</w:t>
            </w:r>
            <w:r w:rsidR="00D1028C" w:rsidRPr="00D1028C">
              <w:rPr>
                <w:noProof/>
                <w:webHidden/>
              </w:rPr>
              <w:fldChar w:fldCharType="end"/>
            </w:r>
          </w:hyperlink>
          <w:r w:rsidR="00A77953">
            <w:rPr>
              <w:noProof/>
            </w:rPr>
            <w:t>-9</w:t>
          </w:r>
        </w:p>
        <w:p w:rsidR="00D1028C" w:rsidRDefault="00D1028C" w:rsidP="00D1028C">
          <w:r w:rsidRPr="00D1028C">
            <w:rPr>
              <w:b/>
              <w:bCs/>
              <w:noProof/>
            </w:rPr>
            <w:fldChar w:fldCharType="end"/>
          </w:r>
        </w:p>
      </w:sdtContent>
    </w:sdt>
    <w:p w:rsidR="00D1028C" w:rsidRDefault="00D1028C">
      <w:pPr>
        <w:rPr>
          <w:b/>
        </w:rPr>
      </w:pPr>
      <w:r>
        <w:rPr>
          <w:b/>
        </w:rPr>
        <w:br w:type="page"/>
      </w:r>
      <w:bookmarkStart w:id="0" w:name="_GoBack"/>
      <w:bookmarkEnd w:id="0"/>
    </w:p>
    <w:p w:rsidR="001034C5" w:rsidRPr="00186416" w:rsidRDefault="000A3102" w:rsidP="00D1028C">
      <w:pPr>
        <w:pStyle w:val="Heading1"/>
      </w:pPr>
      <w:bookmarkStart w:id="1" w:name="_Toc79263541"/>
      <w:r w:rsidRPr="00186416">
        <w:lastRenderedPageBreak/>
        <w:t>Introduction</w:t>
      </w:r>
      <w:bookmarkEnd w:id="1"/>
      <w:r w:rsidRPr="00186416">
        <w:t xml:space="preserve"> </w:t>
      </w:r>
    </w:p>
    <w:p w:rsidR="001034C5" w:rsidRPr="00186416" w:rsidRDefault="000A3102">
      <w:pPr>
        <w:rPr>
          <w:color w:val="222222"/>
          <w:highlight w:val="white"/>
        </w:rPr>
      </w:pPr>
      <w:r w:rsidRPr="00186416">
        <w:t xml:space="preserve">Since the period of 1920 the overall accounting process has been altered and within 1950 the engagement of cost accounting with the matching concept has been evolved that brings a new developed accounting system in the society. This accounting system is recognised as Management-accounting, formulated with the accounting analysis and decisions supporting attributes mainly. </w:t>
      </w:r>
      <w:r w:rsidRPr="00186416">
        <w:rPr>
          <w:color w:val="222222"/>
          <w:highlight w:val="white"/>
        </w:rPr>
        <w:t xml:space="preserve">Zhou </w:t>
      </w:r>
      <w:r w:rsidRPr="00186416">
        <w:rPr>
          <w:i/>
          <w:color w:val="222222"/>
          <w:highlight w:val="white"/>
        </w:rPr>
        <w:t>et al.</w:t>
      </w:r>
      <w:r w:rsidRPr="00186416">
        <w:rPr>
          <w:color w:val="222222"/>
          <w:highlight w:val="white"/>
        </w:rPr>
        <w:t xml:space="preserve"> (2018), opined that the fundamental presence of this accounting initiated for managing business planning, controlling, coordinating, </w:t>
      </w:r>
      <w:r w:rsidR="007971FA" w:rsidRPr="00186416">
        <w:rPr>
          <w:color w:val="222222"/>
          <w:highlight w:val="white"/>
        </w:rPr>
        <w:t>and decision</w:t>
      </w:r>
      <w:r w:rsidRPr="00186416">
        <w:rPr>
          <w:color w:val="222222"/>
          <w:highlight w:val="white"/>
        </w:rPr>
        <w:t xml:space="preserve"> supporting purposes that mainly provide efficient growth initiative for the business in an efficient manner. As this specific accounting is recognised as the merged form of costing principles also, associated to behavioural aspects such cost can be categorised into “fixed, semi-fixed and variable nature”. </w:t>
      </w:r>
    </w:p>
    <w:p w:rsidR="001034C5" w:rsidRDefault="000A3102">
      <w:pPr>
        <w:rPr>
          <w:color w:val="222222"/>
          <w:highlight w:val="white"/>
        </w:rPr>
      </w:pPr>
      <w:r w:rsidRPr="00186416">
        <w:rPr>
          <w:color w:val="222222"/>
          <w:highlight w:val="white"/>
        </w:rPr>
        <w:t xml:space="preserve">According to the report provided under ONS, during </w:t>
      </w:r>
      <w:r w:rsidR="007971FA" w:rsidRPr="00186416">
        <w:rPr>
          <w:color w:val="222222"/>
          <w:highlight w:val="white"/>
        </w:rPr>
        <w:t>Covid</w:t>
      </w:r>
      <w:r w:rsidRPr="00186416">
        <w:rPr>
          <w:color w:val="222222"/>
          <w:highlight w:val="white"/>
        </w:rPr>
        <w:t xml:space="preserve"> around 43% hospitality business were trading while 55% had temporarily paused trading performances. Associated to same around 6% related to 147,000 employees of the hospitality sector lost their jobs due to lockdown and it's also impacted negatively over the GDP level of the nation mainly (Hutton and Foley, 2021). </w:t>
      </w:r>
    </w:p>
    <w:p w:rsidR="00A77953" w:rsidRDefault="00A77953">
      <w:pPr>
        <w:rPr>
          <w:color w:val="222222"/>
          <w:highlight w:val="white"/>
        </w:rPr>
      </w:pPr>
    </w:p>
    <w:p w:rsidR="00A77953" w:rsidRPr="00186416" w:rsidRDefault="00A77953">
      <w:pPr>
        <w:rPr>
          <w:color w:val="222222"/>
          <w:highlight w:val="white"/>
        </w:rPr>
      </w:pPr>
    </w:p>
    <w:p w:rsidR="001034C5" w:rsidRPr="00186416" w:rsidRDefault="000A3102" w:rsidP="00D1028C">
      <w:pPr>
        <w:pStyle w:val="Heading1"/>
      </w:pPr>
      <w:bookmarkStart w:id="2" w:name="_Toc79263542"/>
      <w:r w:rsidRPr="00186416">
        <w:t>Discussions</w:t>
      </w:r>
      <w:bookmarkEnd w:id="2"/>
      <w:r w:rsidRPr="00186416">
        <w:t xml:space="preserve"> </w:t>
      </w:r>
    </w:p>
    <w:p w:rsidR="001034C5" w:rsidRPr="00186416" w:rsidRDefault="000A3102">
      <w:r w:rsidRPr="00186416">
        <w:t>This report is providing a detailed presentation regarding a particular hotel named as “</w:t>
      </w:r>
      <w:r w:rsidRPr="00186416">
        <w:rPr>
          <w:b/>
        </w:rPr>
        <w:t>Harriot Hotel</w:t>
      </w:r>
      <w:r w:rsidRPr="00186416">
        <w:t xml:space="preserve">” established during the period of “1941 by John D. Brockville”. Considering the level of business period of operation the organisation has grown as a global hospitality hub as its basic operation operated in the Americas, Europe, Asia and Africa''. Following the same approach, at the current moment some of the potential leaders of the business have approached “aggressive expansion strategy”, so that the overall operational development and other processing can be efficiently initiated. </w:t>
      </w:r>
    </w:p>
    <w:p w:rsidR="001034C5" w:rsidRPr="00186416" w:rsidRDefault="000A3102">
      <w:r w:rsidRPr="00186416">
        <w:t xml:space="preserve">At the present moment the pandemic impacted negatively over the business and the government has initiated the lockdown approach to control the expansions of </w:t>
      </w:r>
      <w:r w:rsidR="007971FA" w:rsidRPr="00186416">
        <w:t>Covid</w:t>
      </w:r>
      <w:r w:rsidRPr="00186416">
        <w:t xml:space="preserve"> positively. Due to such reasons the overall financial performances of the business have significantly decreased and expansion strategy is also not performed in a good manner. </w:t>
      </w:r>
    </w:p>
    <w:p w:rsidR="001034C5" w:rsidRPr="00186416" w:rsidRDefault="000A3102">
      <w:r w:rsidRPr="00186416">
        <w:t xml:space="preserve">However, after the relaxation of the lockdown initiative by the government, the management of the business has initiated to expand their hotel into China as there, “Covid-19 restrictions were relaxed much earlier than in other countries”. In order to initiate this approach the senior management of the business has proposed some development strategy under which with </w:t>
      </w:r>
      <w:r w:rsidRPr="00186416">
        <w:lastRenderedPageBreak/>
        <w:t xml:space="preserve">support of efficient cost controlling formulation business development can be initiated. For such purposes a basic cost evaluation approach with support of PER methodology has been maintained so that efficient cost can be retained with elimination of others as well. </w:t>
      </w:r>
    </w:p>
    <w:p w:rsidR="001034C5" w:rsidRPr="00186416" w:rsidRDefault="000A3102">
      <w:pPr>
        <w:jc w:val="center"/>
        <w:rPr>
          <w:b/>
        </w:rPr>
      </w:pPr>
      <w:r w:rsidRPr="00186416">
        <w:rPr>
          <w:noProof/>
          <w:lang w:val="en-US"/>
        </w:rPr>
        <w:drawing>
          <wp:inline distT="114300" distB="114300" distL="114300" distR="114300">
            <wp:extent cx="5648325" cy="21812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648325" cy="2181225"/>
                    </a:xfrm>
                    <a:prstGeom prst="rect">
                      <a:avLst/>
                    </a:prstGeom>
                    <a:ln/>
                  </pic:spPr>
                </pic:pic>
              </a:graphicData>
            </a:graphic>
          </wp:inline>
        </w:drawing>
      </w:r>
    </w:p>
    <w:tbl>
      <w:tblPr>
        <w:tblStyle w:val="a"/>
        <w:tblW w:w="9026"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1034C5" w:rsidRPr="00186416">
        <w:tc>
          <w:tcPr>
            <w:tcW w:w="9026" w:type="dxa"/>
            <w:shd w:val="clear" w:color="auto" w:fill="auto"/>
            <w:tcMar>
              <w:top w:w="100" w:type="dxa"/>
              <w:left w:w="100" w:type="dxa"/>
              <w:bottom w:w="100" w:type="dxa"/>
              <w:right w:w="100" w:type="dxa"/>
            </w:tcMar>
          </w:tcPr>
          <w:p w:rsidR="001034C5" w:rsidRPr="00186416" w:rsidRDefault="000A3102">
            <w:pPr>
              <w:widowControl w:val="0"/>
              <w:pBdr>
                <w:top w:val="nil"/>
                <w:left w:val="nil"/>
                <w:bottom w:val="nil"/>
                <w:right w:val="nil"/>
                <w:between w:val="nil"/>
              </w:pBdr>
              <w:spacing w:line="240" w:lineRule="auto"/>
              <w:jc w:val="left"/>
              <w:rPr>
                <w:b/>
              </w:rPr>
            </w:pPr>
            <w:r w:rsidRPr="00186416">
              <w:rPr>
                <w:b/>
              </w:rPr>
              <w:t>Cost: “Employee Wages”</w:t>
            </w:r>
          </w:p>
        </w:tc>
      </w:tr>
      <w:tr w:rsidR="001034C5" w:rsidRPr="00186416">
        <w:tc>
          <w:tcPr>
            <w:tcW w:w="9026" w:type="dxa"/>
            <w:shd w:val="clear" w:color="auto" w:fill="auto"/>
            <w:tcMar>
              <w:top w:w="100" w:type="dxa"/>
              <w:left w:w="100" w:type="dxa"/>
              <w:bottom w:w="100" w:type="dxa"/>
              <w:right w:w="100" w:type="dxa"/>
            </w:tcMar>
          </w:tcPr>
          <w:p w:rsidR="001034C5" w:rsidRPr="00186416" w:rsidRDefault="000A3102">
            <w:pPr>
              <w:widowControl w:val="0"/>
              <w:pBdr>
                <w:top w:val="nil"/>
                <w:left w:val="nil"/>
                <w:bottom w:val="nil"/>
                <w:right w:val="nil"/>
                <w:between w:val="nil"/>
              </w:pBdr>
            </w:pPr>
            <w:r w:rsidRPr="00186416">
              <w:rPr>
                <w:b/>
              </w:rPr>
              <w:t xml:space="preserve">Points: </w:t>
            </w:r>
            <w:r w:rsidRPr="00186416">
              <w:t xml:space="preserve">Application of this cost, associated with the level of labour charges that mainly apportion on the basis of number of employees that worked in the business for daily services to the customers according to their requirement. </w:t>
            </w:r>
          </w:p>
        </w:tc>
      </w:tr>
      <w:tr w:rsidR="001034C5" w:rsidRPr="00186416">
        <w:tc>
          <w:tcPr>
            <w:tcW w:w="9026" w:type="dxa"/>
            <w:shd w:val="clear" w:color="auto" w:fill="auto"/>
            <w:tcMar>
              <w:top w:w="100" w:type="dxa"/>
              <w:left w:w="100" w:type="dxa"/>
              <w:bottom w:w="100" w:type="dxa"/>
              <w:right w:w="100" w:type="dxa"/>
            </w:tcMar>
          </w:tcPr>
          <w:p w:rsidR="001034C5" w:rsidRPr="00186416" w:rsidRDefault="000A3102">
            <w:pPr>
              <w:widowControl w:val="0"/>
              <w:pBdr>
                <w:top w:val="nil"/>
                <w:left w:val="nil"/>
                <w:bottom w:val="nil"/>
                <w:right w:val="nil"/>
                <w:between w:val="nil"/>
              </w:pBdr>
            </w:pPr>
            <w:r w:rsidRPr="00186416">
              <w:rPr>
                <w:b/>
              </w:rPr>
              <w:t xml:space="preserve">Explaining: </w:t>
            </w:r>
            <w:r w:rsidRPr="00186416">
              <w:t xml:space="preserve">Associated to behavioural approach presentation of such cost indicates the level of both variable and fixed depending on basic performance level mainly. As per the present performances it indicates around 25% of revenue </w:t>
            </w:r>
            <w:r w:rsidR="007971FA" w:rsidRPr="00186416">
              <w:t>that is</w:t>
            </w:r>
            <w:r w:rsidRPr="00186416">
              <w:t xml:space="preserve"> quite higher in the present pandemic position. Depending on marketability it is recognisable that, if at the present moment the business is provided hourly wages rate therefore after the lockdown such level can also be expanded, so operating strategic maintenance is required for business development. </w:t>
            </w:r>
          </w:p>
        </w:tc>
      </w:tr>
      <w:tr w:rsidR="001034C5" w:rsidRPr="00186416">
        <w:tc>
          <w:tcPr>
            <w:tcW w:w="9026" w:type="dxa"/>
            <w:shd w:val="clear" w:color="auto" w:fill="auto"/>
            <w:tcMar>
              <w:top w:w="100" w:type="dxa"/>
              <w:left w:w="100" w:type="dxa"/>
              <w:bottom w:w="100" w:type="dxa"/>
              <w:right w:w="100" w:type="dxa"/>
            </w:tcMar>
          </w:tcPr>
          <w:p w:rsidR="001034C5" w:rsidRPr="00186416" w:rsidRDefault="000A3102">
            <w:pPr>
              <w:widowControl w:val="0"/>
              <w:pBdr>
                <w:top w:val="nil"/>
                <w:left w:val="nil"/>
                <w:bottom w:val="nil"/>
                <w:right w:val="nil"/>
                <w:between w:val="nil"/>
              </w:pBdr>
              <w:rPr>
                <w:b/>
              </w:rPr>
            </w:pPr>
            <w:r w:rsidRPr="00186416">
              <w:rPr>
                <w:b/>
              </w:rPr>
              <w:t xml:space="preserve">Relate: </w:t>
            </w:r>
            <w:r w:rsidRPr="00186416">
              <w:t xml:space="preserve">Considering this, the management of the business needs to formulate some developmental strategies including a “cost maintenance” approach as well, so that the probable development can be initiated. Additionally, the present government has also initiated some “Furlough scheme” for labourers, so that their income performances can efficiently be managed in future (GOV.UK, 2021). </w:t>
            </w:r>
          </w:p>
        </w:tc>
      </w:tr>
    </w:tbl>
    <w:p w:rsidR="001034C5" w:rsidRPr="00186416" w:rsidRDefault="001034C5">
      <w:pPr>
        <w:jc w:val="left"/>
        <w:rPr>
          <w:b/>
        </w:rPr>
      </w:pPr>
    </w:p>
    <w:p w:rsidR="001034C5" w:rsidRPr="00186416" w:rsidRDefault="000A3102">
      <w:pPr>
        <w:jc w:val="left"/>
        <w:rPr>
          <w:b/>
        </w:rPr>
      </w:pPr>
      <w:r w:rsidRPr="00186416">
        <w:br w:type="page"/>
      </w:r>
    </w:p>
    <w:p w:rsidR="001034C5" w:rsidRPr="00186416" w:rsidRDefault="001034C5">
      <w:pPr>
        <w:jc w:val="left"/>
        <w:rPr>
          <w:b/>
        </w:rPr>
      </w:pPr>
    </w:p>
    <w:tbl>
      <w:tblPr>
        <w:tblStyle w:val="a0"/>
        <w:tblW w:w="9026"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1034C5" w:rsidRPr="00186416">
        <w:tc>
          <w:tcPr>
            <w:tcW w:w="9026" w:type="dxa"/>
            <w:shd w:val="clear" w:color="auto" w:fill="auto"/>
            <w:tcMar>
              <w:top w:w="100" w:type="dxa"/>
              <w:left w:w="100" w:type="dxa"/>
              <w:bottom w:w="100" w:type="dxa"/>
              <w:right w:w="100" w:type="dxa"/>
            </w:tcMar>
          </w:tcPr>
          <w:p w:rsidR="001034C5" w:rsidRPr="00186416" w:rsidRDefault="000A3102">
            <w:pPr>
              <w:widowControl w:val="0"/>
              <w:rPr>
                <w:b/>
              </w:rPr>
            </w:pPr>
            <w:r w:rsidRPr="00186416">
              <w:rPr>
                <w:b/>
              </w:rPr>
              <w:t>Cost: “Advertising cost”</w:t>
            </w:r>
          </w:p>
        </w:tc>
      </w:tr>
      <w:tr w:rsidR="001034C5" w:rsidRPr="00186416">
        <w:tc>
          <w:tcPr>
            <w:tcW w:w="9026" w:type="dxa"/>
            <w:shd w:val="clear" w:color="auto" w:fill="auto"/>
            <w:tcMar>
              <w:top w:w="100" w:type="dxa"/>
              <w:left w:w="100" w:type="dxa"/>
              <w:bottom w:w="100" w:type="dxa"/>
              <w:right w:w="100" w:type="dxa"/>
            </w:tcMar>
          </w:tcPr>
          <w:p w:rsidR="001034C5" w:rsidRPr="00186416" w:rsidRDefault="000A3102">
            <w:pPr>
              <w:widowControl w:val="0"/>
            </w:pPr>
            <w:r w:rsidRPr="00186416">
              <w:rPr>
                <w:b/>
              </w:rPr>
              <w:t xml:space="preserve">Points: </w:t>
            </w:r>
            <w:r w:rsidRPr="00186416">
              <w:t xml:space="preserve">For the primary purpose of initiating positive “promotional initiatives” such a specific cost approach has been utilized, it mainly provides the benefits on a long term basis.  </w:t>
            </w:r>
          </w:p>
        </w:tc>
      </w:tr>
      <w:tr w:rsidR="001034C5" w:rsidRPr="00186416">
        <w:tc>
          <w:tcPr>
            <w:tcW w:w="9026" w:type="dxa"/>
            <w:shd w:val="clear" w:color="auto" w:fill="auto"/>
            <w:tcMar>
              <w:top w:w="100" w:type="dxa"/>
              <w:left w:w="100" w:type="dxa"/>
              <w:bottom w:w="100" w:type="dxa"/>
              <w:right w:w="100" w:type="dxa"/>
            </w:tcMar>
          </w:tcPr>
          <w:p w:rsidR="001034C5" w:rsidRPr="00186416" w:rsidRDefault="000A3102">
            <w:pPr>
              <w:widowControl w:val="0"/>
            </w:pPr>
            <w:r w:rsidRPr="00186416">
              <w:rPr>
                <w:b/>
              </w:rPr>
              <w:t xml:space="preserve">Explaining: </w:t>
            </w:r>
            <w:r w:rsidRPr="00186416">
              <w:t xml:space="preserve">As per computed results the overall level of such expenses is indicating around 12% charges over business revenue and in behavioural aspects it recognised as fixed cost of business mainly. In the present era of advanced technology the overall social media engagement has efficiently expanded and generally brings proper support associated with market stability in an efficient order.  </w:t>
            </w:r>
          </w:p>
          <w:p w:rsidR="001034C5" w:rsidRPr="00186416" w:rsidRDefault="000A3102">
            <w:pPr>
              <w:widowControl w:val="0"/>
            </w:pPr>
            <w:r w:rsidRPr="00186416">
              <w:t xml:space="preserve">Yasa </w:t>
            </w:r>
            <w:r w:rsidRPr="00186416">
              <w:rPr>
                <w:i/>
              </w:rPr>
              <w:t xml:space="preserve">et al. </w:t>
            </w:r>
            <w:r w:rsidRPr="00186416">
              <w:t xml:space="preserve">(2020), opined that presence of social media can efficiently be initiated for value chain processing including business value enhancement </w:t>
            </w:r>
            <w:r w:rsidR="007971FA" w:rsidRPr="00186416">
              <w:t>purpose that</w:t>
            </w:r>
            <w:r w:rsidRPr="00186416">
              <w:t xml:space="preserve"> generally brings the level of operating sustainability in an efficient manner. </w:t>
            </w:r>
          </w:p>
        </w:tc>
      </w:tr>
      <w:tr w:rsidR="001034C5" w:rsidRPr="00186416">
        <w:tc>
          <w:tcPr>
            <w:tcW w:w="9026" w:type="dxa"/>
            <w:shd w:val="clear" w:color="auto" w:fill="auto"/>
            <w:tcMar>
              <w:top w:w="100" w:type="dxa"/>
              <w:left w:w="100" w:type="dxa"/>
              <w:bottom w:w="100" w:type="dxa"/>
              <w:right w:w="100" w:type="dxa"/>
            </w:tcMar>
          </w:tcPr>
          <w:p w:rsidR="001034C5" w:rsidRPr="00186416" w:rsidRDefault="000A3102">
            <w:pPr>
              <w:widowControl w:val="0"/>
            </w:pPr>
            <w:r w:rsidRPr="00186416">
              <w:rPr>
                <w:b/>
              </w:rPr>
              <w:t xml:space="preserve">Relate: </w:t>
            </w:r>
            <w:r w:rsidRPr="00186416">
              <w:t xml:space="preserve">Considering this approach, the management of such a business group should provide focus over social media engagement for initiating the promotional approach of business in a smooth and operating manner. </w:t>
            </w:r>
          </w:p>
        </w:tc>
      </w:tr>
    </w:tbl>
    <w:p w:rsidR="001034C5" w:rsidRPr="00186416" w:rsidRDefault="001034C5">
      <w:pPr>
        <w:jc w:val="left"/>
        <w:rPr>
          <w:b/>
        </w:rPr>
      </w:pPr>
    </w:p>
    <w:tbl>
      <w:tblPr>
        <w:tblStyle w:val="a1"/>
        <w:tblW w:w="9026"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1034C5" w:rsidRPr="00186416">
        <w:tc>
          <w:tcPr>
            <w:tcW w:w="9026" w:type="dxa"/>
            <w:shd w:val="clear" w:color="auto" w:fill="auto"/>
            <w:tcMar>
              <w:top w:w="100" w:type="dxa"/>
              <w:left w:w="100" w:type="dxa"/>
              <w:bottom w:w="100" w:type="dxa"/>
              <w:right w:w="100" w:type="dxa"/>
            </w:tcMar>
          </w:tcPr>
          <w:p w:rsidR="001034C5" w:rsidRPr="00186416" w:rsidRDefault="000A3102">
            <w:pPr>
              <w:widowControl w:val="0"/>
              <w:rPr>
                <w:b/>
              </w:rPr>
            </w:pPr>
            <w:r w:rsidRPr="00186416">
              <w:rPr>
                <w:b/>
              </w:rPr>
              <w:t>Cost: “Interest on loans”</w:t>
            </w:r>
          </w:p>
        </w:tc>
      </w:tr>
      <w:tr w:rsidR="001034C5" w:rsidRPr="00186416">
        <w:tc>
          <w:tcPr>
            <w:tcW w:w="9026" w:type="dxa"/>
            <w:shd w:val="clear" w:color="auto" w:fill="auto"/>
            <w:tcMar>
              <w:top w:w="100" w:type="dxa"/>
              <w:left w:w="100" w:type="dxa"/>
              <w:bottom w:w="100" w:type="dxa"/>
              <w:right w:w="100" w:type="dxa"/>
            </w:tcMar>
          </w:tcPr>
          <w:p w:rsidR="001034C5" w:rsidRPr="00186416" w:rsidRDefault="000A3102">
            <w:pPr>
              <w:widowControl w:val="0"/>
            </w:pPr>
            <w:r w:rsidRPr="00186416">
              <w:rPr>
                <w:b/>
              </w:rPr>
              <w:t xml:space="preserve">Points: </w:t>
            </w:r>
            <w:r w:rsidRPr="00186416">
              <w:t xml:space="preserve">The amount that is mainly borrowed from banks in order to conduct the general operating performances, on such behalf the business has to provide some interest charges to the bank, which is recognised as “interest on loans”. </w:t>
            </w:r>
          </w:p>
        </w:tc>
      </w:tr>
      <w:tr w:rsidR="001034C5" w:rsidRPr="00186416">
        <w:tc>
          <w:tcPr>
            <w:tcW w:w="9026" w:type="dxa"/>
            <w:shd w:val="clear" w:color="auto" w:fill="auto"/>
            <w:tcMar>
              <w:top w:w="100" w:type="dxa"/>
              <w:left w:w="100" w:type="dxa"/>
              <w:bottom w:w="100" w:type="dxa"/>
              <w:right w:w="100" w:type="dxa"/>
            </w:tcMar>
          </w:tcPr>
          <w:p w:rsidR="001034C5" w:rsidRPr="00186416" w:rsidRDefault="000A3102">
            <w:pPr>
              <w:widowControl w:val="0"/>
            </w:pPr>
            <w:r w:rsidRPr="00186416">
              <w:rPr>
                <w:b/>
              </w:rPr>
              <w:t xml:space="preserve">Explaining: </w:t>
            </w:r>
            <w:r w:rsidRPr="00186416">
              <w:t xml:space="preserve">Depending on the present computed performances the overall level of such expenditure is indicating around 17% charges over business revenue. By nature of behaviour it is mainly recognised as variable expenditure as it can be controlled with the reduction of business borrowing cost mainly. </w:t>
            </w:r>
          </w:p>
          <w:p w:rsidR="001034C5" w:rsidRPr="00186416" w:rsidRDefault="000A3102">
            <w:pPr>
              <w:widowControl w:val="0"/>
            </w:pPr>
            <w:r w:rsidRPr="00186416">
              <w:t xml:space="preserve">Curtin </w:t>
            </w:r>
            <w:r w:rsidRPr="00186416">
              <w:rPr>
                <w:i/>
              </w:rPr>
              <w:t xml:space="preserve">et al. </w:t>
            </w:r>
            <w:r w:rsidRPr="00186416">
              <w:t xml:space="preserve">(2018), opined that managing the level of business borrowed amount through the initiative of optimal capital structure general financial stability can efficiently be managed. </w:t>
            </w:r>
          </w:p>
        </w:tc>
      </w:tr>
      <w:tr w:rsidR="001034C5" w:rsidRPr="00186416">
        <w:tc>
          <w:tcPr>
            <w:tcW w:w="9026" w:type="dxa"/>
            <w:shd w:val="clear" w:color="auto" w:fill="auto"/>
            <w:tcMar>
              <w:top w:w="100" w:type="dxa"/>
              <w:left w:w="100" w:type="dxa"/>
              <w:bottom w:w="100" w:type="dxa"/>
              <w:right w:w="100" w:type="dxa"/>
            </w:tcMar>
          </w:tcPr>
          <w:p w:rsidR="001034C5" w:rsidRPr="00186416" w:rsidRDefault="000A3102">
            <w:pPr>
              <w:widowControl w:val="0"/>
            </w:pPr>
            <w:r w:rsidRPr="00186416">
              <w:rPr>
                <w:b/>
              </w:rPr>
              <w:t xml:space="preserve">Relate: </w:t>
            </w:r>
            <w:r w:rsidRPr="00186416">
              <w:t xml:space="preserve">In the present pandemic, for managing the level of business financial approach the </w:t>
            </w:r>
            <w:r w:rsidRPr="00186416">
              <w:lastRenderedPageBreak/>
              <w:t>UK government has initiated the “</w:t>
            </w:r>
            <w:r w:rsidRPr="00186416">
              <w:rPr>
                <w:b/>
              </w:rPr>
              <w:t>Bounce Back Loan Scheme</w:t>
            </w:r>
            <w:r w:rsidRPr="00186416">
              <w:t xml:space="preserve"> (BBLS)” with the support of which the overall level of interest can be efficiently reduced for managing the GDP contribution performances in an efficient manner. The business should follow this approach properly for efficient future development (GOV.UK, 2021). </w:t>
            </w:r>
          </w:p>
        </w:tc>
      </w:tr>
    </w:tbl>
    <w:p w:rsidR="001034C5" w:rsidRPr="00186416" w:rsidRDefault="001034C5">
      <w:pPr>
        <w:jc w:val="left"/>
        <w:rPr>
          <w:b/>
        </w:rPr>
      </w:pPr>
    </w:p>
    <w:tbl>
      <w:tblPr>
        <w:tblStyle w:val="a2"/>
        <w:tblW w:w="9026"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1034C5" w:rsidRPr="00186416">
        <w:tc>
          <w:tcPr>
            <w:tcW w:w="9026" w:type="dxa"/>
            <w:shd w:val="clear" w:color="auto" w:fill="auto"/>
            <w:tcMar>
              <w:top w:w="100" w:type="dxa"/>
              <w:left w:w="100" w:type="dxa"/>
              <w:bottom w:w="100" w:type="dxa"/>
              <w:right w:w="100" w:type="dxa"/>
            </w:tcMar>
          </w:tcPr>
          <w:p w:rsidR="001034C5" w:rsidRPr="00186416" w:rsidRDefault="000A3102">
            <w:pPr>
              <w:widowControl w:val="0"/>
              <w:rPr>
                <w:b/>
              </w:rPr>
            </w:pPr>
            <w:r w:rsidRPr="00186416">
              <w:rPr>
                <w:b/>
              </w:rPr>
              <w:t>Cost: “Housekeeping and cleaning supplies”</w:t>
            </w:r>
          </w:p>
        </w:tc>
      </w:tr>
      <w:tr w:rsidR="001034C5" w:rsidRPr="00186416">
        <w:tc>
          <w:tcPr>
            <w:tcW w:w="9026" w:type="dxa"/>
            <w:shd w:val="clear" w:color="auto" w:fill="auto"/>
            <w:tcMar>
              <w:top w:w="100" w:type="dxa"/>
              <w:left w:w="100" w:type="dxa"/>
              <w:bottom w:w="100" w:type="dxa"/>
              <w:right w:w="100" w:type="dxa"/>
            </w:tcMar>
          </w:tcPr>
          <w:p w:rsidR="001034C5" w:rsidRPr="00186416" w:rsidRDefault="000A3102">
            <w:pPr>
              <w:widowControl w:val="0"/>
            </w:pPr>
            <w:r w:rsidRPr="00186416">
              <w:rPr>
                <w:b/>
              </w:rPr>
              <w:t xml:space="preserve">Points: </w:t>
            </w:r>
            <w:r w:rsidRPr="00186416">
              <w:t xml:space="preserve">For prime reason of maintenance purpose this expenditure has been initiated that provide efficient support related to operational approach of business mainly. </w:t>
            </w:r>
          </w:p>
        </w:tc>
      </w:tr>
      <w:tr w:rsidR="001034C5" w:rsidRPr="00186416">
        <w:tc>
          <w:tcPr>
            <w:tcW w:w="9026" w:type="dxa"/>
            <w:shd w:val="clear" w:color="auto" w:fill="auto"/>
            <w:tcMar>
              <w:top w:w="100" w:type="dxa"/>
              <w:left w:w="100" w:type="dxa"/>
              <w:bottom w:w="100" w:type="dxa"/>
              <w:right w:w="100" w:type="dxa"/>
            </w:tcMar>
          </w:tcPr>
          <w:p w:rsidR="001034C5" w:rsidRPr="00186416" w:rsidRDefault="000A3102">
            <w:pPr>
              <w:widowControl w:val="0"/>
            </w:pPr>
            <w:r w:rsidRPr="00186416">
              <w:rPr>
                <w:b/>
              </w:rPr>
              <w:t xml:space="preserve">Explaining: </w:t>
            </w:r>
            <w:r w:rsidRPr="00186416">
              <w:t xml:space="preserve">According to the present computed approach the level of this expenditure is indicating around 8.33% over the business revenue level which needs to be controlled positively for business furtherance purpose. By nature of behaviour it is considered as variable expenditure that is generally based on volume of </w:t>
            </w:r>
            <w:r w:rsidR="007971FA" w:rsidRPr="00186416">
              <w:t>customer’s</w:t>
            </w:r>
            <w:r w:rsidRPr="00186416">
              <w:t xml:space="preserve"> presence mainly. As in the present pandemic level overall volume of customers are comparatively lower, this expenditure can be controlled for efficient growth intuitive purpose. </w:t>
            </w:r>
          </w:p>
          <w:p w:rsidR="001034C5" w:rsidRPr="00186416" w:rsidRDefault="000A3102">
            <w:pPr>
              <w:widowControl w:val="0"/>
            </w:pPr>
            <w:r w:rsidRPr="00186416">
              <w:t xml:space="preserve">Sharma and Kaushik, (2021) opined that, management of every hospitality sector at the present moment need to provide focus over sanitisation approach mainly, so that efficient cleaning performance can be initiated with bulk customers engagement level. </w:t>
            </w:r>
          </w:p>
        </w:tc>
      </w:tr>
      <w:tr w:rsidR="001034C5" w:rsidRPr="00186416">
        <w:tc>
          <w:tcPr>
            <w:tcW w:w="9026" w:type="dxa"/>
            <w:shd w:val="clear" w:color="auto" w:fill="auto"/>
            <w:tcMar>
              <w:top w:w="100" w:type="dxa"/>
              <w:left w:w="100" w:type="dxa"/>
              <w:bottom w:w="100" w:type="dxa"/>
              <w:right w:w="100" w:type="dxa"/>
            </w:tcMar>
          </w:tcPr>
          <w:p w:rsidR="001034C5" w:rsidRPr="00186416" w:rsidRDefault="000A3102">
            <w:pPr>
              <w:widowControl w:val="0"/>
            </w:pPr>
            <w:r w:rsidRPr="00186416">
              <w:rPr>
                <w:b/>
              </w:rPr>
              <w:t xml:space="preserve">Relate: </w:t>
            </w:r>
            <w:r w:rsidRPr="00186416">
              <w:t xml:space="preserve">Considering the present marketing initiative, the management of such a business group needs to follow an efficient sanitisation and cleaning initiative, so that overall hygiene and </w:t>
            </w:r>
            <w:r w:rsidR="007971FA" w:rsidRPr="00186416">
              <w:t>customer’s</w:t>
            </w:r>
            <w:r w:rsidRPr="00186416">
              <w:t xml:space="preserve"> volume can efficiently expand. </w:t>
            </w:r>
          </w:p>
        </w:tc>
      </w:tr>
    </w:tbl>
    <w:p w:rsidR="001034C5" w:rsidRPr="00186416" w:rsidRDefault="001034C5">
      <w:pPr>
        <w:jc w:val="left"/>
        <w:rPr>
          <w:b/>
        </w:rPr>
      </w:pPr>
    </w:p>
    <w:tbl>
      <w:tblPr>
        <w:tblStyle w:val="a3"/>
        <w:tblW w:w="9026"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1034C5" w:rsidRPr="00186416">
        <w:tc>
          <w:tcPr>
            <w:tcW w:w="9026" w:type="dxa"/>
            <w:shd w:val="clear" w:color="auto" w:fill="auto"/>
            <w:tcMar>
              <w:top w:w="100" w:type="dxa"/>
              <w:left w:w="100" w:type="dxa"/>
              <w:bottom w:w="100" w:type="dxa"/>
              <w:right w:w="100" w:type="dxa"/>
            </w:tcMar>
          </w:tcPr>
          <w:p w:rsidR="001034C5" w:rsidRPr="00186416" w:rsidRDefault="000A3102">
            <w:pPr>
              <w:widowControl w:val="0"/>
              <w:rPr>
                <w:b/>
              </w:rPr>
            </w:pPr>
            <w:r w:rsidRPr="00186416">
              <w:rPr>
                <w:b/>
              </w:rPr>
              <w:t>Cost: “Customers’ discount”</w:t>
            </w:r>
          </w:p>
        </w:tc>
      </w:tr>
      <w:tr w:rsidR="001034C5" w:rsidRPr="00186416">
        <w:tc>
          <w:tcPr>
            <w:tcW w:w="9026" w:type="dxa"/>
            <w:shd w:val="clear" w:color="auto" w:fill="auto"/>
            <w:tcMar>
              <w:top w:w="100" w:type="dxa"/>
              <w:left w:w="100" w:type="dxa"/>
              <w:bottom w:w="100" w:type="dxa"/>
              <w:right w:w="100" w:type="dxa"/>
            </w:tcMar>
          </w:tcPr>
          <w:p w:rsidR="001034C5" w:rsidRPr="00186416" w:rsidRDefault="000A3102">
            <w:pPr>
              <w:widowControl w:val="0"/>
            </w:pPr>
            <w:r w:rsidRPr="00186416">
              <w:rPr>
                <w:b/>
              </w:rPr>
              <w:t xml:space="preserve">Points: </w:t>
            </w:r>
            <w:r w:rsidRPr="00186416">
              <w:t xml:space="preserve">For the prime approach of initiating business promotional attributes, the business used to provide some certain percentage of rebate to individual customers, so that customers' engagement level can be expanded. </w:t>
            </w:r>
          </w:p>
        </w:tc>
      </w:tr>
      <w:tr w:rsidR="001034C5" w:rsidRPr="00186416">
        <w:tc>
          <w:tcPr>
            <w:tcW w:w="9026" w:type="dxa"/>
            <w:shd w:val="clear" w:color="auto" w:fill="auto"/>
            <w:tcMar>
              <w:top w:w="100" w:type="dxa"/>
              <w:left w:w="100" w:type="dxa"/>
              <w:bottom w:w="100" w:type="dxa"/>
              <w:right w:w="100" w:type="dxa"/>
            </w:tcMar>
          </w:tcPr>
          <w:p w:rsidR="001034C5" w:rsidRPr="00186416" w:rsidRDefault="000A3102">
            <w:pPr>
              <w:widowControl w:val="0"/>
            </w:pPr>
            <w:r w:rsidRPr="00186416">
              <w:rPr>
                <w:b/>
              </w:rPr>
              <w:t xml:space="preserve">Explaining: </w:t>
            </w:r>
            <w:r w:rsidRPr="00186416">
              <w:t xml:space="preserve">As per the present measurement, this particular expenditure is indicating the level of 13.30% charges over business </w:t>
            </w:r>
            <w:r w:rsidR="007971FA" w:rsidRPr="00186416">
              <w:t>revenue</w:t>
            </w:r>
            <w:r w:rsidRPr="00186416">
              <w:t xml:space="preserve"> volume that generally influences a level of burden over business finance. According to the nature of cost behaviour, it is mainly recognised as variable expenditure as it is totally depending on the level of </w:t>
            </w:r>
            <w:r w:rsidR="007971FA" w:rsidRPr="00186416">
              <w:t>customer’s</w:t>
            </w:r>
            <w:r w:rsidRPr="00186416">
              <w:t xml:space="preserve"> </w:t>
            </w:r>
            <w:r w:rsidRPr="00186416">
              <w:lastRenderedPageBreak/>
              <w:t xml:space="preserve">volume. As, in the present level due to lockdown, the overall customer engagement level is lower, the management can easily eliminate this expenditure for business sustainability. </w:t>
            </w:r>
          </w:p>
        </w:tc>
      </w:tr>
      <w:tr w:rsidR="001034C5" w:rsidRPr="00186416">
        <w:tc>
          <w:tcPr>
            <w:tcW w:w="9026" w:type="dxa"/>
            <w:shd w:val="clear" w:color="auto" w:fill="auto"/>
            <w:tcMar>
              <w:top w:w="100" w:type="dxa"/>
              <w:left w:w="100" w:type="dxa"/>
              <w:bottom w:w="100" w:type="dxa"/>
              <w:right w:w="100" w:type="dxa"/>
            </w:tcMar>
          </w:tcPr>
          <w:p w:rsidR="001034C5" w:rsidRPr="00186416" w:rsidRDefault="000A3102">
            <w:pPr>
              <w:widowControl w:val="0"/>
              <w:rPr>
                <w:b/>
              </w:rPr>
            </w:pPr>
            <w:r w:rsidRPr="00186416">
              <w:rPr>
                <w:b/>
              </w:rPr>
              <w:lastRenderedPageBreak/>
              <w:t xml:space="preserve">Relate: </w:t>
            </w:r>
            <w:r w:rsidRPr="00186416">
              <w:t xml:space="preserve">Considering the present marketing initiative, the management of such a business group needs to follow an effective cost elimination approach for this costing structure, so that overall business operating and financial accountability can efficiently be managed. </w:t>
            </w:r>
          </w:p>
        </w:tc>
      </w:tr>
    </w:tbl>
    <w:p w:rsidR="001034C5" w:rsidRPr="00186416" w:rsidRDefault="001034C5">
      <w:pPr>
        <w:jc w:val="left"/>
        <w:rPr>
          <w:b/>
        </w:rPr>
      </w:pPr>
    </w:p>
    <w:tbl>
      <w:tblPr>
        <w:tblStyle w:val="a4"/>
        <w:tblW w:w="9026"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1034C5" w:rsidRPr="00186416">
        <w:tc>
          <w:tcPr>
            <w:tcW w:w="9026" w:type="dxa"/>
            <w:shd w:val="clear" w:color="auto" w:fill="auto"/>
            <w:tcMar>
              <w:top w:w="100" w:type="dxa"/>
              <w:left w:w="100" w:type="dxa"/>
              <w:bottom w:w="100" w:type="dxa"/>
              <w:right w:w="100" w:type="dxa"/>
            </w:tcMar>
          </w:tcPr>
          <w:p w:rsidR="001034C5" w:rsidRPr="00186416" w:rsidRDefault="000A3102">
            <w:pPr>
              <w:widowControl w:val="0"/>
              <w:rPr>
                <w:b/>
              </w:rPr>
            </w:pPr>
            <w:r w:rsidRPr="00186416">
              <w:rPr>
                <w:b/>
              </w:rPr>
              <w:t>Cost: “Stationeries used in front desk and restaurants”</w:t>
            </w:r>
          </w:p>
        </w:tc>
      </w:tr>
      <w:tr w:rsidR="001034C5" w:rsidRPr="00186416">
        <w:tc>
          <w:tcPr>
            <w:tcW w:w="9026" w:type="dxa"/>
            <w:shd w:val="clear" w:color="auto" w:fill="auto"/>
            <w:tcMar>
              <w:top w:w="100" w:type="dxa"/>
              <w:left w:w="100" w:type="dxa"/>
              <w:bottom w:w="100" w:type="dxa"/>
              <w:right w:w="100" w:type="dxa"/>
            </w:tcMar>
          </w:tcPr>
          <w:p w:rsidR="001034C5" w:rsidRPr="00186416" w:rsidRDefault="000A3102">
            <w:pPr>
              <w:widowControl w:val="0"/>
            </w:pPr>
            <w:r w:rsidRPr="00186416">
              <w:rPr>
                <w:b/>
              </w:rPr>
              <w:t xml:space="preserve">Points: </w:t>
            </w:r>
            <w:r w:rsidRPr="00186416">
              <w:t xml:space="preserve">Presentation of this expenditure mainly initiated for managing the level of business operational performances efficiently, so that general operating growth including performance initiatives can also be managed. </w:t>
            </w:r>
          </w:p>
        </w:tc>
      </w:tr>
      <w:tr w:rsidR="001034C5" w:rsidRPr="00186416">
        <w:tc>
          <w:tcPr>
            <w:tcW w:w="9026" w:type="dxa"/>
            <w:shd w:val="clear" w:color="auto" w:fill="auto"/>
            <w:tcMar>
              <w:top w:w="100" w:type="dxa"/>
              <w:left w:w="100" w:type="dxa"/>
              <w:bottom w:w="100" w:type="dxa"/>
              <w:right w:w="100" w:type="dxa"/>
            </w:tcMar>
          </w:tcPr>
          <w:p w:rsidR="001034C5" w:rsidRPr="00186416" w:rsidRDefault="000A3102">
            <w:pPr>
              <w:widowControl w:val="0"/>
            </w:pPr>
            <w:r w:rsidRPr="00186416">
              <w:rPr>
                <w:b/>
              </w:rPr>
              <w:t xml:space="preserve">Explaining: </w:t>
            </w:r>
            <w:r w:rsidRPr="00186416">
              <w:t xml:space="preserve">According to the general approach maintenance of this cost is essential for business operational performances and it provides only 5% over the level of business revenues. Associated with the cost behaviour presentation of this expenditure indicating the level of fixed approach, which can only be controlled with efficient operating strategy only.  </w:t>
            </w:r>
          </w:p>
          <w:p w:rsidR="001034C5" w:rsidRPr="00186416" w:rsidRDefault="000A3102">
            <w:pPr>
              <w:widowControl w:val="0"/>
            </w:pPr>
            <w:r w:rsidRPr="00186416">
              <w:t xml:space="preserve">Liu et al. (2017), opined that with support of effective activity performances some of the relevant operating cost of business need to be initiated in a positive order, so that general business operating growth initiative can efficiently manage for future sustainability purposes. </w:t>
            </w:r>
          </w:p>
        </w:tc>
      </w:tr>
      <w:tr w:rsidR="001034C5" w:rsidRPr="00186416">
        <w:tc>
          <w:tcPr>
            <w:tcW w:w="9026" w:type="dxa"/>
            <w:shd w:val="clear" w:color="auto" w:fill="auto"/>
            <w:tcMar>
              <w:top w:w="100" w:type="dxa"/>
              <w:left w:w="100" w:type="dxa"/>
              <w:bottom w:w="100" w:type="dxa"/>
              <w:right w:w="100" w:type="dxa"/>
            </w:tcMar>
          </w:tcPr>
          <w:p w:rsidR="001034C5" w:rsidRPr="00186416" w:rsidRDefault="000A3102">
            <w:pPr>
              <w:widowControl w:val="0"/>
            </w:pPr>
            <w:r w:rsidRPr="00186416">
              <w:rPr>
                <w:b/>
              </w:rPr>
              <w:t xml:space="preserve">Relate: </w:t>
            </w:r>
            <w:r w:rsidRPr="00186416">
              <w:t xml:space="preserve">In the present moment the management also needs to develop the basic attributes of business operational growth in a systematic order, so that operating growth including performance initiatives can efficiently be managed. </w:t>
            </w:r>
          </w:p>
        </w:tc>
      </w:tr>
    </w:tbl>
    <w:p w:rsidR="001034C5" w:rsidRPr="00186416" w:rsidRDefault="001034C5">
      <w:pPr>
        <w:rPr>
          <w:b/>
        </w:rPr>
      </w:pPr>
    </w:p>
    <w:p w:rsidR="00A77953" w:rsidRDefault="00A77953" w:rsidP="00D1028C">
      <w:pPr>
        <w:pStyle w:val="Heading1"/>
      </w:pPr>
      <w:bookmarkStart w:id="3" w:name="_Toc79263543"/>
    </w:p>
    <w:p w:rsidR="00A77953" w:rsidRDefault="00A77953" w:rsidP="00D1028C">
      <w:pPr>
        <w:pStyle w:val="Heading1"/>
      </w:pPr>
    </w:p>
    <w:p w:rsidR="00A77953" w:rsidRDefault="00A77953" w:rsidP="00D1028C">
      <w:pPr>
        <w:pStyle w:val="Heading1"/>
      </w:pPr>
    </w:p>
    <w:p w:rsidR="00A77953" w:rsidRDefault="00A77953" w:rsidP="00D1028C">
      <w:pPr>
        <w:pStyle w:val="Heading1"/>
      </w:pPr>
    </w:p>
    <w:p w:rsidR="00A77953" w:rsidRDefault="00A77953" w:rsidP="00D1028C">
      <w:pPr>
        <w:pStyle w:val="Heading1"/>
      </w:pPr>
    </w:p>
    <w:p w:rsidR="00A77953" w:rsidRDefault="00A77953" w:rsidP="00D1028C">
      <w:pPr>
        <w:pStyle w:val="Heading1"/>
      </w:pPr>
    </w:p>
    <w:p w:rsidR="00A77953" w:rsidRDefault="00A77953" w:rsidP="00D1028C">
      <w:pPr>
        <w:pStyle w:val="Heading1"/>
      </w:pPr>
    </w:p>
    <w:p w:rsidR="00A77953" w:rsidRDefault="00A77953" w:rsidP="00D1028C">
      <w:pPr>
        <w:pStyle w:val="Heading1"/>
      </w:pPr>
    </w:p>
    <w:p w:rsidR="001034C5" w:rsidRPr="00186416" w:rsidRDefault="000A3102" w:rsidP="00D1028C">
      <w:pPr>
        <w:pStyle w:val="Heading1"/>
      </w:pPr>
      <w:r w:rsidRPr="00186416">
        <w:lastRenderedPageBreak/>
        <w:t>Conclusion</w:t>
      </w:r>
      <w:bookmarkEnd w:id="3"/>
    </w:p>
    <w:p w:rsidR="001034C5" w:rsidRDefault="000A3102">
      <w:r w:rsidRPr="00186416">
        <w:t xml:space="preserve">Prime significance of this specific accounting </w:t>
      </w:r>
      <w:r w:rsidR="007971FA" w:rsidRPr="00186416">
        <w:t>initiative can</w:t>
      </w:r>
      <w:r w:rsidRPr="00186416">
        <w:t xml:space="preserve"> bring some potential support initiatives of which can be maintained the general growth initiatives including sustainability of development of a business in a fruitful order. Associated with </w:t>
      </w:r>
      <w:r w:rsidR="007971FA" w:rsidRPr="00186416">
        <w:t>this particular</w:t>
      </w:r>
      <w:r w:rsidRPr="00186416">
        <w:t xml:space="preserve"> business group</w:t>
      </w:r>
      <w:r w:rsidR="007971FA" w:rsidRPr="00186416">
        <w:t>, for</w:t>
      </w:r>
      <w:r w:rsidRPr="00186416">
        <w:t xml:space="preserve"> initiating proper expansion strategy need to eliminate as well as control initiative for </w:t>
      </w:r>
      <w:r w:rsidR="007971FA" w:rsidRPr="00186416">
        <w:t>some significant</w:t>
      </w:r>
      <w:r w:rsidRPr="00186416">
        <w:t xml:space="preserve"> costing approach in a positive order so that the overall accountability approach of the business can also be initiated. A proper development related to business operating growth is also required to be formulated with support of strategic management under the business also so that along with planning initiatives proper execution of those Planning can also be formulated fruitfully. </w:t>
      </w:r>
    </w:p>
    <w:p w:rsidR="00A77953" w:rsidRDefault="00A77953" w:rsidP="00D1028C">
      <w:pPr>
        <w:pStyle w:val="Heading1"/>
      </w:pPr>
      <w:bookmarkStart w:id="4" w:name="_Toc79263544"/>
    </w:p>
    <w:p w:rsidR="00A77953" w:rsidRDefault="00A77953" w:rsidP="00D1028C">
      <w:pPr>
        <w:pStyle w:val="Heading1"/>
      </w:pPr>
    </w:p>
    <w:p w:rsidR="00A77953" w:rsidRDefault="00A77953" w:rsidP="00D1028C">
      <w:pPr>
        <w:pStyle w:val="Heading1"/>
      </w:pPr>
    </w:p>
    <w:p w:rsidR="007971FA" w:rsidRDefault="007971FA" w:rsidP="00D1028C">
      <w:pPr>
        <w:pStyle w:val="Heading1"/>
      </w:pPr>
      <w:r w:rsidRPr="007971FA">
        <w:t>References</w:t>
      </w:r>
      <w:bookmarkEnd w:id="4"/>
      <w:r w:rsidR="00A77953">
        <w:t>:</w:t>
      </w:r>
    </w:p>
    <w:p w:rsidR="007971FA" w:rsidRDefault="007971FA" w:rsidP="007971FA">
      <w:r w:rsidRPr="00A4579D">
        <w:t>Curtin, J., McInerney, C. and Johannsdottir, L., 2018. How can financial incentives promote local ownership of onshore wind and solar projects? Case study evidence from Germany, Denmark, the UK and Ontario. Local Economy, 33(1), pp.40-62.</w:t>
      </w:r>
    </w:p>
    <w:p w:rsidR="007971FA" w:rsidRDefault="007971FA" w:rsidP="007971FA">
      <w:r w:rsidRPr="00DD6C1E">
        <w:t>GOV.UK. 2021. [Withdrawn] Apply for a coronavirus Bounce Back Loan. [</w:t>
      </w:r>
      <w:r w:rsidR="00A77953" w:rsidRPr="00DD6C1E">
        <w:t>Online</w:t>
      </w:r>
      <w:r w:rsidRPr="00DD6C1E">
        <w:t>] Available at: &lt;https://www.gov.uk/guidance/apply-for-a-coronavirus-bounce-back-loan&gt; [Accessed 7 August 2021].</w:t>
      </w:r>
    </w:p>
    <w:p w:rsidR="007971FA" w:rsidRDefault="007971FA" w:rsidP="007971FA">
      <w:r w:rsidRPr="00DD27BB">
        <w:t>GOV.UK. 2021. Check if you can claim for your employees' wages through the Coronavirus Job Retention Scheme. [</w:t>
      </w:r>
      <w:r w:rsidR="00A77953" w:rsidRPr="00DD27BB">
        <w:t>Online</w:t>
      </w:r>
      <w:r w:rsidRPr="00DD27BB">
        <w:t>] Available at: &lt;https://www.gov.uk/guidance/claim-for-wage-costs-through-the-coronavirus-job-retention-scheme&gt; [Accessed 7 August 2021].</w:t>
      </w:r>
    </w:p>
    <w:p w:rsidR="007971FA" w:rsidRDefault="007971FA" w:rsidP="007971FA">
      <w:r w:rsidRPr="00AA308B">
        <w:t>Hutton, G. and Foley, N., 2021. Hospitality industry and Covi</w:t>
      </w:r>
      <w:r w:rsidR="00A77953">
        <w:t xml:space="preserve">d-19. [Online] </w:t>
      </w:r>
      <w:proofErr w:type="gramStart"/>
      <w:r w:rsidR="00A77953">
        <w:t xml:space="preserve">House of Commons </w:t>
      </w:r>
      <w:r w:rsidRPr="00AA308B">
        <w:t>Library.</w:t>
      </w:r>
      <w:proofErr w:type="gramEnd"/>
      <w:r w:rsidRPr="00AA308B">
        <w:t xml:space="preserve"> Available at: &lt;https://commonslibrary.parliament.uk/research-briefings/cbp-9111/&gt; [Accessed 7 August 2021].</w:t>
      </w:r>
    </w:p>
    <w:p w:rsidR="007971FA" w:rsidRPr="00AA308B" w:rsidRDefault="007971FA" w:rsidP="007971FA">
      <w:r w:rsidRPr="00CB1DA6">
        <w:t xml:space="preserve">Liu, B., Wu, S., </w:t>
      </w:r>
      <w:proofErr w:type="spellStart"/>
      <w:r w:rsidRPr="00CB1DA6">
        <w:t>Xie</w:t>
      </w:r>
      <w:proofErr w:type="spellEnd"/>
      <w:r w:rsidRPr="00CB1DA6">
        <w:t xml:space="preserve">, M. and </w:t>
      </w:r>
      <w:proofErr w:type="spellStart"/>
      <w:r w:rsidRPr="00CB1DA6">
        <w:t>Kuo</w:t>
      </w:r>
      <w:proofErr w:type="spellEnd"/>
      <w:r w:rsidRPr="00CB1DA6">
        <w:t>, W., 2017. A condition-based maintenance policy for degrading systems with age-and state-dependent operating cost. European Journal of Operational Research, 263(3), pp.879-887.</w:t>
      </w:r>
    </w:p>
    <w:p w:rsidR="007971FA" w:rsidRDefault="007971FA" w:rsidP="007971FA">
      <w:r w:rsidRPr="00DD6C1E">
        <w:t>Sharma, S. and Kaushik, T., 2021. Aesthetically clean to clinically clean–A study on new housekeeping practices in Delhi hotels beyond COVID-19 pandemic. Worldwide Hospitality and Tourism Themes.</w:t>
      </w:r>
    </w:p>
    <w:p w:rsidR="007971FA" w:rsidRDefault="007971FA" w:rsidP="007971FA">
      <w:r w:rsidRPr="00DD27BB">
        <w:lastRenderedPageBreak/>
        <w:t xml:space="preserve">Yasa, N., </w:t>
      </w:r>
      <w:proofErr w:type="spellStart"/>
      <w:r w:rsidRPr="00DD27BB">
        <w:t>Giantari</w:t>
      </w:r>
      <w:proofErr w:type="spellEnd"/>
      <w:r w:rsidRPr="00DD27BB">
        <w:t xml:space="preserve">, I.G.A.K., </w:t>
      </w:r>
      <w:proofErr w:type="spellStart"/>
      <w:r w:rsidRPr="00DD27BB">
        <w:t>Setini</w:t>
      </w:r>
      <w:proofErr w:type="spellEnd"/>
      <w:r w:rsidRPr="00DD27BB">
        <w:t xml:space="preserve">, M., </w:t>
      </w:r>
      <w:proofErr w:type="spellStart"/>
      <w:r w:rsidRPr="00DD27BB">
        <w:t>Sarmawa</w:t>
      </w:r>
      <w:proofErr w:type="spellEnd"/>
      <w:r w:rsidRPr="00DD27BB">
        <w:t xml:space="preserve">, W., </w:t>
      </w:r>
      <w:proofErr w:type="spellStart"/>
      <w:r w:rsidRPr="00DD27BB">
        <w:t>Rahmayanti</w:t>
      </w:r>
      <w:proofErr w:type="spellEnd"/>
      <w:r w:rsidRPr="00DD27BB">
        <w:t xml:space="preserve">, P. and </w:t>
      </w:r>
      <w:proofErr w:type="spellStart"/>
      <w:r w:rsidRPr="00DD27BB">
        <w:t>Dharmanegara</w:t>
      </w:r>
      <w:proofErr w:type="spellEnd"/>
      <w:r w:rsidRPr="00DD27BB">
        <w:t xml:space="preserve">, I., 2020. Service strategy based on Tri Kaya </w:t>
      </w:r>
      <w:proofErr w:type="spellStart"/>
      <w:r w:rsidRPr="00DD27BB">
        <w:t>Parisudha</w:t>
      </w:r>
      <w:proofErr w:type="spellEnd"/>
      <w:r w:rsidRPr="00DD27BB">
        <w:t>, social media promotion, business values and business performance. </w:t>
      </w:r>
      <w:r w:rsidRPr="00DD27BB">
        <w:rPr>
          <w:i/>
          <w:iCs/>
        </w:rPr>
        <w:t>Management Science Letters</w:t>
      </w:r>
      <w:r w:rsidRPr="00DD27BB">
        <w:t>, </w:t>
      </w:r>
      <w:r w:rsidRPr="00DD27BB">
        <w:rPr>
          <w:i/>
          <w:iCs/>
        </w:rPr>
        <w:t>10</w:t>
      </w:r>
      <w:r w:rsidRPr="00DD27BB">
        <w:t>(13), pp.2961-2972.</w:t>
      </w:r>
    </w:p>
    <w:p w:rsidR="007971FA" w:rsidRDefault="007971FA" w:rsidP="007971FA">
      <w:pPr>
        <w:rPr>
          <w:color w:val="222222"/>
          <w:shd w:val="clear" w:color="auto" w:fill="FFFFFF"/>
        </w:rPr>
      </w:pPr>
      <w:r w:rsidRPr="00AA308B">
        <w:rPr>
          <w:color w:val="222222"/>
          <w:shd w:val="clear" w:color="auto" w:fill="FFFFFF"/>
        </w:rPr>
        <w:t>Zhou, F., Zhao, X. and Zhao, B., 2018, August. Promotion of Management Accounting to Cost Management and Management Decision in Small and Medium-sized Enterprises. In </w:t>
      </w:r>
      <w:r w:rsidRPr="00AA308B">
        <w:rPr>
          <w:i/>
          <w:iCs/>
          <w:color w:val="222222"/>
          <w:shd w:val="clear" w:color="auto" w:fill="FFFFFF"/>
        </w:rPr>
        <w:t>2018 International Conference on Management, Economics, Education and Social Sciences (MEESS 2018)</w:t>
      </w:r>
      <w:r w:rsidRPr="00AA308B">
        <w:rPr>
          <w:color w:val="222222"/>
          <w:shd w:val="clear" w:color="auto" w:fill="FFFFFF"/>
        </w:rPr>
        <w:t> (pp. 307-313). Atlantis Press.</w:t>
      </w:r>
    </w:p>
    <w:p w:rsidR="007971FA" w:rsidRPr="007971FA" w:rsidRDefault="007971FA">
      <w:pPr>
        <w:rPr>
          <w:b/>
        </w:rPr>
      </w:pPr>
    </w:p>
    <w:p w:rsidR="007971FA" w:rsidRPr="00186416" w:rsidRDefault="007971FA"/>
    <w:sectPr w:rsidR="007971FA" w:rsidRPr="00186416">
      <w:footerReference w:type="default" r:id="rId9"/>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1ED7" w:rsidRDefault="00101ED7" w:rsidP="00D1028C">
      <w:pPr>
        <w:spacing w:line="240" w:lineRule="auto"/>
      </w:pPr>
      <w:r>
        <w:separator/>
      </w:r>
    </w:p>
  </w:endnote>
  <w:endnote w:type="continuationSeparator" w:id="0">
    <w:p w:rsidR="00101ED7" w:rsidRDefault="00101ED7" w:rsidP="00D102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0078132"/>
      <w:docPartObj>
        <w:docPartGallery w:val="Page Numbers (Bottom of Page)"/>
        <w:docPartUnique/>
      </w:docPartObj>
    </w:sdtPr>
    <w:sdtEndPr>
      <w:rPr>
        <w:noProof/>
      </w:rPr>
    </w:sdtEndPr>
    <w:sdtContent>
      <w:p w:rsidR="00D1028C" w:rsidRDefault="00D1028C">
        <w:pPr>
          <w:pStyle w:val="Footer"/>
          <w:jc w:val="right"/>
        </w:pPr>
        <w:r>
          <w:fldChar w:fldCharType="begin"/>
        </w:r>
        <w:r>
          <w:instrText xml:space="preserve"> PAGE   \* MERGEFORMAT </w:instrText>
        </w:r>
        <w:r>
          <w:fldChar w:fldCharType="separate"/>
        </w:r>
        <w:r w:rsidR="00A77953">
          <w:rPr>
            <w:noProof/>
          </w:rPr>
          <w:t>1</w:t>
        </w:r>
        <w:r>
          <w:rPr>
            <w:noProof/>
          </w:rPr>
          <w:fldChar w:fldCharType="end"/>
        </w:r>
      </w:p>
    </w:sdtContent>
  </w:sdt>
  <w:p w:rsidR="00D1028C" w:rsidRDefault="00D102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1ED7" w:rsidRDefault="00101ED7" w:rsidP="00D1028C">
      <w:pPr>
        <w:spacing w:line="240" w:lineRule="auto"/>
      </w:pPr>
      <w:r>
        <w:separator/>
      </w:r>
    </w:p>
  </w:footnote>
  <w:footnote w:type="continuationSeparator" w:id="0">
    <w:p w:rsidR="00101ED7" w:rsidRDefault="00101ED7" w:rsidP="00D1028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4C5"/>
    <w:rsid w:val="000A3102"/>
    <w:rsid w:val="00101ED7"/>
    <w:rsid w:val="001034C5"/>
    <w:rsid w:val="00186416"/>
    <w:rsid w:val="007971FA"/>
    <w:rsid w:val="00A77953"/>
    <w:rsid w:val="00D102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lang w:val="en-GB"/>
    </w:rPr>
  </w:style>
  <w:style w:type="paragraph" w:styleId="Heading1">
    <w:name w:val="heading 1"/>
    <w:basedOn w:val="Normal"/>
    <w:next w:val="Normal"/>
    <w:rsid w:val="00D1028C"/>
    <w:pPr>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 w:type="table" w:customStyle="1" w:styleId="a3">
    <w:basedOn w:val="TableNormal"/>
    <w:tblPr>
      <w:tblStyleRowBandSize w:val="1"/>
      <w:tblStyleColBandSize w:val="1"/>
      <w:tblInd w:w="0" w:type="dxa"/>
      <w:tblCellMar>
        <w:top w:w="100" w:type="dxa"/>
        <w:left w:w="100" w:type="dxa"/>
        <w:bottom w:w="100" w:type="dxa"/>
        <w:right w:w="100"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D1028C"/>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1028C"/>
    <w:pPr>
      <w:spacing w:after="100"/>
    </w:pPr>
  </w:style>
  <w:style w:type="character" w:styleId="Hyperlink">
    <w:name w:val="Hyperlink"/>
    <w:basedOn w:val="DefaultParagraphFont"/>
    <w:uiPriority w:val="99"/>
    <w:unhideWhenUsed/>
    <w:rsid w:val="00D1028C"/>
    <w:rPr>
      <w:color w:val="0000FF" w:themeColor="hyperlink"/>
      <w:u w:val="single"/>
    </w:rPr>
  </w:style>
  <w:style w:type="paragraph" w:styleId="Header">
    <w:name w:val="header"/>
    <w:basedOn w:val="Normal"/>
    <w:link w:val="HeaderChar"/>
    <w:uiPriority w:val="99"/>
    <w:unhideWhenUsed/>
    <w:rsid w:val="00D1028C"/>
    <w:pPr>
      <w:tabs>
        <w:tab w:val="center" w:pos="4680"/>
        <w:tab w:val="right" w:pos="9360"/>
      </w:tabs>
      <w:spacing w:line="240" w:lineRule="auto"/>
    </w:pPr>
  </w:style>
  <w:style w:type="character" w:customStyle="1" w:styleId="HeaderChar">
    <w:name w:val="Header Char"/>
    <w:basedOn w:val="DefaultParagraphFont"/>
    <w:link w:val="Header"/>
    <w:uiPriority w:val="99"/>
    <w:rsid w:val="00D1028C"/>
    <w:rPr>
      <w:lang w:val="en-GB"/>
    </w:rPr>
  </w:style>
  <w:style w:type="paragraph" w:styleId="Footer">
    <w:name w:val="footer"/>
    <w:basedOn w:val="Normal"/>
    <w:link w:val="FooterChar"/>
    <w:uiPriority w:val="99"/>
    <w:unhideWhenUsed/>
    <w:rsid w:val="00D1028C"/>
    <w:pPr>
      <w:tabs>
        <w:tab w:val="center" w:pos="4680"/>
        <w:tab w:val="right" w:pos="9360"/>
      </w:tabs>
      <w:spacing w:line="240" w:lineRule="auto"/>
    </w:pPr>
  </w:style>
  <w:style w:type="character" w:customStyle="1" w:styleId="FooterChar">
    <w:name w:val="Footer Char"/>
    <w:basedOn w:val="DefaultParagraphFont"/>
    <w:link w:val="Footer"/>
    <w:uiPriority w:val="99"/>
    <w:rsid w:val="00D1028C"/>
    <w:rPr>
      <w:lang w:val="en-GB"/>
    </w:rPr>
  </w:style>
  <w:style w:type="paragraph" w:styleId="BalloonText">
    <w:name w:val="Balloon Text"/>
    <w:basedOn w:val="Normal"/>
    <w:link w:val="BalloonTextChar"/>
    <w:uiPriority w:val="99"/>
    <w:semiHidden/>
    <w:unhideWhenUsed/>
    <w:rsid w:val="00A7795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7953"/>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lang w:val="en-GB"/>
    </w:rPr>
  </w:style>
  <w:style w:type="paragraph" w:styleId="Heading1">
    <w:name w:val="heading 1"/>
    <w:basedOn w:val="Normal"/>
    <w:next w:val="Normal"/>
    <w:rsid w:val="00D1028C"/>
    <w:pPr>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 w:type="table" w:customStyle="1" w:styleId="a3">
    <w:basedOn w:val="TableNormal"/>
    <w:tblPr>
      <w:tblStyleRowBandSize w:val="1"/>
      <w:tblStyleColBandSize w:val="1"/>
      <w:tblInd w:w="0" w:type="dxa"/>
      <w:tblCellMar>
        <w:top w:w="100" w:type="dxa"/>
        <w:left w:w="100" w:type="dxa"/>
        <w:bottom w:w="100" w:type="dxa"/>
        <w:right w:w="100"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D1028C"/>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1028C"/>
    <w:pPr>
      <w:spacing w:after="100"/>
    </w:pPr>
  </w:style>
  <w:style w:type="character" w:styleId="Hyperlink">
    <w:name w:val="Hyperlink"/>
    <w:basedOn w:val="DefaultParagraphFont"/>
    <w:uiPriority w:val="99"/>
    <w:unhideWhenUsed/>
    <w:rsid w:val="00D1028C"/>
    <w:rPr>
      <w:color w:val="0000FF" w:themeColor="hyperlink"/>
      <w:u w:val="single"/>
    </w:rPr>
  </w:style>
  <w:style w:type="paragraph" w:styleId="Header">
    <w:name w:val="header"/>
    <w:basedOn w:val="Normal"/>
    <w:link w:val="HeaderChar"/>
    <w:uiPriority w:val="99"/>
    <w:unhideWhenUsed/>
    <w:rsid w:val="00D1028C"/>
    <w:pPr>
      <w:tabs>
        <w:tab w:val="center" w:pos="4680"/>
        <w:tab w:val="right" w:pos="9360"/>
      </w:tabs>
      <w:spacing w:line="240" w:lineRule="auto"/>
    </w:pPr>
  </w:style>
  <w:style w:type="character" w:customStyle="1" w:styleId="HeaderChar">
    <w:name w:val="Header Char"/>
    <w:basedOn w:val="DefaultParagraphFont"/>
    <w:link w:val="Header"/>
    <w:uiPriority w:val="99"/>
    <w:rsid w:val="00D1028C"/>
    <w:rPr>
      <w:lang w:val="en-GB"/>
    </w:rPr>
  </w:style>
  <w:style w:type="paragraph" w:styleId="Footer">
    <w:name w:val="footer"/>
    <w:basedOn w:val="Normal"/>
    <w:link w:val="FooterChar"/>
    <w:uiPriority w:val="99"/>
    <w:unhideWhenUsed/>
    <w:rsid w:val="00D1028C"/>
    <w:pPr>
      <w:tabs>
        <w:tab w:val="center" w:pos="4680"/>
        <w:tab w:val="right" w:pos="9360"/>
      </w:tabs>
      <w:spacing w:line="240" w:lineRule="auto"/>
    </w:pPr>
  </w:style>
  <w:style w:type="character" w:customStyle="1" w:styleId="FooterChar">
    <w:name w:val="Footer Char"/>
    <w:basedOn w:val="DefaultParagraphFont"/>
    <w:link w:val="Footer"/>
    <w:uiPriority w:val="99"/>
    <w:rsid w:val="00D1028C"/>
    <w:rPr>
      <w:lang w:val="en-GB"/>
    </w:rPr>
  </w:style>
  <w:style w:type="paragraph" w:styleId="BalloonText">
    <w:name w:val="Balloon Text"/>
    <w:basedOn w:val="Normal"/>
    <w:link w:val="BalloonTextChar"/>
    <w:uiPriority w:val="99"/>
    <w:semiHidden/>
    <w:unhideWhenUsed/>
    <w:rsid w:val="00A7795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7953"/>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F07745-BED4-45F5-9C35-E3C907F49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1914</Words>
  <Characters>10914</Characters>
  <Application>Microsoft Office Word</Application>
  <DocSecurity>0</DocSecurity>
  <Lines>90</Lines>
  <Paragraphs>25</Paragraphs>
  <ScaleCrop>false</ScaleCrop>
  <Company/>
  <LinksUpToDate>false</LinksUpToDate>
  <CharactersWithSpaces>12803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sabina</cp:lastModifiedBy>
  <cp:revision>6</cp:revision>
  <dcterms:created xsi:type="dcterms:W3CDTF">2021-08-07T15:45:00Z</dcterms:created>
  <dcterms:modified xsi:type="dcterms:W3CDTF">2021-08-22T17:01:00Z</dcterms:modified>
</cp:coreProperties>
</file>