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6780AE" w14:textId="77777777" w:rsidR="008A46D6" w:rsidRPr="00EB01ED" w:rsidRDefault="008A46D6" w:rsidP="008A46D6">
      <w:pPr>
        <w:pStyle w:val="NormalWeb"/>
        <w:spacing w:before="0" w:beforeAutospacing="0" w:after="0" w:afterAutospacing="0"/>
        <w:ind w:left="-180" w:right="-334"/>
        <w:rPr>
          <w:rFonts w:asciiTheme="minorHAnsi" w:hAnsiTheme="minorHAnsi" w:cstheme="minorHAnsi"/>
          <w:sz w:val="22"/>
          <w:szCs w:val="22"/>
        </w:rPr>
      </w:pPr>
      <w:r w:rsidRPr="00EB01ED">
        <w:rPr>
          <w:rFonts w:asciiTheme="minorHAnsi" w:hAnsiTheme="minorHAnsi" w:cstheme="minorHAnsi"/>
          <w:noProof/>
          <w:sz w:val="22"/>
          <w:szCs w:val="22"/>
        </w:rPr>
        <w:drawing>
          <wp:inline distT="0" distB="0" distL="0" distR="0" wp14:anchorId="1D0607C7" wp14:editId="0B65248E">
            <wp:extent cx="1905635" cy="635000"/>
            <wp:effectExtent l="25400" t="25400" r="12065" b="1270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5000"/>
                    </a:xfrm>
                    <a:prstGeom prst="rect">
                      <a:avLst/>
                    </a:prstGeom>
                    <a:noFill/>
                    <a:ln w="19050" cmpd="sng">
                      <a:solidFill>
                        <a:srgbClr val="000000"/>
                      </a:solidFill>
                      <a:miter lim="800000"/>
                      <a:headEnd/>
                      <a:tailEnd/>
                    </a:ln>
                    <a:effectLst/>
                  </pic:spPr>
                </pic:pic>
              </a:graphicData>
            </a:graphic>
          </wp:inline>
        </w:drawing>
      </w:r>
    </w:p>
    <w:p w14:paraId="30C064F5" w14:textId="77777777" w:rsidR="008A46D6" w:rsidRPr="00EB01ED" w:rsidRDefault="008A46D6" w:rsidP="008A46D6">
      <w:pPr>
        <w:pStyle w:val="NormalWeb"/>
        <w:spacing w:before="0" w:beforeAutospacing="0" w:after="0" w:afterAutospacing="0"/>
        <w:ind w:left="-180" w:right="-334"/>
        <w:rPr>
          <w:rFonts w:asciiTheme="minorHAnsi" w:hAnsiTheme="minorHAnsi" w:cstheme="minorHAnsi"/>
          <w:sz w:val="22"/>
          <w:szCs w:val="22"/>
        </w:rPr>
      </w:pPr>
    </w:p>
    <w:p w14:paraId="5FEDEB5C" w14:textId="77777777" w:rsidR="008A46D6" w:rsidRPr="00EB01ED" w:rsidRDefault="008A46D6" w:rsidP="008A46D6">
      <w:pPr>
        <w:pStyle w:val="NormalWeb"/>
        <w:spacing w:before="0" w:beforeAutospacing="0" w:after="0" w:afterAutospacing="0"/>
        <w:ind w:left="-180" w:right="-334"/>
        <w:rPr>
          <w:rFonts w:asciiTheme="minorHAnsi" w:hAnsiTheme="minorHAnsi" w:cstheme="minorHAnsi"/>
          <w:sz w:val="22"/>
          <w:szCs w:val="22"/>
        </w:rPr>
      </w:pPr>
    </w:p>
    <w:p w14:paraId="456B18E4" w14:textId="77777777" w:rsidR="008A46D6" w:rsidRPr="00EB01ED" w:rsidRDefault="008A46D6" w:rsidP="008A46D6">
      <w:pPr>
        <w:pStyle w:val="NormalWeb"/>
        <w:spacing w:before="0" w:beforeAutospacing="0" w:after="0" w:afterAutospacing="0"/>
        <w:ind w:left="-180" w:right="-334"/>
        <w:jc w:val="center"/>
        <w:rPr>
          <w:rFonts w:asciiTheme="minorHAnsi" w:hAnsiTheme="minorHAnsi" w:cstheme="minorHAnsi"/>
          <w:b/>
          <w:sz w:val="22"/>
          <w:szCs w:val="22"/>
          <w:lang w:val="cy-GB"/>
        </w:rPr>
      </w:pPr>
      <w:r w:rsidRPr="00EB01ED">
        <w:rPr>
          <w:rFonts w:asciiTheme="minorHAnsi" w:hAnsiTheme="minorHAnsi" w:cstheme="minorHAnsi"/>
          <w:b/>
          <w:sz w:val="22"/>
          <w:szCs w:val="22"/>
          <w:lang w:val="cy-GB"/>
        </w:rPr>
        <w:t xml:space="preserve">Postgraduate/Distance Learning </w:t>
      </w:r>
    </w:p>
    <w:p w14:paraId="38A6AEF5" w14:textId="77777777" w:rsidR="008A46D6" w:rsidRPr="00EB01ED" w:rsidRDefault="008A46D6" w:rsidP="008A46D6">
      <w:pPr>
        <w:pStyle w:val="NormalWeb"/>
        <w:spacing w:before="0" w:beforeAutospacing="0" w:after="0" w:afterAutospacing="0"/>
        <w:ind w:left="-180" w:right="-334"/>
        <w:jc w:val="center"/>
        <w:rPr>
          <w:rFonts w:asciiTheme="minorHAnsi" w:hAnsiTheme="minorHAnsi" w:cstheme="minorHAnsi"/>
          <w:b/>
          <w:sz w:val="22"/>
          <w:szCs w:val="22"/>
        </w:rPr>
      </w:pPr>
      <w:r w:rsidRPr="00EB01ED">
        <w:rPr>
          <w:rFonts w:asciiTheme="minorHAnsi" w:hAnsiTheme="minorHAnsi" w:cstheme="minorHAnsi"/>
          <w:b/>
          <w:sz w:val="22"/>
          <w:szCs w:val="22"/>
          <w:lang w:val="cy-GB"/>
        </w:rPr>
        <w:t>Assignment coversheet &amp; feedback form</w:t>
      </w:r>
    </w:p>
    <w:p w14:paraId="6D92B575" w14:textId="77777777" w:rsidR="008A46D6" w:rsidRPr="00EB01ED" w:rsidRDefault="008A46D6" w:rsidP="008A46D6">
      <w:pPr>
        <w:rPr>
          <w:rFonts w:cstheme="minorHAnsi"/>
          <w:sz w:val="22"/>
          <w:szCs w:val="22"/>
          <w:lang w:val="cy-GB"/>
        </w:rPr>
      </w:pPr>
    </w:p>
    <w:p w14:paraId="30483C25" w14:textId="77777777" w:rsidR="008A46D6" w:rsidRPr="00EB01ED" w:rsidRDefault="008A46D6" w:rsidP="008A46D6">
      <w:pPr>
        <w:pStyle w:val="Heading3"/>
        <w:jc w:val="center"/>
        <w:rPr>
          <w:rFonts w:asciiTheme="minorHAnsi" w:hAnsiTheme="minorHAnsi" w:cstheme="minorHAnsi"/>
          <w:sz w:val="22"/>
          <w:szCs w:val="22"/>
          <w:lang w:val="cy-GB"/>
        </w:rPr>
      </w:pPr>
      <w:r w:rsidRPr="00EB01ED">
        <w:rPr>
          <w:rFonts w:asciiTheme="minorHAnsi" w:hAnsiTheme="minorHAnsi" w:cstheme="minorHAnsi"/>
          <w:sz w:val="22"/>
          <w:szCs w:val="22"/>
          <w:lang w:val="cy-GB"/>
        </w:rPr>
        <w:t>THIS SHEET MUST BE THE FIRST PAGE OF THE ASSIGNMENT YOU ARE SUBMITTING  (DO NOT SEND AS A SEPARATE FILE)</w:t>
      </w:r>
    </w:p>
    <w:p w14:paraId="5E382DFB" w14:textId="77777777" w:rsidR="008A46D6" w:rsidRPr="00EB01ED" w:rsidRDefault="008A46D6" w:rsidP="008A46D6">
      <w:pPr>
        <w:pStyle w:val="Heading3"/>
        <w:jc w:val="center"/>
        <w:rPr>
          <w:rFonts w:asciiTheme="minorHAnsi" w:hAnsiTheme="minorHAnsi" w:cstheme="minorHAnsi"/>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A46D6" w:rsidRPr="00EB01ED" w14:paraId="04F33338" w14:textId="77777777" w:rsidTr="004A7258">
        <w:trPr>
          <w:trHeight w:val="614"/>
        </w:trPr>
        <w:tc>
          <w:tcPr>
            <w:tcW w:w="8856" w:type="dxa"/>
            <w:gridSpan w:val="5"/>
          </w:tcPr>
          <w:p w14:paraId="2C48EE85"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r w:rsidRPr="00EB01ED">
              <w:rPr>
                <w:rFonts w:asciiTheme="minorHAnsi" w:hAnsiTheme="minorHAnsi" w:cstheme="minorHAnsi"/>
                <w:b/>
                <w:sz w:val="22"/>
                <w:szCs w:val="22"/>
              </w:rPr>
              <w:t>For completion by the student</w:t>
            </w:r>
            <w:r w:rsidRPr="00EB01ED">
              <w:rPr>
                <w:rFonts w:asciiTheme="minorHAnsi" w:hAnsiTheme="minorHAnsi" w:cstheme="minorHAnsi"/>
                <w:sz w:val="22"/>
                <w:szCs w:val="22"/>
              </w:rPr>
              <w:t>:</w:t>
            </w:r>
          </w:p>
        </w:tc>
      </w:tr>
      <w:tr w:rsidR="008A46D6" w:rsidRPr="00EB01ED" w14:paraId="5A315CFB" w14:textId="77777777" w:rsidTr="004A7258">
        <w:trPr>
          <w:trHeight w:val="718"/>
        </w:trPr>
        <w:tc>
          <w:tcPr>
            <w:tcW w:w="8856" w:type="dxa"/>
            <w:gridSpan w:val="5"/>
          </w:tcPr>
          <w:p w14:paraId="0100A917"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r w:rsidRPr="00EB01ED">
              <w:rPr>
                <w:rFonts w:asciiTheme="minorHAnsi" w:hAnsiTheme="minorHAnsi" w:cstheme="minorHAnsi"/>
                <w:sz w:val="22"/>
                <w:szCs w:val="22"/>
              </w:rPr>
              <w:t>Student Name: Tareck Ghoneim</w:t>
            </w:r>
          </w:p>
          <w:p w14:paraId="11637E3F"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p>
          <w:p w14:paraId="30EEF4C8"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r w:rsidRPr="00EB01ED">
              <w:rPr>
                <w:rFonts w:asciiTheme="minorHAnsi" w:hAnsiTheme="minorHAnsi" w:cstheme="minorHAnsi"/>
                <w:sz w:val="22"/>
                <w:szCs w:val="22"/>
              </w:rPr>
              <w:t xml:space="preserve">Student </w:t>
            </w:r>
            <w:r w:rsidRPr="00EB01ED">
              <w:rPr>
                <w:rFonts w:asciiTheme="minorHAnsi" w:hAnsiTheme="minorHAnsi" w:cstheme="minorHAnsi"/>
                <w:b/>
                <w:bCs/>
                <w:sz w:val="22"/>
                <w:szCs w:val="22"/>
                <w:u w:val="single"/>
              </w:rPr>
              <w:t>University</w:t>
            </w:r>
            <w:r w:rsidRPr="00EB01ED">
              <w:rPr>
                <w:rFonts w:asciiTheme="minorHAnsi" w:hAnsiTheme="minorHAnsi" w:cstheme="minorHAnsi"/>
                <w:sz w:val="22"/>
                <w:szCs w:val="22"/>
                <w:u w:val="single"/>
              </w:rPr>
              <w:t xml:space="preserve"> </w:t>
            </w:r>
            <w:r w:rsidRPr="00EB01ED">
              <w:rPr>
                <w:rFonts w:asciiTheme="minorHAnsi" w:hAnsiTheme="minorHAnsi" w:cstheme="minorHAnsi"/>
                <w:sz w:val="22"/>
                <w:szCs w:val="22"/>
              </w:rPr>
              <w:t>Email: 1813140@student.uwtsd.ac.uk</w:t>
            </w:r>
          </w:p>
        </w:tc>
      </w:tr>
      <w:tr w:rsidR="008A46D6" w:rsidRPr="00EB01ED" w14:paraId="7CF44A58" w14:textId="77777777" w:rsidTr="004A7258">
        <w:trPr>
          <w:trHeight w:val="849"/>
        </w:trPr>
        <w:tc>
          <w:tcPr>
            <w:tcW w:w="4788" w:type="dxa"/>
          </w:tcPr>
          <w:p w14:paraId="32C8F3D8"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r w:rsidRPr="00EB01ED">
              <w:rPr>
                <w:rFonts w:asciiTheme="minorHAnsi" w:hAnsiTheme="minorHAnsi" w:cstheme="minorHAnsi"/>
                <w:sz w:val="22"/>
                <w:szCs w:val="22"/>
              </w:rPr>
              <w:t>Module code: HPCA7027</w:t>
            </w:r>
          </w:p>
          <w:p w14:paraId="623F81C7"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p>
          <w:p w14:paraId="3962A71B" w14:textId="3C10C324"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r w:rsidRPr="00EB01ED">
              <w:rPr>
                <w:rFonts w:asciiTheme="minorHAnsi" w:hAnsiTheme="minorHAnsi" w:cstheme="minorHAnsi"/>
                <w:sz w:val="22"/>
                <w:szCs w:val="22"/>
              </w:rPr>
              <w:t xml:space="preserve">Module title: Essay </w:t>
            </w:r>
            <w:r w:rsidR="00B9702A">
              <w:rPr>
                <w:rFonts w:asciiTheme="minorHAnsi" w:hAnsiTheme="minorHAnsi" w:cstheme="minorHAnsi"/>
                <w:sz w:val="22"/>
                <w:szCs w:val="22"/>
              </w:rPr>
              <w:t>2</w:t>
            </w:r>
          </w:p>
          <w:p w14:paraId="18B17B4C"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p>
          <w:p w14:paraId="6BD3C6D5"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p>
        </w:tc>
        <w:tc>
          <w:tcPr>
            <w:tcW w:w="2266" w:type="dxa"/>
            <w:gridSpan w:val="3"/>
          </w:tcPr>
          <w:p w14:paraId="367FCA5F"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r w:rsidRPr="00EB01ED">
              <w:rPr>
                <w:rFonts w:asciiTheme="minorHAnsi" w:hAnsiTheme="minorHAnsi" w:cstheme="minorHAnsi"/>
                <w:sz w:val="22"/>
                <w:szCs w:val="22"/>
              </w:rPr>
              <w:t>Student ID number: 1813140</w:t>
            </w:r>
          </w:p>
        </w:tc>
        <w:tc>
          <w:tcPr>
            <w:tcW w:w="1802" w:type="dxa"/>
          </w:tcPr>
          <w:p w14:paraId="5F83750D"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r w:rsidRPr="00EB01ED">
              <w:rPr>
                <w:rFonts w:asciiTheme="minorHAnsi" w:hAnsiTheme="minorHAnsi" w:cstheme="minorHAnsi"/>
                <w:sz w:val="22"/>
                <w:szCs w:val="22"/>
              </w:rPr>
              <w:t>Educational support needs:</w:t>
            </w:r>
          </w:p>
          <w:p w14:paraId="512E6C0F"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r w:rsidRPr="00EB01ED">
              <w:rPr>
                <w:rFonts w:asciiTheme="minorHAnsi" w:hAnsiTheme="minorHAnsi" w:cstheme="minorHAnsi"/>
                <w:sz w:val="22"/>
                <w:szCs w:val="22"/>
              </w:rPr>
              <w:t>No</w:t>
            </w:r>
          </w:p>
        </w:tc>
      </w:tr>
      <w:tr w:rsidR="008A46D6" w:rsidRPr="00EB01ED" w14:paraId="722B1A2B" w14:textId="77777777" w:rsidTr="004A7258">
        <w:trPr>
          <w:trHeight w:val="1139"/>
        </w:trPr>
        <w:tc>
          <w:tcPr>
            <w:tcW w:w="8856" w:type="dxa"/>
            <w:gridSpan w:val="5"/>
          </w:tcPr>
          <w:p w14:paraId="42D51C70" w14:textId="3EEB6EA9" w:rsidR="008A46D6" w:rsidRPr="00EB01ED" w:rsidRDefault="008A46D6" w:rsidP="004A7258">
            <w:pPr>
              <w:rPr>
                <w:rFonts w:cstheme="minorHAnsi"/>
                <w:sz w:val="22"/>
                <w:szCs w:val="22"/>
              </w:rPr>
            </w:pPr>
            <w:r w:rsidRPr="00EB01ED">
              <w:rPr>
                <w:rFonts w:cstheme="minorHAnsi"/>
                <w:sz w:val="22"/>
                <w:szCs w:val="22"/>
              </w:rPr>
              <w:t xml:space="preserve">Assignment title: </w:t>
            </w:r>
            <w:r w:rsidR="00B9702A">
              <w:rPr>
                <w:rFonts w:cstheme="minorHAnsi"/>
                <w:sz w:val="22"/>
                <w:szCs w:val="22"/>
              </w:rPr>
              <w:t>A 4500 word essay written on a topic within the subject area (Assignment 2)</w:t>
            </w:r>
          </w:p>
          <w:p w14:paraId="04B0C1F1" w14:textId="2B96970A"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r w:rsidRPr="00EB01ED">
              <w:rPr>
                <w:rFonts w:asciiTheme="minorHAnsi" w:hAnsiTheme="minorHAnsi" w:cstheme="minorHAnsi"/>
                <w:sz w:val="22"/>
                <w:szCs w:val="22"/>
              </w:rPr>
              <w:t xml:space="preserve">Word Count – </w:t>
            </w:r>
            <w:r w:rsidR="00B9702A">
              <w:rPr>
                <w:rFonts w:asciiTheme="minorHAnsi" w:hAnsiTheme="minorHAnsi" w:cstheme="minorHAnsi"/>
                <w:sz w:val="22"/>
                <w:szCs w:val="22"/>
              </w:rPr>
              <w:t>4500</w:t>
            </w:r>
          </w:p>
          <w:p w14:paraId="0C0CF872"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p>
          <w:p w14:paraId="68A3E23D" w14:textId="515A31CD"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r w:rsidRPr="00EB01ED">
              <w:rPr>
                <w:rFonts w:asciiTheme="minorHAnsi" w:hAnsiTheme="minorHAnsi" w:cstheme="minorHAnsi"/>
                <w:sz w:val="22"/>
                <w:szCs w:val="22"/>
              </w:rPr>
              <w:t>Assignment due date: 2</w:t>
            </w:r>
            <w:r w:rsidR="00B9702A">
              <w:rPr>
                <w:rFonts w:asciiTheme="minorHAnsi" w:hAnsiTheme="minorHAnsi" w:cstheme="minorHAnsi"/>
                <w:sz w:val="22"/>
                <w:szCs w:val="22"/>
              </w:rPr>
              <w:t>8</w:t>
            </w:r>
            <w:r w:rsidR="00B9702A" w:rsidRPr="00B9702A">
              <w:rPr>
                <w:rFonts w:asciiTheme="minorHAnsi" w:hAnsiTheme="minorHAnsi" w:cstheme="minorHAnsi"/>
                <w:sz w:val="22"/>
                <w:szCs w:val="22"/>
                <w:vertAlign w:val="superscript"/>
              </w:rPr>
              <w:t>th</w:t>
            </w:r>
            <w:r w:rsidR="00B9702A">
              <w:rPr>
                <w:rFonts w:asciiTheme="minorHAnsi" w:hAnsiTheme="minorHAnsi" w:cstheme="minorHAnsi"/>
                <w:sz w:val="22"/>
                <w:szCs w:val="22"/>
              </w:rPr>
              <w:t xml:space="preserve"> July</w:t>
            </w:r>
            <w:r w:rsidRPr="00EB01ED">
              <w:rPr>
                <w:rFonts w:asciiTheme="minorHAnsi" w:hAnsiTheme="minorHAnsi" w:cstheme="minorHAnsi"/>
                <w:sz w:val="22"/>
                <w:szCs w:val="22"/>
              </w:rPr>
              <w:t xml:space="preserve"> 2023</w:t>
            </w:r>
          </w:p>
        </w:tc>
      </w:tr>
      <w:tr w:rsidR="008A46D6" w:rsidRPr="00EB01ED" w14:paraId="305C63C7" w14:textId="77777777" w:rsidTr="004A7258">
        <w:trPr>
          <w:trHeight w:val="978"/>
        </w:trPr>
        <w:tc>
          <w:tcPr>
            <w:tcW w:w="8856" w:type="dxa"/>
            <w:gridSpan w:val="5"/>
            <w:tcBorders>
              <w:bottom w:val="single" w:sz="4" w:space="0" w:color="000000"/>
            </w:tcBorders>
          </w:tcPr>
          <w:p w14:paraId="7A97E5EB" w14:textId="74DE8585" w:rsidR="008A46D6" w:rsidRPr="00EB01ED" w:rsidRDefault="008A46D6" w:rsidP="004A7258">
            <w:pPr>
              <w:rPr>
                <w:rFonts w:cstheme="minorHAnsi"/>
                <w:sz w:val="22"/>
                <w:szCs w:val="22"/>
              </w:rPr>
            </w:pPr>
            <w:r w:rsidRPr="00EB01ED">
              <w:rPr>
                <w:rFonts w:cstheme="minorHAnsi"/>
                <w:sz w:val="22"/>
                <w:szCs w:val="22"/>
              </w:rPr>
              <w:t>This assignment is for the       1</w:t>
            </w:r>
            <w:r w:rsidRPr="00EB01ED">
              <w:rPr>
                <w:rFonts w:cstheme="minorHAnsi"/>
                <w:sz w:val="22"/>
                <w:szCs w:val="22"/>
                <w:vertAlign w:val="superscript"/>
              </w:rPr>
              <w:t>st x</w:t>
            </w:r>
            <w:r w:rsidRPr="00EB01ED">
              <w:rPr>
                <w:rFonts w:cstheme="minorHAnsi"/>
                <w:sz w:val="22"/>
                <w:szCs w:val="22"/>
              </w:rPr>
              <w:fldChar w:fldCharType="begin">
                <w:ffData>
                  <w:name w:val="Check13"/>
                  <w:enabled/>
                  <w:calcOnExit w:val="0"/>
                  <w:checkBox>
                    <w:sizeAuto/>
                    <w:default w:val="1"/>
                  </w:checkBox>
                </w:ffData>
              </w:fldChar>
            </w:r>
            <w:bookmarkStart w:id="0" w:name="Check13"/>
            <w:r w:rsidRPr="00EB01ED">
              <w:rPr>
                <w:rFonts w:cstheme="minorHAnsi"/>
                <w:sz w:val="22"/>
                <w:szCs w:val="22"/>
              </w:rPr>
              <w:instrText xml:space="preserve"> FORMCHECKBOX </w:instrText>
            </w:r>
            <w:r>
              <w:rPr>
                <w:rFonts w:cstheme="minorHAnsi"/>
                <w:sz w:val="22"/>
                <w:szCs w:val="22"/>
              </w:rPr>
            </w:r>
            <w:r>
              <w:rPr>
                <w:rFonts w:cstheme="minorHAnsi"/>
                <w:sz w:val="22"/>
                <w:szCs w:val="22"/>
              </w:rPr>
              <w:fldChar w:fldCharType="separate"/>
            </w:r>
            <w:r w:rsidRPr="00EB01ED">
              <w:rPr>
                <w:rFonts w:cstheme="minorHAnsi"/>
                <w:sz w:val="22"/>
                <w:szCs w:val="22"/>
              </w:rPr>
              <w:fldChar w:fldCharType="end"/>
            </w:r>
            <w:bookmarkEnd w:id="0"/>
            <w:r w:rsidRPr="00EB01ED">
              <w:rPr>
                <w:rFonts w:cstheme="minorHAnsi"/>
                <w:sz w:val="22"/>
                <w:szCs w:val="22"/>
              </w:rPr>
              <w:t xml:space="preserve">    2</w:t>
            </w:r>
            <w:r w:rsidRPr="00EB01ED">
              <w:rPr>
                <w:rFonts w:cstheme="minorHAnsi"/>
                <w:sz w:val="22"/>
                <w:szCs w:val="22"/>
                <w:vertAlign w:val="superscript"/>
              </w:rPr>
              <w:t>nd</w:t>
            </w:r>
            <w:r w:rsidRPr="00EB01ED">
              <w:rPr>
                <w:rFonts w:cstheme="minorHAnsi"/>
                <w:sz w:val="22"/>
                <w:szCs w:val="22"/>
              </w:rPr>
              <w:t xml:space="preserve">  </w:t>
            </w:r>
            <w:r w:rsidRPr="00EB01ED">
              <w:rPr>
                <w:rFonts w:cstheme="minorHAnsi"/>
                <w:sz w:val="22"/>
                <w:szCs w:val="22"/>
              </w:rPr>
              <w:fldChar w:fldCharType="begin">
                <w:ffData>
                  <w:name w:val="Check14"/>
                  <w:enabled/>
                  <w:calcOnExit w:val="0"/>
                  <w:checkBox>
                    <w:sizeAuto/>
                    <w:default w:val="0"/>
                  </w:checkBox>
                </w:ffData>
              </w:fldChar>
            </w:r>
            <w:bookmarkStart w:id="1" w:name="Check14"/>
            <w:r w:rsidRPr="00EB01ED">
              <w:rPr>
                <w:rFonts w:cstheme="minorHAnsi"/>
                <w:sz w:val="22"/>
                <w:szCs w:val="22"/>
              </w:rPr>
              <w:instrText xml:space="preserve"> FORMCHECKBOX </w:instrText>
            </w:r>
            <w:r>
              <w:rPr>
                <w:rFonts w:cstheme="minorHAnsi"/>
                <w:sz w:val="22"/>
                <w:szCs w:val="22"/>
              </w:rPr>
            </w:r>
            <w:r>
              <w:rPr>
                <w:rFonts w:cstheme="minorHAnsi"/>
                <w:sz w:val="22"/>
                <w:szCs w:val="22"/>
              </w:rPr>
              <w:fldChar w:fldCharType="separate"/>
            </w:r>
            <w:r w:rsidRPr="00EB01ED">
              <w:rPr>
                <w:rFonts w:cstheme="minorHAnsi"/>
                <w:sz w:val="22"/>
                <w:szCs w:val="22"/>
              </w:rPr>
              <w:fldChar w:fldCharType="end"/>
            </w:r>
            <w:bookmarkEnd w:id="1"/>
            <w:r w:rsidRPr="00EB01ED">
              <w:rPr>
                <w:rFonts w:cstheme="minorHAnsi"/>
                <w:sz w:val="22"/>
                <w:szCs w:val="22"/>
              </w:rPr>
              <w:t xml:space="preserve">     3</w:t>
            </w:r>
            <w:r w:rsidRPr="00EB01ED">
              <w:rPr>
                <w:rFonts w:cstheme="minorHAnsi"/>
                <w:sz w:val="22"/>
                <w:szCs w:val="22"/>
                <w:vertAlign w:val="superscript"/>
              </w:rPr>
              <w:t>rd</w:t>
            </w:r>
            <w:r w:rsidRPr="00EB01ED">
              <w:rPr>
                <w:rFonts w:cstheme="minorHAnsi"/>
                <w:sz w:val="22"/>
                <w:szCs w:val="22"/>
              </w:rPr>
              <w:t xml:space="preserve">  </w:t>
            </w:r>
            <w:r w:rsidRPr="00EB01ED">
              <w:rPr>
                <w:rFonts w:cstheme="minorHAnsi"/>
                <w:sz w:val="22"/>
                <w:szCs w:val="22"/>
              </w:rPr>
              <w:fldChar w:fldCharType="begin">
                <w:ffData>
                  <w:name w:val="Check15"/>
                  <w:enabled/>
                  <w:calcOnExit w:val="0"/>
                  <w:checkBox>
                    <w:sizeAuto/>
                    <w:default w:val="0"/>
                  </w:checkBox>
                </w:ffData>
              </w:fldChar>
            </w:r>
            <w:bookmarkStart w:id="2" w:name="Check15"/>
            <w:r w:rsidRPr="00EB01ED">
              <w:rPr>
                <w:rFonts w:cstheme="minorHAnsi"/>
                <w:sz w:val="22"/>
                <w:szCs w:val="22"/>
              </w:rPr>
              <w:instrText xml:space="preserve"> FORMCHECKBOX </w:instrText>
            </w:r>
            <w:r>
              <w:rPr>
                <w:rFonts w:cstheme="minorHAnsi"/>
                <w:sz w:val="22"/>
                <w:szCs w:val="22"/>
              </w:rPr>
            </w:r>
            <w:r>
              <w:rPr>
                <w:rFonts w:cstheme="minorHAnsi"/>
                <w:sz w:val="22"/>
                <w:szCs w:val="22"/>
              </w:rPr>
              <w:fldChar w:fldCharType="separate"/>
            </w:r>
            <w:r w:rsidRPr="00EB01ED">
              <w:rPr>
                <w:rFonts w:cstheme="minorHAnsi"/>
                <w:sz w:val="22"/>
                <w:szCs w:val="22"/>
              </w:rPr>
              <w:fldChar w:fldCharType="end"/>
            </w:r>
            <w:bookmarkEnd w:id="2"/>
            <w:r w:rsidRPr="00EB01ED">
              <w:rPr>
                <w:rFonts w:cstheme="minorHAnsi"/>
                <w:sz w:val="22"/>
                <w:szCs w:val="22"/>
              </w:rPr>
              <w:t xml:space="preserve">      4</w:t>
            </w:r>
            <w:r w:rsidRPr="00EB01ED">
              <w:rPr>
                <w:rFonts w:cstheme="minorHAnsi"/>
                <w:sz w:val="22"/>
                <w:szCs w:val="22"/>
                <w:vertAlign w:val="superscript"/>
              </w:rPr>
              <w:t>th</w:t>
            </w:r>
            <w:r w:rsidRPr="00EB01ED">
              <w:rPr>
                <w:rFonts w:cstheme="minorHAnsi"/>
                <w:sz w:val="22"/>
                <w:szCs w:val="22"/>
              </w:rPr>
              <w:t xml:space="preserve"> </w:t>
            </w:r>
            <w:r w:rsidRPr="00EB01ED">
              <w:rPr>
                <w:rFonts w:cstheme="minorHAnsi"/>
                <w:sz w:val="22"/>
                <w:szCs w:val="22"/>
              </w:rPr>
              <w:fldChar w:fldCharType="begin">
                <w:ffData>
                  <w:name w:val="Check16"/>
                  <w:enabled/>
                  <w:calcOnExit w:val="0"/>
                  <w:checkBox>
                    <w:sizeAuto/>
                    <w:default w:val="0"/>
                  </w:checkBox>
                </w:ffData>
              </w:fldChar>
            </w:r>
            <w:bookmarkStart w:id="3" w:name="Check16"/>
            <w:r w:rsidRPr="00EB01ED">
              <w:rPr>
                <w:rFonts w:cstheme="minorHAnsi"/>
                <w:sz w:val="22"/>
                <w:szCs w:val="22"/>
              </w:rPr>
              <w:instrText xml:space="preserve"> FORMCHECKBOX </w:instrText>
            </w:r>
            <w:r>
              <w:rPr>
                <w:rFonts w:cstheme="minorHAnsi"/>
                <w:sz w:val="22"/>
                <w:szCs w:val="22"/>
              </w:rPr>
            </w:r>
            <w:r>
              <w:rPr>
                <w:rFonts w:cstheme="minorHAnsi"/>
                <w:sz w:val="22"/>
                <w:szCs w:val="22"/>
              </w:rPr>
              <w:fldChar w:fldCharType="separate"/>
            </w:r>
            <w:r w:rsidRPr="00EB01ED">
              <w:rPr>
                <w:rFonts w:cstheme="minorHAnsi"/>
                <w:sz w:val="22"/>
                <w:szCs w:val="22"/>
              </w:rPr>
              <w:fldChar w:fldCharType="end"/>
            </w:r>
            <w:bookmarkEnd w:id="3"/>
            <w:r w:rsidRPr="00EB01ED">
              <w:rPr>
                <w:rFonts w:cstheme="minorHAnsi"/>
                <w:sz w:val="22"/>
                <w:szCs w:val="22"/>
              </w:rPr>
              <w:t xml:space="preserve">      5</w:t>
            </w:r>
            <w:r w:rsidRPr="00EB01ED">
              <w:rPr>
                <w:rFonts w:cstheme="minorHAnsi"/>
                <w:sz w:val="22"/>
                <w:szCs w:val="22"/>
                <w:vertAlign w:val="superscript"/>
              </w:rPr>
              <w:t>th</w:t>
            </w:r>
            <w:r w:rsidRPr="00EB01ED">
              <w:rPr>
                <w:rFonts w:cstheme="minorHAnsi"/>
                <w:sz w:val="22"/>
                <w:szCs w:val="22"/>
              </w:rPr>
              <w:t xml:space="preserve"> </w:t>
            </w:r>
            <w:r w:rsidRPr="00EB01ED">
              <w:rPr>
                <w:rFonts w:cstheme="minorHAnsi"/>
                <w:sz w:val="22"/>
                <w:szCs w:val="22"/>
              </w:rPr>
              <w:fldChar w:fldCharType="begin">
                <w:ffData>
                  <w:name w:val="Check17"/>
                  <w:enabled/>
                  <w:calcOnExit w:val="0"/>
                  <w:checkBox>
                    <w:sizeAuto/>
                    <w:default w:val="0"/>
                  </w:checkBox>
                </w:ffData>
              </w:fldChar>
            </w:r>
            <w:bookmarkStart w:id="4" w:name="Check17"/>
            <w:r w:rsidRPr="00EB01ED">
              <w:rPr>
                <w:rFonts w:cstheme="minorHAnsi"/>
                <w:sz w:val="22"/>
                <w:szCs w:val="22"/>
              </w:rPr>
              <w:instrText xml:space="preserve"> FORMCHECKBOX </w:instrText>
            </w:r>
            <w:r>
              <w:rPr>
                <w:rFonts w:cstheme="minorHAnsi"/>
                <w:sz w:val="22"/>
                <w:szCs w:val="22"/>
              </w:rPr>
            </w:r>
            <w:r>
              <w:rPr>
                <w:rFonts w:cstheme="minorHAnsi"/>
                <w:sz w:val="22"/>
                <w:szCs w:val="22"/>
              </w:rPr>
              <w:fldChar w:fldCharType="separate"/>
            </w:r>
            <w:r w:rsidRPr="00EB01ED">
              <w:rPr>
                <w:rFonts w:cstheme="minorHAnsi"/>
                <w:sz w:val="22"/>
                <w:szCs w:val="22"/>
              </w:rPr>
              <w:fldChar w:fldCharType="end"/>
            </w:r>
            <w:bookmarkEnd w:id="4"/>
            <w:r w:rsidRPr="00EB01ED">
              <w:rPr>
                <w:rFonts w:cstheme="minorHAnsi"/>
                <w:sz w:val="22"/>
                <w:szCs w:val="22"/>
              </w:rPr>
              <w:t xml:space="preserve">      6</w:t>
            </w:r>
            <w:r w:rsidRPr="00EB01ED">
              <w:rPr>
                <w:rFonts w:cstheme="minorHAnsi"/>
                <w:sz w:val="22"/>
                <w:szCs w:val="22"/>
                <w:vertAlign w:val="superscript"/>
              </w:rPr>
              <w:t>th</w:t>
            </w:r>
            <w:r w:rsidRPr="00EB01ED">
              <w:rPr>
                <w:rFonts w:cstheme="minorHAnsi"/>
                <w:sz w:val="22"/>
                <w:szCs w:val="22"/>
              </w:rPr>
              <w:t xml:space="preserve"> </w:t>
            </w:r>
            <w:r w:rsidRPr="00EB01ED">
              <w:rPr>
                <w:rFonts w:cstheme="minorHAnsi"/>
                <w:sz w:val="22"/>
                <w:szCs w:val="22"/>
              </w:rPr>
              <w:fldChar w:fldCharType="begin">
                <w:ffData>
                  <w:name w:val="Check18"/>
                  <w:enabled/>
                  <w:calcOnExit w:val="0"/>
                  <w:checkBox>
                    <w:sizeAuto/>
                    <w:default w:val="0"/>
                  </w:checkBox>
                </w:ffData>
              </w:fldChar>
            </w:r>
            <w:bookmarkStart w:id="5" w:name="Check18"/>
            <w:r w:rsidRPr="00EB01ED">
              <w:rPr>
                <w:rFonts w:cstheme="minorHAnsi"/>
                <w:sz w:val="22"/>
                <w:szCs w:val="22"/>
              </w:rPr>
              <w:instrText xml:space="preserve"> FORMCHECKBOX </w:instrText>
            </w:r>
            <w:r>
              <w:rPr>
                <w:rFonts w:cstheme="minorHAnsi"/>
                <w:sz w:val="22"/>
                <w:szCs w:val="22"/>
              </w:rPr>
            </w:r>
            <w:r>
              <w:rPr>
                <w:rFonts w:cstheme="minorHAnsi"/>
                <w:sz w:val="22"/>
                <w:szCs w:val="22"/>
              </w:rPr>
              <w:fldChar w:fldCharType="separate"/>
            </w:r>
            <w:r w:rsidRPr="00EB01ED">
              <w:rPr>
                <w:rFonts w:cstheme="minorHAnsi"/>
                <w:sz w:val="22"/>
                <w:szCs w:val="22"/>
              </w:rPr>
              <w:fldChar w:fldCharType="end"/>
            </w:r>
            <w:bookmarkEnd w:id="5"/>
            <w:r w:rsidRPr="00EB01ED">
              <w:rPr>
                <w:rFonts w:cstheme="minorHAnsi"/>
                <w:b/>
                <w:sz w:val="22"/>
                <w:szCs w:val="22"/>
              </w:rPr>
              <w:t xml:space="preserve">   </w:t>
            </w:r>
            <w:r w:rsidRPr="00EB01ED">
              <w:rPr>
                <w:rFonts w:cstheme="minorHAnsi"/>
                <w:sz w:val="22"/>
                <w:szCs w:val="22"/>
              </w:rPr>
              <w:t>module of the degree</w:t>
            </w:r>
          </w:p>
        </w:tc>
      </w:tr>
      <w:tr w:rsidR="008A46D6" w:rsidRPr="00EB01ED" w14:paraId="53AED673" w14:textId="77777777" w:rsidTr="004A7258">
        <w:trPr>
          <w:trHeight w:val="978"/>
        </w:trPr>
        <w:tc>
          <w:tcPr>
            <w:tcW w:w="8856" w:type="dxa"/>
            <w:gridSpan w:val="5"/>
            <w:shd w:val="clear" w:color="auto" w:fill="D9D9D9"/>
          </w:tcPr>
          <w:p w14:paraId="636CA96D"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r w:rsidRPr="00EB01ED">
              <w:rPr>
                <w:rFonts w:asciiTheme="minorHAnsi" w:hAnsiTheme="minorHAnsi" w:cstheme="minorHAnsi"/>
                <w:sz w:val="22"/>
                <w:szCs w:val="22"/>
              </w:rPr>
              <w:t>I confirm that this is my original work and that I have adhered to the University policy on plagiarism.</w:t>
            </w:r>
          </w:p>
          <w:p w14:paraId="5AAC9629"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r w:rsidRPr="00EB01ED">
              <w:rPr>
                <w:rFonts w:asciiTheme="minorHAnsi" w:hAnsiTheme="minorHAnsi" w:cstheme="minorHAnsi"/>
                <w:sz w:val="22"/>
                <w:szCs w:val="22"/>
              </w:rPr>
              <w:t>Signed ………Tareck Ghoneim……………………………………………………</w:t>
            </w:r>
          </w:p>
          <w:p w14:paraId="2A097B63" w14:textId="77777777" w:rsidR="008A46D6" w:rsidRPr="00EB01ED" w:rsidRDefault="008A46D6" w:rsidP="004A7258">
            <w:pPr>
              <w:pStyle w:val="NormalWeb"/>
              <w:spacing w:before="0" w:beforeAutospacing="0" w:after="0" w:afterAutospacing="0"/>
              <w:ind w:right="34"/>
              <w:rPr>
                <w:rFonts w:asciiTheme="minorHAnsi" w:hAnsiTheme="minorHAnsi" w:cstheme="minorHAnsi"/>
                <w:b/>
                <w:sz w:val="22"/>
                <w:szCs w:val="22"/>
              </w:rPr>
            </w:pPr>
            <w:r w:rsidRPr="00EB01ED">
              <w:rPr>
                <w:rFonts w:asciiTheme="minorHAnsi" w:hAnsiTheme="minorHAnsi" w:cstheme="minorHAnsi"/>
                <w:b/>
                <w:sz w:val="22"/>
                <w:szCs w:val="22"/>
              </w:rPr>
              <w:t>Email submission:if you are submitting this form via email, please tick this box x</w:t>
            </w:r>
          </w:p>
          <w:p w14:paraId="48CF4C4C" w14:textId="77777777" w:rsidR="008A46D6" w:rsidRPr="00EB01ED" w:rsidRDefault="008A46D6" w:rsidP="004A7258">
            <w:pPr>
              <w:pStyle w:val="NormalWeb"/>
              <w:spacing w:before="0" w:beforeAutospacing="0" w:after="0" w:afterAutospacing="0"/>
              <w:ind w:right="34"/>
              <w:rPr>
                <w:rFonts w:asciiTheme="minorHAnsi" w:hAnsiTheme="minorHAnsi" w:cstheme="minorHAnsi"/>
                <w:sz w:val="22"/>
                <w:szCs w:val="22"/>
              </w:rPr>
            </w:pPr>
            <w:r w:rsidRPr="00EB01ED">
              <w:rPr>
                <w:rFonts w:asciiTheme="minorHAnsi" w:hAnsiTheme="minorHAnsi" w:cstheme="minorHAnsi"/>
                <w:b/>
                <w:sz w:val="22"/>
                <w:szCs w:val="22"/>
              </w:rPr>
              <w:t>(as a substitute for your signature) to confirm that you agree to the above declaration.</w:t>
            </w:r>
          </w:p>
        </w:tc>
      </w:tr>
      <w:tr w:rsidR="008A46D6" w:rsidRPr="00EB01ED" w14:paraId="5B8AB44C" w14:textId="77777777" w:rsidTr="004A7258">
        <w:trPr>
          <w:trHeight w:val="3972"/>
        </w:trPr>
        <w:tc>
          <w:tcPr>
            <w:tcW w:w="8856" w:type="dxa"/>
            <w:gridSpan w:val="5"/>
          </w:tcPr>
          <w:p w14:paraId="7565E79F" w14:textId="77777777" w:rsidR="008A46D6" w:rsidRPr="00EB01ED" w:rsidRDefault="008A46D6" w:rsidP="004A7258">
            <w:pPr>
              <w:rPr>
                <w:rFonts w:cstheme="minorHAnsi"/>
                <w:b/>
                <w:sz w:val="22"/>
                <w:szCs w:val="22"/>
              </w:rPr>
            </w:pPr>
          </w:p>
          <w:p w14:paraId="6173A38A" w14:textId="77777777" w:rsidR="008A46D6" w:rsidRPr="00EB01ED" w:rsidRDefault="008A46D6" w:rsidP="004A7258">
            <w:pPr>
              <w:rPr>
                <w:rFonts w:cstheme="minorHAnsi"/>
                <w:sz w:val="22"/>
                <w:szCs w:val="22"/>
              </w:rPr>
            </w:pPr>
            <w:r w:rsidRPr="00EB01ED">
              <w:rPr>
                <w:rFonts w:cstheme="minorHAnsi"/>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A46D6" w:rsidRPr="00EB01ED" w14:paraId="4D60FE93" w14:textId="77777777" w:rsidTr="004A7258">
              <w:tc>
                <w:tcPr>
                  <w:tcW w:w="6970" w:type="dxa"/>
                </w:tcPr>
                <w:p w14:paraId="2C55CAD0" w14:textId="77777777" w:rsidR="008A46D6" w:rsidRPr="00EB01ED" w:rsidRDefault="008A46D6" w:rsidP="004A7258">
                  <w:pPr>
                    <w:rPr>
                      <w:rFonts w:cstheme="minorHAnsi"/>
                      <w:sz w:val="22"/>
                      <w:szCs w:val="22"/>
                    </w:rPr>
                  </w:pPr>
                </w:p>
                <w:p w14:paraId="725253B1" w14:textId="77777777" w:rsidR="008A46D6" w:rsidRPr="00EB01ED" w:rsidRDefault="008A46D6" w:rsidP="004A7258">
                  <w:pPr>
                    <w:rPr>
                      <w:rFonts w:cstheme="minorHAnsi"/>
                      <w:sz w:val="22"/>
                      <w:szCs w:val="22"/>
                    </w:rPr>
                  </w:pPr>
                  <w:r w:rsidRPr="00EB01ED">
                    <w:rPr>
                      <w:rFonts w:cstheme="minorHAnsi"/>
                      <w:sz w:val="22"/>
                      <w:szCs w:val="22"/>
                    </w:rPr>
                    <w:t>1</w:t>
                  </w:r>
                  <w:r w:rsidRPr="00EB01ED">
                    <w:rPr>
                      <w:rFonts w:cstheme="minorHAnsi"/>
                      <w:sz w:val="22"/>
                      <w:szCs w:val="22"/>
                      <w:vertAlign w:val="superscript"/>
                    </w:rPr>
                    <w:t>st</w:t>
                  </w:r>
                  <w:r w:rsidRPr="00EB01ED">
                    <w:rPr>
                      <w:rFonts w:cstheme="minorHAnsi"/>
                      <w:sz w:val="22"/>
                      <w:szCs w:val="22"/>
                    </w:rPr>
                    <w:t xml:space="preserve"> Marker’s Provisional mark</w:t>
                  </w:r>
                </w:p>
              </w:tc>
              <w:tc>
                <w:tcPr>
                  <w:tcW w:w="1660" w:type="dxa"/>
                </w:tcPr>
                <w:p w14:paraId="5B61AE1A" w14:textId="77777777" w:rsidR="008A46D6" w:rsidRPr="00EB01ED" w:rsidRDefault="008A46D6" w:rsidP="004A7258">
                  <w:pPr>
                    <w:rPr>
                      <w:rFonts w:cstheme="minorHAnsi"/>
                      <w:sz w:val="22"/>
                      <w:szCs w:val="22"/>
                    </w:rPr>
                  </w:pPr>
                </w:p>
              </w:tc>
            </w:tr>
            <w:tr w:rsidR="008A46D6" w:rsidRPr="00EB01ED" w14:paraId="2AB5400D" w14:textId="77777777" w:rsidTr="004A7258">
              <w:tc>
                <w:tcPr>
                  <w:tcW w:w="6970" w:type="dxa"/>
                </w:tcPr>
                <w:p w14:paraId="1D133328" w14:textId="77777777" w:rsidR="008A46D6" w:rsidRPr="00EB01ED" w:rsidRDefault="008A46D6" w:rsidP="004A7258">
                  <w:pPr>
                    <w:rPr>
                      <w:rFonts w:cstheme="minorHAnsi"/>
                      <w:sz w:val="22"/>
                      <w:szCs w:val="22"/>
                    </w:rPr>
                  </w:pPr>
                </w:p>
                <w:p w14:paraId="049E52A3" w14:textId="77777777" w:rsidR="008A46D6" w:rsidRPr="00EB01ED" w:rsidRDefault="008A46D6" w:rsidP="004A7258">
                  <w:pPr>
                    <w:rPr>
                      <w:rFonts w:cstheme="minorHAnsi"/>
                      <w:sz w:val="22"/>
                      <w:szCs w:val="22"/>
                    </w:rPr>
                  </w:pPr>
                  <w:r w:rsidRPr="00EB01ED">
                    <w:rPr>
                      <w:rFonts w:cstheme="minorHAnsi"/>
                      <w:sz w:val="22"/>
                      <w:szCs w:val="22"/>
                    </w:rPr>
                    <w:t>2</w:t>
                  </w:r>
                  <w:r w:rsidRPr="00EB01ED">
                    <w:rPr>
                      <w:rFonts w:cstheme="minorHAnsi"/>
                      <w:sz w:val="22"/>
                      <w:szCs w:val="22"/>
                      <w:vertAlign w:val="superscript"/>
                    </w:rPr>
                    <w:t>nd</w:t>
                  </w:r>
                  <w:r w:rsidRPr="00EB01ED">
                    <w:rPr>
                      <w:rFonts w:cstheme="minorHAnsi"/>
                      <w:sz w:val="22"/>
                      <w:szCs w:val="22"/>
                    </w:rPr>
                    <w:t xml:space="preserve"> Marker’s/Moderator’s provisional mark</w:t>
                  </w:r>
                </w:p>
              </w:tc>
              <w:tc>
                <w:tcPr>
                  <w:tcW w:w="1660" w:type="dxa"/>
                </w:tcPr>
                <w:p w14:paraId="48D4E72B" w14:textId="77777777" w:rsidR="008A46D6" w:rsidRPr="00EB01ED" w:rsidRDefault="008A46D6" w:rsidP="004A7258">
                  <w:pPr>
                    <w:rPr>
                      <w:rFonts w:cstheme="minorHAnsi"/>
                      <w:sz w:val="22"/>
                      <w:szCs w:val="22"/>
                    </w:rPr>
                  </w:pPr>
                </w:p>
              </w:tc>
            </w:tr>
            <w:tr w:rsidR="008A46D6" w:rsidRPr="00EB01ED" w14:paraId="515AEE44" w14:textId="77777777" w:rsidTr="004A7258">
              <w:tc>
                <w:tcPr>
                  <w:tcW w:w="6970" w:type="dxa"/>
                </w:tcPr>
                <w:p w14:paraId="06670DFD" w14:textId="77777777" w:rsidR="008A46D6" w:rsidRPr="00EB01ED" w:rsidRDefault="008A46D6" w:rsidP="004A7258">
                  <w:pPr>
                    <w:rPr>
                      <w:rFonts w:cstheme="minorHAnsi"/>
                      <w:sz w:val="22"/>
                      <w:szCs w:val="22"/>
                    </w:rPr>
                  </w:pPr>
                </w:p>
                <w:p w14:paraId="3A905F87" w14:textId="77777777" w:rsidR="008A46D6" w:rsidRPr="00EB01ED" w:rsidRDefault="008A46D6" w:rsidP="004A7258">
                  <w:pPr>
                    <w:rPr>
                      <w:rFonts w:cstheme="minorHAnsi"/>
                      <w:sz w:val="22"/>
                      <w:szCs w:val="22"/>
                    </w:rPr>
                  </w:pPr>
                  <w:r w:rsidRPr="00EB01ED">
                    <w:rPr>
                      <w:rFonts w:cstheme="minorHAnsi"/>
                      <w:sz w:val="22"/>
                      <w:szCs w:val="22"/>
                    </w:rPr>
                    <w:t>External Examiner’s mark (if relevant)</w:t>
                  </w:r>
                </w:p>
              </w:tc>
              <w:tc>
                <w:tcPr>
                  <w:tcW w:w="1660" w:type="dxa"/>
                </w:tcPr>
                <w:p w14:paraId="4FAD95DC" w14:textId="77777777" w:rsidR="008A46D6" w:rsidRPr="00EB01ED" w:rsidRDefault="008A46D6" w:rsidP="004A7258">
                  <w:pPr>
                    <w:rPr>
                      <w:rFonts w:cstheme="minorHAnsi"/>
                      <w:sz w:val="22"/>
                      <w:szCs w:val="22"/>
                    </w:rPr>
                  </w:pPr>
                </w:p>
              </w:tc>
            </w:tr>
            <w:tr w:rsidR="008A46D6" w:rsidRPr="00EB01ED" w14:paraId="04683939" w14:textId="77777777" w:rsidTr="004A7258">
              <w:tc>
                <w:tcPr>
                  <w:tcW w:w="6970" w:type="dxa"/>
                </w:tcPr>
                <w:p w14:paraId="28737C46" w14:textId="77777777" w:rsidR="008A46D6" w:rsidRPr="00EB01ED" w:rsidRDefault="008A46D6" w:rsidP="004A7258">
                  <w:pPr>
                    <w:rPr>
                      <w:rFonts w:cstheme="minorHAnsi"/>
                      <w:sz w:val="22"/>
                      <w:szCs w:val="22"/>
                    </w:rPr>
                  </w:pPr>
                </w:p>
                <w:p w14:paraId="71734D89" w14:textId="77777777" w:rsidR="008A46D6" w:rsidRPr="00EB01ED" w:rsidRDefault="008A46D6" w:rsidP="004A7258">
                  <w:pPr>
                    <w:rPr>
                      <w:rFonts w:cstheme="minorHAnsi"/>
                      <w:b/>
                      <w:sz w:val="22"/>
                      <w:szCs w:val="22"/>
                    </w:rPr>
                  </w:pPr>
                  <w:r w:rsidRPr="00EB01ED">
                    <w:rPr>
                      <w:rFonts w:cstheme="minorHAnsi"/>
                      <w:b/>
                      <w:sz w:val="22"/>
                      <w:szCs w:val="22"/>
                    </w:rPr>
                    <w:t>Final Mark</w:t>
                  </w:r>
                </w:p>
                <w:p w14:paraId="6F72853D" w14:textId="77777777" w:rsidR="008A46D6" w:rsidRPr="00EB01ED" w:rsidRDefault="008A46D6" w:rsidP="004A7258">
                  <w:pPr>
                    <w:rPr>
                      <w:rFonts w:cstheme="minorHAnsi"/>
                      <w:sz w:val="22"/>
                      <w:szCs w:val="22"/>
                    </w:rPr>
                  </w:pPr>
                </w:p>
              </w:tc>
              <w:tc>
                <w:tcPr>
                  <w:tcW w:w="1660" w:type="dxa"/>
                </w:tcPr>
                <w:p w14:paraId="176E7AC3" w14:textId="77777777" w:rsidR="008A46D6" w:rsidRPr="00EB01ED" w:rsidRDefault="008A46D6" w:rsidP="004A7258">
                  <w:pPr>
                    <w:rPr>
                      <w:rFonts w:cstheme="minorHAnsi"/>
                      <w:sz w:val="22"/>
                      <w:szCs w:val="22"/>
                    </w:rPr>
                  </w:pPr>
                </w:p>
              </w:tc>
            </w:tr>
          </w:tbl>
          <w:p w14:paraId="2D6803E5" w14:textId="77777777" w:rsidR="008A46D6" w:rsidRPr="00EB01ED" w:rsidRDefault="008A46D6" w:rsidP="004A7258">
            <w:pPr>
              <w:pStyle w:val="NormalWeb"/>
              <w:spacing w:before="0" w:beforeAutospacing="0" w:after="0" w:afterAutospacing="0"/>
              <w:ind w:left="142" w:right="34"/>
              <w:rPr>
                <w:rFonts w:asciiTheme="minorHAnsi" w:hAnsiTheme="minorHAnsi" w:cstheme="minorHAnsi"/>
                <w:b/>
                <w:sz w:val="22"/>
                <w:szCs w:val="22"/>
              </w:rPr>
            </w:pPr>
          </w:p>
          <w:p w14:paraId="0A6A26E9" w14:textId="77777777" w:rsidR="008A46D6" w:rsidRPr="00EB01ED" w:rsidRDefault="008A46D6" w:rsidP="004A7258">
            <w:pPr>
              <w:pStyle w:val="NormalWeb"/>
              <w:spacing w:before="0" w:beforeAutospacing="0" w:after="0" w:afterAutospacing="0"/>
              <w:ind w:left="142" w:right="34"/>
              <w:rPr>
                <w:rFonts w:asciiTheme="minorHAnsi" w:hAnsiTheme="minorHAnsi" w:cstheme="minorHAnsi"/>
                <w:sz w:val="22"/>
                <w:szCs w:val="22"/>
              </w:rPr>
            </w:pPr>
            <w:r w:rsidRPr="00EB01ED">
              <w:rPr>
                <w:rFonts w:asciiTheme="minorHAnsi" w:hAnsiTheme="minorHAnsi" w:cstheme="minorHAnsi"/>
                <w:b/>
                <w:sz w:val="22"/>
                <w:szCs w:val="22"/>
              </w:rPr>
              <w:t>NB.</w:t>
            </w:r>
            <w:r w:rsidRPr="00EB01ED">
              <w:rPr>
                <w:rFonts w:asciiTheme="minorHAnsi" w:hAnsiTheme="minorHAnsi" w:cstheme="minorHAnsi"/>
                <w:sz w:val="22"/>
                <w:szCs w:val="22"/>
              </w:rPr>
              <w:t xml:space="preserve">  All marks are provisional until confirmed by the Final Examination Board.</w:t>
            </w:r>
          </w:p>
          <w:p w14:paraId="25636D65" w14:textId="77777777" w:rsidR="008A46D6" w:rsidRPr="00EB01ED" w:rsidRDefault="008A46D6" w:rsidP="004A7258">
            <w:pPr>
              <w:pStyle w:val="NormalWeb"/>
              <w:spacing w:before="0" w:beforeAutospacing="0" w:after="0" w:afterAutospacing="0"/>
              <w:rPr>
                <w:rFonts w:asciiTheme="minorHAnsi" w:hAnsiTheme="minorHAnsi" w:cstheme="minorHAnsi"/>
                <w:b/>
                <w:sz w:val="22"/>
                <w:szCs w:val="22"/>
              </w:rPr>
            </w:pPr>
          </w:p>
          <w:p w14:paraId="726890BB" w14:textId="77777777" w:rsidR="008A46D6" w:rsidRPr="00EB01ED" w:rsidRDefault="008A46D6" w:rsidP="004A7258">
            <w:pPr>
              <w:pStyle w:val="NormalWeb"/>
              <w:spacing w:before="0" w:beforeAutospacing="0" w:after="0" w:afterAutospacing="0"/>
              <w:rPr>
                <w:rFonts w:asciiTheme="minorHAnsi" w:hAnsiTheme="minorHAnsi" w:cstheme="minorHAnsi"/>
                <w:b/>
                <w:sz w:val="22"/>
                <w:szCs w:val="22"/>
              </w:rPr>
            </w:pPr>
          </w:p>
          <w:p w14:paraId="30855C5B" w14:textId="77777777" w:rsidR="008A46D6" w:rsidRPr="00EB01ED" w:rsidRDefault="008A46D6" w:rsidP="004A7258">
            <w:pPr>
              <w:pStyle w:val="NormalWeb"/>
              <w:spacing w:before="0" w:beforeAutospacing="0" w:after="0" w:afterAutospacing="0"/>
              <w:rPr>
                <w:rFonts w:asciiTheme="minorHAnsi" w:hAnsiTheme="minorHAnsi" w:cstheme="minorHAnsi"/>
                <w:b/>
                <w:sz w:val="22"/>
                <w:szCs w:val="22"/>
              </w:rPr>
            </w:pPr>
          </w:p>
          <w:p w14:paraId="0734E3CE" w14:textId="77777777" w:rsidR="008A46D6" w:rsidRPr="00EB01ED" w:rsidRDefault="008A46D6" w:rsidP="004A7258">
            <w:pPr>
              <w:pStyle w:val="NormalWeb"/>
              <w:spacing w:before="0" w:beforeAutospacing="0" w:after="0" w:afterAutospacing="0"/>
              <w:rPr>
                <w:rFonts w:asciiTheme="minorHAnsi" w:hAnsiTheme="minorHAnsi" w:cstheme="minorHAnsi"/>
                <w:b/>
                <w:sz w:val="22"/>
                <w:szCs w:val="22"/>
              </w:rPr>
            </w:pPr>
          </w:p>
          <w:p w14:paraId="13141A06" w14:textId="77777777" w:rsidR="008A46D6" w:rsidRPr="00EB01ED" w:rsidRDefault="008A46D6" w:rsidP="004A7258">
            <w:pPr>
              <w:pStyle w:val="NormalWeb"/>
              <w:spacing w:before="0" w:beforeAutospacing="0" w:after="0" w:afterAutospacing="0"/>
              <w:rPr>
                <w:rFonts w:asciiTheme="minorHAnsi" w:hAnsiTheme="minorHAnsi" w:cstheme="minorHAnsi"/>
                <w:b/>
                <w:sz w:val="22"/>
                <w:szCs w:val="22"/>
              </w:rPr>
            </w:pPr>
          </w:p>
          <w:p w14:paraId="053716E6" w14:textId="77777777" w:rsidR="008A46D6" w:rsidRPr="00EB01ED" w:rsidRDefault="008A46D6" w:rsidP="004A7258">
            <w:pPr>
              <w:pStyle w:val="NormalWeb"/>
              <w:spacing w:before="0" w:beforeAutospacing="0" w:after="0" w:afterAutospacing="0"/>
              <w:rPr>
                <w:rFonts w:asciiTheme="minorHAnsi" w:hAnsiTheme="minorHAnsi" w:cstheme="minorHAnsi"/>
                <w:b/>
                <w:sz w:val="22"/>
                <w:szCs w:val="22"/>
              </w:rPr>
            </w:pPr>
            <w:r w:rsidRPr="00EB01ED">
              <w:rPr>
                <w:rFonts w:asciiTheme="minorHAnsi" w:hAnsiTheme="minorHAnsi" w:cstheme="minorHAnsi"/>
                <w:b/>
                <w:sz w:val="22"/>
                <w:szCs w:val="22"/>
              </w:rPr>
              <w:t>For completion by Marker 1 :</w:t>
            </w:r>
          </w:p>
          <w:p w14:paraId="2D762A4E" w14:textId="77777777" w:rsidR="008A46D6" w:rsidRPr="00EB01ED" w:rsidRDefault="008A46D6" w:rsidP="004A7258">
            <w:pPr>
              <w:pStyle w:val="NormalWeb"/>
              <w:rPr>
                <w:rFonts w:asciiTheme="minorHAnsi" w:hAnsiTheme="minorHAnsi" w:cstheme="minorHAnsi"/>
                <w:sz w:val="22"/>
                <w:szCs w:val="22"/>
              </w:rPr>
            </w:pPr>
            <w:r w:rsidRPr="00EB01ED">
              <w:rPr>
                <w:rFonts w:asciiTheme="minorHAnsi" w:hAnsiTheme="minorHAnsi" w:cstheme="minorHAnsi"/>
                <w:sz w:val="22"/>
                <w:szCs w:val="22"/>
              </w:rPr>
              <w:t>Comments:</w:t>
            </w:r>
          </w:p>
          <w:p w14:paraId="2941C762" w14:textId="77777777" w:rsidR="008A46D6" w:rsidRPr="00EB01ED" w:rsidRDefault="008A46D6" w:rsidP="004A7258">
            <w:pPr>
              <w:pStyle w:val="NormalWeb"/>
              <w:rPr>
                <w:rFonts w:asciiTheme="minorHAnsi" w:hAnsiTheme="minorHAnsi" w:cstheme="minorHAnsi"/>
                <w:sz w:val="22"/>
                <w:szCs w:val="22"/>
              </w:rPr>
            </w:pPr>
          </w:p>
        </w:tc>
      </w:tr>
      <w:tr w:rsidR="008A46D6" w:rsidRPr="00EB01ED" w14:paraId="741C42D1" w14:textId="77777777" w:rsidTr="004A7258">
        <w:trPr>
          <w:trHeight w:val="492"/>
        </w:trPr>
        <w:tc>
          <w:tcPr>
            <w:tcW w:w="6768" w:type="dxa"/>
            <w:gridSpan w:val="3"/>
          </w:tcPr>
          <w:p w14:paraId="73339C33" w14:textId="77777777" w:rsidR="008A46D6" w:rsidRPr="00EB01ED" w:rsidRDefault="008A46D6" w:rsidP="004A7258">
            <w:pPr>
              <w:pStyle w:val="NormalWeb"/>
              <w:ind w:left="142" w:right="34"/>
              <w:rPr>
                <w:rFonts w:asciiTheme="minorHAnsi" w:hAnsiTheme="minorHAnsi" w:cstheme="minorHAnsi"/>
                <w:sz w:val="22"/>
                <w:szCs w:val="22"/>
              </w:rPr>
            </w:pPr>
            <w:r w:rsidRPr="00EB01ED">
              <w:rPr>
                <w:rFonts w:asciiTheme="minorHAnsi" w:hAnsiTheme="minorHAnsi" w:cstheme="minorHAnsi"/>
                <w:sz w:val="22"/>
                <w:szCs w:val="22"/>
              </w:rPr>
              <w:lastRenderedPageBreak/>
              <w:t>Marker’s signature:</w:t>
            </w:r>
          </w:p>
        </w:tc>
        <w:tc>
          <w:tcPr>
            <w:tcW w:w="2088" w:type="dxa"/>
            <w:gridSpan w:val="2"/>
          </w:tcPr>
          <w:p w14:paraId="1DFC5381" w14:textId="77777777" w:rsidR="008A46D6" w:rsidRPr="00EB01ED" w:rsidRDefault="008A46D6" w:rsidP="004A7258">
            <w:pPr>
              <w:pStyle w:val="NormalWeb"/>
              <w:spacing w:after="0"/>
              <w:ind w:left="142" w:right="34"/>
              <w:rPr>
                <w:rFonts w:asciiTheme="minorHAnsi" w:hAnsiTheme="minorHAnsi" w:cstheme="minorHAnsi"/>
                <w:sz w:val="22"/>
                <w:szCs w:val="22"/>
              </w:rPr>
            </w:pPr>
            <w:r w:rsidRPr="00EB01ED">
              <w:rPr>
                <w:rFonts w:asciiTheme="minorHAnsi" w:hAnsiTheme="minorHAnsi" w:cstheme="minorHAnsi"/>
                <w:sz w:val="22"/>
                <w:szCs w:val="22"/>
              </w:rPr>
              <w:t>Date:</w:t>
            </w:r>
          </w:p>
        </w:tc>
      </w:tr>
      <w:tr w:rsidR="008A46D6" w:rsidRPr="00EB01ED" w14:paraId="572B3259" w14:textId="77777777" w:rsidTr="004A7258">
        <w:tc>
          <w:tcPr>
            <w:tcW w:w="8856" w:type="dxa"/>
            <w:gridSpan w:val="5"/>
          </w:tcPr>
          <w:p w14:paraId="7B3C4CA6" w14:textId="77777777" w:rsidR="008A46D6" w:rsidRPr="00EB01ED" w:rsidRDefault="008A46D6" w:rsidP="004A7258">
            <w:pPr>
              <w:pStyle w:val="NormalWeb"/>
              <w:spacing w:before="0" w:beforeAutospacing="0" w:after="0" w:afterAutospacing="0"/>
              <w:ind w:right="-334"/>
              <w:rPr>
                <w:rFonts w:asciiTheme="minorHAnsi" w:hAnsiTheme="minorHAnsi" w:cstheme="minorHAnsi"/>
                <w:bCs/>
                <w:i/>
                <w:sz w:val="22"/>
                <w:szCs w:val="22"/>
              </w:rPr>
            </w:pPr>
          </w:p>
          <w:p w14:paraId="53557EE7" w14:textId="77777777" w:rsidR="008A46D6" w:rsidRPr="00EB01ED" w:rsidRDefault="008A46D6" w:rsidP="004A7258">
            <w:pPr>
              <w:pStyle w:val="NormalWeb"/>
              <w:spacing w:before="0" w:beforeAutospacing="0" w:after="0" w:afterAutospacing="0"/>
              <w:ind w:right="-334"/>
              <w:rPr>
                <w:rFonts w:asciiTheme="minorHAnsi" w:hAnsiTheme="minorHAnsi" w:cstheme="minorHAnsi"/>
                <w:b/>
                <w:bCs/>
                <w:sz w:val="22"/>
                <w:szCs w:val="22"/>
              </w:rPr>
            </w:pPr>
            <w:r w:rsidRPr="00EB01ED">
              <w:rPr>
                <w:rFonts w:asciiTheme="minorHAnsi" w:hAnsiTheme="minorHAnsi" w:cstheme="minorHAnsi"/>
                <w:b/>
                <w:bCs/>
                <w:sz w:val="22"/>
                <w:szCs w:val="22"/>
              </w:rPr>
              <w:t>For completion by Marker 2/Moderator:</w:t>
            </w:r>
          </w:p>
          <w:p w14:paraId="11F254D7" w14:textId="77777777" w:rsidR="008A46D6" w:rsidRPr="00EB01ED" w:rsidRDefault="008A46D6" w:rsidP="004A7258">
            <w:pPr>
              <w:pStyle w:val="NormalWeb"/>
              <w:spacing w:before="0" w:beforeAutospacing="0" w:after="0" w:afterAutospacing="0"/>
              <w:ind w:right="-334"/>
              <w:rPr>
                <w:rFonts w:asciiTheme="minorHAnsi" w:hAnsiTheme="minorHAnsi" w:cstheme="minorHAnsi"/>
                <w:b/>
                <w:bCs/>
                <w:sz w:val="22"/>
                <w:szCs w:val="22"/>
              </w:rPr>
            </w:pPr>
          </w:p>
          <w:p w14:paraId="18AD6552"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r w:rsidRPr="00EB01ED">
              <w:rPr>
                <w:rFonts w:asciiTheme="minorHAnsi" w:hAnsiTheme="minorHAnsi" w:cstheme="minorHAnsi"/>
                <w:bCs/>
                <w:sz w:val="22"/>
                <w:szCs w:val="22"/>
              </w:rPr>
              <w:t>Comments:</w:t>
            </w:r>
          </w:p>
          <w:p w14:paraId="4F14AA85"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66DE7ED7"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00B4E5BC"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36DE18CA"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0169DFC5"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55BA3419"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636D9160"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7D6F0390"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26E89689"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43E3DCE9"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179EBA01"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3F52664B"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tc>
      </w:tr>
      <w:tr w:rsidR="008A46D6" w:rsidRPr="00EB01ED" w14:paraId="1FE398EC" w14:textId="77777777" w:rsidTr="004A7258">
        <w:trPr>
          <w:trHeight w:val="720"/>
        </w:trPr>
        <w:tc>
          <w:tcPr>
            <w:tcW w:w="5211" w:type="dxa"/>
            <w:gridSpan w:val="2"/>
          </w:tcPr>
          <w:p w14:paraId="2F3757C6"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r w:rsidRPr="00EB01ED">
              <w:rPr>
                <w:rFonts w:asciiTheme="minorHAnsi" w:hAnsiTheme="minorHAnsi" w:cstheme="minorHAnsi"/>
                <w:bCs/>
                <w:sz w:val="22"/>
                <w:szCs w:val="22"/>
              </w:rPr>
              <w:t>Marker’s Signature:</w:t>
            </w:r>
          </w:p>
        </w:tc>
        <w:tc>
          <w:tcPr>
            <w:tcW w:w="3645" w:type="dxa"/>
            <w:gridSpan w:val="3"/>
          </w:tcPr>
          <w:p w14:paraId="792F1FCB"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r w:rsidRPr="00EB01ED">
              <w:rPr>
                <w:rFonts w:asciiTheme="minorHAnsi" w:hAnsiTheme="minorHAnsi" w:cstheme="minorHAnsi"/>
                <w:bCs/>
                <w:sz w:val="22"/>
                <w:szCs w:val="22"/>
              </w:rPr>
              <w:t>Date:</w:t>
            </w:r>
          </w:p>
        </w:tc>
      </w:tr>
      <w:tr w:rsidR="008A46D6" w:rsidRPr="00EB01ED" w14:paraId="017B326F" w14:textId="77777777" w:rsidTr="004A7258">
        <w:trPr>
          <w:trHeight w:val="720"/>
        </w:trPr>
        <w:tc>
          <w:tcPr>
            <w:tcW w:w="8856" w:type="dxa"/>
            <w:gridSpan w:val="5"/>
          </w:tcPr>
          <w:p w14:paraId="796E580B" w14:textId="77777777" w:rsidR="008A46D6" w:rsidRPr="00EB01ED" w:rsidRDefault="008A46D6" w:rsidP="004A7258">
            <w:pPr>
              <w:rPr>
                <w:rFonts w:cstheme="minorHAnsi"/>
                <w:b/>
                <w:sz w:val="22"/>
                <w:szCs w:val="22"/>
              </w:rPr>
            </w:pPr>
            <w:r w:rsidRPr="00EB01ED">
              <w:rPr>
                <w:rFonts w:cstheme="minorHAnsi"/>
                <w:b/>
                <w:sz w:val="22"/>
                <w:szCs w:val="22"/>
              </w:rPr>
              <w:t>External Examiner’s comments (if relevant)</w:t>
            </w:r>
          </w:p>
          <w:p w14:paraId="193494AF"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1138CCA0"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4B0EE1CD"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14F960D9"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3E052379"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662EAD19"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27B3979D"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2FCC1B5B"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44424A2D"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3E246B34"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p w14:paraId="16316EFA" w14:textId="77777777" w:rsidR="008A46D6" w:rsidRPr="00EB01ED" w:rsidRDefault="008A46D6" w:rsidP="004A7258">
            <w:pPr>
              <w:pStyle w:val="NormalWeb"/>
              <w:spacing w:before="0" w:beforeAutospacing="0" w:after="0" w:afterAutospacing="0"/>
              <w:ind w:right="-334"/>
              <w:rPr>
                <w:rFonts w:asciiTheme="minorHAnsi" w:hAnsiTheme="minorHAnsi" w:cstheme="minorHAnsi"/>
                <w:bCs/>
                <w:sz w:val="22"/>
                <w:szCs w:val="22"/>
              </w:rPr>
            </w:pPr>
          </w:p>
        </w:tc>
      </w:tr>
      <w:tr w:rsidR="008A46D6" w:rsidRPr="00EB01ED" w14:paraId="5B9819C4" w14:textId="77777777" w:rsidTr="004A7258">
        <w:trPr>
          <w:trHeight w:val="720"/>
        </w:trPr>
        <w:tc>
          <w:tcPr>
            <w:tcW w:w="5211" w:type="dxa"/>
            <w:gridSpan w:val="2"/>
          </w:tcPr>
          <w:p w14:paraId="6E4A75FB" w14:textId="77777777" w:rsidR="008A46D6" w:rsidRPr="00EB01ED" w:rsidRDefault="008A46D6" w:rsidP="004A7258">
            <w:pPr>
              <w:rPr>
                <w:rFonts w:cstheme="minorHAnsi"/>
                <w:sz w:val="22"/>
                <w:szCs w:val="22"/>
              </w:rPr>
            </w:pPr>
            <w:r w:rsidRPr="00EB01ED">
              <w:rPr>
                <w:rFonts w:cstheme="minorHAnsi"/>
                <w:sz w:val="22"/>
                <w:szCs w:val="22"/>
              </w:rPr>
              <w:t>External Examiner’s Signature:</w:t>
            </w:r>
          </w:p>
        </w:tc>
        <w:tc>
          <w:tcPr>
            <w:tcW w:w="3645" w:type="dxa"/>
            <w:gridSpan w:val="3"/>
          </w:tcPr>
          <w:p w14:paraId="399D1E17" w14:textId="77777777" w:rsidR="008A46D6" w:rsidRPr="00EB01ED" w:rsidRDefault="008A46D6" w:rsidP="004A7258">
            <w:pPr>
              <w:rPr>
                <w:rFonts w:cstheme="minorHAnsi"/>
                <w:sz w:val="22"/>
                <w:szCs w:val="22"/>
              </w:rPr>
            </w:pPr>
            <w:r w:rsidRPr="00EB01ED">
              <w:rPr>
                <w:rFonts w:cstheme="minorHAnsi"/>
                <w:sz w:val="22"/>
                <w:szCs w:val="22"/>
              </w:rPr>
              <w:t>Date:</w:t>
            </w:r>
          </w:p>
        </w:tc>
      </w:tr>
    </w:tbl>
    <w:p w14:paraId="5AD7A1B2" w14:textId="77777777" w:rsidR="007F3306" w:rsidRPr="00A6710E" w:rsidRDefault="007F3306" w:rsidP="007F3306">
      <w:pPr>
        <w:rPr>
          <w:rFonts w:cstheme="minorHAnsi"/>
        </w:rPr>
      </w:pPr>
    </w:p>
    <w:p w14:paraId="17E49FF0" w14:textId="022F840A" w:rsidR="007F3306" w:rsidRPr="00A6710E" w:rsidRDefault="007F3306" w:rsidP="007F3306">
      <w:pPr>
        <w:rPr>
          <w:rFonts w:cstheme="minorHAnsi"/>
          <w:b/>
          <w:bCs/>
        </w:rPr>
      </w:pPr>
      <w:r w:rsidRPr="00A6710E">
        <w:rPr>
          <w:rFonts w:cstheme="minorHAnsi"/>
          <w:b/>
          <w:bCs/>
        </w:rPr>
        <w:lastRenderedPageBreak/>
        <w:t xml:space="preserve">Tareck Ghoneim </w:t>
      </w:r>
      <w:r w:rsidRPr="00A6710E">
        <w:rPr>
          <w:rFonts w:cstheme="minorHAnsi"/>
          <w:b/>
          <w:bCs/>
        </w:rPr>
        <w:tab/>
      </w:r>
      <w:r w:rsidRPr="00A6710E">
        <w:rPr>
          <w:rFonts w:cstheme="minorHAnsi"/>
          <w:b/>
          <w:bCs/>
        </w:rPr>
        <w:tab/>
      </w:r>
      <w:r w:rsidRPr="00A6710E">
        <w:rPr>
          <w:rFonts w:cstheme="minorHAnsi"/>
          <w:b/>
          <w:bCs/>
        </w:rPr>
        <w:tab/>
      </w:r>
      <w:r w:rsidRPr="00A6710E">
        <w:rPr>
          <w:rFonts w:cstheme="minorHAnsi"/>
          <w:b/>
          <w:bCs/>
        </w:rPr>
        <w:tab/>
        <w:t>HPCA7027</w:t>
      </w:r>
      <w:r w:rsidRPr="00A6710E">
        <w:rPr>
          <w:rFonts w:cstheme="minorHAnsi"/>
          <w:b/>
          <w:bCs/>
        </w:rPr>
        <w:tab/>
      </w:r>
      <w:r w:rsidRPr="00A6710E">
        <w:rPr>
          <w:rFonts w:cstheme="minorHAnsi"/>
          <w:b/>
          <w:bCs/>
        </w:rPr>
        <w:tab/>
      </w:r>
      <w:r w:rsidRPr="00A6710E">
        <w:rPr>
          <w:rFonts w:cstheme="minorHAnsi"/>
          <w:b/>
          <w:bCs/>
        </w:rPr>
        <w:tab/>
      </w:r>
      <w:r w:rsidRPr="00A6710E">
        <w:rPr>
          <w:rFonts w:cstheme="minorHAnsi"/>
          <w:b/>
          <w:bCs/>
        </w:rPr>
        <w:tab/>
        <w:t xml:space="preserve">Essay 2 </w:t>
      </w:r>
    </w:p>
    <w:p w14:paraId="38D87622" w14:textId="77777777" w:rsidR="007F3306" w:rsidRPr="00A6710E" w:rsidRDefault="007F3306" w:rsidP="007F3306">
      <w:pPr>
        <w:rPr>
          <w:rFonts w:cstheme="minorHAnsi"/>
        </w:rPr>
      </w:pPr>
    </w:p>
    <w:p w14:paraId="7496AC30" w14:textId="022FE08E" w:rsidR="007F3306" w:rsidRPr="00A6710E" w:rsidRDefault="007F3306" w:rsidP="007F3306">
      <w:pPr>
        <w:pStyle w:val="ListParagraph"/>
        <w:numPr>
          <w:ilvl w:val="0"/>
          <w:numId w:val="2"/>
        </w:numPr>
        <w:rPr>
          <w:rFonts w:cstheme="minorHAnsi"/>
          <w:b/>
          <w:bCs/>
        </w:rPr>
      </w:pPr>
      <w:r w:rsidRPr="00A6710E">
        <w:rPr>
          <w:rFonts w:cstheme="minorHAnsi"/>
          <w:b/>
          <w:bCs/>
        </w:rPr>
        <w:t xml:space="preserve">Analyse the roles, and relationship between, cosmology and divination in ONE of the following: </w:t>
      </w:r>
    </w:p>
    <w:p w14:paraId="11A3E700" w14:textId="443FB588" w:rsidR="007F3306" w:rsidRPr="00A6710E" w:rsidRDefault="007F3306" w:rsidP="007F3306">
      <w:pPr>
        <w:pStyle w:val="ListParagraph"/>
        <w:numPr>
          <w:ilvl w:val="0"/>
          <w:numId w:val="3"/>
        </w:numPr>
        <w:rPr>
          <w:rFonts w:cstheme="minorHAnsi"/>
          <w:b/>
          <w:bCs/>
        </w:rPr>
      </w:pPr>
      <w:r w:rsidRPr="00A6710E">
        <w:rPr>
          <w:rFonts w:cstheme="minorHAnsi"/>
          <w:b/>
          <w:bCs/>
        </w:rPr>
        <w:t>Ancient Egypt</w:t>
      </w:r>
    </w:p>
    <w:p w14:paraId="5B24023D" w14:textId="06B7E8A6" w:rsidR="007F3306" w:rsidRPr="00A6710E" w:rsidRDefault="007F3306" w:rsidP="007F3306">
      <w:pPr>
        <w:pStyle w:val="ListParagraph"/>
        <w:numPr>
          <w:ilvl w:val="0"/>
          <w:numId w:val="3"/>
        </w:numPr>
        <w:rPr>
          <w:rFonts w:cstheme="minorHAnsi"/>
          <w:b/>
          <w:bCs/>
        </w:rPr>
      </w:pPr>
      <w:r w:rsidRPr="00A6710E">
        <w:rPr>
          <w:rFonts w:cstheme="minorHAnsi"/>
          <w:b/>
          <w:bCs/>
        </w:rPr>
        <w:t xml:space="preserve">Ancient Mesopotamia </w:t>
      </w:r>
    </w:p>
    <w:p w14:paraId="1B3CEA61" w14:textId="3026BD0B" w:rsidR="007F3306" w:rsidRPr="00A6710E" w:rsidRDefault="007F3306" w:rsidP="007F3306">
      <w:pPr>
        <w:pStyle w:val="ListParagraph"/>
        <w:numPr>
          <w:ilvl w:val="0"/>
          <w:numId w:val="3"/>
        </w:numPr>
        <w:rPr>
          <w:rFonts w:cstheme="minorHAnsi"/>
          <w:b/>
          <w:bCs/>
        </w:rPr>
      </w:pPr>
      <w:r w:rsidRPr="00A6710E">
        <w:rPr>
          <w:rFonts w:cstheme="minorHAnsi"/>
          <w:b/>
          <w:bCs/>
        </w:rPr>
        <w:t xml:space="preserve">Hellenistic Astrology </w:t>
      </w:r>
    </w:p>
    <w:p w14:paraId="57E196D5" w14:textId="77777777" w:rsidR="007F3306" w:rsidRPr="00A6710E" w:rsidRDefault="007F3306" w:rsidP="007F3306">
      <w:pPr>
        <w:rPr>
          <w:rFonts w:cstheme="minorHAnsi"/>
          <w:b/>
          <w:bCs/>
        </w:rPr>
      </w:pPr>
    </w:p>
    <w:p w14:paraId="04644D30" w14:textId="65009C1D" w:rsidR="007F3306" w:rsidRDefault="007F3306" w:rsidP="007F3306">
      <w:pPr>
        <w:rPr>
          <w:rFonts w:cstheme="minorHAnsi"/>
          <w:b/>
          <w:bCs/>
        </w:rPr>
      </w:pPr>
      <w:r w:rsidRPr="00A6710E">
        <w:rPr>
          <w:rFonts w:cstheme="minorHAnsi"/>
          <w:b/>
          <w:bCs/>
        </w:rPr>
        <w:t xml:space="preserve">Introduction </w:t>
      </w:r>
    </w:p>
    <w:p w14:paraId="6371F543" w14:textId="25DAEEEC" w:rsidR="0089671D" w:rsidRDefault="0089671D" w:rsidP="007F3306">
      <w:pPr>
        <w:rPr>
          <w:rFonts w:cstheme="minorHAnsi"/>
          <w:b/>
          <w:bCs/>
        </w:rPr>
      </w:pPr>
    </w:p>
    <w:p w14:paraId="0CF939C8" w14:textId="5E54EC81" w:rsidR="0089671D" w:rsidRPr="00763E35" w:rsidRDefault="0089671D" w:rsidP="0089671D">
      <w:pPr>
        <w:autoSpaceDE w:val="0"/>
        <w:autoSpaceDN w:val="0"/>
        <w:adjustRightInd w:val="0"/>
        <w:rPr>
          <w:rFonts w:cs="AppleSystemUIFont"/>
          <w:color w:val="353535"/>
        </w:rPr>
      </w:pPr>
      <w:r w:rsidRPr="00763E35">
        <w:rPr>
          <w:rFonts w:cs="AppleSystemUIFont"/>
          <w:color w:val="353535"/>
        </w:rPr>
        <w:t>This essay explores the roles and relationship between cosmology and divination in Ancient Egypt.</w:t>
      </w:r>
      <w:r>
        <w:rPr>
          <w:rFonts w:cs="AppleSystemUIFont"/>
          <w:color w:val="353535"/>
        </w:rPr>
        <w:t xml:space="preserve"> Firstly, this essay will attempt to </w:t>
      </w:r>
      <w:r w:rsidRPr="00763E35">
        <w:rPr>
          <w:rFonts w:cs="AppleSystemUIFont"/>
          <w:color w:val="353535"/>
        </w:rPr>
        <w:t>examine the concept of divination</w:t>
      </w:r>
      <w:r w:rsidR="00C93EB2">
        <w:rPr>
          <w:rFonts w:cs="AppleSystemUIFont"/>
          <w:color w:val="353535"/>
        </w:rPr>
        <w:t xml:space="preserve"> and </w:t>
      </w:r>
      <w:r w:rsidRPr="00763E35">
        <w:rPr>
          <w:rFonts w:cs="AppleSystemUIFont"/>
          <w:color w:val="353535"/>
        </w:rPr>
        <w:t xml:space="preserve">its importance in Ancient Egyptian society. The </w:t>
      </w:r>
      <w:r>
        <w:rPr>
          <w:rFonts w:cs="AppleSystemUIFont"/>
          <w:color w:val="353535"/>
        </w:rPr>
        <w:t>next</w:t>
      </w:r>
      <w:r w:rsidRPr="00763E35">
        <w:rPr>
          <w:rFonts w:cs="AppleSystemUIFont"/>
          <w:color w:val="353535"/>
        </w:rPr>
        <w:t xml:space="preserve"> section analyses how cosmology and divination intersected in Ancient Egypt</w:t>
      </w:r>
      <w:r>
        <w:rPr>
          <w:rFonts w:cs="AppleSystemUIFont"/>
          <w:color w:val="353535"/>
        </w:rPr>
        <w:t xml:space="preserve">. An exploration of the </w:t>
      </w:r>
      <w:r w:rsidRPr="00763E35">
        <w:rPr>
          <w:rFonts w:cs="AppleSystemUIFont"/>
          <w:color w:val="353535"/>
        </w:rPr>
        <w:t xml:space="preserve">Egyptian worldview </w:t>
      </w:r>
      <w:r>
        <w:rPr>
          <w:rFonts w:cs="AppleSystemUIFont"/>
          <w:color w:val="353535"/>
        </w:rPr>
        <w:t xml:space="preserve">is explained, as Ancient Egyptian culture </w:t>
      </w:r>
      <w:r w:rsidRPr="00763E35">
        <w:rPr>
          <w:rFonts w:cs="AppleSystemUIFont"/>
          <w:color w:val="353535"/>
        </w:rPr>
        <w:t xml:space="preserve">was deeply influenced by their </w:t>
      </w:r>
      <w:r>
        <w:rPr>
          <w:rFonts w:cs="AppleSystemUIFont"/>
          <w:color w:val="353535"/>
        </w:rPr>
        <w:t xml:space="preserve">unique </w:t>
      </w:r>
      <w:r w:rsidRPr="00763E35">
        <w:rPr>
          <w:rFonts w:cs="AppleSystemUIFont"/>
          <w:color w:val="353535"/>
        </w:rPr>
        <w:t>understanding of the universe, where cosmology played a central role in shaping their beliefs about the order, harmony, and interplay of the cosm</w:t>
      </w:r>
      <w:r>
        <w:rPr>
          <w:rFonts w:cs="AppleSystemUIFont"/>
          <w:color w:val="353535"/>
        </w:rPr>
        <w:t>os</w:t>
      </w:r>
      <w:r w:rsidRPr="00763E35">
        <w:rPr>
          <w:rFonts w:cs="AppleSystemUIFont"/>
          <w:color w:val="353535"/>
        </w:rPr>
        <w:t xml:space="preserve">. </w:t>
      </w:r>
      <w:r>
        <w:rPr>
          <w:rFonts w:cs="AppleSystemUIFont"/>
          <w:color w:val="353535"/>
        </w:rPr>
        <w:t xml:space="preserve">Their </w:t>
      </w:r>
      <w:r w:rsidRPr="00763E35">
        <w:rPr>
          <w:rFonts w:cs="AppleSystemUIFont"/>
          <w:color w:val="353535"/>
        </w:rPr>
        <w:t>cosmological perspective guid</w:t>
      </w:r>
      <w:r>
        <w:rPr>
          <w:rFonts w:cs="AppleSystemUIFont"/>
          <w:color w:val="353535"/>
        </w:rPr>
        <w:t>ed much of</w:t>
      </w:r>
      <w:r w:rsidRPr="00763E35">
        <w:rPr>
          <w:rFonts w:cs="AppleSystemUIFont"/>
          <w:color w:val="353535"/>
        </w:rPr>
        <w:t xml:space="preserve"> their religious, political, and social practices</w:t>
      </w:r>
      <w:r>
        <w:rPr>
          <w:rFonts w:cs="AppleSystemUIFont"/>
          <w:color w:val="353535"/>
        </w:rPr>
        <w:t xml:space="preserve"> </w:t>
      </w:r>
      <w:r w:rsidRPr="00763E35">
        <w:rPr>
          <w:rFonts w:cs="AppleSystemUIFont"/>
          <w:color w:val="353535"/>
        </w:rPr>
        <w:t xml:space="preserve">The </w:t>
      </w:r>
      <w:r>
        <w:rPr>
          <w:rFonts w:cs="AppleSystemUIFont"/>
          <w:color w:val="353535"/>
        </w:rPr>
        <w:t xml:space="preserve">next </w:t>
      </w:r>
      <w:r w:rsidRPr="00763E35">
        <w:rPr>
          <w:rFonts w:cs="AppleSystemUIFont"/>
          <w:color w:val="353535"/>
        </w:rPr>
        <w:t xml:space="preserve">section analyses how cosmology and divination </w:t>
      </w:r>
      <w:r w:rsidR="00C93EB2">
        <w:rPr>
          <w:rFonts w:cs="AppleSystemUIFont"/>
          <w:color w:val="353535"/>
        </w:rPr>
        <w:t>was practised</w:t>
      </w:r>
      <w:r w:rsidRPr="00763E35">
        <w:rPr>
          <w:rFonts w:cs="AppleSystemUIFont"/>
          <w:color w:val="353535"/>
        </w:rPr>
        <w:t xml:space="preserve"> in Ancient Egypt,</w:t>
      </w:r>
      <w:r>
        <w:rPr>
          <w:rFonts w:cs="AppleSystemUIFont"/>
          <w:color w:val="353535"/>
        </w:rPr>
        <w:t xml:space="preserve"> through divination,</w:t>
      </w:r>
      <w:r w:rsidRPr="00763E35">
        <w:rPr>
          <w:rFonts w:cs="AppleSystemUIFont"/>
          <w:color w:val="353535"/>
        </w:rPr>
        <w:t xml:space="preserve"> including the use of </w:t>
      </w:r>
      <w:r>
        <w:rPr>
          <w:rFonts w:cs="AppleSystemUIFont"/>
          <w:color w:val="353535"/>
        </w:rPr>
        <w:t>oracles,</w:t>
      </w:r>
      <w:r w:rsidRPr="00763E35">
        <w:rPr>
          <w:rFonts w:cs="AppleSystemUIFont"/>
          <w:color w:val="353535"/>
        </w:rPr>
        <w:t xml:space="preserve"> dream interpretation</w:t>
      </w:r>
      <w:r>
        <w:rPr>
          <w:rFonts w:cs="AppleSystemUIFont"/>
          <w:color w:val="353535"/>
        </w:rPr>
        <w:t xml:space="preserve">, astrology and perspectives on time. </w:t>
      </w:r>
      <w:r w:rsidRPr="00763E35">
        <w:rPr>
          <w:rFonts w:cs="AppleSystemUIFont"/>
          <w:color w:val="353535"/>
        </w:rPr>
        <w:t>Finally, this essay will conclude by summarising the contributions that cosmology and divination made to Ancient Egyptian society.</w:t>
      </w:r>
      <w:r w:rsidR="00C93EB2">
        <w:rPr>
          <w:rFonts w:cs="AppleSystemUIFont"/>
          <w:color w:val="353535"/>
        </w:rPr>
        <w:t xml:space="preserve"> </w:t>
      </w:r>
      <w:r w:rsidR="00C93EB2">
        <w:rPr>
          <w:rFonts w:ascii="AppleSystemUIFont" w:hAnsi="AppleSystemUIFont" w:cs="AppleSystemUIFont"/>
          <w:color w:val="353535"/>
        </w:rPr>
        <w:t>The specific time period this essay attempts to explore is from the Early Dynastic Period 3100 BCE to the New Kingdom in 1069 BCE.</w:t>
      </w:r>
    </w:p>
    <w:p w14:paraId="04AC493A" w14:textId="77777777" w:rsidR="0089671D" w:rsidRDefault="0089671D" w:rsidP="0089671D">
      <w:pPr>
        <w:autoSpaceDE w:val="0"/>
        <w:autoSpaceDN w:val="0"/>
        <w:adjustRightInd w:val="0"/>
        <w:rPr>
          <w:rFonts w:cs="AppleSystemUIFont"/>
          <w:color w:val="353535"/>
        </w:rPr>
      </w:pPr>
    </w:p>
    <w:p w14:paraId="0FC8F971" w14:textId="137ED990" w:rsidR="001D083E" w:rsidRDefault="0089671D" w:rsidP="00C93EB2">
      <w:pPr>
        <w:autoSpaceDE w:val="0"/>
        <w:autoSpaceDN w:val="0"/>
        <w:adjustRightInd w:val="0"/>
        <w:rPr>
          <w:rFonts w:ascii="AppleSystemUIFont" w:hAnsi="AppleSystemUIFont" w:cs="AppleSystemUIFont"/>
          <w:color w:val="353535"/>
        </w:rPr>
      </w:pPr>
      <w:r w:rsidRPr="00763E35">
        <w:rPr>
          <w:rFonts w:cs="AppleSystemUIFont"/>
          <w:color w:val="353535"/>
        </w:rPr>
        <w:t>In this analysis, we will delve into the role of divination within the broader Egyptian cosmological context and its significance in shaping their religious practices, cultural norms, and decision-making processes. By exploring the various divination techniques employed by the ancient Egyptians, such as astrology, dream interpretation, and the consultation of oracles, we will gain insight into how they sought to align their actions with the cosmic order.</w:t>
      </w:r>
      <w:r>
        <w:rPr>
          <w:rFonts w:cs="AppleSystemUIFont"/>
          <w:color w:val="353535"/>
        </w:rPr>
        <w:t xml:space="preserve"> </w:t>
      </w:r>
      <w:r>
        <w:rPr>
          <w:rFonts w:ascii="AppleSystemUIFont" w:hAnsi="AppleSystemUIFont" w:cs="AppleSystemUIFont"/>
          <w:color w:val="353535"/>
        </w:rPr>
        <w:t>T</w:t>
      </w:r>
      <w:r w:rsidRPr="0023251C">
        <w:rPr>
          <w:rFonts w:ascii="AppleSystemUIFont" w:hAnsi="AppleSystemUIFont" w:cs="AppleSystemUIFont"/>
          <w:color w:val="353535"/>
        </w:rPr>
        <w:t>he importance of divination extended beyond individual matters, influencing political decisions and governing the actions of the Pharaoh</w:t>
      </w:r>
      <w:r w:rsidR="00C93EB2">
        <w:rPr>
          <w:rFonts w:ascii="AppleSystemUIFont" w:hAnsi="AppleSystemUIFont" w:cs="AppleSystemUIFont"/>
          <w:color w:val="353535"/>
        </w:rPr>
        <w:t>.</w:t>
      </w:r>
      <w:r w:rsidRPr="0023251C">
        <w:rPr>
          <w:rFonts w:ascii="AppleSystemUIFont" w:hAnsi="AppleSystemUIFont" w:cs="AppleSystemUIFont"/>
          <w:color w:val="353535"/>
        </w:rPr>
        <w:t xml:space="preserve"> </w:t>
      </w:r>
    </w:p>
    <w:p w14:paraId="046D355E" w14:textId="77777777" w:rsidR="00C93EB2" w:rsidRPr="00A6710E" w:rsidRDefault="00C93EB2" w:rsidP="00C93EB2">
      <w:pPr>
        <w:autoSpaceDE w:val="0"/>
        <w:autoSpaceDN w:val="0"/>
        <w:adjustRightInd w:val="0"/>
        <w:rPr>
          <w:rFonts w:cstheme="minorHAnsi"/>
          <w:b/>
          <w:bCs/>
        </w:rPr>
      </w:pPr>
    </w:p>
    <w:p w14:paraId="6854B369" w14:textId="17C44B50" w:rsidR="001D083E" w:rsidRPr="00A6710E" w:rsidRDefault="001D083E" w:rsidP="00D65F9C">
      <w:pPr>
        <w:rPr>
          <w:rFonts w:cstheme="minorHAnsi"/>
          <w:b/>
          <w:bCs/>
        </w:rPr>
      </w:pPr>
      <w:r w:rsidRPr="00A6710E">
        <w:rPr>
          <w:rFonts w:cstheme="minorHAnsi"/>
          <w:b/>
          <w:bCs/>
        </w:rPr>
        <w:t xml:space="preserve">Divination in </w:t>
      </w:r>
      <w:r w:rsidR="00CD0604" w:rsidRPr="00A6710E">
        <w:rPr>
          <w:rFonts w:cstheme="minorHAnsi"/>
          <w:b/>
          <w:bCs/>
        </w:rPr>
        <w:t xml:space="preserve">Ancient </w:t>
      </w:r>
      <w:r w:rsidRPr="00A6710E">
        <w:rPr>
          <w:rFonts w:cstheme="minorHAnsi"/>
          <w:b/>
          <w:bCs/>
        </w:rPr>
        <w:t xml:space="preserve">Egypt </w:t>
      </w:r>
    </w:p>
    <w:p w14:paraId="617B5775" w14:textId="53D71758" w:rsidR="001D083E" w:rsidRPr="00A6710E" w:rsidRDefault="001D083E" w:rsidP="00D65F9C">
      <w:pPr>
        <w:rPr>
          <w:rFonts w:cstheme="minorHAnsi"/>
          <w:b/>
          <w:bCs/>
        </w:rPr>
      </w:pPr>
    </w:p>
    <w:p w14:paraId="101C5EE0" w14:textId="1652CFAD" w:rsidR="001D083E" w:rsidRPr="00A6710E" w:rsidRDefault="00C4514C" w:rsidP="001D083E">
      <w:pPr>
        <w:rPr>
          <w:rFonts w:cstheme="minorHAnsi"/>
        </w:rPr>
      </w:pPr>
      <w:r w:rsidRPr="00A6710E">
        <w:rPr>
          <w:rFonts w:cstheme="minorHAnsi"/>
        </w:rPr>
        <w:t xml:space="preserve">Divination was integral to Ancient Egyptian society. </w:t>
      </w:r>
      <w:r w:rsidR="001D083E" w:rsidRPr="00A6710E">
        <w:rPr>
          <w:rFonts w:cstheme="minorHAnsi"/>
        </w:rPr>
        <w:t>A definition of divination, according to Carmen Blacker and Michael Loewe in "</w:t>
      </w:r>
      <w:r w:rsidR="001D083E" w:rsidRPr="00A6710E">
        <w:rPr>
          <w:rFonts w:cstheme="minorHAnsi"/>
          <w:i/>
          <w:iCs/>
        </w:rPr>
        <w:t>Oracles and Divination</w:t>
      </w:r>
      <w:r w:rsidR="001D083E" w:rsidRPr="00A6710E">
        <w:rPr>
          <w:rFonts w:cstheme="minorHAnsi"/>
        </w:rPr>
        <w:t>,</w:t>
      </w:r>
      <w:r w:rsidR="00DF4827">
        <w:rPr>
          <w:rFonts w:cstheme="minorHAnsi"/>
        </w:rPr>
        <w:t xml:space="preserve"> (1981)</w:t>
      </w:r>
      <w:r w:rsidR="001D083E" w:rsidRPr="00A6710E">
        <w:rPr>
          <w:rFonts w:cstheme="minorHAnsi"/>
        </w:rPr>
        <w:t>" means 'the attempt to elicit from some higher power or supernatural being the answers to questions beyond the range of ordinary human understanding.'</w:t>
      </w:r>
      <w:r w:rsidR="00D438F2" w:rsidRPr="00A6710E">
        <w:rPr>
          <w:rStyle w:val="FootnoteReference"/>
          <w:rFonts w:cstheme="minorHAnsi"/>
        </w:rPr>
        <w:footnoteReference w:id="1"/>
      </w:r>
      <w:r w:rsidR="001D083E" w:rsidRPr="00A6710E">
        <w:rPr>
          <w:rFonts w:cstheme="minorHAnsi"/>
        </w:rPr>
        <w:t xml:space="preserve"> Therefore, divination aims to answer questions about what a higher power wants from </w:t>
      </w:r>
      <w:r w:rsidRPr="00A6710E">
        <w:rPr>
          <w:rFonts w:cstheme="minorHAnsi"/>
        </w:rPr>
        <w:t>humans</w:t>
      </w:r>
      <w:r w:rsidR="001D083E" w:rsidRPr="00A6710E">
        <w:rPr>
          <w:rFonts w:cstheme="minorHAnsi"/>
        </w:rPr>
        <w:t xml:space="preserve"> on earth and how they can achieve it. Interacting with the realm of physical and non-physical boundaries using divination allows for this practice to seek hidden knowledge or insights by means of supernatural or magical means.</w:t>
      </w:r>
    </w:p>
    <w:p w14:paraId="2B7065C2" w14:textId="77777777" w:rsidR="001D083E" w:rsidRPr="00A6710E" w:rsidRDefault="001D083E" w:rsidP="001D083E">
      <w:pPr>
        <w:rPr>
          <w:rFonts w:cstheme="minorHAnsi"/>
        </w:rPr>
      </w:pPr>
    </w:p>
    <w:p w14:paraId="11FC87AA" w14:textId="72CECFDE" w:rsidR="001D083E" w:rsidRPr="00A6710E" w:rsidRDefault="001D083E" w:rsidP="001D083E">
      <w:pPr>
        <w:rPr>
          <w:rFonts w:cstheme="minorHAnsi"/>
        </w:rPr>
      </w:pPr>
      <w:r w:rsidRPr="00A6710E">
        <w:rPr>
          <w:rFonts w:cstheme="minorHAnsi"/>
        </w:rPr>
        <w:t xml:space="preserve">Divination is a form of forecasting, prophesying, or scrying, which involves the use of tools, techniques, and rituals to interpret signs, omens, symbols, or messages from the divine or </w:t>
      </w:r>
      <w:r w:rsidRPr="00A6710E">
        <w:rPr>
          <w:rFonts w:cstheme="minorHAnsi"/>
        </w:rPr>
        <w:lastRenderedPageBreak/>
        <w:t>the spirit world. It can create links between the past, present, and future, beyond time or spatial boundaries. According to Nicholas Campion's view on divination in Egypt, 'it enabled the king to maintain the harmony between earth and heaven', as in the structure of Egyptian society, 'the Egyptian pharaoh was himself divine,' and therefore the practice of divination allowed 'the wisdom necessary to navigate his way through the world of omens, dreams, oracles, to understand and heed the advice of his diviners' to preserve peace in his kingdom and prevent unpleasant events.</w:t>
      </w:r>
      <w:r w:rsidR="00D438F2" w:rsidRPr="00A6710E">
        <w:rPr>
          <w:rStyle w:val="FootnoteReference"/>
          <w:rFonts w:cstheme="minorHAnsi"/>
        </w:rPr>
        <w:footnoteReference w:id="2"/>
      </w:r>
    </w:p>
    <w:p w14:paraId="1FED437A" w14:textId="77777777" w:rsidR="001D083E" w:rsidRPr="00A6710E" w:rsidRDefault="001D083E" w:rsidP="001D083E">
      <w:pPr>
        <w:rPr>
          <w:rFonts w:cstheme="minorHAnsi"/>
        </w:rPr>
      </w:pPr>
    </w:p>
    <w:p w14:paraId="6C425411" w14:textId="282BE5B7" w:rsidR="001D083E" w:rsidRPr="00A6710E" w:rsidRDefault="001D083E" w:rsidP="001D083E">
      <w:pPr>
        <w:rPr>
          <w:rFonts w:cstheme="minorHAnsi"/>
        </w:rPr>
      </w:pPr>
      <w:r w:rsidRPr="00A6710E">
        <w:rPr>
          <w:rFonts w:cstheme="minorHAnsi"/>
        </w:rPr>
        <w:t>Blacker and Loewe state about divination in Ancient Egypt as a 'method…to see into the future…or discern the will of the gods,' therefore the purpose of divination in Ancient Egypt was to determine the intention of the Gods and for diviners, understand the will of God, using practices such as reading oracles, dream interpretation, and understanding celestial time through the measurement of the stars with astrology.</w:t>
      </w:r>
      <w:r w:rsidR="00A423CC" w:rsidRPr="00A6710E">
        <w:rPr>
          <w:rStyle w:val="FootnoteReference"/>
          <w:rFonts w:cstheme="minorHAnsi"/>
        </w:rPr>
        <w:footnoteReference w:id="3"/>
      </w:r>
      <w:r w:rsidR="00C4514C" w:rsidRPr="00A6710E">
        <w:rPr>
          <w:rFonts w:cstheme="minorHAnsi"/>
        </w:rPr>
        <w:t xml:space="preserve"> As the pharaoh and </w:t>
      </w:r>
      <w:r w:rsidR="00437BE3" w:rsidRPr="00A6710E">
        <w:rPr>
          <w:rFonts w:cstheme="minorHAnsi"/>
        </w:rPr>
        <w:t>society within Ancient Egypt</w:t>
      </w:r>
      <w:r w:rsidR="00C4514C" w:rsidRPr="00A6710E">
        <w:rPr>
          <w:rFonts w:cstheme="minorHAnsi"/>
        </w:rPr>
        <w:t xml:space="preserve"> depended on divination as a means for </w:t>
      </w:r>
      <w:r w:rsidR="00437BE3" w:rsidRPr="00A6710E">
        <w:rPr>
          <w:rFonts w:cstheme="minorHAnsi"/>
        </w:rPr>
        <w:t xml:space="preserve">best possible outcomes, divination played a significant role in its civilisation. </w:t>
      </w:r>
    </w:p>
    <w:p w14:paraId="3718529B" w14:textId="4AF231EE" w:rsidR="006C5696" w:rsidRPr="00A6710E" w:rsidRDefault="006C5696" w:rsidP="001D083E">
      <w:pPr>
        <w:rPr>
          <w:rFonts w:cstheme="minorHAnsi"/>
        </w:rPr>
      </w:pPr>
    </w:p>
    <w:p w14:paraId="4872671B" w14:textId="2896F926" w:rsidR="006C5696" w:rsidRPr="00A6710E" w:rsidRDefault="006C5696" w:rsidP="001D083E">
      <w:pPr>
        <w:rPr>
          <w:rFonts w:cstheme="minorHAnsi"/>
          <w:b/>
          <w:bCs/>
        </w:rPr>
      </w:pPr>
      <w:r w:rsidRPr="00A6710E">
        <w:rPr>
          <w:rFonts w:cstheme="minorHAnsi"/>
          <w:b/>
          <w:bCs/>
        </w:rPr>
        <w:t xml:space="preserve">Cosmology and Divination in Ancient Egypt </w:t>
      </w:r>
    </w:p>
    <w:p w14:paraId="42E0EC0A" w14:textId="49CC0F2D" w:rsidR="006C5696" w:rsidRPr="00A6710E" w:rsidRDefault="006C5696" w:rsidP="001D083E">
      <w:pPr>
        <w:rPr>
          <w:rFonts w:cstheme="minorHAnsi"/>
        </w:rPr>
      </w:pPr>
    </w:p>
    <w:p w14:paraId="2617FF10" w14:textId="7097211C" w:rsidR="006C5696" w:rsidRPr="00A6710E" w:rsidRDefault="006C5696" w:rsidP="006C5696">
      <w:r w:rsidRPr="00A6710E">
        <w:t>Divination was an important aspect of Ancient Egyptian civilisation</w:t>
      </w:r>
      <w:r w:rsidR="004E2D60">
        <w:t xml:space="preserve">, as well as </w:t>
      </w:r>
      <w:r w:rsidRPr="00A6710E">
        <w:t>cosmology</w:t>
      </w:r>
      <w:r w:rsidR="004E2D60">
        <w:t xml:space="preserve">, </w:t>
      </w:r>
      <w:r w:rsidRPr="00A6710E">
        <w:t xml:space="preserve">because of the nature of </w:t>
      </w:r>
      <w:r w:rsidR="004E2D60">
        <w:t>how</w:t>
      </w:r>
      <w:r w:rsidRPr="00A6710E">
        <w:t xml:space="preserve"> the Ancient Egyptians perceived the cosmos. </w:t>
      </w:r>
      <w:r w:rsidR="004E2D60">
        <w:t>C</w:t>
      </w:r>
      <w:r w:rsidRPr="00A6710E">
        <w:t>osmology is an ordered way of looking at the world and the heavens, communicating with the divine through celestial patterns and predicting through regularity of those patterns. Campion’s perspective of cosmology in ‘</w:t>
      </w:r>
      <w:r w:rsidRPr="00A6710E">
        <w:rPr>
          <w:rFonts w:cstheme="minorHAnsi"/>
          <w:i/>
          <w:iCs/>
          <w:color w:val="353535"/>
        </w:rPr>
        <w:t>Astrology and Cosmology in the World's Religions’</w:t>
      </w:r>
      <w:r w:rsidR="00DF4827">
        <w:rPr>
          <w:rFonts w:cstheme="minorHAnsi"/>
          <w:i/>
          <w:iCs/>
          <w:color w:val="353535"/>
        </w:rPr>
        <w:t xml:space="preserve"> </w:t>
      </w:r>
      <w:r w:rsidR="00DF4827" w:rsidRPr="00DF4827">
        <w:rPr>
          <w:rFonts w:cstheme="minorHAnsi"/>
          <w:color w:val="353535"/>
        </w:rPr>
        <w:t>(2012)</w:t>
      </w:r>
      <w:r w:rsidRPr="00DF4827">
        <w:rPr>
          <w:rFonts w:cstheme="minorHAnsi"/>
          <w:color w:val="353535"/>
        </w:rPr>
        <w:t>,</w:t>
      </w:r>
      <w:r w:rsidRPr="00DF4827">
        <w:t xml:space="preserve"> </w:t>
      </w:r>
      <w:r w:rsidRPr="00A6710E">
        <w:t>encompasses the beliefs, myths, and understandings of a society regarding the cosmos, including its celestial bodies, deities, and the interconnectedness between the physical and metaphysical realms. Cosmology, in this context, is not limited to scientific inquiry but embraces the cultural, religious, and philosophical perspectives that shape a society's worldview and their place within the wider universe.</w:t>
      </w:r>
      <w:r w:rsidRPr="00A6710E">
        <w:rPr>
          <w:rStyle w:val="FootnoteReference"/>
        </w:rPr>
        <w:footnoteReference w:id="4"/>
      </w:r>
    </w:p>
    <w:p w14:paraId="01A0DDEF" w14:textId="77777777" w:rsidR="006C5696" w:rsidRPr="00A6710E" w:rsidRDefault="006C5696" w:rsidP="006C5696"/>
    <w:p w14:paraId="136EDA7E" w14:textId="43FFCC6F" w:rsidR="006C5696" w:rsidRPr="00A6710E" w:rsidRDefault="006C5696" w:rsidP="006C5696">
      <w:pPr>
        <w:autoSpaceDE w:val="0"/>
        <w:autoSpaceDN w:val="0"/>
        <w:adjustRightInd w:val="0"/>
        <w:rPr>
          <w:rFonts w:cs="AppleSystemUIFont"/>
          <w:color w:val="353535"/>
        </w:rPr>
      </w:pPr>
      <w:r w:rsidRPr="00A6710E">
        <w:t xml:space="preserve">Jeremy Naydler's work </w:t>
      </w:r>
      <w:r w:rsidR="00A6710E">
        <w:t>‘</w:t>
      </w:r>
      <w:r w:rsidRPr="00A6710E">
        <w:rPr>
          <w:i/>
          <w:iCs/>
        </w:rPr>
        <w:t>Cosmos: The Ancient Egyptian Experience of the Sacred</w:t>
      </w:r>
      <w:r w:rsidR="00A6710E">
        <w:t>’</w:t>
      </w:r>
      <w:r w:rsidR="00DF4827">
        <w:t>(1996),</w:t>
      </w:r>
      <w:r w:rsidRPr="00A6710E">
        <w:t xml:space="preserve"> provides a comprehensive account of the Egyptian worldview and religious practices, highlighting their mystical beliefs and their connection with cosmological phenomena. For the ancient Egyptians, the cosmos represented the primary manifestation of the divine. They revered the stars as the ‘limbs of the body of heaven’ and the planets as the ‘organs of the cosmic deity.’</w:t>
      </w:r>
      <w:r w:rsidRPr="00A6710E">
        <w:rPr>
          <w:rStyle w:val="FootnoteReference"/>
        </w:rPr>
        <w:footnoteReference w:id="5"/>
      </w:r>
      <w:r w:rsidRPr="00A6710E">
        <w:t xml:space="preserve"> </w:t>
      </w:r>
      <w:r w:rsidRPr="00A6710E">
        <w:rPr>
          <w:rFonts w:cs="AppleSystemUIFont"/>
          <w:color w:val="353535"/>
        </w:rPr>
        <w:t xml:space="preserve">According to Naydler, divination was a central feature of Egyptian religious life, with various forms of divination being practiced by both professional priests and ordinary people. Divination served as a means of accessing the divine realm and gaining insight into the workings of the universe, providing guidance and direction for both </w:t>
      </w:r>
      <w:r w:rsidRPr="00A6710E">
        <w:rPr>
          <w:rFonts w:cs="AppleSystemUIFont"/>
          <w:color w:val="353535"/>
        </w:rPr>
        <w:lastRenderedPageBreak/>
        <w:t>mundane and spiritual matters.</w:t>
      </w:r>
      <w:r w:rsidRPr="00A6710E">
        <w:rPr>
          <w:rStyle w:val="FootnoteReference"/>
          <w:rFonts w:cs="AppleSystemUIFont"/>
          <w:color w:val="353535"/>
        </w:rPr>
        <w:footnoteReference w:id="6"/>
      </w:r>
      <w:r w:rsidRPr="00A6710E">
        <w:rPr>
          <w:rFonts w:cs="AppleSystemUIFont"/>
          <w:color w:val="353535"/>
        </w:rPr>
        <w:t xml:space="preserve"> Therefore, the Ancient Egyptians believed that the movements of the stars and planets were not just signs of divine activity but also had a direct impact on human affairs.</w:t>
      </w:r>
    </w:p>
    <w:p w14:paraId="1EC0BDE3" w14:textId="77777777" w:rsidR="006C5696" w:rsidRPr="00A6710E" w:rsidRDefault="006C5696" w:rsidP="006C5696"/>
    <w:p w14:paraId="63416F96" w14:textId="5807B31F" w:rsidR="006C5696" w:rsidRPr="00A6710E" w:rsidRDefault="006C5696" w:rsidP="006C5696">
      <w:pPr>
        <w:autoSpaceDE w:val="0"/>
        <w:autoSpaceDN w:val="0"/>
        <w:adjustRightInd w:val="0"/>
        <w:rPr>
          <w:rFonts w:cs="AppleSystemUIFont"/>
          <w:color w:val="353535"/>
        </w:rPr>
      </w:pPr>
      <w:r w:rsidRPr="00A6710E">
        <w:t>This conception of the cosmos as a living, divine entity is evident in their creation myth, which posits that the universe emerged through the interaction of gods with the primordial waters of chaos.</w:t>
      </w:r>
      <w:r w:rsidRPr="00A6710E">
        <w:rPr>
          <w:rStyle w:val="FootnoteReference"/>
        </w:rPr>
        <w:footnoteReference w:id="7"/>
      </w:r>
      <w:r w:rsidRPr="00A6710E">
        <w:t xml:space="preserve"> The sky goddess Nut, was to quote Campion ‘typically portrayed as a naked woman arched over the earth, her feet touching one horizon, her hands the other</w:t>
      </w:r>
      <w:r w:rsidR="00C42986">
        <w:t>’</w:t>
      </w:r>
      <w:r w:rsidRPr="00A6710E">
        <w:t>.</w:t>
      </w:r>
      <w:r w:rsidRPr="00A6710E">
        <w:rPr>
          <w:rStyle w:val="FootnoteReference"/>
        </w:rPr>
        <w:footnoteReference w:id="8"/>
      </w:r>
      <w:r w:rsidRPr="00A6710E">
        <w:t xml:space="preserve"> </w:t>
      </w:r>
      <w:r w:rsidRPr="00A6710E">
        <w:rPr>
          <w:rFonts w:cs="AppleSystemUIFont"/>
          <w:color w:val="353535"/>
        </w:rPr>
        <w:t>The ancient Egyptians' belief about the cosmos and the divine is evident in their creation stories. The ancient Egyptians had different cosmogonies, which sought to explain the origin of the universe and the creation of the gods</w:t>
      </w:r>
      <w:r w:rsidR="007C3598" w:rsidRPr="00A6710E">
        <w:rPr>
          <w:rFonts w:cs="AppleSystemUIFont"/>
          <w:color w:val="353535"/>
        </w:rPr>
        <w:t>, that Jan Assmann described as cosmotheism, that the cosmos itself is an object of worship.</w:t>
      </w:r>
      <w:r w:rsidR="007C3598" w:rsidRPr="00A6710E">
        <w:rPr>
          <w:rStyle w:val="FootnoteReference"/>
          <w:rFonts w:cs="AppleSystemUIFont"/>
          <w:color w:val="353535"/>
        </w:rPr>
        <w:footnoteReference w:id="9"/>
      </w:r>
      <w:r w:rsidR="00A6710E" w:rsidRPr="00A6710E">
        <w:rPr>
          <w:rFonts w:cs="AppleSystemUIFont"/>
          <w:color w:val="353535"/>
        </w:rPr>
        <w:t xml:space="preserve"> </w:t>
      </w:r>
      <w:r w:rsidRPr="00A6710E">
        <w:rPr>
          <w:rFonts w:cs="AppleSystemUIFont"/>
          <w:color w:val="353535"/>
        </w:rPr>
        <w:t>One of the most well-known cosmogonies is the Heliopolitan cosmogony, which originated from the city of Heliopolis. In the Heliopolitan cosmogony, the creation of the universe was attributed to the god Atum, who emerged from the primeval waters of Nun.</w:t>
      </w:r>
      <w:r w:rsidR="00C42986">
        <w:rPr>
          <w:rStyle w:val="FootnoteReference"/>
          <w:rFonts w:cs="AppleSystemUIFont"/>
          <w:color w:val="353535"/>
        </w:rPr>
        <w:footnoteReference w:id="10"/>
      </w:r>
      <w:r w:rsidRPr="00A6710E">
        <w:rPr>
          <w:rFonts w:cs="AppleSystemUIFont"/>
          <w:color w:val="353535"/>
        </w:rPr>
        <w:t xml:space="preserve"> Atum was believed to have created the cosmos by speaking the universe into being through a process of self-generation. The Heliopolitan cosmogony reflects the ancient Egyptians' belief that the cosmos was created by the divine and that the gods had a tangible influence over the universe. The creation myth suggests that the universe is an order product, reflecting the ancient Egyptians' belief that everything in existence is imbued with divine power.</w:t>
      </w:r>
      <w:r w:rsidR="008C6679">
        <w:rPr>
          <w:rStyle w:val="FootnoteReference"/>
          <w:rFonts w:cs="AppleSystemUIFont"/>
          <w:color w:val="353535"/>
        </w:rPr>
        <w:footnoteReference w:id="11"/>
      </w:r>
    </w:p>
    <w:p w14:paraId="6062C5F0" w14:textId="77777777" w:rsidR="006C5696" w:rsidRPr="00A6710E" w:rsidRDefault="006C5696" w:rsidP="006C5696"/>
    <w:p w14:paraId="485074AF" w14:textId="6E9CA457" w:rsidR="006C5696" w:rsidRPr="00A6710E" w:rsidRDefault="006C5696" w:rsidP="006C5696">
      <w:pPr>
        <w:autoSpaceDE w:val="0"/>
        <w:autoSpaceDN w:val="0"/>
        <w:adjustRightInd w:val="0"/>
        <w:rPr>
          <w:rFonts w:cs="AppleSystemUIFont"/>
          <w:color w:val="353535"/>
        </w:rPr>
      </w:pPr>
      <w:r w:rsidRPr="00A6710E">
        <w:rPr>
          <w:rFonts w:cs="AppleSystemUIFont"/>
          <w:color w:val="353535"/>
        </w:rPr>
        <w:t xml:space="preserve">The use of divination allowed the living to interpret the divine will, which could influence human </w:t>
      </w:r>
      <w:r w:rsidR="007C3598" w:rsidRPr="00A6710E">
        <w:rPr>
          <w:rFonts w:cs="AppleSystemUIFont"/>
          <w:color w:val="353535"/>
        </w:rPr>
        <w:t>behaviour</w:t>
      </w:r>
      <w:r w:rsidRPr="00A6710E">
        <w:rPr>
          <w:rFonts w:cs="AppleSystemUIFont"/>
          <w:color w:val="353535"/>
        </w:rPr>
        <w:t xml:space="preserve"> and action. Divination was, therefore, an essential tool for ensuring that humans aligned themselves appropriately with the divine cosmos. The ancient Egyptians believed that the alignment with the divine was crucial for maintaining balance in the universe. They believed that if the cosmos was out of balance, chaos would reign, and life on earth would be adversely affected. Therefore, the use of divination and astrology was integral in ensuring that everything remained in balance. The ancient Egyptians had a complex and profound understanding of the universe, which they referred to as the cosmos. According to the ancient Egyptian beliefs, the cosmos was a complete universe consisting of various elements such as the sun, moon, stars, horizon, and the earth itself. The cosmos was believed to be the domain of the gods as the Egyptians believed that the gods reside in the stars and heavens above. The ancient Egyptians were fascinated by the cosmos and its cycles, which they believed held the key to understanding the universe itself. The cosmos </w:t>
      </w:r>
      <w:r w:rsidRPr="00A6710E">
        <w:rPr>
          <w:rFonts w:cs="AppleSystemUIFont"/>
          <w:color w:val="353535"/>
        </w:rPr>
        <w:lastRenderedPageBreak/>
        <w:t xml:space="preserve">was believed to have a profound influence on every aspect of life on earth, and thus, the Egyptians paid close attention to the cosmos in their daily lives, particularly in their religious rituals and practices. </w:t>
      </w:r>
    </w:p>
    <w:p w14:paraId="0A599A84" w14:textId="2A8965A3" w:rsidR="007C3598" w:rsidRPr="00A6710E" w:rsidRDefault="007C3598" w:rsidP="006C5696">
      <w:pPr>
        <w:autoSpaceDE w:val="0"/>
        <w:autoSpaceDN w:val="0"/>
        <w:adjustRightInd w:val="0"/>
        <w:rPr>
          <w:rFonts w:cs="AppleSystemUIFont"/>
          <w:color w:val="353535"/>
        </w:rPr>
      </w:pPr>
    </w:p>
    <w:p w14:paraId="2FFCA99D" w14:textId="124477B0" w:rsidR="007C3598" w:rsidRPr="00A6710E" w:rsidRDefault="007C3598" w:rsidP="007C3598">
      <w:pPr>
        <w:autoSpaceDE w:val="0"/>
        <w:autoSpaceDN w:val="0"/>
        <w:adjustRightInd w:val="0"/>
        <w:rPr>
          <w:rFonts w:cs="AppleSystemUIFont"/>
          <w:color w:val="353535"/>
        </w:rPr>
      </w:pPr>
      <w:r w:rsidRPr="00A6710E">
        <w:rPr>
          <w:rFonts w:cs="AppleSystemUIFont"/>
          <w:color w:val="353535"/>
        </w:rPr>
        <w:t xml:space="preserve">According to Francoise Dunand and Christiane Vivie Coche in </w:t>
      </w:r>
      <w:r w:rsidR="00A6710E" w:rsidRPr="00A6710E">
        <w:rPr>
          <w:rFonts w:cs="AppleSystemUIFont"/>
          <w:color w:val="353535"/>
        </w:rPr>
        <w:t>‘</w:t>
      </w:r>
      <w:r w:rsidRPr="00A6710E">
        <w:rPr>
          <w:rFonts w:cs="AppleSystemUIFont"/>
          <w:i/>
          <w:iCs/>
          <w:color w:val="353535"/>
        </w:rPr>
        <w:t>Gods and Men in Egypt</w:t>
      </w:r>
      <w:r w:rsidR="00DF4827">
        <w:rPr>
          <w:rFonts w:cs="AppleSystemUIFont"/>
          <w:i/>
          <w:iCs/>
          <w:color w:val="353535"/>
        </w:rPr>
        <w:t>’</w:t>
      </w:r>
      <w:r w:rsidR="00DF4827" w:rsidRPr="00DF4827">
        <w:rPr>
          <w:rFonts w:cs="AppleSystemUIFont"/>
          <w:color w:val="353535"/>
        </w:rPr>
        <w:t>(2004)</w:t>
      </w:r>
      <w:r w:rsidRPr="00DF4827">
        <w:rPr>
          <w:rFonts w:cs="AppleSystemUIFont"/>
          <w:color w:val="353535"/>
        </w:rPr>
        <w:t>,</w:t>
      </w:r>
      <w:r w:rsidRPr="00A6710E">
        <w:rPr>
          <w:rFonts w:cs="AppleSystemUIFont"/>
          <w:color w:val="353535"/>
        </w:rPr>
        <w:t xml:space="preserve"> cosmology and divination played significant roles in Ancient Egyptian society.</w:t>
      </w:r>
      <w:r w:rsidR="008C6679">
        <w:rPr>
          <w:rStyle w:val="FootnoteReference"/>
          <w:rFonts w:cs="AppleSystemUIFont"/>
          <w:color w:val="353535"/>
        </w:rPr>
        <w:footnoteReference w:id="12"/>
      </w:r>
      <w:r w:rsidRPr="00A6710E">
        <w:rPr>
          <w:rFonts w:cs="AppleSystemUIFont"/>
          <w:color w:val="353535"/>
        </w:rPr>
        <w:t xml:space="preserve"> Cosmology, the study of the universe and its origins, was used to explain the creation and function of the world and the gods. Divination, on the other hand, was utilized to communicate with the gods and gain insight into the future. The relationship between these two concepts was symbiotic, as divination was seen as a way of gaining knowledge about the hidden workings of the universe, which could then be incorporated into cosmological beliefs.</w:t>
      </w:r>
    </w:p>
    <w:p w14:paraId="0B03B9BD" w14:textId="77777777" w:rsidR="007C3598" w:rsidRPr="00A6710E" w:rsidRDefault="007C3598" w:rsidP="007C3598">
      <w:pPr>
        <w:autoSpaceDE w:val="0"/>
        <w:autoSpaceDN w:val="0"/>
        <w:adjustRightInd w:val="0"/>
        <w:rPr>
          <w:rFonts w:cs="AppleSystemUIFont"/>
          <w:color w:val="353535"/>
        </w:rPr>
      </w:pPr>
    </w:p>
    <w:p w14:paraId="28F94900" w14:textId="77777777" w:rsidR="007C3598" w:rsidRPr="00A6710E" w:rsidRDefault="007C3598" w:rsidP="007C3598">
      <w:pPr>
        <w:autoSpaceDE w:val="0"/>
        <w:autoSpaceDN w:val="0"/>
        <w:adjustRightInd w:val="0"/>
        <w:rPr>
          <w:rFonts w:cs="AppleSystemUIFont"/>
          <w:color w:val="353535"/>
        </w:rPr>
      </w:pPr>
      <w:r w:rsidRPr="00A6710E">
        <w:rPr>
          <w:rFonts w:cs="AppleSystemUIFont"/>
          <w:color w:val="353535"/>
        </w:rPr>
        <w:t>Dunand and Coche note that the Ancient Egyptians saw the universe as an ordered and structured system, with each element and deity having a distinct role to play in the grand scheme of things. This belief was reflected in the popular practice of divination, which involved interpreting signs and omens from the natural world, such as the movements of stars and animals, to gain insight into the will of the gods. In the view of the Ancient Egyptians, divination was not a stand-alone practice but one that was intimately tied to their larger cosmological beliefs. According to Dunand and Coche, divination was seen as a way of exploring the hidden workings of the universe and gaining insight into the underlying order of things. By interpreting the messages delivered through divination, the Egyptians believed they could gain a deeper understanding of the cosmos and the role of the gods within it. Overall, Dunand and Coche emphasize the close relationship between cosmology and divination in Ancient Egypt, and how their interplay helped to shape the religious and philosophical beliefs of this fascinating civilization.</w:t>
      </w:r>
    </w:p>
    <w:p w14:paraId="3609D3F5" w14:textId="32153AEB" w:rsidR="007E0689" w:rsidRPr="00A6710E" w:rsidRDefault="007E0689" w:rsidP="006C5696">
      <w:pPr>
        <w:autoSpaceDE w:val="0"/>
        <w:autoSpaceDN w:val="0"/>
        <w:adjustRightInd w:val="0"/>
      </w:pPr>
    </w:p>
    <w:p w14:paraId="7E06AE24" w14:textId="52E6720F" w:rsidR="006C5696" w:rsidRPr="00A6710E" w:rsidRDefault="006C5696" w:rsidP="006C5696">
      <w:r w:rsidRPr="00A6710E">
        <w:t>The relationship between cosmology and divination in ancient Egypt was significant. Both were regarded as means of accessing the divine realm and gaining insight into the workings of the universe. The study of the cosmos formed the basis for many of the culture's divinatory practices, allowing individuals to align themselves with cosmic rhythms and cycles for greater harmony with the divine and spiritual enlightenment.</w:t>
      </w:r>
    </w:p>
    <w:p w14:paraId="6B45A30D" w14:textId="77777777" w:rsidR="000D304E" w:rsidRPr="00A6710E" w:rsidRDefault="000D304E" w:rsidP="006C5696">
      <w:pPr>
        <w:rPr>
          <w:b/>
          <w:bCs/>
        </w:rPr>
      </w:pPr>
    </w:p>
    <w:p w14:paraId="7A348CE4" w14:textId="66809D13" w:rsidR="007C3598" w:rsidRPr="00A6710E" w:rsidRDefault="00A6710E" w:rsidP="006C5696">
      <w:r w:rsidRPr="00A6710E">
        <w:rPr>
          <w:b/>
          <w:bCs/>
        </w:rPr>
        <w:t xml:space="preserve">Cosmological Concepts and broader </w:t>
      </w:r>
      <w:r w:rsidR="000D304E" w:rsidRPr="00A6710E">
        <w:rPr>
          <w:b/>
          <w:bCs/>
        </w:rPr>
        <w:t>Worldview</w:t>
      </w:r>
      <w:r w:rsidRPr="00A6710E">
        <w:rPr>
          <w:b/>
          <w:bCs/>
        </w:rPr>
        <w:t xml:space="preserve"> of Ancient Egypt </w:t>
      </w:r>
      <w:r w:rsidR="000D304E" w:rsidRPr="00A6710E">
        <w:rPr>
          <w:b/>
          <w:bCs/>
        </w:rPr>
        <w:t xml:space="preserve"> </w:t>
      </w:r>
    </w:p>
    <w:p w14:paraId="2D47BA34" w14:textId="77777777" w:rsidR="007C3598" w:rsidRPr="00A6710E" w:rsidRDefault="007C3598" w:rsidP="006C5696"/>
    <w:p w14:paraId="36F167F1" w14:textId="6998095C" w:rsidR="007C3598" w:rsidRPr="00A6710E" w:rsidRDefault="007C3598" w:rsidP="007C3598">
      <w:pPr>
        <w:autoSpaceDE w:val="0"/>
        <w:autoSpaceDN w:val="0"/>
        <w:adjustRightInd w:val="0"/>
        <w:rPr>
          <w:rFonts w:cs="AppleSystemUIFont"/>
          <w:color w:val="353535"/>
        </w:rPr>
      </w:pPr>
      <w:r w:rsidRPr="00A6710E">
        <w:rPr>
          <w:rFonts w:cs="AppleSystemUIFont"/>
          <w:color w:val="353535"/>
        </w:rPr>
        <w:t xml:space="preserve">According to Donald Redford in </w:t>
      </w:r>
      <w:r w:rsidR="00DF4827">
        <w:rPr>
          <w:rFonts w:cs="AppleSystemUIFont"/>
          <w:color w:val="353535"/>
        </w:rPr>
        <w:t>‘</w:t>
      </w:r>
      <w:r w:rsidRPr="00DF4827">
        <w:rPr>
          <w:rFonts w:cs="AppleSystemUIFont"/>
          <w:i/>
          <w:iCs/>
          <w:color w:val="353535"/>
        </w:rPr>
        <w:t>The Ancient Gods Speak: A Guide to Egyptian Religion</w:t>
      </w:r>
      <w:r w:rsidR="00DF4827" w:rsidRPr="00DF4827">
        <w:rPr>
          <w:rFonts w:cs="AppleSystemUIFont"/>
          <w:i/>
          <w:iCs/>
          <w:color w:val="353535"/>
        </w:rPr>
        <w:t>’</w:t>
      </w:r>
      <w:r w:rsidRPr="00A6710E">
        <w:rPr>
          <w:rFonts w:cs="AppleSystemUIFont"/>
          <w:color w:val="353535"/>
        </w:rPr>
        <w:t xml:space="preserve"> (2002), the broader cosmological worldview of ancient Egypt is characterized by a belief in a cyclical view of time and the interconnectedness of all things in the universe. The Egyptians understood the cosmos as being composed of several layers, including the heavens, earth, and underworld. Each of these layers was ruled by a different set of deities with specific responsibilities for maintaining the order of the universe. The ancient Egyptians also believed in the concept of </w:t>
      </w:r>
      <w:r w:rsidR="00A6710E" w:rsidRPr="00A6710E">
        <w:rPr>
          <w:rFonts w:cs="AppleSystemUIFont"/>
          <w:color w:val="353535"/>
        </w:rPr>
        <w:t>M</w:t>
      </w:r>
      <w:r w:rsidRPr="00A6710E">
        <w:rPr>
          <w:rFonts w:cs="AppleSystemUIFont"/>
          <w:color w:val="353535"/>
        </w:rPr>
        <w:t xml:space="preserve">a'at, which represented the universal principles of order, balance, and harmony. The maintenance of </w:t>
      </w:r>
      <w:r w:rsidR="00A6710E" w:rsidRPr="00A6710E">
        <w:rPr>
          <w:rFonts w:cs="AppleSystemUIFont"/>
          <w:color w:val="353535"/>
        </w:rPr>
        <w:t>M</w:t>
      </w:r>
      <w:r w:rsidRPr="00A6710E">
        <w:rPr>
          <w:rFonts w:cs="AppleSystemUIFont"/>
          <w:color w:val="353535"/>
        </w:rPr>
        <w:t xml:space="preserve">a'at was essential for the continued existence </w:t>
      </w:r>
      <w:r w:rsidRPr="00A6710E">
        <w:rPr>
          <w:rFonts w:cs="AppleSystemUIFont"/>
          <w:color w:val="353535"/>
        </w:rPr>
        <w:lastRenderedPageBreak/>
        <w:t xml:space="preserve">of the universe, and all members of society had a role to play in preserving it. The afterlife was also an important part of the Egyptian cosmological worldview, as it was believed that individuals would be judged after death and enter into the underworld. The Egyptians believed in the continuation of life in the afterlife and prepared extensively for it, including building tombs and providing offerings for the deceased. Overall, the Egyptian cosmological worldview was a complex and interconnected system of beliefs and practices that emphasized the cyclical nature of time, the importance of maintaining </w:t>
      </w:r>
      <w:r w:rsidR="00A6710E" w:rsidRPr="00A6710E">
        <w:rPr>
          <w:rFonts w:cs="AppleSystemUIFont"/>
          <w:color w:val="353535"/>
        </w:rPr>
        <w:t>M</w:t>
      </w:r>
      <w:r w:rsidRPr="00A6710E">
        <w:rPr>
          <w:rFonts w:cs="AppleSystemUIFont"/>
          <w:color w:val="353535"/>
        </w:rPr>
        <w:t>a'at, and the continuation of life in the afterlife.</w:t>
      </w:r>
    </w:p>
    <w:p w14:paraId="487B9455" w14:textId="77777777" w:rsidR="00CD0604" w:rsidRPr="00A6710E" w:rsidRDefault="00CD0604" w:rsidP="00CD0604"/>
    <w:p w14:paraId="0F72D051" w14:textId="20610EAC" w:rsidR="000D304E" w:rsidRPr="00DF4827" w:rsidRDefault="00CD0604" w:rsidP="00DF4827">
      <w:r w:rsidRPr="00A6710E">
        <w:t xml:space="preserve">The Egyptian cosmology was </w:t>
      </w:r>
      <w:r w:rsidR="00A6710E" w:rsidRPr="00A6710E">
        <w:t>cantered</w:t>
      </w:r>
      <w:r w:rsidRPr="00A6710E">
        <w:t xml:space="preserve"> around the concept of Ma'at, which emphasized the importance of balance, harmony, and order in the universe. This overarching belief in cosmic order and interconnectedness had a profound impact on how the ancient Egyptians perceived their world and sought to interact with it through divination.</w:t>
      </w:r>
      <w:r w:rsidR="00AC73B4">
        <w:t xml:space="preserve"> </w:t>
      </w:r>
      <w:r w:rsidRPr="00A6710E">
        <w:t>The notion of an ordered and interconnected cosmos led to the understanding that celestial events and natural phenomena were not random occurrences but rather carried divine messages and significance. As a result, the movements of celestial bodies, such as the stars, planets, and the sun, were closely observed and studied as a means of discerning the will of the gods and predicting future events.</w:t>
      </w:r>
      <w:r w:rsidR="00DF4827">
        <w:t xml:space="preserve"> </w:t>
      </w:r>
      <w:r w:rsidR="000D304E" w:rsidRPr="00A6710E">
        <w:rPr>
          <w:rFonts w:cs="AppleSystemUIFont"/>
          <w:color w:val="353535"/>
        </w:rPr>
        <w:t>Ancient Egyptian cosmology was deeply rooted in their religious beliefs and practices, encompassing fundamental concepts such as Ma'at, the notion of balance and order in the universe. The cosmos was viewed as interconnected, divided into three realms – the heavens, the earth, and the underworld – with gods residing in the heavens, humans on earth, and the deceased in the underworld. The cyclical nature of creation and destruction was a central tenet in their understanding of the universe.</w:t>
      </w:r>
    </w:p>
    <w:p w14:paraId="42AE70A4" w14:textId="77777777" w:rsidR="000D304E" w:rsidRPr="00A6710E" w:rsidRDefault="000D304E" w:rsidP="000D304E">
      <w:pPr>
        <w:autoSpaceDE w:val="0"/>
        <w:autoSpaceDN w:val="0"/>
        <w:adjustRightInd w:val="0"/>
        <w:rPr>
          <w:rFonts w:cs="AppleSystemUIFont"/>
          <w:color w:val="353535"/>
        </w:rPr>
      </w:pPr>
    </w:p>
    <w:p w14:paraId="351F7079" w14:textId="1247D6DD" w:rsidR="000D304E" w:rsidRPr="00A6710E" w:rsidRDefault="000D304E" w:rsidP="000D304E">
      <w:pPr>
        <w:autoSpaceDE w:val="0"/>
        <w:autoSpaceDN w:val="0"/>
        <w:adjustRightInd w:val="0"/>
        <w:rPr>
          <w:rFonts w:cs="AppleSystemUIFont"/>
          <w:color w:val="353535"/>
        </w:rPr>
      </w:pPr>
      <w:r w:rsidRPr="00A6710E">
        <w:rPr>
          <w:rFonts w:cs="AppleSystemUIFont"/>
          <w:color w:val="353535"/>
        </w:rPr>
        <w:t xml:space="preserve">The sun held a pivotal role as the source of light and life, personified by the god Ra, whose daily journey across the sky and through the underworld symbolized the cycles of day and night. Other significant deities, like Osiris, the lord of the underworld, played crucial roles in the judgment of souls after </w:t>
      </w:r>
      <w:r w:rsidR="00A6710E" w:rsidRPr="00A6710E">
        <w:rPr>
          <w:rFonts w:cs="AppleSystemUIFont"/>
          <w:color w:val="353535"/>
        </w:rPr>
        <w:t>death. The</w:t>
      </w:r>
      <w:r w:rsidRPr="00A6710E">
        <w:rPr>
          <w:rFonts w:cs="AppleSystemUIFont"/>
          <w:color w:val="353535"/>
        </w:rPr>
        <w:t xml:space="preserve"> pantheon of gods and goddesses, each with unique attributes and powers, directly influenced the workings of the universe and individuals' destinies. Specific deities were invoked for various aspects of life, such as the goddess Isis during childbirth and the god Thoth in matters of wisdom and </w:t>
      </w:r>
      <w:r w:rsidR="00A6710E" w:rsidRPr="00A6710E">
        <w:rPr>
          <w:rFonts w:cs="AppleSystemUIFont"/>
          <w:color w:val="353535"/>
        </w:rPr>
        <w:t>time. The</w:t>
      </w:r>
      <w:r w:rsidRPr="00A6710E">
        <w:rPr>
          <w:rFonts w:cs="AppleSystemUIFont"/>
          <w:color w:val="353535"/>
        </w:rPr>
        <w:t xml:space="preserve"> concept of the afterlife was intricately connected to Egyptian cosmology, with the soul's journey through the underworld being depicted in the Egyptian Book of the Dead. This journey was believed to be fraught with challenges, and the deceased were buried with important possessions and sometimes living beings to accompany them.</w:t>
      </w:r>
    </w:p>
    <w:p w14:paraId="6B474BCB" w14:textId="293399DE" w:rsidR="000D304E" w:rsidRPr="00A6710E" w:rsidRDefault="000D304E" w:rsidP="000D304E">
      <w:pPr>
        <w:autoSpaceDE w:val="0"/>
        <w:autoSpaceDN w:val="0"/>
        <w:adjustRightInd w:val="0"/>
        <w:rPr>
          <w:rFonts w:cs="AppleSystemUIFont"/>
          <w:color w:val="353535"/>
        </w:rPr>
      </w:pPr>
    </w:p>
    <w:p w14:paraId="6834BD77" w14:textId="78F60820" w:rsidR="000D304E" w:rsidRDefault="00DF4827" w:rsidP="000D304E">
      <w:r w:rsidRPr="00DF4827">
        <w:rPr>
          <w:i/>
          <w:iCs/>
        </w:rPr>
        <w:t>‘</w:t>
      </w:r>
      <w:r w:rsidR="000D304E" w:rsidRPr="00DF4827">
        <w:rPr>
          <w:i/>
          <w:iCs/>
        </w:rPr>
        <w:t>The Pyramid Texts</w:t>
      </w:r>
      <w:r w:rsidRPr="00DF4827">
        <w:rPr>
          <w:i/>
          <w:iCs/>
        </w:rPr>
        <w:t>’</w:t>
      </w:r>
      <w:r w:rsidR="000D304E" w:rsidRPr="00A6710E">
        <w:t xml:space="preserve"> represent the earliest known religious texts in ancient Egypt, dating back to the Old Kingdom's 5th and 6th dynasties (c. 2350-2180 BCE). These texts were inscribed on the walls of the royal pyramids and were meant to guide the pharaohs' souls in the afterlife. Through the analysis of </w:t>
      </w:r>
      <w:r>
        <w:t>‘</w:t>
      </w:r>
      <w:r w:rsidR="000D304E" w:rsidRPr="00DF4827">
        <w:rPr>
          <w:i/>
          <w:iCs/>
        </w:rPr>
        <w:t>The Pyramid Texts</w:t>
      </w:r>
      <w:r w:rsidRPr="00DF4827">
        <w:rPr>
          <w:i/>
          <w:iCs/>
        </w:rPr>
        <w:t>’</w:t>
      </w:r>
      <w:r w:rsidR="000D304E" w:rsidRPr="00A6710E">
        <w:t xml:space="preserve">, Mercer outlines the ancient Egyptian beliefs about the soul, the afterlife, and the gods. He explains that the Egyptians believed that the soul consisted of several parts, and some of them needed to journey through a series of challenges, including the judgment of the god Osiris, to reach the afterlife. The Egyptians also believed in the existence of numerous gods, each with specific roles and responsibilities. Mercer highlights the importance of Osiris, the god of the dead and the afterlife, and his consort, Isis. According to the texts, the pharaohs were often identified with Osiris, symbolizing their rebirth and immortality after death. Mercer outlines </w:t>
      </w:r>
      <w:r w:rsidR="000D304E" w:rsidRPr="00A6710E">
        <w:lastRenderedPageBreak/>
        <w:t xml:space="preserve">the significance of </w:t>
      </w:r>
      <w:r>
        <w:t>‘</w:t>
      </w:r>
      <w:r w:rsidR="000D304E" w:rsidRPr="00DF4827">
        <w:rPr>
          <w:i/>
          <w:iCs/>
        </w:rPr>
        <w:t>The Pyramid Texts'</w:t>
      </w:r>
      <w:r w:rsidR="000D304E" w:rsidRPr="00A6710E">
        <w:t xml:space="preserve"> language and writing style. The texts use a complex system of metaphors, puns, and wordplays, creating a rich and nuanced religious language. Mercer suggests that the language of </w:t>
      </w:r>
      <w:r w:rsidRPr="00DF4827">
        <w:rPr>
          <w:i/>
          <w:iCs/>
        </w:rPr>
        <w:t>‘</w:t>
      </w:r>
      <w:r w:rsidR="000D304E" w:rsidRPr="00DF4827">
        <w:rPr>
          <w:i/>
          <w:iCs/>
        </w:rPr>
        <w:t>The Pyramid Texts</w:t>
      </w:r>
      <w:r w:rsidRPr="00DF4827">
        <w:rPr>
          <w:i/>
          <w:iCs/>
        </w:rPr>
        <w:t>’</w:t>
      </w:r>
      <w:r w:rsidR="000D304E" w:rsidRPr="00A6710E">
        <w:t xml:space="preserve"> reflects the ancient Egyptian worldview, with its focus on the cyclical nature of life and death and the importance of maintaining cosmic balance. Overall, Mercer's analysis of </w:t>
      </w:r>
      <w:r>
        <w:t>‘</w:t>
      </w:r>
      <w:r w:rsidR="000D304E" w:rsidRPr="00DF4827">
        <w:rPr>
          <w:i/>
          <w:iCs/>
        </w:rPr>
        <w:t>The Pyramid Texts</w:t>
      </w:r>
      <w:r>
        <w:rPr>
          <w:i/>
          <w:iCs/>
        </w:rPr>
        <w:t>’</w:t>
      </w:r>
      <w:r w:rsidR="000D304E" w:rsidRPr="00A6710E">
        <w:t xml:space="preserve"> sheds light on the ancient Egyptian religion, philosophy, and culture, providing valuable insights into one of the world's oldest and most complex civilizations.</w:t>
      </w:r>
    </w:p>
    <w:p w14:paraId="55FA4136" w14:textId="7CA48802" w:rsidR="00763E35" w:rsidRDefault="00763E35" w:rsidP="000D304E"/>
    <w:p w14:paraId="36D83524" w14:textId="26495306" w:rsidR="00763E35" w:rsidRPr="00763E35" w:rsidRDefault="00763E35" w:rsidP="00763E35">
      <w:pPr>
        <w:rPr>
          <w:rFonts w:cstheme="minorHAnsi"/>
        </w:rPr>
      </w:pPr>
      <w:r w:rsidRPr="00763E35">
        <w:rPr>
          <w:rFonts w:cstheme="minorHAnsi"/>
        </w:rPr>
        <w:t>According to R A Parker in "Egyptian Astronomy Astrology and Calendarial Reckoning," the broader cosmological worldview of ancient Egypt was cantered around the cycle of life and death, as exemplified by the yearly flood of the Nile. The Egyptians believed that the cosmos was ordered and governed by a series of gods and goddesses who controlled the forces of nature and the events of human life. They also believed that the souls of the dead could journey into the afterlife and be judged by the gods based on their deeds in life. This belief in the afterlife was closely tied to their astronomical observations, as it allowed them to predict the yearly cycles of the Nile flood and celebrate the annual rebirth of the land. Overall, the cosmological worldview of ancient Egypt was shaped by their close relationship with the natural world, their belief in divine intervention, and their focus on the continuous cycle of life and death.</w:t>
      </w:r>
      <w:r w:rsidR="003F3D5A">
        <w:rPr>
          <w:rStyle w:val="FootnoteReference"/>
          <w:rFonts w:cstheme="minorHAnsi"/>
        </w:rPr>
        <w:footnoteReference w:id="13"/>
      </w:r>
    </w:p>
    <w:p w14:paraId="4F02BB4C" w14:textId="77777777" w:rsidR="00763E35" w:rsidRPr="00A6710E" w:rsidRDefault="00763E35" w:rsidP="000D304E"/>
    <w:p w14:paraId="72548F45" w14:textId="31093AE9" w:rsidR="000D304E" w:rsidRPr="00A6710E" w:rsidRDefault="000D304E" w:rsidP="000D304E">
      <w:pPr>
        <w:autoSpaceDE w:val="0"/>
        <w:autoSpaceDN w:val="0"/>
        <w:adjustRightInd w:val="0"/>
        <w:rPr>
          <w:rFonts w:cs="AppleSystemUIFont"/>
          <w:color w:val="353535"/>
        </w:rPr>
      </w:pPr>
    </w:p>
    <w:p w14:paraId="38B1312A" w14:textId="2A5C0B7D" w:rsidR="000D304E" w:rsidRPr="00A6710E" w:rsidRDefault="000D304E" w:rsidP="000D304E">
      <w:pPr>
        <w:rPr>
          <w:b/>
          <w:bCs/>
        </w:rPr>
      </w:pPr>
      <w:r w:rsidRPr="00A6710E">
        <w:rPr>
          <w:b/>
          <w:bCs/>
        </w:rPr>
        <w:t xml:space="preserve">The practise of divination in ancient Egypt </w:t>
      </w:r>
    </w:p>
    <w:p w14:paraId="28318FD5" w14:textId="77777777" w:rsidR="00A6710E" w:rsidRPr="00A6710E" w:rsidRDefault="00A6710E" w:rsidP="000D304E">
      <w:pPr>
        <w:rPr>
          <w:b/>
          <w:bCs/>
        </w:rPr>
      </w:pPr>
    </w:p>
    <w:p w14:paraId="4A25C566" w14:textId="1067948E" w:rsidR="000D304E" w:rsidRPr="00A6710E" w:rsidRDefault="000D304E" w:rsidP="00A6710E">
      <w:r w:rsidRPr="00A6710E">
        <w:t xml:space="preserve">In Egyptian religious life, divination played a central role. These practices aimed to establish a direct connection with the gods, providing guidance and insight into personal and spiritual matters. Both professional priests and ordinary people practiced various forms of divination to access the divine realm and gain insight into the workings of the universe, </w:t>
      </w:r>
      <w:r w:rsidRPr="00A6710E">
        <w:rPr>
          <w:rFonts w:cs="AppleSystemUIFont"/>
          <w:color w:val="353535"/>
        </w:rPr>
        <w:t xml:space="preserve">serving as a means to communicate with the gods, gain insights into the future, and seek guidance for important decisions. Various divination methods were employed by trained professionals, believed to possess unique abilities to interpret signs and symbols, such as oracles, dream interpretation, astrology and time. </w:t>
      </w:r>
    </w:p>
    <w:p w14:paraId="77B254F9" w14:textId="77777777" w:rsidR="000D304E" w:rsidRPr="00A6710E" w:rsidRDefault="000D304E" w:rsidP="007C3598">
      <w:pPr>
        <w:autoSpaceDE w:val="0"/>
        <w:autoSpaceDN w:val="0"/>
        <w:adjustRightInd w:val="0"/>
        <w:rPr>
          <w:rFonts w:cs="AppleSystemUIFont"/>
          <w:color w:val="353535"/>
        </w:rPr>
      </w:pPr>
    </w:p>
    <w:p w14:paraId="2FDABA5A" w14:textId="35C980C4" w:rsidR="000D304E" w:rsidRPr="00A6710E" w:rsidRDefault="000D304E" w:rsidP="007C3598">
      <w:pPr>
        <w:autoSpaceDE w:val="0"/>
        <w:autoSpaceDN w:val="0"/>
        <w:adjustRightInd w:val="0"/>
        <w:rPr>
          <w:rFonts w:cs="AppleSystemUIFont"/>
          <w:b/>
          <w:bCs/>
          <w:color w:val="353535"/>
        </w:rPr>
      </w:pPr>
      <w:r w:rsidRPr="00A6710E">
        <w:rPr>
          <w:rFonts w:cs="AppleSystemUIFont"/>
          <w:b/>
          <w:bCs/>
          <w:color w:val="353535"/>
        </w:rPr>
        <w:t xml:space="preserve">Oracles </w:t>
      </w:r>
    </w:p>
    <w:p w14:paraId="0E5DA7AA" w14:textId="5D052EF0" w:rsidR="000D304E" w:rsidRPr="00A6710E" w:rsidRDefault="000D304E" w:rsidP="007C3598">
      <w:pPr>
        <w:autoSpaceDE w:val="0"/>
        <w:autoSpaceDN w:val="0"/>
        <w:adjustRightInd w:val="0"/>
        <w:rPr>
          <w:rFonts w:cs="AppleSystemUIFont"/>
          <w:color w:val="353535"/>
        </w:rPr>
      </w:pPr>
    </w:p>
    <w:p w14:paraId="4A4395BE" w14:textId="493ECB41" w:rsidR="007D0D4A" w:rsidRDefault="000D304E" w:rsidP="00CD0604">
      <w:pPr>
        <w:autoSpaceDE w:val="0"/>
        <w:autoSpaceDN w:val="0"/>
        <w:adjustRightInd w:val="0"/>
        <w:rPr>
          <w:rFonts w:cs="AppleSystemUIFont"/>
          <w:color w:val="353535"/>
        </w:rPr>
      </w:pPr>
      <w:r w:rsidRPr="00A6710E">
        <w:rPr>
          <w:rFonts w:cs="AppleSystemUIFont"/>
          <w:color w:val="353535"/>
        </w:rPr>
        <w:t xml:space="preserve">This practice was deeply intertwined with Egyptian religious beliefs, with the consultation of gods and goddesses being a prominent aspect of divination. </w:t>
      </w:r>
      <w:r w:rsidR="00CD0604" w:rsidRPr="00A6710E">
        <w:rPr>
          <w:rFonts w:cs="AppleSystemUIFont"/>
          <w:color w:val="353535"/>
        </w:rPr>
        <w:t>In Ancient Egypt, oracles and seers served as intermediaries between the divine realm and humans. Their exceptional abilities allowed them to perceive and interpret divine messages, offering crucial advice to kings and high priests.</w:t>
      </w:r>
      <w:r w:rsidR="00A6710E" w:rsidRPr="00A6710E">
        <w:rPr>
          <w:rFonts w:cs="AppleSystemUIFont"/>
          <w:color w:val="353535"/>
        </w:rPr>
        <w:t xml:space="preserve"> </w:t>
      </w:r>
      <w:r w:rsidR="00CD0604" w:rsidRPr="00A6710E">
        <w:rPr>
          <w:rFonts w:cs="AppleSystemUIFont"/>
          <w:color w:val="353535"/>
        </w:rPr>
        <w:t xml:space="preserve">Interpreting omens, such as natural phenomena or the </w:t>
      </w:r>
      <w:r w:rsidR="00A6710E" w:rsidRPr="00A6710E">
        <w:rPr>
          <w:rFonts w:cs="AppleSystemUIFont"/>
          <w:color w:val="353535"/>
        </w:rPr>
        <w:t>behaviour</w:t>
      </w:r>
      <w:r w:rsidR="00CD0604" w:rsidRPr="00A6710E">
        <w:rPr>
          <w:rFonts w:cs="AppleSystemUIFont"/>
          <w:color w:val="353535"/>
        </w:rPr>
        <w:t xml:space="preserve"> of animals, was another form of divination used to discern future events. Omens were regarded as signs from the gods, guiding decisions and actions.</w:t>
      </w:r>
      <w:r w:rsidR="007D0D4A">
        <w:rPr>
          <w:rFonts w:cs="AppleSystemUIFont"/>
          <w:color w:val="353535"/>
        </w:rPr>
        <w:t xml:space="preserve"> </w:t>
      </w:r>
      <w:r w:rsidR="00CD0604" w:rsidRPr="00A6710E">
        <w:rPr>
          <w:rFonts w:cs="AppleSystemUIFont"/>
          <w:color w:val="353535"/>
        </w:rPr>
        <w:t xml:space="preserve">Books and oracles played a </w:t>
      </w:r>
      <w:r w:rsidR="00CD0604" w:rsidRPr="00A6710E">
        <w:rPr>
          <w:rFonts w:cs="AppleSystemUIFont"/>
          <w:color w:val="353535"/>
        </w:rPr>
        <w:lastRenderedPageBreak/>
        <w:t xml:space="preserve">role in Egyptian divination practices. Interpreting omens, such as natural phenomena or the </w:t>
      </w:r>
      <w:r w:rsidR="00A6710E" w:rsidRPr="00A6710E">
        <w:rPr>
          <w:rFonts w:cs="AppleSystemUIFont"/>
          <w:color w:val="353535"/>
        </w:rPr>
        <w:t>behaviour</w:t>
      </w:r>
      <w:r w:rsidR="00CD0604" w:rsidRPr="00A6710E">
        <w:rPr>
          <w:rFonts w:cs="AppleSystemUIFont"/>
          <w:color w:val="353535"/>
        </w:rPr>
        <w:t xml:space="preserve"> of animals, was another form of divination used to discern future events. </w:t>
      </w:r>
    </w:p>
    <w:p w14:paraId="7BE925E2" w14:textId="77777777" w:rsidR="007D0D4A" w:rsidRDefault="007D0D4A" w:rsidP="00CD0604">
      <w:pPr>
        <w:autoSpaceDE w:val="0"/>
        <w:autoSpaceDN w:val="0"/>
        <w:adjustRightInd w:val="0"/>
        <w:rPr>
          <w:rFonts w:cs="AppleSystemUIFont"/>
          <w:color w:val="353535"/>
        </w:rPr>
      </w:pPr>
    </w:p>
    <w:p w14:paraId="7E2D2C07" w14:textId="77777777" w:rsidR="0087501D" w:rsidRDefault="00CD0604" w:rsidP="00CD0604">
      <w:pPr>
        <w:autoSpaceDE w:val="0"/>
        <w:autoSpaceDN w:val="0"/>
        <w:adjustRightInd w:val="0"/>
        <w:rPr>
          <w:rFonts w:cs="AppleSystemUIFont"/>
          <w:color w:val="353535"/>
        </w:rPr>
      </w:pPr>
      <w:r w:rsidRPr="00A6710E">
        <w:rPr>
          <w:rFonts w:cs="AppleSystemUIFont"/>
          <w:color w:val="353535"/>
        </w:rPr>
        <w:t>Omens were regarded as signs from the gods, guiding decisions and actions.</w:t>
      </w:r>
      <w:r w:rsidR="00284004">
        <w:rPr>
          <w:rFonts w:cs="AppleSystemUIFont"/>
          <w:color w:val="353535"/>
        </w:rPr>
        <w:t xml:space="preserve"> An oracle asks a question to God through action, awaiting an answer, as an omen is sign from God awaiting recognition and interpretation from the diviner. </w:t>
      </w:r>
      <w:r w:rsidR="00AC73B4">
        <w:rPr>
          <w:rFonts w:cs="AppleSystemUIFont"/>
          <w:color w:val="353535"/>
        </w:rPr>
        <w:t>According</w:t>
      </w:r>
      <w:r w:rsidR="006F09E6">
        <w:rPr>
          <w:rFonts w:cs="AppleSystemUIFont"/>
          <w:color w:val="353535"/>
        </w:rPr>
        <w:t xml:space="preserve"> to</w:t>
      </w:r>
      <w:r w:rsidR="00AC73B4">
        <w:rPr>
          <w:rFonts w:cs="AppleSystemUIFont"/>
          <w:color w:val="353535"/>
        </w:rPr>
        <w:t xml:space="preserve"> Redford, an oracle could request ‘a deity to answer some practical question through the agency of public image’.</w:t>
      </w:r>
      <w:r w:rsidR="00AC73B4">
        <w:rPr>
          <w:rStyle w:val="FootnoteReference"/>
          <w:rFonts w:cs="AppleSystemUIFont"/>
          <w:color w:val="353535"/>
        </w:rPr>
        <w:footnoteReference w:id="14"/>
      </w:r>
      <w:r w:rsidR="00AC73B4">
        <w:rPr>
          <w:rFonts w:cs="AppleSystemUIFont"/>
          <w:color w:val="353535"/>
        </w:rPr>
        <w:t xml:space="preserve"> </w:t>
      </w:r>
      <w:r w:rsidR="006F09E6">
        <w:rPr>
          <w:rFonts w:cs="AppleSystemUIFont"/>
          <w:color w:val="353535"/>
        </w:rPr>
        <w:t>Redford states that Amun of Karnak was the most prominent of all oracular Gods, although it wasn’t until the time of Thutmose III for details of this oracular process, due to a biographical inscription engraved in Karnak, how the king explains how he was chosen as the next pharaoh.</w:t>
      </w:r>
      <w:r w:rsidR="006F09E6">
        <w:rPr>
          <w:rStyle w:val="FootnoteReference"/>
          <w:rFonts w:cs="AppleSystemUIFont"/>
          <w:color w:val="353535"/>
        </w:rPr>
        <w:footnoteReference w:id="15"/>
      </w:r>
      <w:r w:rsidR="006F09E6">
        <w:rPr>
          <w:rFonts w:cs="AppleSystemUIFont"/>
          <w:color w:val="353535"/>
        </w:rPr>
        <w:t xml:space="preserve"> Another example</w:t>
      </w:r>
      <w:r w:rsidR="007D0D4A">
        <w:rPr>
          <w:rFonts w:cs="AppleSystemUIFont"/>
          <w:color w:val="353535"/>
        </w:rPr>
        <w:t>,</w:t>
      </w:r>
      <w:r w:rsidR="006F09E6">
        <w:rPr>
          <w:rFonts w:cs="AppleSystemUIFont"/>
          <w:color w:val="353535"/>
        </w:rPr>
        <w:t xml:space="preserve"> was how Queen Hatshepsut </w:t>
      </w:r>
      <w:r w:rsidR="007D0D4A">
        <w:rPr>
          <w:rFonts w:cs="AppleSystemUIFont"/>
          <w:color w:val="353535"/>
        </w:rPr>
        <w:t>sought through an oracle, the best route to Punt, where she could hear the divine order, or guidance, listening to the answer how best to navigate.</w:t>
      </w:r>
      <w:r w:rsidR="007D0D4A">
        <w:rPr>
          <w:rStyle w:val="FootnoteReference"/>
          <w:rFonts w:cs="AppleSystemUIFont"/>
          <w:color w:val="353535"/>
        </w:rPr>
        <w:footnoteReference w:id="16"/>
      </w:r>
      <w:r w:rsidR="007D0D4A">
        <w:rPr>
          <w:rFonts w:cs="AppleSystemUIFont"/>
          <w:color w:val="353535"/>
        </w:rPr>
        <w:t xml:space="preserve"> </w:t>
      </w:r>
    </w:p>
    <w:p w14:paraId="45C584B3" w14:textId="77777777" w:rsidR="0087501D" w:rsidRDefault="0087501D" w:rsidP="00CD0604">
      <w:pPr>
        <w:autoSpaceDE w:val="0"/>
        <w:autoSpaceDN w:val="0"/>
        <w:adjustRightInd w:val="0"/>
        <w:rPr>
          <w:rFonts w:cs="AppleSystemUIFont"/>
          <w:color w:val="353535"/>
        </w:rPr>
      </w:pPr>
    </w:p>
    <w:p w14:paraId="159D43C4" w14:textId="70B08416" w:rsidR="00CD0604" w:rsidRPr="00A6710E" w:rsidRDefault="007D0D4A" w:rsidP="00CD0604">
      <w:pPr>
        <w:autoSpaceDE w:val="0"/>
        <w:autoSpaceDN w:val="0"/>
        <w:adjustRightInd w:val="0"/>
        <w:rPr>
          <w:rFonts w:cs="AppleSystemUIFont"/>
          <w:color w:val="353535"/>
        </w:rPr>
      </w:pPr>
      <w:r>
        <w:rPr>
          <w:rFonts w:cs="AppleSystemUIFont"/>
          <w:color w:val="353535"/>
        </w:rPr>
        <w:t xml:space="preserve">These examples of use of oracles through temple inscriptions posit to the practise of divination in Ancient Egypt, however, this evidence is </w:t>
      </w:r>
      <w:r w:rsidR="0087501D">
        <w:rPr>
          <w:rFonts w:cs="AppleSystemUIFont"/>
          <w:color w:val="353535"/>
        </w:rPr>
        <w:t>‘meagre’</w:t>
      </w:r>
      <w:r>
        <w:rPr>
          <w:rFonts w:cs="AppleSystemUIFont"/>
          <w:color w:val="353535"/>
        </w:rPr>
        <w:t xml:space="preserve"> according to </w:t>
      </w:r>
      <w:r w:rsidRPr="00A6710E">
        <w:rPr>
          <w:rFonts w:cstheme="minorHAnsi"/>
        </w:rPr>
        <w:t>Blacker and Loewe</w:t>
      </w:r>
      <w:r w:rsidR="0087501D">
        <w:rPr>
          <w:rFonts w:cstheme="minorHAnsi"/>
        </w:rPr>
        <w:t>, as much of the knowledge was passed through oral communication than written words, they see much of the references of divination as almost unknown.</w:t>
      </w:r>
      <w:r w:rsidR="0087501D">
        <w:rPr>
          <w:rStyle w:val="FootnoteReference"/>
          <w:rFonts w:cstheme="minorHAnsi"/>
        </w:rPr>
        <w:footnoteReference w:id="17"/>
      </w:r>
      <w:r w:rsidR="0087501D">
        <w:rPr>
          <w:rFonts w:cstheme="minorHAnsi"/>
        </w:rPr>
        <w:t xml:space="preserve"> Campion agrees, that many sources for Egyptian cosmology were ‘sparse’, much of the practise, for example Egyptian astronomy was ‘primarily observational’, and therefore, could lend to a lack of evidence</w:t>
      </w:r>
      <w:r w:rsidR="00A64CBB">
        <w:rPr>
          <w:rFonts w:cstheme="minorHAnsi"/>
        </w:rPr>
        <w:t>.</w:t>
      </w:r>
      <w:r w:rsidR="00A64CBB">
        <w:rPr>
          <w:rStyle w:val="FootnoteReference"/>
          <w:rFonts w:cstheme="minorHAnsi"/>
        </w:rPr>
        <w:footnoteReference w:id="18"/>
      </w:r>
      <w:r w:rsidR="00A64CBB">
        <w:rPr>
          <w:rFonts w:cstheme="minorHAnsi"/>
        </w:rPr>
        <w:t xml:space="preserve"> Thus, even though there is clear evidence of the use of oracles in ancient Egypt, the extent cannot be assumed due to a few sources of the practise. </w:t>
      </w:r>
    </w:p>
    <w:p w14:paraId="256CFEE1" w14:textId="71D1B5E4" w:rsidR="000D304E" w:rsidRPr="00A6710E" w:rsidRDefault="000D304E" w:rsidP="007C3598">
      <w:pPr>
        <w:autoSpaceDE w:val="0"/>
        <w:autoSpaceDN w:val="0"/>
        <w:adjustRightInd w:val="0"/>
        <w:rPr>
          <w:rFonts w:cs="AppleSystemUIFont"/>
          <w:color w:val="353535"/>
        </w:rPr>
      </w:pPr>
    </w:p>
    <w:p w14:paraId="153BE67D" w14:textId="1867CAF4" w:rsidR="000D304E" w:rsidRPr="00A6710E" w:rsidRDefault="000D304E" w:rsidP="007C3598">
      <w:pPr>
        <w:autoSpaceDE w:val="0"/>
        <w:autoSpaceDN w:val="0"/>
        <w:adjustRightInd w:val="0"/>
        <w:rPr>
          <w:rFonts w:cs="AppleSystemUIFont"/>
          <w:b/>
          <w:bCs/>
          <w:color w:val="353535"/>
        </w:rPr>
      </w:pPr>
      <w:r w:rsidRPr="00A6710E">
        <w:rPr>
          <w:rFonts w:cs="AppleSystemUIFont"/>
          <w:b/>
          <w:bCs/>
          <w:color w:val="353535"/>
        </w:rPr>
        <w:t xml:space="preserve">Dream interpretation </w:t>
      </w:r>
    </w:p>
    <w:p w14:paraId="51BC1B29" w14:textId="386ADBAC" w:rsidR="007C3598" w:rsidRPr="00A6710E" w:rsidRDefault="007C3598" w:rsidP="007C3598">
      <w:pPr>
        <w:autoSpaceDE w:val="0"/>
        <w:autoSpaceDN w:val="0"/>
        <w:adjustRightInd w:val="0"/>
        <w:rPr>
          <w:rFonts w:cs="AppleSystemUIFont"/>
          <w:color w:val="353535"/>
        </w:rPr>
      </w:pPr>
    </w:p>
    <w:p w14:paraId="70A2C6E4" w14:textId="03655BD9" w:rsidR="000D304E" w:rsidRPr="00A6710E" w:rsidRDefault="007C3598" w:rsidP="000D304E">
      <w:r w:rsidRPr="00A6710E">
        <w:t>Dream interpretation was another common form of divination</w:t>
      </w:r>
      <w:r w:rsidR="00A64CBB">
        <w:t xml:space="preserve"> in Ancient Egypt</w:t>
      </w:r>
      <w:r w:rsidRPr="00A6710E">
        <w:t>, as the Egyptians believed dreams conveyed messages from the divine realm. Dreams served as a means of communication between the living, the dead, and the gods, offering important information and guidance.</w:t>
      </w:r>
      <w:r w:rsidR="000D304E" w:rsidRPr="00A6710E">
        <w:t xml:space="preserve"> </w:t>
      </w:r>
      <w:r w:rsidR="000D304E" w:rsidRPr="00A6710E">
        <w:rPr>
          <w:rFonts w:cs="AppleSystemUIFont"/>
          <w:color w:val="353535"/>
        </w:rPr>
        <w:t>Dream interpretation aimed to provide individuals with a deeper understanding of their lives, the universe, and their relationship with the divine.</w:t>
      </w:r>
      <w:r w:rsidR="00A64CBB">
        <w:rPr>
          <w:rFonts w:cs="AppleSystemUIFont"/>
          <w:color w:val="353535"/>
        </w:rPr>
        <w:t xml:space="preserve"> </w:t>
      </w:r>
      <w:r w:rsidR="00A64CBB" w:rsidRPr="00E548E1">
        <w:t>Dunand and Vivie-Choche</w:t>
      </w:r>
      <w:r w:rsidR="004A7258">
        <w:t>, explain that in Ancient Egypt that the word ‘reset’ as dream, expresses the idea of wakefulness, that deities could manifest in dreams, whether for good or ill.</w:t>
      </w:r>
      <w:r w:rsidR="004A7258">
        <w:rPr>
          <w:rStyle w:val="FootnoteReference"/>
        </w:rPr>
        <w:footnoteReference w:id="19"/>
      </w:r>
      <w:r w:rsidR="004A7258">
        <w:t xml:space="preserve"> Mainly divine dreams were for the domain of the noble elite or kings, however, mortals could also experience dream divination also.</w:t>
      </w:r>
      <w:r w:rsidR="004A7258">
        <w:rPr>
          <w:rStyle w:val="FootnoteReference"/>
        </w:rPr>
        <w:footnoteReference w:id="20"/>
      </w:r>
      <w:r w:rsidR="004A7258">
        <w:t xml:space="preserve"> For example, </w:t>
      </w:r>
      <w:r w:rsidR="008432C7">
        <w:t>dream interpretations that show ‘If she gives birth to a cat, she will have many children’ from dream books reveal good or bad portents.</w:t>
      </w:r>
      <w:r w:rsidR="008432C7">
        <w:rPr>
          <w:rStyle w:val="FootnoteReference"/>
        </w:rPr>
        <w:footnoteReference w:id="21"/>
      </w:r>
      <w:r w:rsidR="008432C7">
        <w:t xml:space="preserve"> The practise of dreams, whether provoked, or occurring naturally, or induced similar to the practise of oracles, were practised in Egypt. </w:t>
      </w:r>
    </w:p>
    <w:p w14:paraId="767A1EE9" w14:textId="77777777" w:rsidR="007C3598" w:rsidRPr="00A6710E" w:rsidRDefault="007C3598" w:rsidP="007C3598">
      <w:pPr>
        <w:autoSpaceDE w:val="0"/>
        <w:autoSpaceDN w:val="0"/>
        <w:adjustRightInd w:val="0"/>
        <w:rPr>
          <w:rFonts w:cs="AppleSystemUIFont"/>
          <w:color w:val="353535"/>
        </w:rPr>
      </w:pPr>
    </w:p>
    <w:p w14:paraId="43B5F7D4" w14:textId="0F786B15" w:rsidR="007C3598" w:rsidRPr="00A6710E" w:rsidRDefault="000D304E" w:rsidP="006C5696">
      <w:pPr>
        <w:rPr>
          <w:b/>
          <w:bCs/>
        </w:rPr>
      </w:pPr>
      <w:r w:rsidRPr="00A6710E">
        <w:rPr>
          <w:b/>
          <w:bCs/>
        </w:rPr>
        <w:lastRenderedPageBreak/>
        <w:t xml:space="preserve">Astrology and time </w:t>
      </w:r>
    </w:p>
    <w:p w14:paraId="6153A039" w14:textId="77777777" w:rsidR="006C5696" w:rsidRPr="00A6710E" w:rsidRDefault="006C5696" w:rsidP="006C5696">
      <w:pPr>
        <w:autoSpaceDE w:val="0"/>
        <w:autoSpaceDN w:val="0"/>
        <w:adjustRightInd w:val="0"/>
        <w:rPr>
          <w:rFonts w:cs="AppleSystemUIFont"/>
          <w:color w:val="353535"/>
        </w:rPr>
      </w:pPr>
    </w:p>
    <w:p w14:paraId="1A58C8EF" w14:textId="09D778DB" w:rsidR="00CD0604" w:rsidRPr="00A6710E" w:rsidRDefault="00A6710E" w:rsidP="00A6710E">
      <w:r w:rsidRPr="00A6710E">
        <w:rPr>
          <w:rFonts w:cs="AppleSystemUIFont"/>
          <w:color w:val="353535"/>
        </w:rPr>
        <w:t xml:space="preserve">Astrology was another essential component of divination, with the movements of planets and stars believed to exert a profound influence on individuals and communities. </w:t>
      </w:r>
      <w:r w:rsidR="000D304E" w:rsidRPr="00A6710E">
        <w:t xml:space="preserve">Astrology was </w:t>
      </w:r>
      <w:r w:rsidRPr="00A6710E">
        <w:t xml:space="preserve">a </w:t>
      </w:r>
      <w:r w:rsidR="000D304E" w:rsidRPr="00A6710E">
        <w:t>prominent</w:t>
      </w:r>
      <w:r w:rsidRPr="00A6710E">
        <w:t xml:space="preserve"> from of divination</w:t>
      </w:r>
      <w:r w:rsidR="000D304E" w:rsidRPr="00A6710E">
        <w:t>, involving the observation and interpretation of celestial phenomena to understand their influence on human life. The movements of stars and planets were considered not only signs of divine activity but also had a direct impact on human affairs, with astrology being used to predict the future, diagnose illnesses, and guide actions.</w:t>
      </w:r>
      <w:r w:rsidRPr="00A6710E">
        <w:t xml:space="preserve"> </w:t>
      </w:r>
      <w:r w:rsidR="00CD0604" w:rsidRPr="00A6710E">
        <w:rPr>
          <w:rFonts w:cs="AppleSystemUIFont"/>
          <w:color w:val="353535"/>
        </w:rPr>
        <w:t>Astrologers studied celestial positions to understand the will of the gods and predict future outcomes.</w:t>
      </w:r>
    </w:p>
    <w:p w14:paraId="387B8D3D" w14:textId="76E61E45" w:rsidR="00CD0604" w:rsidRPr="00A6710E" w:rsidRDefault="00CD0604" w:rsidP="00CD0604">
      <w:pPr>
        <w:autoSpaceDE w:val="0"/>
        <w:autoSpaceDN w:val="0"/>
        <w:adjustRightInd w:val="0"/>
        <w:rPr>
          <w:rFonts w:cs="AppleSystemUIFont"/>
          <w:color w:val="353535"/>
        </w:rPr>
      </w:pPr>
    </w:p>
    <w:p w14:paraId="2506B0D8" w14:textId="5BF1CAD0" w:rsidR="000D304E" w:rsidRPr="00A6710E" w:rsidRDefault="00CD0604" w:rsidP="000D304E">
      <w:r w:rsidRPr="00A6710E">
        <w:t>Astrology</w:t>
      </w:r>
      <w:r w:rsidR="00A6710E" w:rsidRPr="00A6710E">
        <w:t xml:space="preserve"> </w:t>
      </w:r>
      <w:r w:rsidRPr="00A6710E">
        <w:t>flourished due to the belief that the celestial bodies were not just astronomical objects but held divine influences over human affairs. The alignment of the planets and stars was thought to have direct implications for individuals and the state, impacting decisions, events, and even the fate of the Pharaoh himself.</w:t>
      </w:r>
      <w:r w:rsidR="00A6710E" w:rsidRPr="00A6710E">
        <w:t xml:space="preserve"> </w:t>
      </w:r>
      <w:r w:rsidR="000D304E" w:rsidRPr="00A6710E">
        <w:t xml:space="preserve">Otto Neugebaur and R. A. Parker make several conclusions about ancient Egypt in the </w:t>
      </w:r>
      <w:r w:rsidR="00DF4827" w:rsidRPr="00DF4827">
        <w:rPr>
          <w:i/>
          <w:iCs/>
        </w:rPr>
        <w:t>‘</w:t>
      </w:r>
      <w:r w:rsidR="000D304E" w:rsidRPr="00DF4827">
        <w:rPr>
          <w:i/>
          <w:iCs/>
        </w:rPr>
        <w:t>Egyptian Astronomical Texts</w:t>
      </w:r>
      <w:r w:rsidR="00DF4827">
        <w:rPr>
          <w:i/>
          <w:iCs/>
        </w:rPr>
        <w:t>’</w:t>
      </w:r>
      <w:r w:rsidR="00DF4827" w:rsidRPr="00DF4827">
        <w:t>(1960</w:t>
      </w:r>
      <w:r w:rsidR="00DF4827">
        <w:rPr>
          <w:i/>
          <w:iCs/>
        </w:rPr>
        <w:t>)</w:t>
      </w:r>
      <w:r w:rsidR="000D304E" w:rsidRPr="00A6710E">
        <w:t xml:space="preserve">. Firstly, they argue that ancient Egyptians possessed a sophisticated understanding of astronomy, as evidenced by their astronomical texts, which contain detailed observations of celestial bodies and phenomena. Furthermore, Neugebaur and Parker suggest that there is evidence of a connection between astronomy and religious beliefs in ancient Egypt. Many of the astronomical texts are found within temple inscriptions or were used to guide religious rituals. Finally, the authors note that the development of astronomy in ancient Egypt was closely tied to the need for a reliable calendar system. The Egyptians developed a lunar calendar with </w:t>
      </w:r>
      <w:r w:rsidR="00A6710E" w:rsidRPr="00A6710E">
        <w:t>twelve</w:t>
      </w:r>
      <w:r w:rsidR="000D304E" w:rsidRPr="00A6710E">
        <w:t xml:space="preserve"> months of </w:t>
      </w:r>
      <w:r w:rsidR="00A6710E" w:rsidRPr="00A6710E">
        <w:t>twenty-nine of thirty</w:t>
      </w:r>
      <w:r w:rsidR="000D304E" w:rsidRPr="00A6710E">
        <w:t xml:space="preserve"> days each and a solar calendar with </w:t>
      </w:r>
      <w:r w:rsidR="00A6710E" w:rsidRPr="00A6710E">
        <w:t>three hundred and sixty</w:t>
      </w:r>
      <w:r w:rsidR="000D304E" w:rsidRPr="00A6710E">
        <w:t xml:space="preserve"> days, indicating a high level of mathematical and astronomical knowledge.</w:t>
      </w:r>
    </w:p>
    <w:p w14:paraId="06F2A092" w14:textId="5F776F51" w:rsidR="000D304E" w:rsidRDefault="000D304E" w:rsidP="00D65F9C">
      <w:pPr>
        <w:rPr>
          <w:rFonts w:cstheme="minorHAnsi"/>
          <w:b/>
          <w:bCs/>
        </w:rPr>
      </w:pPr>
    </w:p>
    <w:p w14:paraId="097698D1" w14:textId="77777777" w:rsidR="00CD0604" w:rsidRPr="00A6710E" w:rsidRDefault="00CD0604" w:rsidP="00CD0604">
      <w:pPr>
        <w:rPr>
          <w:b/>
          <w:bCs/>
        </w:rPr>
      </w:pPr>
      <w:r w:rsidRPr="00A6710E">
        <w:rPr>
          <w:b/>
          <w:bCs/>
        </w:rPr>
        <w:t>Conclusion</w:t>
      </w:r>
    </w:p>
    <w:p w14:paraId="25D13B3B" w14:textId="77777777" w:rsidR="00CD0604" w:rsidRPr="00A6710E" w:rsidRDefault="00CD0604" w:rsidP="00CD0604"/>
    <w:p w14:paraId="1B7BD0BC" w14:textId="591518CE" w:rsidR="00CD0604" w:rsidRPr="00A6710E" w:rsidRDefault="00CD0604" w:rsidP="00CD0604">
      <w:pPr>
        <w:rPr>
          <w:rFonts w:cs="AppleSystemUIFont"/>
          <w:color w:val="353535"/>
        </w:rPr>
      </w:pPr>
      <w:r w:rsidRPr="00A6710E">
        <w:rPr>
          <w:rFonts w:cs="AppleSystemUIFont"/>
          <w:color w:val="353535"/>
        </w:rPr>
        <w:t>In conclusion, the relationship between cosmology and divination in ancient Egypt was a profound and intricate one. The ancient Egyptians firmly believed in an ordered and interconnected cosmos, governed by a complex system of deities. Divination served as a vital means of accessing the wisdom of the gods and gaining insights into the workings of the universe. Many divination techniques were based on observations and interpretations of celestial phenomena, reflecting the deep connection between the earthly and cosmic realms.</w:t>
      </w:r>
      <w:r w:rsidR="008321AB">
        <w:rPr>
          <w:rFonts w:cs="AppleSystemUIFont"/>
          <w:color w:val="353535"/>
        </w:rPr>
        <w:t xml:space="preserve"> </w:t>
      </w:r>
      <w:r w:rsidRPr="00A6710E">
        <w:rPr>
          <w:rFonts w:cs="AppleSystemUIFont"/>
          <w:color w:val="353535"/>
        </w:rPr>
        <w:t>The Egyptian worldview was deeply influenced by cosmological beliefs, with gods and goddesses regarded as controllers of the universe, and rituals and offerings were conducted to maintain balance and harmony. Divination served as a communication channel between humans and the divine, providing guidance on future events, validating decisions, and instilling reassurance.</w:t>
      </w:r>
    </w:p>
    <w:p w14:paraId="78037B15" w14:textId="77777777" w:rsidR="00CD0604" w:rsidRPr="00A6710E" w:rsidRDefault="00CD0604" w:rsidP="00CD0604">
      <w:pPr>
        <w:rPr>
          <w:rFonts w:cs="AppleSystemUIFont"/>
          <w:color w:val="353535"/>
        </w:rPr>
      </w:pPr>
    </w:p>
    <w:p w14:paraId="5CB702CB" w14:textId="6A174A59" w:rsidR="008321AB" w:rsidRDefault="00CD0604" w:rsidP="00A6710E">
      <w:pPr>
        <w:rPr>
          <w:rFonts w:cs="AppleSystemUIFont"/>
          <w:color w:val="353535"/>
        </w:rPr>
      </w:pPr>
      <w:r w:rsidRPr="00A6710E">
        <w:rPr>
          <w:rFonts w:cs="AppleSystemUIFont"/>
          <w:color w:val="353535"/>
        </w:rPr>
        <w:t xml:space="preserve">Astrology, closely linked to astronomy, played a </w:t>
      </w:r>
      <w:r w:rsidR="0096788D">
        <w:rPr>
          <w:rFonts w:cs="AppleSystemUIFont"/>
          <w:color w:val="353535"/>
        </w:rPr>
        <w:t>significant</w:t>
      </w:r>
      <w:r w:rsidRPr="00A6710E">
        <w:rPr>
          <w:rFonts w:cs="AppleSystemUIFont"/>
          <w:color w:val="353535"/>
        </w:rPr>
        <w:t xml:space="preserve"> role in the Egyptian calendar, guiding the timing of religious and secular events to align with cosmic occurrences. Additionally, divination techniques, such as dream interpretation and </w:t>
      </w:r>
      <w:r w:rsidR="00A6710E" w:rsidRPr="00A6710E">
        <w:rPr>
          <w:rFonts w:cs="AppleSystemUIFont"/>
          <w:color w:val="353535"/>
        </w:rPr>
        <w:t>oracle</w:t>
      </w:r>
      <w:r w:rsidRPr="00A6710E">
        <w:rPr>
          <w:rFonts w:cs="AppleSystemUIFont"/>
          <w:color w:val="353535"/>
        </w:rPr>
        <w:t xml:space="preserve"> reading</w:t>
      </w:r>
      <w:r w:rsidR="00A6710E" w:rsidRPr="00A6710E">
        <w:rPr>
          <w:rFonts w:cs="AppleSystemUIFont"/>
          <w:color w:val="353535"/>
        </w:rPr>
        <w:t>s</w:t>
      </w:r>
      <w:r w:rsidRPr="00A6710E">
        <w:rPr>
          <w:rFonts w:cs="AppleSystemUIFont"/>
          <w:color w:val="353535"/>
        </w:rPr>
        <w:t>, were commonly used to interpret cosmic signs and seek answers to various questions</w:t>
      </w:r>
      <w:r w:rsidR="008321AB">
        <w:rPr>
          <w:rFonts w:cs="AppleSystemUIFont"/>
          <w:color w:val="353535"/>
        </w:rPr>
        <w:t>, however, some historians would argue that there is little source evidence to make such claims</w:t>
      </w:r>
      <w:r w:rsidRPr="00A6710E">
        <w:rPr>
          <w:rFonts w:cs="AppleSystemUIFont"/>
          <w:color w:val="353535"/>
        </w:rPr>
        <w:t>.</w:t>
      </w:r>
      <w:r w:rsidR="00A6710E" w:rsidRPr="00A6710E">
        <w:rPr>
          <w:rFonts w:cs="AppleSystemUIFont"/>
          <w:color w:val="353535"/>
        </w:rPr>
        <w:t xml:space="preserve"> </w:t>
      </w:r>
      <w:r w:rsidR="008321AB">
        <w:rPr>
          <w:rFonts w:cs="AppleSystemUIFont"/>
          <w:color w:val="353535"/>
        </w:rPr>
        <w:t>Nevertheless, the</w:t>
      </w:r>
      <w:r w:rsidRPr="00A6710E">
        <w:rPr>
          <w:rFonts w:cs="AppleSystemUIFont"/>
          <w:color w:val="353535"/>
        </w:rPr>
        <w:t xml:space="preserve"> significance of divination extended beyond religious contexts, </w:t>
      </w:r>
      <w:r w:rsidRPr="00A6710E">
        <w:rPr>
          <w:rFonts w:cs="AppleSystemUIFont"/>
          <w:color w:val="353535"/>
        </w:rPr>
        <w:lastRenderedPageBreak/>
        <w:t>encompassing political and personal matters. Pharaohs, considered the earthly embodiment of the divine, relied on divination to inform their decisions and maintain order in society.</w:t>
      </w:r>
    </w:p>
    <w:p w14:paraId="4F716A90" w14:textId="77777777" w:rsidR="008321AB" w:rsidRDefault="008321AB" w:rsidP="00A6710E">
      <w:pPr>
        <w:rPr>
          <w:rFonts w:cs="AppleSystemUIFont"/>
          <w:color w:val="353535"/>
        </w:rPr>
      </w:pPr>
    </w:p>
    <w:p w14:paraId="42189D06" w14:textId="73F314C9" w:rsidR="00A6710E" w:rsidRDefault="00CD0604" w:rsidP="00A6710E">
      <w:pPr>
        <w:rPr>
          <w:rFonts w:cs="AppleSystemUIFont"/>
          <w:color w:val="353535"/>
        </w:rPr>
      </w:pPr>
      <w:r w:rsidRPr="00A6710E">
        <w:rPr>
          <w:rFonts w:cs="AppleSystemUIFont"/>
          <w:color w:val="353535"/>
        </w:rPr>
        <w:t>In summary, cosmology and divination were central pillars of the ancient Egyptian worldview, intertwined to shape their understanding of the world and their place within it. The belief in an interconnected universe fostered a diverse array of divination practices, reflecting the Egyptians' reverence for divine guidance in all aspects of life, from religious rituals to political governance and personal matters. The enduring influence of these cosmological and divinatory beliefs is a testament to their lasting impact on ancient Egyptian culture and society.</w:t>
      </w:r>
    </w:p>
    <w:p w14:paraId="26BF40CD" w14:textId="191FB515" w:rsidR="00DF4827" w:rsidRPr="00A6710E" w:rsidRDefault="00DF4827" w:rsidP="00A6710E">
      <w:pPr>
        <w:rPr>
          <w:rFonts w:cs="AppleSystemUIFont"/>
          <w:color w:val="353535"/>
        </w:rPr>
      </w:pPr>
      <w:r>
        <w:rPr>
          <w:rFonts w:cs="AppleSystemUIFont"/>
          <w:color w:val="353535"/>
        </w:rPr>
        <w:br w:type="page"/>
      </w:r>
    </w:p>
    <w:p w14:paraId="4A42F5EA" w14:textId="21DD4E7C" w:rsidR="00CD0604" w:rsidRPr="00A6710E" w:rsidRDefault="00CD0604" w:rsidP="00A6710E">
      <w:pPr>
        <w:jc w:val="center"/>
        <w:rPr>
          <w:rFonts w:cs="AppleSystemUIFont"/>
          <w:color w:val="353535"/>
        </w:rPr>
      </w:pPr>
      <w:r w:rsidRPr="00A6710E">
        <w:rPr>
          <w:b/>
          <w:bCs/>
        </w:rPr>
        <w:lastRenderedPageBreak/>
        <w:t>Bibliog</w:t>
      </w:r>
      <w:bookmarkStart w:id="6" w:name="_GoBack"/>
      <w:bookmarkEnd w:id="6"/>
      <w:r w:rsidRPr="00A6710E">
        <w:rPr>
          <w:b/>
          <w:bCs/>
        </w:rPr>
        <w:t>raphy</w:t>
      </w:r>
    </w:p>
    <w:p w14:paraId="05E0FA16" w14:textId="77777777" w:rsidR="00CD0604" w:rsidRPr="00A6710E" w:rsidRDefault="00CD0604" w:rsidP="00CD0604"/>
    <w:p w14:paraId="7836B8D0" w14:textId="6DE94743" w:rsidR="00C42986" w:rsidRDefault="00C42986" w:rsidP="00CD0604">
      <w:pPr>
        <w:rPr>
          <w:rFonts w:cstheme="minorHAnsi"/>
        </w:rPr>
      </w:pPr>
      <w:r>
        <w:rPr>
          <w:rFonts w:cstheme="minorHAnsi"/>
        </w:rPr>
        <w:t xml:space="preserve">Assmann, Jan, The Mind of Egypt: History and Meaning in the Time of Pharoahs (trans. Andrew Jenkins; New York: Metropolitan Books, 2002). </w:t>
      </w:r>
    </w:p>
    <w:p w14:paraId="1A8B7AC3" w14:textId="77777777" w:rsidR="00C42986" w:rsidRDefault="00C42986" w:rsidP="00CD0604">
      <w:pPr>
        <w:rPr>
          <w:rFonts w:cstheme="minorHAnsi"/>
        </w:rPr>
      </w:pPr>
    </w:p>
    <w:p w14:paraId="22E6DCEF" w14:textId="665D0B68" w:rsidR="00CD0604" w:rsidRPr="00A6710E" w:rsidRDefault="00CD0604" w:rsidP="00CD0604">
      <w:pPr>
        <w:rPr>
          <w:rFonts w:cstheme="minorHAnsi"/>
        </w:rPr>
      </w:pPr>
      <w:r w:rsidRPr="00A6710E">
        <w:rPr>
          <w:rFonts w:cstheme="minorHAnsi"/>
        </w:rPr>
        <w:t xml:space="preserve">Blacker, Carmen and Michael Loewe, </w:t>
      </w:r>
      <w:r w:rsidRPr="00A6710E">
        <w:rPr>
          <w:rFonts w:cstheme="minorHAnsi"/>
          <w:i/>
          <w:iCs/>
        </w:rPr>
        <w:t>Oracles and Divination</w:t>
      </w:r>
      <w:r w:rsidRPr="00A6710E">
        <w:rPr>
          <w:rFonts w:cstheme="minorHAnsi"/>
        </w:rPr>
        <w:t>, Boulder: Shambhala 1981.</w:t>
      </w:r>
    </w:p>
    <w:p w14:paraId="0DB6867B" w14:textId="77777777" w:rsidR="00CD0604" w:rsidRPr="00A6710E" w:rsidRDefault="00CD0604" w:rsidP="00CD0604">
      <w:pPr>
        <w:rPr>
          <w:rFonts w:cstheme="minorHAnsi"/>
        </w:rPr>
      </w:pPr>
    </w:p>
    <w:p w14:paraId="2E51E55E" w14:textId="09FFC12F" w:rsidR="00CD0604" w:rsidRPr="00A6710E" w:rsidRDefault="00CD0604" w:rsidP="00CD0604">
      <w:pPr>
        <w:autoSpaceDE w:val="0"/>
        <w:autoSpaceDN w:val="0"/>
        <w:adjustRightInd w:val="0"/>
        <w:spacing w:after="40"/>
        <w:rPr>
          <w:rFonts w:cstheme="minorHAnsi"/>
          <w:color w:val="353535"/>
        </w:rPr>
      </w:pPr>
      <w:r w:rsidRPr="00A6710E">
        <w:rPr>
          <w:rFonts w:cstheme="minorHAnsi"/>
          <w:color w:val="353535"/>
        </w:rPr>
        <w:t xml:space="preserve">Campion, Nicholas, </w:t>
      </w:r>
      <w:r w:rsidRPr="00A6710E">
        <w:rPr>
          <w:rFonts w:cstheme="minorHAnsi"/>
          <w:i/>
          <w:iCs/>
          <w:color w:val="353535"/>
        </w:rPr>
        <w:t>Astrology and Cosmology in the World’s Religions</w:t>
      </w:r>
      <w:r w:rsidRPr="00A6710E">
        <w:rPr>
          <w:rFonts w:cstheme="minorHAnsi"/>
          <w:color w:val="353535"/>
        </w:rPr>
        <w:t>. New York: New York University Press, 2012.</w:t>
      </w:r>
      <w:r w:rsidR="00EF18DD">
        <w:rPr>
          <w:rFonts w:cstheme="minorHAnsi"/>
          <w:color w:val="353535"/>
        </w:rPr>
        <w:t xml:space="preserve"> [Kindle Edition]. </w:t>
      </w:r>
    </w:p>
    <w:p w14:paraId="16D901F8" w14:textId="77777777" w:rsidR="00CD0604" w:rsidRPr="00A6710E" w:rsidRDefault="00CD0604" w:rsidP="00CD0604">
      <w:pPr>
        <w:autoSpaceDE w:val="0"/>
        <w:autoSpaceDN w:val="0"/>
        <w:adjustRightInd w:val="0"/>
        <w:spacing w:after="40"/>
        <w:rPr>
          <w:rFonts w:cstheme="minorHAnsi"/>
          <w:color w:val="353535"/>
        </w:rPr>
      </w:pPr>
    </w:p>
    <w:p w14:paraId="1E2D5120" w14:textId="77777777" w:rsidR="00CD0604" w:rsidRPr="00A6710E" w:rsidRDefault="00CD0604" w:rsidP="00CD0604">
      <w:pPr>
        <w:autoSpaceDE w:val="0"/>
        <w:autoSpaceDN w:val="0"/>
        <w:adjustRightInd w:val="0"/>
        <w:spacing w:after="40"/>
        <w:rPr>
          <w:rFonts w:cstheme="minorHAnsi"/>
          <w:color w:val="353535"/>
        </w:rPr>
      </w:pPr>
      <w:r w:rsidRPr="00A6710E">
        <w:rPr>
          <w:rFonts w:cstheme="minorHAnsi"/>
          <w:color w:val="353535"/>
        </w:rPr>
        <w:t>Campion, Nicholas</w:t>
      </w:r>
      <w:r w:rsidRPr="00A6710E">
        <w:rPr>
          <w:rFonts w:cstheme="minorHAnsi"/>
          <w:i/>
          <w:iCs/>
          <w:color w:val="353535"/>
        </w:rPr>
        <w:t>, A History of Western Astrology</w:t>
      </w:r>
      <w:r w:rsidRPr="00A6710E">
        <w:rPr>
          <w:rFonts w:cstheme="minorHAnsi"/>
          <w:color w:val="353535"/>
        </w:rPr>
        <w:t>, Vol. 1. The Ancient World, London: Continuum, 2009.</w:t>
      </w:r>
    </w:p>
    <w:p w14:paraId="4B8DFDC9" w14:textId="77777777" w:rsidR="00CD0604" w:rsidRPr="00A6710E" w:rsidRDefault="00CD0604" w:rsidP="00CD0604">
      <w:pPr>
        <w:autoSpaceDE w:val="0"/>
        <w:autoSpaceDN w:val="0"/>
        <w:adjustRightInd w:val="0"/>
        <w:spacing w:after="40"/>
        <w:rPr>
          <w:rFonts w:cstheme="minorHAnsi"/>
          <w:color w:val="353535"/>
        </w:rPr>
      </w:pPr>
    </w:p>
    <w:p w14:paraId="214DD499" w14:textId="77777777" w:rsidR="00CD0604" w:rsidRPr="00A6710E" w:rsidRDefault="00CD0604" w:rsidP="00CD0604">
      <w:r w:rsidRPr="00A6710E">
        <w:t xml:space="preserve">Dunand, Franciose, and Christiane Vivie-Choche. </w:t>
      </w:r>
      <w:r w:rsidRPr="00A6710E">
        <w:rPr>
          <w:i/>
          <w:iCs/>
        </w:rPr>
        <w:t>Gods and Men in Egypt: 3000 BCE to 395 CE</w:t>
      </w:r>
      <w:r w:rsidRPr="00A6710E">
        <w:t xml:space="preserve">. Translated by Lorton. Ithaca, NY: Cornell University Press, 2004. </w:t>
      </w:r>
    </w:p>
    <w:p w14:paraId="41E1BD7C" w14:textId="77777777" w:rsidR="00CD0604" w:rsidRPr="00A6710E" w:rsidRDefault="00CD0604" w:rsidP="00CD0604">
      <w:pPr>
        <w:autoSpaceDE w:val="0"/>
        <w:autoSpaceDN w:val="0"/>
        <w:adjustRightInd w:val="0"/>
        <w:spacing w:after="40"/>
        <w:rPr>
          <w:rFonts w:cstheme="minorHAnsi"/>
          <w:color w:val="353535"/>
        </w:rPr>
      </w:pPr>
    </w:p>
    <w:p w14:paraId="0C2F17F7" w14:textId="77777777" w:rsidR="00CD0604" w:rsidRPr="00A6710E" w:rsidRDefault="00CD0604" w:rsidP="00CD0604">
      <w:pPr>
        <w:autoSpaceDE w:val="0"/>
        <w:autoSpaceDN w:val="0"/>
        <w:adjustRightInd w:val="0"/>
        <w:spacing w:after="40"/>
        <w:rPr>
          <w:rFonts w:cstheme="minorHAnsi"/>
          <w:color w:val="353535"/>
        </w:rPr>
      </w:pPr>
      <w:r w:rsidRPr="00A6710E">
        <w:rPr>
          <w:rFonts w:cstheme="minorHAnsi"/>
          <w:color w:val="353535"/>
        </w:rPr>
        <w:t xml:space="preserve">Edwards, I.E.S., The Pyramids of Egypt (London: Penguin, rev. edn, 1988). </w:t>
      </w:r>
    </w:p>
    <w:p w14:paraId="05B71103" w14:textId="77777777" w:rsidR="00CD0604" w:rsidRPr="00A6710E" w:rsidRDefault="00CD0604" w:rsidP="00CD0604"/>
    <w:p w14:paraId="5B144EFE" w14:textId="229C3F07" w:rsidR="00CD0604" w:rsidRDefault="00CD0604" w:rsidP="00CD0604">
      <w:pPr>
        <w:autoSpaceDE w:val="0"/>
        <w:autoSpaceDN w:val="0"/>
        <w:adjustRightInd w:val="0"/>
        <w:spacing w:after="40"/>
        <w:rPr>
          <w:rFonts w:cstheme="minorHAnsi"/>
          <w:color w:val="353535"/>
        </w:rPr>
      </w:pPr>
      <w:r w:rsidRPr="00A6710E">
        <w:rPr>
          <w:rFonts w:cstheme="minorHAnsi"/>
          <w:color w:val="353535"/>
        </w:rPr>
        <w:t xml:space="preserve">Faulkner, O. R.  </w:t>
      </w:r>
      <w:r w:rsidRPr="00A6710E">
        <w:rPr>
          <w:rFonts w:cstheme="minorHAnsi"/>
          <w:i/>
          <w:iCs/>
          <w:color w:val="353535"/>
        </w:rPr>
        <w:t>The Book of the Dead</w:t>
      </w:r>
      <w:r w:rsidRPr="00A6710E">
        <w:rPr>
          <w:rFonts w:cstheme="minorHAnsi"/>
          <w:color w:val="353535"/>
        </w:rPr>
        <w:t xml:space="preserve"> (London: British Museum Publications, 1985). </w:t>
      </w:r>
    </w:p>
    <w:p w14:paraId="5F2AA471" w14:textId="01F36609" w:rsidR="008C6679" w:rsidRDefault="008C6679" w:rsidP="00CD0604">
      <w:pPr>
        <w:autoSpaceDE w:val="0"/>
        <w:autoSpaceDN w:val="0"/>
        <w:adjustRightInd w:val="0"/>
        <w:spacing w:after="40"/>
        <w:rPr>
          <w:rFonts w:cstheme="minorHAnsi"/>
          <w:color w:val="353535"/>
        </w:rPr>
      </w:pPr>
    </w:p>
    <w:p w14:paraId="719E18B8" w14:textId="2A05431B" w:rsidR="008C6679" w:rsidRPr="00A6710E" w:rsidRDefault="008C6679" w:rsidP="00CD0604">
      <w:pPr>
        <w:autoSpaceDE w:val="0"/>
        <w:autoSpaceDN w:val="0"/>
        <w:adjustRightInd w:val="0"/>
        <w:spacing w:after="40"/>
        <w:rPr>
          <w:rFonts w:cstheme="minorHAnsi"/>
          <w:color w:val="353535"/>
        </w:rPr>
      </w:pPr>
      <w:r>
        <w:rPr>
          <w:rFonts w:cstheme="minorHAnsi"/>
          <w:color w:val="353535"/>
        </w:rPr>
        <w:t>Faulkner, O. R. The Ancient Pyramid Texts (2 vols; Oxford: Oxford University Press 1969; Wariminster: Aris and Phillips, 2</w:t>
      </w:r>
      <w:r w:rsidRPr="00A7435E">
        <w:rPr>
          <w:rFonts w:cstheme="minorHAnsi"/>
          <w:color w:val="353535"/>
          <w:vertAlign w:val="superscript"/>
        </w:rPr>
        <w:t>nd</w:t>
      </w:r>
      <w:r>
        <w:rPr>
          <w:rFonts w:cstheme="minorHAnsi"/>
          <w:color w:val="353535"/>
        </w:rPr>
        <w:t xml:space="preserve"> edn, 1993). </w:t>
      </w:r>
    </w:p>
    <w:p w14:paraId="35275B3D" w14:textId="77777777" w:rsidR="00CD0604" w:rsidRPr="00A6710E" w:rsidRDefault="00CD0604" w:rsidP="00CD0604">
      <w:pPr>
        <w:autoSpaceDE w:val="0"/>
        <w:autoSpaceDN w:val="0"/>
        <w:adjustRightInd w:val="0"/>
        <w:spacing w:after="40"/>
        <w:rPr>
          <w:rFonts w:cstheme="minorHAnsi"/>
          <w:color w:val="353535"/>
        </w:rPr>
      </w:pPr>
    </w:p>
    <w:p w14:paraId="41E3FB64" w14:textId="77777777" w:rsidR="00CD0604" w:rsidRPr="00763E35" w:rsidRDefault="00CD0604" w:rsidP="00CD0604">
      <w:pPr>
        <w:autoSpaceDE w:val="0"/>
        <w:autoSpaceDN w:val="0"/>
        <w:adjustRightInd w:val="0"/>
        <w:spacing w:after="40"/>
        <w:rPr>
          <w:rFonts w:cstheme="minorHAnsi"/>
          <w:color w:val="353535"/>
        </w:rPr>
      </w:pPr>
      <w:r w:rsidRPr="00763E35">
        <w:rPr>
          <w:rFonts w:cstheme="minorHAnsi"/>
          <w:color w:val="353535"/>
        </w:rPr>
        <w:t xml:space="preserve">Mercer, Samuel. </w:t>
      </w:r>
      <w:r w:rsidRPr="00763E35">
        <w:rPr>
          <w:rFonts w:cstheme="minorHAnsi"/>
          <w:i/>
          <w:iCs/>
          <w:color w:val="353535"/>
        </w:rPr>
        <w:t xml:space="preserve">The Pyramid Texts. </w:t>
      </w:r>
      <w:r w:rsidRPr="00763E35">
        <w:rPr>
          <w:rFonts w:cstheme="minorHAnsi"/>
          <w:color w:val="353535"/>
        </w:rPr>
        <w:t xml:space="preserve">New York: Longmans Green, 1952. </w:t>
      </w:r>
    </w:p>
    <w:p w14:paraId="62300910" w14:textId="77777777" w:rsidR="00CD0604" w:rsidRPr="00A6710E" w:rsidRDefault="00CD0604" w:rsidP="00CD0604">
      <w:pPr>
        <w:autoSpaceDE w:val="0"/>
        <w:autoSpaceDN w:val="0"/>
        <w:adjustRightInd w:val="0"/>
        <w:spacing w:after="40"/>
        <w:rPr>
          <w:rFonts w:cstheme="minorHAnsi"/>
          <w:color w:val="353535"/>
        </w:rPr>
      </w:pPr>
    </w:p>
    <w:p w14:paraId="67D88D91" w14:textId="77777777" w:rsidR="00CD0604" w:rsidRPr="00A6710E" w:rsidRDefault="00CD0604" w:rsidP="00CD0604">
      <w:pPr>
        <w:autoSpaceDE w:val="0"/>
        <w:autoSpaceDN w:val="0"/>
        <w:adjustRightInd w:val="0"/>
        <w:spacing w:after="40"/>
        <w:rPr>
          <w:rFonts w:cstheme="minorHAnsi"/>
          <w:color w:val="353535"/>
        </w:rPr>
      </w:pPr>
      <w:r w:rsidRPr="00A6710E">
        <w:rPr>
          <w:rFonts w:cstheme="minorHAnsi"/>
          <w:color w:val="353535"/>
        </w:rPr>
        <w:t xml:space="preserve">Neugebauer, Otto, and R. A Parker, </w:t>
      </w:r>
      <w:r w:rsidRPr="00A6710E">
        <w:rPr>
          <w:rFonts w:cstheme="minorHAnsi"/>
          <w:i/>
          <w:iCs/>
          <w:color w:val="353535"/>
        </w:rPr>
        <w:t>Egyptian Astronomical Texts.</w:t>
      </w:r>
      <w:r w:rsidRPr="00A6710E">
        <w:rPr>
          <w:rFonts w:cstheme="minorHAnsi"/>
          <w:color w:val="353535"/>
        </w:rPr>
        <w:t xml:space="preserve"> Providence, RI: Brown University Press, 1960. </w:t>
      </w:r>
    </w:p>
    <w:p w14:paraId="372892FE" w14:textId="77777777" w:rsidR="00CD0604" w:rsidRPr="00A6710E" w:rsidRDefault="00CD0604" w:rsidP="00CD0604"/>
    <w:p w14:paraId="2A9BE8F3" w14:textId="77777777" w:rsidR="00CD0604" w:rsidRPr="00A6710E" w:rsidRDefault="00CD0604" w:rsidP="00CD0604">
      <w:pPr>
        <w:autoSpaceDE w:val="0"/>
        <w:autoSpaceDN w:val="0"/>
        <w:adjustRightInd w:val="0"/>
        <w:spacing w:after="40"/>
        <w:rPr>
          <w:rFonts w:cstheme="minorHAnsi"/>
          <w:color w:val="353535"/>
        </w:rPr>
      </w:pPr>
      <w:r w:rsidRPr="00A6710E">
        <w:rPr>
          <w:rFonts w:cstheme="minorHAnsi"/>
          <w:color w:val="353535"/>
        </w:rPr>
        <w:t xml:space="preserve">Naydler, Jeremy, </w:t>
      </w:r>
      <w:r w:rsidRPr="00A6710E">
        <w:rPr>
          <w:rFonts w:cstheme="minorHAnsi"/>
          <w:i/>
          <w:iCs/>
          <w:color w:val="353535"/>
        </w:rPr>
        <w:t>Shamanic Wisdom in the Pyramid Texts: The Mystical Tradition of Ancient Egypt</w:t>
      </w:r>
      <w:r w:rsidRPr="00A6710E">
        <w:rPr>
          <w:rFonts w:cstheme="minorHAnsi"/>
          <w:color w:val="353535"/>
        </w:rPr>
        <w:t xml:space="preserve"> (Rochester, Vt.: Inner Traditions, 2005). </w:t>
      </w:r>
    </w:p>
    <w:p w14:paraId="3A44817A" w14:textId="77777777" w:rsidR="00CD0604" w:rsidRPr="00A6710E" w:rsidRDefault="00CD0604" w:rsidP="00CD0604">
      <w:pPr>
        <w:autoSpaceDE w:val="0"/>
        <w:autoSpaceDN w:val="0"/>
        <w:adjustRightInd w:val="0"/>
        <w:spacing w:after="40"/>
        <w:rPr>
          <w:rFonts w:cstheme="minorHAnsi"/>
          <w:color w:val="353535"/>
        </w:rPr>
      </w:pPr>
    </w:p>
    <w:p w14:paraId="7127FEEF" w14:textId="77777777" w:rsidR="00CD0604" w:rsidRPr="00A6710E" w:rsidRDefault="00CD0604" w:rsidP="00CD0604">
      <w:pPr>
        <w:autoSpaceDE w:val="0"/>
        <w:autoSpaceDN w:val="0"/>
        <w:adjustRightInd w:val="0"/>
        <w:spacing w:after="40"/>
        <w:rPr>
          <w:rFonts w:cstheme="minorHAnsi"/>
          <w:color w:val="353535"/>
        </w:rPr>
      </w:pPr>
      <w:r w:rsidRPr="00A6710E">
        <w:rPr>
          <w:rFonts w:cstheme="minorHAnsi"/>
          <w:color w:val="353535"/>
        </w:rPr>
        <w:t xml:space="preserve">Naydler, Jeremy, </w:t>
      </w:r>
      <w:r w:rsidRPr="00A6710E">
        <w:rPr>
          <w:rFonts w:cstheme="minorHAnsi"/>
          <w:i/>
          <w:iCs/>
          <w:color w:val="353535"/>
        </w:rPr>
        <w:t>Temple of the Cosmos: The Ancient Egyptian Experience of the Sacred</w:t>
      </w:r>
      <w:r w:rsidRPr="00A6710E">
        <w:rPr>
          <w:rFonts w:cstheme="minorHAnsi"/>
          <w:color w:val="353535"/>
        </w:rPr>
        <w:t xml:space="preserve"> (Rochester, Vt.: Inner Traditions, 1996). </w:t>
      </w:r>
    </w:p>
    <w:p w14:paraId="266BF9F5" w14:textId="77777777" w:rsidR="00CD0604" w:rsidRPr="00A6710E" w:rsidRDefault="00CD0604" w:rsidP="00CD0604"/>
    <w:p w14:paraId="1760EB79" w14:textId="77777777" w:rsidR="00CD0604" w:rsidRPr="00A6710E" w:rsidRDefault="00CD0604" w:rsidP="00CD0604">
      <w:pPr>
        <w:autoSpaceDE w:val="0"/>
        <w:autoSpaceDN w:val="0"/>
        <w:adjustRightInd w:val="0"/>
        <w:spacing w:after="40"/>
        <w:rPr>
          <w:rFonts w:cstheme="minorHAnsi"/>
          <w:color w:val="353535"/>
        </w:rPr>
      </w:pPr>
      <w:r w:rsidRPr="00A6710E">
        <w:rPr>
          <w:rFonts w:cstheme="minorHAnsi"/>
          <w:color w:val="353535"/>
        </w:rPr>
        <w:t xml:space="preserve">Parker, R.A., ‘Ancient Egyptian Astronomy’, in F.R. Hodson (ed.), </w:t>
      </w:r>
      <w:r w:rsidRPr="00A6710E">
        <w:rPr>
          <w:rFonts w:cstheme="minorHAnsi"/>
          <w:i/>
          <w:iCs/>
          <w:color w:val="353535"/>
        </w:rPr>
        <w:t>The Place of Astronomy in the Ancient World</w:t>
      </w:r>
      <w:r w:rsidRPr="00A6710E">
        <w:rPr>
          <w:rFonts w:cstheme="minorHAnsi"/>
          <w:color w:val="353535"/>
        </w:rPr>
        <w:t xml:space="preserve"> (Transactions of the Royal Society, 276; London: Oxford University Press, 1974), pp. 51-65. </w:t>
      </w:r>
    </w:p>
    <w:p w14:paraId="7C362EA9" w14:textId="77777777" w:rsidR="00CD0604" w:rsidRPr="00A6710E" w:rsidRDefault="00CD0604" w:rsidP="00CD0604">
      <w:pPr>
        <w:autoSpaceDE w:val="0"/>
        <w:autoSpaceDN w:val="0"/>
        <w:adjustRightInd w:val="0"/>
        <w:spacing w:after="40"/>
        <w:rPr>
          <w:rFonts w:cstheme="minorHAnsi"/>
          <w:color w:val="353535"/>
        </w:rPr>
      </w:pPr>
    </w:p>
    <w:p w14:paraId="45A901F4" w14:textId="77777777" w:rsidR="00CD0604" w:rsidRPr="00A6710E" w:rsidRDefault="00CD0604" w:rsidP="00CD0604">
      <w:pPr>
        <w:autoSpaceDE w:val="0"/>
        <w:autoSpaceDN w:val="0"/>
        <w:adjustRightInd w:val="0"/>
        <w:spacing w:after="40"/>
        <w:rPr>
          <w:rFonts w:cstheme="minorHAnsi"/>
          <w:color w:val="353535"/>
        </w:rPr>
      </w:pPr>
      <w:r w:rsidRPr="00A6710E">
        <w:rPr>
          <w:rFonts w:cstheme="minorHAnsi"/>
          <w:color w:val="353535"/>
        </w:rPr>
        <w:t xml:space="preserve">Parker, R.A., ‘Egyptian Astronomy, Astrology and Calendrical Reckoning’, in Charles Coulston (ed.), </w:t>
      </w:r>
      <w:r w:rsidRPr="00A6710E">
        <w:rPr>
          <w:rFonts w:cstheme="minorHAnsi"/>
          <w:i/>
          <w:iCs/>
          <w:color w:val="353535"/>
        </w:rPr>
        <w:t>Dictionary of Scientific Biography</w:t>
      </w:r>
      <w:r w:rsidRPr="00A6710E">
        <w:rPr>
          <w:rFonts w:cstheme="minorHAnsi"/>
          <w:color w:val="353535"/>
        </w:rPr>
        <w:t xml:space="preserve"> (New York: Charles Scribners’s Sons, 1971), vol. 4, pp. 706-27. </w:t>
      </w:r>
    </w:p>
    <w:p w14:paraId="7FBCD184" w14:textId="77777777" w:rsidR="00CD0604" w:rsidRPr="00A6710E" w:rsidRDefault="00CD0604" w:rsidP="00CD0604"/>
    <w:p w14:paraId="3908342D" w14:textId="77777777" w:rsidR="00CD0604" w:rsidRPr="00A6710E" w:rsidRDefault="00CD0604" w:rsidP="00CD0604">
      <w:r w:rsidRPr="00A6710E">
        <w:t xml:space="preserve">Redford, Donald B., ed. </w:t>
      </w:r>
      <w:r w:rsidRPr="00A6710E">
        <w:rPr>
          <w:i/>
          <w:iCs/>
        </w:rPr>
        <w:t>The Ancient Gods Speak: A Guide to Egyptian Religion</w:t>
      </w:r>
      <w:r w:rsidRPr="00A6710E">
        <w:t xml:space="preserve">. Oxford/New York: Oxford University Press, 2002. S.v. ‘Oracles’. </w:t>
      </w:r>
    </w:p>
    <w:p w14:paraId="3AAFC675" w14:textId="77777777" w:rsidR="004A7258" w:rsidRPr="00A6710E" w:rsidRDefault="004A7258"/>
    <w:sectPr w:rsidR="004A7258" w:rsidRPr="00A6710E" w:rsidSect="00C2022C">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23EDBC" w14:textId="77777777" w:rsidR="00E72064" w:rsidRDefault="00E72064" w:rsidP="007F3306">
      <w:r>
        <w:separator/>
      </w:r>
    </w:p>
  </w:endnote>
  <w:endnote w:type="continuationSeparator" w:id="0">
    <w:p w14:paraId="4301AEDD" w14:textId="77777777" w:rsidR="00E72064" w:rsidRDefault="00E72064" w:rsidP="007F33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38679775"/>
      <w:docPartObj>
        <w:docPartGallery w:val="Page Numbers (Bottom of Page)"/>
        <w:docPartUnique/>
      </w:docPartObj>
    </w:sdtPr>
    <w:sdtContent>
      <w:p w14:paraId="404F6296" w14:textId="6D2923A5" w:rsidR="004A7258" w:rsidRDefault="004A7258" w:rsidP="004A725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99EE15" w14:textId="77777777" w:rsidR="004A7258" w:rsidRDefault="004A72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24168091"/>
      <w:docPartObj>
        <w:docPartGallery w:val="Page Numbers (Bottom of Page)"/>
        <w:docPartUnique/>
      </w:docPartObj>
    </w:sdtPr>
    <w:sdtContent>
      <w:p w14:paraId="024FA1CD" w14:textId="04DA4B9E" w:rsidR="004A7258" w:rsidRDefault="004A7258" w:rsidP="004A725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CB0A1C" w14:textId="77777777" w:rsidR="004A7258" w:rsidRDefault="004A7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433EEB" w14:textId="77777777" w:rsidR="00E72064" w:rsidRDefault="00E72064" w:rsidP="007F3306">
      <w:r>
        <w:separator/>
      </w:r>
    </w:p>
  </w:footnote>
  <w:footnote w:type="continuationSeparator" w:id="0">
    <w:p w14:paraId="76C2B9E2" w14:textId="77777777" w:rsidR="00E72064" w:rsidRDefault="00E72064" w:rsidP="007F3306">
      <w:r>
        <w:continuationSeparator/>
      </w:r>
    </w:p>
  </w:footnote>
  <w:footnote w:id="1">
    <w:p w14:paraId="625D6846" w14:textId="3A9EB8A0" w:rsidR="004A7258" w:rsidRPr="00D438F2" w:rsidRDefault="004A7258">
      <w:pPr>
        <w:pStyle w:val="FootnoteText"/>
        <w:rPr>
          <w:rFonts w:cstheme="minorHAnsi"/>
        </w:rPr>
      </w:pPr>
      <w:r>
        <w:rPr>
          <w:rStyle w:val="FootnoteReference"/>
        </w:rPr>
        <w:footnoteRef/>
      </w:r>
      <w:r>
        <w:t xml:space="preserve"> </w:t>
      </w:r>
      <w:r w:rsidRPr="008F65F5">
        <w:rPr>
          <w:rFonts w:cstheme="minorHAnsi"/>
        </w:rPr>
        <w:t xml:space="preserve">Carmen Blacker and Michael Loewe, </w:t>
      </w:r>
      <w:r w:rsidRPr="00D438F2">
        <w:rPr>
          <w:rFonts w:cstheme="minorHAnsi"/>
          <w:i/>
          <w:iCs/>
        </w:rPr>
        <w:t>Oracles and Divination</w:t>
      </w:r>
      <w:r w:rsidRPr="008F65F5">
        <w:rPr>
          <w:rFonts w:cstheme="minorHAnsi"/>
        </w:rPr>
        <w:t>, Boulder: Shambhala 1981, p. 1</w:t>
      </w:r>
      <w:r>
        <w:rPr>
          <w:rFonts w:cstheme="minorHAnsi"/>
        </w:rPr>
        <w:t>.</w:t>
      </w:r>
    </w:p>
  </w:footnote>
  <w:footnote w:id="2">
    <w:p w14:paraId="03096C17" w14:textId="40D5BC56" w:rsidR="004A7258" w:rsidRDefault="004A7258">
      <w:pPr>
        <w:pStyle w:val="FootnoteText"/>
      </w:pPr>
      <w:r>
        <w:rPr>
          <w:rStyle w:val="FootnoteReference"/>
        </w:rPr>
        <w:footnoteRef/>
      </w:r>
      <w:r>
        <w:t xml:space="preserve"> </w:t>
      </w:r>
      <w:r w:rsidRPr="008F65F5">
        <w:rPr>
          <w:rFonts w:cstheme="minorHAnsi"/>
        </w:rPr>
        <w:t xml:space="preserve">Nicholas Campion, </w:t>
      </w:r>
      <w:r w:rsidRPr="008F65F5">
        <w:rPr>
          <w:rFonts w:cstheme="minorHAnsi"/>
          <w:i/>
          <w:iCs/>
        </w:rPr>
        <w:t>A History of Western Astrology</w:t>
      </w:r>
      <w:r w:rsidRPr="008F65F5">
        <w:rPr>
          <w:rFonts w:cstheme="minorHAnsi"/>
        </w:rPr>
        <w:t>, Vol. 1, The Ancient and Classical Worlds, London</w:t>
      </w:r>
      <w:r>
        <w:rPr>
          <w:rFonts w:cstheme="minorHAnsi"/>
        </w:rPr>
        <w:t>:</w:t>
      </w:r>
      <w:r w:rsidRPr="008F65F5">
        <w:rPr>
          <w:rFonts w:cstheme="minorHAnsi"/>
        </w:rPr>
        <w:t xml:space="preserve"> Continuum, 2008, p.</w:t>
      </w:r>
      <w:r>
        <w:rPr>
          <w:rFonts w:cstheme="minorHAnsi"/>
        </w:rPr>
        <w:t>43.</w:t>
      </w:r>
    </w:p>
  </w:footnote>
  <w:footnote w:id="3">
    <w:p w14:paraId="53C05EA0" w14:textId="62A6F8AC" w:rsidR="004A7258" w:rsidRDefault="004A7258">
      <w:pPr>
        <w:pStyle w:val="FootnoteText"/>
      </w:pPr>
      <w:r>
        <w:rPr>
          <w:rStyle w:val="FootnoteReference"/>
        </w:rPr>
        <w:footnoteRef/>
      </w:r>
      <w:r>
        <w:t xml:space="preserve"> </w:t>
      </w:r>
      <w:r w:rsidRPr="008F65F5">
        <w:rPr>
          <w:rFonts w:cstheme="minorHAnsi"/>
        </w:rPr>
        <w:t xml:space="preserve">Blacker and Loewe, </w:t>
      </w:r>
      <w:r w:rsidRPr="00D438F2">
        <w:rPr>
          <w:rFonts w:cstheme="minorHAnsi"/>
          <w:i/>
          <w:iCs/>
        </w:rPr>
        <w:t>Oracles and Divination</w:t>
      </w:r>
      <w:r w:rsidRPr="008F65F5">
        <w:rPr>
          <w:rFonts w:cstheme="minorHAnsi"/>
        </w:rPr>
        <w:t xml:space="preserve">, p. </w:t>
      </w:r>
      <w:r>
        <w:rPr>
          <w:rFonts w:cstheme="minorHAnsi"/>
        </w:rPr>
        <w:t>175.</w:t>
      </w:r>
    </w:p>
  </w:footnote>
  <w:footnote w:id="4">
    <w:p w14:paraId="6036A25E" w14:textId="33A2E60A" w:rsidR="004A7258" w:rsidRPr="00EF18DD" w:rsidRDefault="004A7258" w:rsidP="00EF18DD">
      <w:pPr>
        <w:autoSpaceDE w:val="0"/>
        <w:autoSpaceDN w:val="0"/>
        <w:adjustRightInd w:val="0"/>
        <w:spacing w:after="40"/>
        <w:rPr>
          <w:rFonts w:cstheme="minorHAnsi"/>
          <w:color w:val="353535"/>
          <w:sz w:val="20"/>
          <w:szCs w:val="20"/>
        </w:rPr>
      </w:pPr>
      <w:r>
        <w:rPr>
          <w:rStyle w:val="FootnoteReference"/>
        </w:rPr>
        <w:footnoteRef/>
      </w:r>
      <w:r>
        <w:t xml:space="preserve"> </w:t>
      </w:r>
      <w:r w:rsidR="004E2D60" w:rsidRPr="004E2D60">
        <w:rPr>
          <w:rFonts w:cstheme="minorHAnsi"/>
          <w:color w:val="353535"/>
          <w:sz w:val="20"/>
          <w:szCs w:val="20"/>
        </w:rPr>
        <w:t xml:space="preserve">Nicholas Campion,  </w:t>
      </w:r>
      <w:r w:rsidR="004E2D60" w:rsidRPr="004E2D60">
        <w:rPr>
          <w:rFonts w:cstheme="minorHAnsi"/>
          <w:i/>
          <w:iCs/>
          <w:color w:val="353535"/>
          <w:sz w:val="20"/>
          <w:szCs w:val="20"/>
        </w:rPr>
        <w:t>Astrology and Cosmology in the World’s Religions</w:t>
      </w:r>
      <w:r w:rsidR="004E2D60" w:rsidRPr="004E2D60">
        <w:rPr>
          <w:rFonts w:cstheme="minorHAnsi"/>
          <w:color w:val="353535"/>
          <w:sz w:val="20"/>
          <w:szCs w:val="20"/>
        </w:rPr>
        <w:t xml:space="preserve">. New York: New York University Press, 2012. </w:t>
      </w:r>
      <w:r w:rsidR="00EF18DD">
        <w:rPr>
          <w:rFonts w:cstheme="minorHAnsi"/>
          <w:color w:val="353535"/>
          <w:sz w:val="20"/>
          <w:szCs w:val="20"/>
        </w:rPr>
        <w:t xml:space="preserve">[Kindle edition]. </w:t>
      </w:r>
      <w:r w:rsidR="004E2D60" w:rsidRPr="004E2D60">
        <w:rPr>
          <w:rFonts w:cstheme="minorHAnsi"/>
          <w:color w:val="353535"/>
          <w:sz w:val="20"/>
          <w:szCs w:val="20"/>
        </w:rPr>
        <w:t>pp.</w:t>
      </w:r>
      <w:r w:rsidR="004E2D60">
        <w:rPr>
          <w:rFonts w:cstheme="minorHAnsi"/>
          <w:color w:val="353535"/>
        </w:rPr>
        <w:t xml:space="preserve"> </w:t>
      </w:r>
      <w:r w:rsidR="00EF18DD">
        <w:rPr>
          <w:rFonts w:cstheme="minorHAnsi"/>
          <w:color w:val="353535"/>
          <w:sz w:val="20"/>
          <w:szCs w:val="20"/>
        </w:rPr>
        <w:t xml:space="preserve">2-7. </w:t>
      </w:r>
    </w:p>
  </w:footnote>
  <w:footnote w:id="5">
    <w:p w14:paraId="58D60EC4" w14:textId="77777777" w:rsidR="00EF18DD" w:rsidRPr="00E548E1" w:rsidRDefault="004A7258" w:rsidP="00EF18DD">
      <w:pPr>
        <w:autoSpaceDE w:val="0"/>
        <w:autoSpaceDN w:val="0"/>
        <w:adjustRightInd w:val="0"/>
        <w:spacing w:after="40"/>
        <w:rPr>
          <w:rFonts w:cstheme="minorHAnsi"/>
          <w:color w:val="353535"/>
        </w:rPr>
      </w:pPr>
      <w:r>
        <w:rPr>
          <w:rStyle w:val="FootnoteReference"/>
        </w:rPr>
        <w:footnoteRef/>
      </w:r>
      <w:r>
        <w:t xml:space="preserve"> </w:t>
      </w:r>
      <w:r w:rsidR="00EF18DD" w:rsidRPr="00EF18DD">
        <w:rPr>
          <w:rFonts w:cstheme="minorHAnsi"/>
          <w:color w:val="353535"/>
          <w:sz w:val="20"/>
          <w:szCs w:val="20"/>
        </w:rPr>
        <w:t xml:space="preserve">Jeremy Naydler, </w:t>
      </w:r>
      <w:r w:rsidR="00EF18DD" w:rsidRPr="00EF18DD">
        <w:rPr>
          <w:rFonts w:cstheme="minorHAnsi"/>
          <w:i/>
          <w:iCs/>
          <w:color w:val="353535"/>
          <w:sz w:val="20"/>
          <w:szCs w:val="20"/>
        </w:rPr>
        <w:t>Temple of the Cosmos: The Ancient Egyptian Experience of the Sacred</w:t>
      </w:r>
      <w:r w:rsidR="00EF18DD" w:rsidRPr="00EF18DD">
        <w:rPr>
          <w:rFonts w:cstheme="minorHAnsi"/>
          <w:color w:val="353535"/>
          <w:sz w:val="20"/>
          <w:szCs w:val="20"/>
        </w:rPr>
        <w:t xml:space="preserve"> (Rochester, Vt.: Inner Traditions, 1996). p. 11.</w:t>
      </w:r>
      <w:r w:rsidR="00EF18DD">
        <w:rPr>
          <w:rFonts w:cstheme="minorHAnsi"/>
          <w:color w:val="353535"/>
        </w:rPr>
        <w:t xml:space="preserve"> </w:t>
      </w:r>
    </w:p>
    <w:p w14:paraId="2AFFCD10" w14:textId="27015364" w:rsidR="004A7258" w:rsidRDefault="004A7258" w:rsidP="006C5696">
      <w:pPr>
        <w:pStyle w:val="FootnoteText"/>
      </w:pPr>
    </w:p>
  </w:footnote>
  <w:footnote w:id="6">
    <w:p w14:paraId="326A9B48" w14:textId="29A3E8E5" w:rsidR="004A7258" w:rsidRPr="00EF18DD" w:rsidRDefault="004A7258" w:rsidP="00EF18DD">
      <w:pPr>
        <w:autoSpaceDE w:val="0"/>
        <w:autoSpaceDN w:val="0"/>
        <w:adjustRightInd w:val="0"/>
        <w:spacing w:after="40"/>
        <w:rPr>
          <w:rFonts w:cstheme="minorHAnsi"/>
          <w:color w:val="353535"/>
          <w:sz w:val="20"/>
          <w:szCs w:val="20"/>
        </w:rPr>
      </w:pPr>
      <w:r>
        <w:rPr>
          <w:rStyle w:val="FootnoteReference"/>
        </w:rPr>
        <w:footnoteRef/>
      </w:r>
      <w:r>
        <w:t xml:space="preserve"> </w:t>
      </w:r>
      <w:r w:rsidR="00EF18DD" w:rsidRPr="00EF18DD">
        <w:rPr>
          <w:rFonts w:cstheme="minorHAnsi"/>
          <w:color w:val="353535"/>
          <w:sz w:val="20"/>
          <w:szCs w:val="20"/>
        </w:rPr>
        <w:t xml:space="preserve">Jeremy Naydler, </w:t>
      </w:r>
      <w:r w:rsidR="00EF18DD" w:rsidRPr="00EF18DD">
        <w:rPr>
          <w:rFonts w:cstheme="minorHAnsi"/>
          <w:i/>
          <w:iCs/>
          <w:color w:val="353535"/>
          <w:sz w:val="20"/>
          <w:szCs w:val="20"/>
        </w:rPr>
        <w:t>Temple of the Cosmos: The Ancient Egyptian Experience of the Sacred</w:t>
      </w:r>
      <w:r w:rsidR="00EF18DD" w:rsidRPr="00EF18DD">
        <w:rPr>
          <w:rFonts w:cstheme="minorHAnsi"/>
          <w:color w:val="353535"/>
          <w:sz w:val="20"/>
          <w:szCs w:val="20"/>
        </w:rPr>
        <w:t xml:space="preserve"> (Rochester, Vt.: Inner Traditions, 1996)</w:t>
      </w:r>
      <w:r w:rsidR="00EF18DD" w:rsidRPr="00EF18DD">
        <w:rPr>
          <w:rFonts w:cstheme="minorHAnsi"/>
          <w:color w:val="353535"/>
          <w:sz w:val="20"/>
          <w:szCs w:val="20"/>
        </w:rPr>
        <w:t xml:space="preserve">; </w:t>
      </w:r>
      <w:r w:rsidR="00EF18DD" w:rsidRPr="00EF18DD">
        <w:rPr>
          <w:rFonts w:cstheme="minorHAnsi"/>
          <w:color w:val="353535"/>
          <w:sz w:val="20"/>
          <w:szCs w:val="20"/>
        </w:rPr>
        <w:t xml:space="preserve">Jeremy Naydler, </w:t>
      </w:r>
      <w:r w:rsidR="00EF18DD" w:rsidRPr="00EF18DD">
        <w:rPr>
          <w:rFonts w:cstheme="minorHAnsi"/>
          <w:i/>
          <w:iCs/>
          <w:color w:val="353535"/>
          <w:sz w:val="20"/>
          <w:szCs w:val="20"/>
        </w:rPr>
        <w:t>Shamanic Wisdom in the Pyramid Texts: The Mystical Tradition of Ancient Egypt</w:t>
      </w:r>
      <w:r w:rsidR="00EF18DD" w:rsidRPr="00EF18DD">
        <w:rPr>
          <w:rFonts w:cstheme="minorHAnsi"/>
          <w:color w:val="353535"/>
          <w:sz w:val="20"/>
          <w:szCs w:val="20"/>
        </w:rPr>
        <w:t xml:space="preserve"> (Rochester, Vt.: Inner Traditions, 2005). </w:t>
      </w:r>
    </w:p>
  </w:footnote>
  <w:footnote w:id="7">
    <w:p w14:paraId="3ED3E309" w14:textId="66D8CE99" w:rsidR="004A7258" w:rsidRPr="00C42986" w:rsidRDefault="004A7258" w:rsidP="00C42986">
      <w:pPr>
        <w:autoSpaceDE w:val="0"/>
        <w:autoSpaceDN w:val="0"/>
        <w:adjustRightInd w:val="0"/>
        <w:spacing w:after="40"/>
        <w:rPr>
          <w:rFonts w:cstheme="minorHAnsi"/>
          <w:color w:val="353535"/>
          <w:sz w:val="20"/>
          <w:szCs w:val="20"/>
        </w:rPr>
      </w:pPr>
      <w:r w:rsidRPr="00C42986">
        <w:rPr>
          <w:rStyle w:val="FootnoteReference"/>
          <w:sz w:val="20"/>
          <w:szCs w:val="20"/>
        </w:rPr>
        <w:footnoteRef/>
      </w:r>
      <w:r w:rsidRPr="00C42986">
        <w:rPr>
          <w:sz w:val="20"/>
          <w:szCs w:val="20"/>
        </w:rPr>
        <w:t xml:space="preserve"> </w:t>
      </w:r>
      <w:r w:rsidR="00EF18DD" w:rsidRPr="00C42986">
        <w:rPr>
          <w:rFonts w:cstheme="minorHAnsi"/>
          <w:color w:val="353535"/>
          <w:sz w:val="20"/>
          <w:szCs w:val="20"/>
        </w:rPr>
        <w:t xml:space="preserve">O. R. Faulkner,  </w:t>
      </w:r>
      <w:r w:rsidR="00EF18DD" w:rsidRPr="00C42986">
        <w:rPr>
          <w:rFonts w:cstheme="minorHAnsi"/>
          <w:i/>
          <w:iCs/>
          <w:color w:val="353535"/>
          <w:sz w:val="20"/>
          <w:szCs w:val="20"/>
        </w:rPr>
        <w:t>The Book of the Dead</w:t>
      </w:r>
      <w:r w:rsidR="00EF18DD" w:rsidRPr="00C42986">
        <w:rPr>
          <w:rFonts w:cstheme="minorHAnsi"/>
          <w:color w:val="353535"/>
          <w:sz w:val="20"/>
          <w:szCs w:val="20"/>
        </w:rPr>
        <w:t xml:space="preserve"> (London: British Museum Publications, 1985)</w:t>
      </w:r>
      <w:r w:rsidR="00EF18DD" w:rsidRPr="00C42986">
        <w:rPr>
          <w:rFonts w:cstheme="minorHAnsi"/>
          <w:color w:val="353535"/>
          <w:sz w:val="20"/>
          <w:szCs w:val="20"/>
        </w:rPr>
        <w:t xml:space="preserve">. </w:t>
      </w:r>
      <w:r w:rsidR="00C42986" w:rsidRPr="00C42986">
        <w:rPr>
          <w:rFonts w:cstheme="minorHAnsi"/>
          <w:color w:val="353535"/>
          <w:sz w:val="20"/>
          <w:szCs w:val="20"/>
        </w:rPr>
        <w:t xml:space="preserve">p. 11; Pyramid Texts utterance 662.1878. </w:t>
      </w:r>
    </w:p>
  </w:footnote>
  <w:footnote w:id="8">
    <w:p w14:paraId="61B9ADDA" w14:textId="0A53F49C" w:rsidR="004A7258" w:rsidRDefault="004A7258" w:rsidP="006C5696">
      <w:pPr>
        <w:pStyle w:val="FootnoteText"/>
      </w:pPr>
      <w:r w:rsidRPr="00C42986">
        <w:rPr>
          <w:rStyle w:val="FootnoteReference"/>
        </w:rPr>
        <w:footnoteRef/>
      </w:r>
      <w:r w:rsidRPr="00C42986">
        <w:t xml:space="preserve"> </w:t>
      </w:r>
      <w:r w:rsidR="00C42986" w:rsidRPr="00C42986">
        <w:rPr>
          <w:rFonts w:cstheme="minorHAnsi"/>
        </w:rPr>
        <w:t xml:space="preserve">Campion, </w:t>
      </w:r>
      <w:r w:rsidR="00C42986" w:rsidRPr="00C42986">
        <w:rPr>
          <w:rFonts w:cstheme="minorHAnsi"/>
          <w:i/>
          <w:iCs/>
        </w:rPr>
        <w:t>A History of Western Astrology</w:t>
      </w:r>
      <w:r w:rsidR="00C42986" w:rsidRPr="00C42986">
        <w:rPr>
          <w:rFonts w:cstheme="minorHAnsi"/>
        </w:rPr>
        <w:t>, p.</w:t>
      </w:r>
      <w:r w:rsidR="00C42986" w:rsidRPr="00C42986">
        <w:rPr>
          <w:rFonts w:cstheme="minorHAnsi"/>
        </w:rPr>
        <w:t xml:space="preserve">90. </w:t>
      </w:r>
    </w:p>
  </w:footnote>
  <w:footnote w:id="9">
    <w:p w14:paraId="2EBF6990" w14:textId="5046FE96" w:rsidR="004A7258" w:rsidRPr="00C42986" w:rsidRDefault="004A7258" w:rsidP="00C42986">
      <w:pPr>
        <w:rPr>
          <w:rFonts w:cstheme="minorHAnsi"/>
          <w:sz w:val="20"/>
          <w:szCs w:val="20"/>
        </w:rPr>
      </w:pPr>
      <w:r>
        <w:rPr>
          <w:rStyle w:val="FootnoteReference"/>
        </w:rPr>
        <w:footnoteRef/>
      </w:r>
      <w:r>
        <w:t xml:space="preserve"> </w:t>
      </w:r>
      <w:r w:rsidR="00C42986" w:rsidRPr="00C42986">
        <w:rPr>
          <w:rFonts w:cstheme="minorHAnsi"/>
          <w:sz w:val="20"/>
          <w:szCs w:val="20"/>
        </w:rPr>
        <w:t>Jan</w:t>
      </w:r>
      <w:r w:rsidR="00C42986" w:rsidRPr="00C42986">
        <w:rPr>
          <w:rFonts w:cstheme="minorHAnsi"/>
          <w:sz w:val="20"/>
          <w:szCs w:val="20"/>
        </w:rPr>
        <w:t xml:space="preserve"> </w:t>
      </w:r>
      <w:r w:rsidR="00C42986" w:rsidRPr="00C42986">
        <w:rPr>
          <w:rFonts w:cstheme="minorHAnsi"/>
          <w:sz w:val="20"/>
          <w:szCs w:val="20"/>
        </w:rPr>
        <w:t xml:space="preserve">Assmann,, The Mind of Egypt: History and Meaning in the Time of Pharoahs (trans. Andrew Jenkins; New York: Metropolitan Books, 2002). </w:t>
      </w:r>
      <w:r w:rsidR="00C42986" w:rsidRPr="00C42986">
        <w:rPr>
          <w:rFonts w:cstheme="minorHAnsi"/>
          <w:sz w:val="20"/>
          <w:szCs w:val="20"/>
        </w:rPr>
        <w:t xml:space="preserve">pp. 204-07. </w:t>
      </w:r>
    </w:p>
  </w:footnote>
  <w:footnote w:id="10">
    <w:p w14:paraId="5D2B2E66" w14:textId="3FFF6FD3" w:rsidR="00C42986" w:rsidRPr="008C6679" w:rsidRDefault="00C42986" w:rsidP="008C6679">
      <w:pPr>
        <w:autoSpaceDE w:val="0"/>
        <w:autoSpaceDN w:val="0"/>
        <w:adjustRightInd w:val="0"/>
        <w:spacing w:after="40"/>
        <w:rPr>
          <w:rFonts w:cstheme="minorHAnsi"/>
          <w:color w:val="353535"/>
          <w:sz w:val="20"/>
          <w:szCs w:val="20"/>
        </w:rPr>
      </w:pPr>
      <w:r>
        <w:rPr>
          <w:rStyle w:val="FootnoteReference"/>
        </w:rPr>
        <w:footnoteRef/>
      </w:r>
      <w:r>
        <w:t xml:space="preserve"> </w:t>
      </w:r>
      <w:r w:rsidR="008C6679" w:rsidRPr="008C6679">
        <w:rPr>
          <w:rFonts w:cstheme="minorHAnsi"/>
          <w:color w:val="353535"/>
          <w:sz w:val="20"/>
          <w:szCs w:val="20"/>
        </w:rPr>
        <w:t>O. R. Faulkner, The Ancient Pyramid Texts (2 vols; Oxford: Oxford University Press 1969; Wariminster: Aris and Phillips, 2</w:t>
      </w:r>
      <w:r w:rsidR="008C6679" w:rsidRPr="008C6679">
        <w:rPr>
          <w:rFonts w:cstheme="minorHAnsi"/>
          <w:color w:val="353535"/>
          <w:sz w:val="20"/>
          <w:szCs w:val="20"/>
          <w:vertAlign w:val="superscript"/>
        </w:rPr>
        <w:t>nd</w:t>
      </w:r>
      <w:r w:rsidR="008C6679" w:rsidRPr="008C6679">
        <w:rPr>
          <w:rFonts w:cstheme="minorHAnsi"/>
          <w:color w:val="353535"/>
          <w:sz w:val="20"/>
          <w:szCs w:val="20"/>
        </w:rPr>
        <w:t xml:space="preserve"> edn, 1993)</w:t>
      </w:r>
      <w:r w:rsidR="008C6679" w:rsidRPr="008C6679">
        <w:rPr>
          <w:rFonts w:cstheme="minorHAnsi"/>
          <w:color w:val="353535"/>
          <w:sz w:val="20"/>
          <w:szCs w:val="20"/>
        </w:rPr>
        <w:t xml:space="preserve">, utterance 488.1048-49. </w:t>
      </w:r>
    </w:p>
  </w:footnote>
  <w:footnote w:id="11">
    <w:p w14:paraId="71113F18" w14:textId="492E5A21" w:rsidR="008C6679" w:rsidRPr="008C6679" w:rsidRDefault="008C6679" w:rsidP="008C6679">
      <w:pPr>
        <w:autoSpaceDE w:val="0"/>
        <w:autoSpaceDN w:val="0"/>
        <w:adjustRightInd w:val="0"/>
        <w:spacing w:after="40"/>
        <w:rPr>
          <w:rFonts w:cstheme="minorHAnsi"/>
          <w:color w:val="353535"/>
          <w:sz w:val="20"/>
          <w:szCs w:val="20"/>
        </w:rPr>
      </w:pPr>
      <w:r w:rsidRPr="008C6679">
        <w:rPr>
          <w:rStyle w:val="FootnoteReference"/>
          <w:sz w:val="20"/>
          <w:szCs w:val="20"/>
        </w:rPr>
        <w:footnoteRef/>
      </w:r>
      <w:r w:rsidRPr="008C6679">
        <w:rPr>
          <w:sz w:val="20"/>
          <w:szCs w:val="20"/>
        </w:rPr>
        <w:t xml:space="preserve"> </w:t>
      </w:r>
      <w:r w:rsidRPr="008C6679">
        <w:rPr>
          <w:rFonts w:cstheme="minorHAnsi"/>
          <w:color w:val="353535"/>
          <w:sz w:val="20"/>
          <w:szCs w:val="20"/>
        </w:rPr>
        <w:t>Faulkner, The Pyramid Texts</w:t>
      </w:r>
      <w:r w:rsidRPr="008C6679">
        <w:rPr>
          <w:rFonts w:cstheme="minorHAnsi"/>
          <w:color w:val="353535"/>
          <w:sz w:val="20"/>
          <w:szCs w:val="20"/>
        </w:rPr>
        <w:t xml:space="preserve">, utterance 606; </w:t>
      </w:r>
      <w:r w:rsidRPr="008C6679">
        <w:rPr>
          <w:rFonts w:cstheme="minorHAnsi"/>
          <w:color w:val="353535"/>
          <w:sz w:val="20"/>
          <w:szCs w:val="20"/>
        </w:rPr>
        <w:t xml:space="preserve">I.E.S., Edwards, The Pyramids of Egypt (London: Penguin, rev. edn, 1988). </w:t>
      </w:r>
      <w:r w:rsidRPr="008C6679">
        <w:rPr>
          <w:rFonts w:cstheme="minorHAnsi"/>
          <w:color w:val="353535"/>
          <w:sz w:val="20"/>
          <w:szCs w:val="20"/>
        </w:rPr>
        <w:t>p.16</w:t>
      </w:r>
    </w:p>
    <w:p w14:paraId="3A6F940A" w14:textId="3DAE6525" w:rsidR="008C6679" w:rsidRDefault="008C6679">
      <w:pPr>
        <w:pStyle w:val="FootnoteText"/>
      </w:pPr>
    </w:p>
  </w:footnote>
  <w:footnote w:id="12">
    <w:p w14:paraId="59CAD937" w14:textId="15620979" w:rsidR="008C6679" w:rsidRPr="008C6679" w:rsidRDefault="008C6679" w:rsidP="008C6679">
      <w:pPr>
        <w:rPr>
          <w:sz w:val="20"/>
          <w:szCs w:val="20"/>
        </w:rPr>
      </w:pPr>
      <w:r>
        <w:rPr>
          <w:rStyle w:val="FootnoteReference"/>
        </w:rPr>
        <w:footnoteRef/>
      </w:r>
      <w:r>
        <w:t xml:space="preserve"> </w:t>
      </w:r>
      <w:r w:rsidRPr="008C6679">
        <w:rPr>
          <w:sz w:val="20"/>
          <w:szCs w:val="20"/>
        </w:rPr>
        <w:t>Franciose</w:t>
      </w:r>
      <w:r w:rsidRPr="008C6679">
        <w:rPr>
          <w:sz w:val="20"/>
          <w:szCs w:val="20"/>
        </w:rPr>
        <w:t xml:space="preserve"> </w:t>
      </w:r>
      <w:r w:rsidRPr="008C6679">
        <w:rPr>
          <w:sz w:val="20"/>
          <w:szCs w:val="20"/>
        </w:rPr>
        <w:t xml:space="preserve">Dunand and Christiane Vivie-Choche. </w:t>
      </w:r>
      <w:r w:rsidRPr="008C6679">
        <w:rPr>
          <w:i/>
          <w:iCs/>
          <w:sz w:val="20"/>
          <w:szCs w:val="20"/>
        </w:rPr>
        <w:t>Gods and Men in Egypt: 3000 BCE to 395 CE</w:t>
      </w:r>
      <w:r w:rsidRPr="008C6679">
        <w:rPr>
          <w:sz w:val="20"/>
          <w:szCs w:val="20"/>
        </w:rPr>
        <w:t xml:space="preserve">. Translated by Lorton. Ithaca, NY: Cornell University Press, 2004. </w:t>
      </w:r>
      <w:r w:rsidRPr="008C6679">
        <w:rPr>
          <w:sz w:val="20"/>
          <w:szCs w:val="20"/>
        </w:rPr>
        <w:t xml:space="preserve">Chapter 2. </w:t>
      </w:r>
    </w:p>
    <w:p w14:paraId="67B04A4A" w14:textId="55FBE83F" w:rsidR="008C6679" w:rsidRPr="008C6679" w:rsidRDefault="008C6679">
      <w:pPr>
        <w:pStyle w:val="FootnoteText"/>
      </w:pPr>
    </w:p>
  </w:footnote>
  <w:footnote w:id="13">
    <w:p w14:paraId="241D2AE2" w14:textId="5F69B96F" w:rsidR="003F3D5A" w:rsidRPr="003F3D5A" w:rsidRDefault="003F3D5A" w:rsidP="003F3D5A">
      <w:pPr>
        <w:autoSpaceDE w:val="0"/>
        <w:autoSpaceDN w:val="0"/>
        <w:adjustRightInd w:val="0"/>
        <w:spacing w:after="40"/>
        <w:rPr>
          <w:rFonts w:cstheme="minorHAnsi"/>
          <w:color w:val="353535"/>
          <w:sz w:val="20"/>
          <w:szCs w:val="20"/>
        </w:rPr>
      </w:pPr>
      <w:r>
        <w:rPr>
          <w:rStyle w:val="FootnoteReference"/>
        </w:rPr>
        <w:footnoteRef/>
      </w:r>
      <w:r>
        <w:t xml:space="preserve"> </w:t>
      </w:r>
      <w:r w:rsidRPr="003F3D5A">
        <w:rPr>
          <w:rFonts w:cstheme="minorHAnsi"/>
          <w:color w:val="353535"/>
          <w:sz w:val="20"/>
          <w:szCs w:val="20"/>
        </w:rPr>
        <w:t>R.A</w:t>
      </w:r>
      <w:r w:rsidRPr="003F3D5A">
        <w:rPr>
          <w:rFonts w:cstheme="minorHAnsi"/>
          <w:color w:val="353535"/>
          <w:sz w:val="20"/>
          <w:szCs w:val="20"/>
        </w:rPr>
        <w:t xml:space="preserve"> </w:t>
      </w:r>
      <w:r w:rsidRPr="003F3D5A">
        <w:rPr>
          <w:rFonts w:cstheme="minorHAnsi"/>
          <w:color w:val="353535"/>
          <w:sz w:val="20"/>
          <w:szCs w:val="20"/>
        </w:rPr>
        <w:t>Parker</w:t>
      </w:r>
      <w:r w:rsidRPr="003F3D5A">
        <w:rPr>
          <w:rFonts w:cstheme="minorHAnsi"/>
          <w:color w:val="353535"/>
          <w:sz w:val="20"/>
          <w:szCs w:val="20"/>
        </w:rPr>
        <w:t>,</w:t>
      </w:r>
      <w:r w:rsidRPr="003F3D5A">
        <w:rPr>
          <w:rFonts w:cstheme="minorHAnsi"/>
          <w:color w:val="353535"/>
          <w:sz w:val="20"/>
          <w:szCs w:val="20"/>
        </w:rPr>
        <w:t xml:space="preserve"> ‘Egyptian Astronomy, Astrology and Calendrical Reckoning’, in Charles Coulston (ed.), </w:t>
      </w:r>
      <w:r w:rsidRPr="003F3D5A">
        <w:rPr>
          <w:rFonts w:cstheme="minorHAnsi"/>
          <w:i/>
          <w:iCs/>
          <w:color w:val="353535"/>
          <w:sz w:val="20"/>
          <w:szCs w:val="20"/>
        </w:rPr>
        <w:t>Dictionary of Scientific Biography</w:t>
      </w:r>
      <w:r w:rsidRPr="003F3D5A">
        <w:rPr>
          <w:rFonts w:cstheme="minorHAnsi"/>
          <w:color w:val="353535"/>
          <w:sz w:val="20"/>
          <w:szCs w:val="20"/>
        </w:rPr>
        <w:t xml:space="preserve"> (New York: Charles Scribners’s Sons, 1971), vol. 4</w:t>
      </w:r>
      <w:r w:rsidRPr="003F3D5A">
        <w:rPr>
          <w:rFonts w:cstheme="minorHAnsi"/>
          <w:color w:val="353535"/>
          <w:sz w:val="20"/>
          <w:szCs w:val="20"/>
        </w:rPr>
        <w:t xml:space="preserve">. p. 711, pp.713-14; </w:t>
      </w:r>
      <w:r>
        <w:rPr>
          <w:rFonts w:cstheme="minorHAnsi"/>
          <w:color w:val="353535"/>
          <w:sz w:val="20"/>
          <w:szCs w:val="20"/>
        </w:rPr>
        <w:t>p. 723;</w:t>
      </w:r>
      <w:r w:rsidRPr="003F3D5A">
        <w:rPr>
          <w:rFonts w:cstheme="minorHAnsi"/>
          <w:color w:val="353535"/>
          <w:sz w:val="20"/>
          <w:szCs w:val="20"/>
        </w:rPr>
        <w:t xml:space="preserve"> R.A</w:t>
      </w:r>
      <w:r w:rsidRPr="003F3D5A">
        <w:rPr>
          <w:rFonts w:cstheme="minorHAnsi"/>
          <w:color w:val="353535"/>
          <w:sz w:val="20"/>
          <w:szCs w:val="20"/>
        </w:rPr>
        <w:t xml:space="preserve"> </w:t>
      </w:r>
      <w:r w:rsidRPr="003F3D5A">
        <w:rPr>
          <w:rFonts w:cstheme="minorHAnsi"/>
          <w:color w:val="353535"/>
          <w:sz w:val="20"/>
          <w:szCs w:val="20"/>
        </w:rPr>
        <w:t xml:space="preserve">Parker., ‘Ancient Egyptian Astronomy’, in F.R. Hodson (ed.), </w:t>
      </w:r>
      <w:r w:rsidRPr="003F3D5A">
        <w:rPr>
          <w:rFonts w:cstheme="minorHAnsi"/>
          <w:i/>
          <w:iCs/>
          <w:color w:val="353535"/>
          <w:sz w:val="20"/>
          <w:szCs w:val="20"/>
        </w:rPr>
        <w:t>The Place of Astronomy in the Ancient World</w:t>
      </w:r>
      <w:r w:rsidRPr="003F3D5A">
        <w:rPr>
          <w:rFonts w:cstheme="minorHAnsi"/>
          <w:color w:val="353535"/>
          <w:sz w:val="20"/>
          <w:szCs w:val="20"/>
        </w:rPr>
        <w:t xml:space="preserve"> (Transactions of the Royal Society, 276; London: Oxford University Press, 1974), </w:t>
      </w:r>
      <w:r>
        <w:rPr>
          <w:rFonts w:cstheme="minorHAnsi"/>
          <w:color w:val="353535"/>
          <w:sz w:val="20"/>
          <w:szCs w:val="20"/>
        </w:rPr>
        <w:t xml:space="preserve">pp.51-52, </w:t>
      </w:r>
      <w:r w:rsidRPr="003F3D5A">
        <w:rPr>
          <w:rFonts w:cstheme="minorHAnsi"/>
          <w:color w:val="353535"/>
          <w:sz w:val="20"/>
          <w:szCs w:val="20"/>
        </w:rPr>
        <w:t>p. 5</w:t>
      </w:r>
      <w:r w:rsidRPr="003F3D5A">
        <w:rPr>
          <w:rFonts w:cstheme="minorHAnsi"/>
          <w:color w:val="353535"/>
          <w:sz w:val="20"/>
          <w:szCs w:val="20"/>
        </w:rPr>
        <w:t>6</w:t>
      </w:r>
      <w:r>
        <w:rPr>
          <w:rFonts w:cstheme="minorHAnsi"/>
          <w:color w:val="353535"/>
          <w:sz w:val="20"/>
          <w:szCs w:val="20"/>
        </w:rPr>
        <w:t xml:space="preserve">. </w:t>
      </w:r>
    </w:p>
    <w:p w14:paraId="5F283A0D" w14:textId="0E02EBC8" w:rsidR="003F3D5A" w:rsidRPr="00E548E1" w:rsidRDefault="003F3D5A" w:rsidP="003F3D5A">
      <w:pPr>
        <w:autoSpaceDE w:val="0"/>
        <w:autoSpaceDN w:val="0"/>
        <w:adjustRightInd w:val="0"/>
        <w:spacing w:after="40"/>
        <w:rPr>
          <w:rFonts w:cstheme="minorHAnsi"/>
          <w:color w:val="353535"/>
        </w:rPr>
      </w:pPr>
    </w:p>
    <w:p w14:paraId="6602CAB2" w14:textId="2547EB4D" w:rsidR="003F3D5A" w:rsidRDefault="003F3D5A">
      <w:pPr>
        <w:pStyle w:val="FootnoteText"/>
      </w:pPr>
    </w:p>
  </w:footnote>
  <w:footnote w:id="14">
    <w:p w14:paraId="226D7FB6" w14:textId="7D2082F3" w:rsidR="004A7258" w:rsidRDefault="004A7258" w:rsidP="006F09E6">
      <w:r>
        <w:rPr>
          <w:rStyle w:val="FootnoteReference"/>
        </w:rPr>
        <w:footnoteRef/>
      </w:r>
      <w:r>
        <w:t xml:space="preserve"> </w:t>
      </w:r>
      <w:r w:rsidRPr="00AC73B4">
        <w:rPr>
          <w:sz w:val="20"/>
          <w:szCs w:val="20"/>
        </w:rPr>
        <w:t xml:space="preserve">Redford, </w:t>
      </w:r>
      <w:r w:rsidRPr="00AC73B4">
        <w:rPr>
          <w:i/>
          <w:iCs/>
          <w:sz w:val="20"/>
          <w:szCs w:val="20"/>
        </w:rPr>
        <w:t>The Ancient Gods Speak: A Guide to Egyptian Religion,</w:t>
      </w:r>
      <w:r w:rsidRPr="00AC73B4">
        <w:rPr>
          <w:sz w:val="20"/>
          <w:szCs w:val="20"/>
        </w:rPr>
        <w:t xml:space="preserve"> p.609</w:t>
      </w:r>
      <w:r>
        <w:rPr>
          <w:sz w:val="20"/>
          <w:szCs w:val="20"/>
        </w:rPr>
        <w:t>.</w:t>
      </w:r>
    </w:p>
  </w:footnote>
  <w:footnote w:id="15">
    <w:p w14:paraId="730C1860" w14:textId="0F854677" w:rsidR="004A7258" w:rsidRDefault="004A7258">
      <w:pPr>
        <w:pStyle w:val="FootnoteText"/>
      </w:pPr>
      <w:r>
        <w:rPr>
          <w:rStyle w:val="FootnoteReference"/>
        </w:rPr>
        <w:footnoteRef/>
      </w:r>
      <w:r>
        <w:t xml:space="preserve"> </w:t>
      </w:r>
      <w:r w:rsidRPr="00AC73B4">
        <w:t xml:space="preserve">Redford, </w:t>
      </w:r>
      <w:r w:rsidRPr="00AC73B4">
        <w:rPr>
          <w:i/>
          <w:iCs/>
        </w:rPr>
        <w:t>The Ancient Gods Speak: A Guide to Egyptian Religion,</w:t>
      </w:r>
      <w:r w:rsidRPr="00AC73B4">
        <w:t xml:space="preserve"> p.609</w:t>
      </w:r>
      <w:r>
        <w:t>.</w:t>
      </w:r>
    </w:p>
  </w:footnote>
  <w:footnote w:id="16">
    <w:p w14:paraId="67F9F160" w14:textId="1CD844FA" w:rsidR="004A7258" w:rsidRDefault="004A7258">
      <w:pPr>
        <w:pStyle w:val="FootnoteText"/>
      </w:pPr>
      <w:r>
        <w:rPr>
          <w:rStyle w:val="FootnoteReference"/>
        </w:rPr>
        <w:footnoteRef/>
      </w:r>
      <w:r>
        <w:t xml:space="preserve"> </w:t>
      </w:r>
      <w:r w:rsidRPr="00AC73B4">
        <w:t xml:space="preserve">Redford, </w:t>
      </w:r>
      <w:r w:rsidRPr="00AC73B4">
        <w:rPr>
          <w:i/>
          <w:iCs/>
        </w:rPr>
        <w:t>The Ancient Gods Speak: A Guide to Egyptian Religion,</w:t>
      </w:r>
      <w:r w:rsidRPr="00AC73B4">
        <w:t xml:space="preserve"> p.6</w:t>
      </w:r>
      <w:r>
        <w:t>10.</w:t>
      </w:r>
    </w:p>
  </w:footnote>
  <w:footnote w:id="17">
    <w:p w14:paraId="05B42381" w14:textId="18D72D30" w:rsidR="004A7258" w:rsidRDefault="004A7258">
      <w:pPr>
        <w:pStyle w:val="FootnoteText"/>
      </w:pPr>
      <w:r>
        <w:rPr>
          <w:rStyle w:val="FootnoteReference"/>
        </w:rPr>
        <w:footnoteRef/>
      </w:r>
      <w:r>
        <w:t xml:space="preserve"> </w:t>
      </w:r>
      <w:r w:rsidRPr="008F65F5">
        <w:rPr>
          <w:rFonts w:cstheme="minorHAnsi"/>
        </w:rPr>
        <w:t xml:space="preserve">Blacker and Loewe, </w:t>
      </w:r>
      <w:r w:rsidRPr="00D438F2">
        <w:rPr>
          <w:rFonts w:cstheme="minorHAnsi"/>
          <w:i/>
          <w:iCs/>
        </w:rPr>
        <w:t>Oracles and Divination</w:t>
      </w:r>
      <w:r w:rsidRPr="008F65F5">
        <w:rPr>
          <w:rFonts w:cstheme="minorHAnsi"/>
        </w:rPr>
        <w:t xml:space="preserve">, p. </w:t>
      </w:r>
      <w:r>
        <w:rPr>
          <w:rFonts w:cstheme="minorHAnsi"/>
        </w:rPr>
        <w:t xml:space="preserve">177. </w:t>
      </w:r>
    </w:p>
  </w:footnote>
  <w:footnote w:id="18">
    <w:p w14:paraId="044F7254" w14:textId="49F63C69" w:rsidR="004A7258" w:rsidRDefault="004A7258">
      <w:pPr>
        <w:pStyle w:val="FootnoteText"/>
      </w:pPr>
      <w:r>
        <w:rPr>
          <w:rStyle w:val="FootnoteReference"/>
        </w:rPr>
        <w:footnoteRef/>
      </w:r>
      <w:r>
        <w:t xml:space="preserve"> </w:t>
      </w:r>
      <w:r w:rsidRPr="008F65F5">
        <w:rPr>
          <w:rFonts w:cstheme="minorHAnsi"/>
        </w:rPr>
        <w:t xml:space="preserve">Campion, </w:t>
      </w:r>
      <w:r w:rsidRPr="008F65F5">
        <w:rPr>
          <w:rFonts w:cstheme="minorHAnsi"/>
          <w:i/>
          <w:iCs/>
        </w:rPr>
        <w:t>A History of Western Astrology</w:t>
      </w:r>
      <w:r w:rsidRPr="008F65F5">
        <w:rPr>
          <w:rFonts w:cstheme="minorHAnsi"/>
        </w:rPr>
        <w:t>, p</w:t>
      </w:r>
      <w:r>
        <w:rPr>
          <w:rFonts w:cstheme="minorHAnsi"/>
        </w:rPr>
        <w:t>p</w:t>
      </w:r>
      <w:r w:rsidRPr="008F65F5">
        <w:rPr>
          <w:rFonts w:cstheme="minorHAnsi"/>
        </w:rPr>
        <w:t>.</w:t>
      </w:r>
      <w:r>
        <w:rPr>
          <w:rFonts w:cstheme="minorHAnsi"/>
        </w:rPr>
        <w:t xml:space="preserve"> 88-89. </w:t>
      </w:r>
    </w:p>
  </w:footnote>
  <w:footnote w:id="19">
    <w:p w14:paraId="121EB897" w14:textId="7B9064C2" w:rsidR="004A7258" w:rsidRPr="004A7258" w:rsidRDefault="004A7258" w:rsidP="004A7258">
      <w:pPr>
        <w:rPr>
          <w:sz w:val="20"/>
          <w:szCs w:val="20"/>
        </w:rPr>
      </w:pPr>
      <w:r>
        <w:rPr>
          <w:rStyle w:val="FootnoteReference"/>
        </w:rPr>
        <w:footnoteRef/>
      </w:r>
      <w:r>
        <w:t xml:space="preserve"> </w:t>
      </w:r>
      <w:r w:rsidRPr="004A7258">
        <w:rPr>
          <w:sz w:val="20"/>
          <w:szCs w:val="20"/>
        </w:rPr>
        <w:t>Franciose</w:t>
      </w:r>
      <w:r>
        <w:rPr>
          <w:sz w:val="20"/>
          <w:szCs w:val="20"/>
        </w:rPr>
        <w:t xml:space="preserve"> </w:t>
      </w:r>
      <w:r w:rsidRPr="004A7258">
        <w:rPr>
          <w:sz w:val="20"/>
          <w:szCs w:val="20"/>
        </w:rPr>
        <w:t xml:space="preserve">Dunand,  and Christiane Vivie-Choche. </w:t>
      </w:r>
      <w:r w:rsidRPr="004A7258">
        <w:rPr>
          <w:i/>
          <w:iCs/>
          <w:sz w:val="20"/>
          <w:szCs w:val="20"/>
        </w:rPr>
        <w:t>Gods and Men in Egypt: 3000 BCE to 395 CE</w:t>
      </w:r>
      <w:r w:rsidRPr="004A7258">
        <w:rPr>
          <w:sz w:val="20"/>
          <w:szCs w:val="20"/>
        </w:rPr>
        <w:t>. Translated by Lorton. Ithaca, NY: Cornell University Press, 2004. p. 13</w:t>
      </w:r>
      <w:r>
        <w:rPr>
          <w:sz w:val="20"/>
          <w:szCs w:val="20"/>
        </w:rPr>
        <w:t>3</w:t>
      </w:r>
      <w:r w:rsidRPr="004A7258">
        <w:rPr>
          <w:sz w:val="20"/>
          <w:szCs w:val="20"/>
        </w:rPr>
        <w:t xml:space="preserve">. </w:t>
      </w:r>
    </w:p>
  </w:footnote>
  <w:footnote w:id="20">
    <w:p w14:paraId="6F7E99A5" w14:textId="2340AE05" w:rsidR="004A7258" w:rsidRPr="004A7258" w:rsidRDefault="004A7258">
      <w:pPr>
        <w:pStyle w:val="FootnoteText"/>
      </w:pPr>
      <w:r>
        <w:rPr>
          <w:rStyle w:val="FootnoteReference"/>
        </w:rPr>
        <w:footnoteRef/>
      </w:r>
      <w:r>
        <w:t xml:space="preserve"> Dunand and </w:t>
      </w:r>
      <w:r w:rsidRPr="004A7258">
        <w:t>Vivie-Choche</w:t>
      </w:r>
      <w:r>
        <w:t xml:space="preserve">, </w:t>
      </w:r>
      <w:r w:rsidRPr="004A7258">
        <w:rPr>
          <w:i/>
          <w:iCs/>
        </w:rPr>
        <w:t>Gods and Men in Egypt</w:t>
      </w:r>
      <w:r>
        <w:rPr>
          <w:i/>
          <w:iCs/>
        </w:rPr>
        <w:t xml:space="preserve">, </w:t>
      </w:r>
      <w:r>
        <w:t xml:space="preserve">pp. 133-134. </w:t>
      </w:r>
    </w:p>
  </w:footnote>
  <w:footnote w:id="21">
    <w:p w14:paraId="65EC6034" w14:textId="40E40E06" w:rsidR="008432C7" w:rsidRDefault="008432C7">
      <w:pPr>
        <w:pStyle w:val="FootnoteText"/>
      </w:pPr>
      <w:r>
        <w:rPr>
          <w:rStyle w:val="FootnoteReference"/>
        </w:rPr>
        <w:footnoteRef/>
      </w:r>
      <w:r>
        <w:t xml:space="preserve"> </w:t>
      </w:r>
      <w:r>
        <w:t xml:space="preserve">Dunand and </w:t>
      </w:r>
      <w:r w:rsidRPr="004A7258">
        <w:t>Vivie-Choche</w:t>
      </w:r>
      <w:r>
        <w:t xml:space="preserve">, </w:t>
      </w:r>
      <w:r w:rsidRPr="004A7258">
        <w:rPr>
          <w:i/>
          <w:iCs/>
        </w:rPr>
        <w:t>Gods and Men in Egypt</w:t>
      </w:r>
      <w:r>
        <w:rPr>
          <w:i/>
          <w:iCs/>
        </w:rPr>
        <w:t xml:space="preserve">, </w:t>
      </w:r>
      <w:r>
        <w:t>pp. 13</w:t>
      </w:r>
      <w:r>
        <w:t xml:space="preserve">5.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BB0E1A"/>
    <w:multiLevelType w:val="hybridMultilevel"/>
    <w:tmpl w:val="832A4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E66BEA"/>
    <w:multiLevelType w:val="hybridMultilevel"/>
    <w:tmpl w:val="FCD89344"/>
    <w:lvl w:ilvl="0" w:tplc="CA7459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29F3792"/>
    <w:multiLevelType w:val="hybridMultilevel"/>
    <w:tmpl w:val="0CA6A8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306"/>
    <w:rsid w:val="00015619"/>
    <w:rsid w:val="0001618C"/>
    <w:rsid w:val="000231B3"/>
    <w:rsid w:val="0005350D"/>
    <w:rsid w:val="00057D29"/>
    <w:rsid w:val="00095B2E"/>
    <w:rsid w:val="000A5897"/>
    <w:rsid w:val="000B50C8"/>
    <w:rsid w:val="000B7DA1"/>
    <w:rsid w:val="000D21B3"/>
    <w:rsid w:val="000D304E"/>
    <w:rsid w:val="000D4CD7"/>
    <w:rsid w:val="000E6B69"/>
    <w:rsid w:val="000F380F"/>
    <w:rsid w:val="00104515"/>
    <w:rsid w:val="00142B0D"/>
    <w:rsid w:val="00164CBB"/>
    <w:rsid w:val="0018051A"/>
    <w:rsid w:val="001814EB"/>
    <w:rsid w:val="0019289F"/>
    <w:rsid w:val="001972CD"/>
    <w:rsid w:val="001C1E71"/>
    <w:rsid w:val="001D083E"/>
    <w:rsid w:val="001F3331"/>
    <w:rsid w:val="00202816"/>
    <w:rsid w:val="0020300A"/>
    <w:rsid w:val="00244649"/>
    <w:rsid w:val="00247EC0"/>
    <w:rsid w:val="0025061A"/>
    <w:rsid w:val="0026173E"/>
    <w:rsid w:val="002627D8"/>
    <w:rsid w:val="002643E3"/>
    <w:rsid w:val="0027561A"/>
    <w:rsid w:val="00284004"/>
    <w:rsid w:val="00297AB0"/>
    <w:rsid w:val="00297B3B"/>
    <w:rsid w:val="002A508D"/>
    <w:rsid w:val="002B1D11"/>
    <w:rsid w:val="002B6742"/>
    <w:rsid w:val="002D3796"/>
    <w:rsid w:val="002E0295"/>
    <w:rsid w:val="002E0B86"/>
    <w:rsid w:val="003228E8"/>
    <w:rsid w:val="00326F09"/>
    <w:rsid w:val="00343B5B"/>
    <w:rsid w:val="00343BB3"/>
    <w:rsid w:val="00356075"/>
    <w:rsid w:val="00370812"/>
    <w:rsid w:val="00386CB1"/>
    <w:rsid w:val="00394CBB"/>
    <w:rsid w:val="003A13F5"/>
    <w:rsid w:val="003B5672"/>
    <w:rsid w:val="003D27CC"/>
    <w:rsid w:val="003D618B"/>
    <w:rsid w:val="003D6FFF"/>
    <w:rsid w:val="003F3D5A"/>
    <w:rsid w:val="003F59B9"/>
    <w:rsid w:val="0040397E"/>
    <w:rsid w:val="00436B85"/>
    <w:rsid w:val="00437BE3"/>
    <w:rsid w:val="00496B50"/>
    <w:rsid w:val="004A1DD4"/>
    <w:rsid w:val="004A61D7"/>
    <w:rsid w:val="004A7258"/>
    <w:rsid w:val="004C2DD6"/>
    <w:rsid w:val="004C68A0"/>
    <w:rsid w:val="004E2D60"/>
    <w:rsid w:val="004E4CC2"/>
    <w:rsid w:val="00556A77"/>
    <w:rsid w:val="00592064"/>
    <w:rsid w:val="005A2C98"/>
    <w:rsid w:val="005B64AA"/>
    <w:rsid w:val="005D3000"/>
    <w:rsid w:val="00606B1F"/>
    <w:rsid w:val="0061402C"/>
    <w:rsid w:val="006C5696"/>
    <w:rsid w:val="006F09E6"/>
    <w:rsid w:val="006F1E83"/>
    <w:rsid w:val="00730D53"/>
    <w:rsid w:val="00741C2C"/>
    <w:rsid w:val="00753D43"/>
    <w:rsid w:val="00762227"/>
    <w:rsid w:val="00763E35"/>
    <w:rsid w:val="00794668"/>
    <w:rsid w:val="007A6D75"/>
    <w:rsid w:val="007B0766"/>
    <w:rsid w:val="007C3598"/>
    <w:rsid w:val="007D0D4A"/>
    <w:rsid w:val="007D11F3"/>
    <w:rsid w:val="007E0689"/>
    <w:rsid w:val="007F3306"/>
    <w:rsid w:val="007F4B4B"/>
    <w:rsid w:val="008321AB"/>
    <w:rsid w:val="0084168B"/>
    <w:rsid w:val="008432C7"/>
    <w:rsid w:val="00866A18"/>
    <w:rsid w:val="0087501D"/>
    <w:rsid w:val="008944F4"/>
    <w:rsid w:val="0089671D"/>
    <w:rsid w:val="00897C1F"/>
    <w:rsid w:val="008A46D6"/>
    <w:rsid w:val="008C6679"/>
    <w:rsid w:val="008D3F9E"/>
    <w:rsid w:val="0095012A"/>
    <w:rsid w:val="00966B08"/>
    <w:rsid w:val="0096788D"/>
    <w:rsid w:val="00972D2C"/>
    <w:rsid w:val="009E77CB"/>
    <w:rsid w:val="009F015F"/>
    <w:rsid w:val="009F611D"/>
    <w:rsid w:val="00A423CC"/>
    <w:rsid w:val="00A541EE"/>
    <w:rsid w:val="00A64CBB"/>
    <w:rsid w:val="00A6710E"/>
    <w:rsid w:val="00A91003"/>
    <w:rsid w:val="00A929CE"/>
    <w:rsid w:val="00A93DF8"/>
    <w:rsid w:val="00AC73B4"/>
    <w:rsid w:val="00B02481"/>
    <w:rsid w:val="00B51D94"/>
    <w:rsid w:val="00B773B8"/>
    <w:rsid w:val="00B85D54"/>
    <w:rsid w:val="00B9702A"/>
    <w:rsid w:val="00BA2C38"/>
    <w:rsid w:val="00BA71EB"/>
    <w:rsid w:val="00BC6C92"/>
    <w:rsid w:val="00BE2F16"/>
    <w:rsid w:val="00BF28DB"/>
    <w:rsid w:val="00C2022C"/>
    <w:rsid w:val="00C41EDB"/>
    <w:rsid w:val="00C42986"/>
    <w:rsid w:val="00C4514C"/>
    <w:rsid w:val="00C864AA"/>
    <w:rsid w:val="00C91B87"/>
    <w:rsid w:val="00C93EB2"/>
    <w:rsid w:val="00CA7F28"/>
    <w:rsid w:val="00CB11BA"/>
    <w:rsid w:val="00CC43B2"/>
    <w:rsid w:val="00CD0604"/>
    <w:rsid w:val="00CD1E3C"/>
    <w:rsid w:val="00CE176E"/>
    <w:rsid w:val="00D04504"/>
    <w:rsid w:val="00D438F2"/>
    <w:rsid w:val="00D65F9C"/>
    <w:rsid w:val="00DA1496"/>
    <w:rsid w:val="00DE0F00"/>
    <w:rsid w:val="00DF2869"/>
    <w:rsid w:val="00DF4827"/>
    <w:rsid w:val="00DF588C"/>
    <w:rsid w:val="00E17AB1"/>
    <w:rsid w:val="00E347FF"/>
    <w:rsid w:val="00E55A09"/>
    <w:rsid w:val="00E567F2"/>
    <w:rsid w:val="00E63B17"/>
    <w:rsid w:val="00E72064"/>
    <w:rsid w:val="00E91F24"/>
    <w:rsid w:val="00EA5B8C"/>
    <w:rsid w:val="00EB790E"/>
    <w:rsid w:val="00EF18DD"/>
    <w:rsid w:val="00F12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6AF30"/>
  <w15:chartTrackingRefBased/>
  <w15:docId w15:val="{49D14E85-F820-7645-AF9E-381F6F2CB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3306"/>
  </w:style>
  <w:style w:type="paragraph" w:styleId="Heading3">
    <w:name w:val="heading 3"/>
    <w:basedOn w:val="Normal"/>
    <w:link w:val="Heading3Char"/>
    <w:qFormat/>
    <w:rsid w:val="007F3306"/>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7F3306"/>
    <w:rPr>
      <w:rFonts w:ascii="Tahoma" w:eastAsia="SimSun" w:hAnsi="Tahoma" w:cs="Tahoma"/>
      <w:b/>
      <w:bCs/>
      <w:sz w:val="20"/>
      <w:szCs w:val="20"/>
      <w:lang w:eastAsia="zh-CN"/>
    </w:rPr>
  </w:style>
  <w:style w:type="paragraph" w:styleId="NormalWeb">
    <w:name w:val="Normal (Web)"/>
    <w:basedOn w:val="Normal"/>
    <w:rsid w:val="007F3306"/>
    <w:pPr>
      <w:spacing w:before="100" w:beforeAutospacing="1" w:after="100" w:afterAutospacing="1"/>
    </w:pPr>
    <w:rPr>
      <w:rFonts w:ascii="Georgia" w:eastAsia="SimSun" w:hAnsi="Georgia" w:cs="Times New Roman"/>
      <w:color w:val="000000"/>
      <w:sz w:val="21"/>
      <w:szCs w:val="21"/>
      <w:lang w:eastAsia="zh-CN"/>
    </w:rPr>
  </w:style>
  <w:style w:type="paragraph" w:styleId="ListParagraph">
    <w:name w:val="List Paragraph"/>
    <w:basedOn w:val="Normal"/>
    <w:uiPriority w:val="34"/>
    <w:qFormat/>
    <w:rsid w:val="007F3306"/>
    <w:pPr>
      <w:ind w:left="720"/>
      <w:contextualSpacing/>
    </w:pPr>
  </w:style>
  <w:style w:type="paragraph" w:styleId="Footer">
    <w:name w:val="footer"/>
    <w:basedOn w:val="Normal"/>
    <w:link w:val="FooterChar"/>
    <w:uiPriority w:val="99"/>
    <w:unhideWhenUsed/>
    <w:rsid w:val="007F3306"/>
    <w:pPr>
      <w:tabs>
        <w:tab w:val="center" w:pos="4513"/>
        <w:tab w:val="right" w:pos="9026"/>
      </w:tabs>
    </w:pPr>
  </w:style>
  <w:style w:type="character" w:customStyle="1" w:styleId="FooterChar">
    <w:name w:val="Footer Char"/>
    <w:basedOn w:val="DefaultParagraphFont"/>
    <w:link w:val="Footer"/>
    <w:uiPriority w:val="99"/>
    <w:rsid w:val="007F3306"/>
  </w:style>
  <w:style w:type="character" w:styleId="PageNumber">
    <w:name w:val="page number"/>
    <w:basedOn w:val="DefaultParagraphFont"/>
    <w:uiPriority w:val="99"/>
    <w:semiHidden/>
    <w:unhideWhenUsed/>
    <w:rsid w:val="007F3306"/>
  </w:style>
  <w:style w:type="paragraph" w:styleId="FootnoteText">
    <w:name w:val="footnote text"/>
    <w:basedOn w:val="Normal"/>
    <w:link w:val="FootnoteTextChar"/>
    <w:uiPriority w:val="99"/>
    <w:semiHidden/>
    <w:unhideWhenUsed/>
    <w:rsid w:val="00D438F2"/>
    <w:rPr>
      <w:sz w:val="20"/>
      <w:szCs w:val="20"/>
    </w:rPr>
  </w:style>
  <w:style w:type="character" w:customStyle="1" w:styleId="FootnoteTextChar">
    <w:name w:val="Footnote Text Char"/>
    <w:basedOn w:val="DefaultParagraphFont"/>
    <w:link w:val="FootnoteText"/>
    <w:uiPriority w:val="99"/>
    <w:semiHidden/>
    <w:rsid w:val="00D438F2"/>
    <w:rPr>
      <w:sz w:val="20"/>
      <w:szCs w:val="20"/>
    </w:rPr>
  </w:style>
  <w:style w:type="character" w:styleId="FootnoteReference">
    <w:name w:val="footnote reference"/>
    <w:basedOn w:val="DefaultParagraphFont"/>
    <w:uiPriority w:val="99"/>
    <w:semiHidden/>
    <w:unhideWhenUsed/>
    <w:rsid w:val="00D438F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C8FD59-C71A-5247-AF1C-64F1FA5D2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12</Pages>
  <Words>4287</Words>
  <Characters>24440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Tareck Ghoneim (1813140)</dc:creator>
  <cp:keywords/>
  <dc:description/>
  <cp:lastModifiedBy>Tareck Ghoneim (1813140)</cp:lastModifiedBy>
  <cp:revision>13</cp:revision>
  <dcterms:created xsi:type="dcterms:W3CDTF">2023-07-25T01:56:00Z</dcterms:created>
  <dcterms:modified xsi:type="dcterms:W3CDTF">2023-07-28T22:32:00Z</dcterms:modified>
</cp:coreProperties>
</file>