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14EA" w:rsidRPr="007314EA" w:rsidRDefault="009F557C" w:rsidP="007314EA">
      <w:pPr>
        <w:spacing w:after="160" w:line="240" w:lineRule="auto"/>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 </w:t>
      </w:r>
      <w:r w:rsidR="007314EA" w:rsidRPr="007314EA">
        <w:rPr>
          <w:rFonts w:ascii="Arial" w:eastAsia="Times New Roman" w:hAnsi="Arial" w:cs="Arial"/>
          <w:b/>
          <w:bCs/>
          <w:color w:val="000000"/>
          <w:lang w:eastAsia="en-GB"/>
        </w:rPr>
        <w:t xml:space="preserve">Student’s Name: Marian </w:t>
      </w:r>
      <w:proofErr w:type="spellStart"/>
      <w:r w:rsidR="007314EA" w:rsidRPr="007314EA">
        <w:rPr>
          <w:rFonts w:ascii="Arial" w:eastAsia="Times New Roman" w:hAnsi="Arial" w:cs="Arial"/>
          <w:b/>
          <w:bCs/>
          <w:color w:val="000000"/>
          <w:lang w:eastAsia="en-GB"/>
        </w:rPr>
        <w:t>Akpomon</w:t>
      </w:r>
      <w:proofErr w:type="spellEnd"/>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Student’s ID Number: 2018581</w:t>
      </w:r>
    </w:p>
    <w:p w:rsidR="007314EA" w:rsidRDefault="007314EA" w:rsidP="007314EA">
      <w:pPr>
        <w:spacing w:after="160" w:line="240" w:lineRule="auto"/>
        <w:rPr>
          <w:rFonts w:ascii="Arial" w:eastAsia="Times New Roman" w:hAnsi="Arial" w:cs="Arial"/>
          <w:b/>
          <w:bCs/>
          <w:color w:val="000000"/>
          <w:lang w:eastAsia="en-GB"/>
        </w:rPr>
      </w:pPr>
      <w:r w:rsidRPr="007314EA">
        <w:rPr>
          <w:rFonts w:ascii="Arial" w:eastAsia="Times New Roman" w:hAnsi="Arial" w:cs="Arial"/>
          <w:b/>
          <w:bCs/>
          <w:color w:val="000000"/>
          <w:lang w:eastAsia="en-GB"/>
        </w:rPr>
        <w:t xml:space="preserve">Lecturer’s Name: Alfred </w:t>
      </w:r>
      <w:proofErr w:type="spellStart"/>
      <w:r w:rsidRPr="007314EA">
        <w:rPr>
          <w:rFonts w:ascii="Arial" w:eastAsia="Times New Roman" w:hAnsi="Arial" w:cs="Arial"/>
          <w:b/>
          <w:bCs/>
          <w:color w:val="000000"/>
          <w:lang w:eastAsia="en-GB"/>
        </w:rPr>
        <w:t>Mensah</w:t>
      </w:r>
      <w:proofErr w:type="spellEnd"/>
    </w:p>
    <w:p w:rsidR="009E0DDC" w:rsidRPr="007314EA" w:rsidRDefault="009E0DDC" w:rsidP="007314EA">
      <w:pPr>
        <w:spacing w:after="160" w:line="240" w:lineRule="auto"/>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Course code: BMSW4003</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bookmarkStart w:id="0" w:name="_GoBack"/>
      <w:bookmarkEnd w:id="0"/>
      <w:r w:rsidRPr="007314EA">
        <w:rPr>
          <w:rFonts w:ascii="Arial" w:eastAsia="Times New Roman" w:hAnsi="Arial" w:cs="Arial"/>
          <w:color w:val="000000"/>
          <w:lang w:eastAsia="en-GB"/>
        </w:rPr>
        <w:t>Technological advancements and digital literacy have helped to greatly improve the efficiency of the health sector in no small measure. This article therefore seeks to find out how technology and digital literacy have improved health care service and delivery.</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What is Technology</w:t>
      </w:r>
      <w:r w:rsidR="00CB68AD">
        <w:rPr>
          <w:rFonts w:ascii="Arial" w:eastAsia="Times New Roman" w:hAnsi="Arial" w:cs="Arial"/>
          <w:b/>
          <w:bCs/>
          <w:color w:val="000000"/>
          <w:lang w:eastAsia="en-GB"/>
        </w:rPr>
        <w:t>?</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Technology is the application of scientific knowledge to the practical aims of human life or, as it is sometimes phrased, to the change and manipulation of the human </w:t>
      </w:r>
      <w:hyperlink r:id="rId6" w:history="1">
        <w:r w:rsidRPr="007314EA">
          <w:rPr>
            <w:rFonts w:ascii="Arial" w:eastAsia="Times New Roman" w:hAnsi="Arial" w:cs="Arial"/>
            <w:color w:val="000000"/>
            <w:lang w:eastAsia="en-GB"/>
          </w:rPr>
          <w:t>environment</w:t>
        </w:r>
      </w:hyperlink>
      <w:r w:rsidRPr="007314EA">
        <w:rPr>
          <w:rFonts w:ascii="Arial" w:eastAsia="Times New Roman" w:hAnsi="Arial" w:cs="Arial"/>
          <w:color w:val="000000"/>
          <w:lang w:eastAsia="en-GB"/>
        </w:rPr>
        <w:t>. Merriam Webster dictionary defines it as the practical </w:t>
      </w:r>
      <w:hyperlink r:id="rId7" w:history="1">
        <w:r w:rsidRPr="007314EA">
          <w:rPr>
            <w:rFonts w:ascii="Arial" w:eastAsia="Times New Roman" w:hAnsi="Arial" w:cs="Arial"/>
            <w:color w:val="000000"/>
            <w:lang w:eastAsia="en-GB"/>
          </w:rPr>
          <w:t>application</w:t>
        </w:r>
      </w:hyperlink>
      <w:r w:rsidRPr="007314EA">
        <w:rPr>
          <w:rFonts w:ascii="Arial" w:eastAsia="Times New Roman" w:hAnsi="Arial" w:cs="Arial"/>
          <w:color w:val="000000"/>
          <w:lang w:eastAsia="en-GB"/>
        </w:rPr>
        <w:t> of knowledge especially in a particular area.</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During the outbreak of Covid-19, technology played a very vital role in diagnosis, administration and care support and this contributed greatly to knowledge about the virus which helped in reducing its spread. The diagnostic tools were used in testing and diagnosing people to find out who was positive and who was negative. The administrative tools were used mostly in keeping patients’ data and records. They were also used in administering vaccines and other forms of treatments to infected persons. All of these tools contributed to the efficiency in healthcare.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Diagnostic technology in healthcare</w:t>
      </w:r>
    </w:p>
    <w:p w:rsidR="007314EA" w:rsidRPr="007314EA" w:rsidRDefault="0075764A" w:rsidP="007314EA">
      <w:pPr>
        <w:spacing w:after="16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 xml:space="preserve">Technology and communications system are involved in the diagnoses of patients. For instance, sicknesses like cancer and other deadly diseases are discovered and managed through technology and communications systems. During the outbreak of the Coovid-19, technology and communications systems were used in testing people and enlightening people on the preventive measures. It was also through technology that scientists where able to discover the characteristics of the virus and how it behaves, thereby making a vaccine that could be used in its prevention. </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Administrative technology in healthcare</w:t>
      </w:r>
    </w:p>
    <w:p w:rsidR="007314EA" w:rsidRPr="007314EA" w:rsidRDefault="007314EA" w:rsidP="0075764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xml:space="preserve">According to Sarah White, writing for leading employment website Monster.com, technology skills are one of the five most important skills health service administrators must have. Consider how many work processes require health administrators to confidently use technology. </w:t>
      </w:r>
      <w:r w:rsidR="0075764A">
        <w:rPr>
          <w:rFonts w:ascii="Arial" w:eastAsia="Times New Roman" w:hAnsi="Arial" w:cs="Arial"/>
          <w:color w:val="000000"/>
          <w:lang w:eastAsia="en-GB"/>
        </w:rPr>
        <w:t xml:space="preserve">The impact of technology and communications systems in the administration </w:t>
      </w:r>
      <w:r w:rsidR="009E65BE">
        <w:rPr>
          <w:rFonts w:ascii="Arial" w:eastAsia="Times New Roman" w:hAnsi="Arial" w:cs="Arial"/>
          <w:color w:val="000000"/>
          <w:lang w:eastAsia="en-GB"/>
        </w:rPr>
        <w:t xml:space="preserve">of healthcare cannot be over-emphasised. In the area of drug administration, technology has made it easier to administer drugs through drip, injections and other easier processes. Most times, technology has made it possible for patients to have access to information without having to meet with doctors in a face-to-face environment. </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Digital communication tools in healthcare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Digital communication has impacted our lives in a number of ways. While the healthcare sector seems to be reluctant on adopting a variety of communication tools, digitalization is having a profound effect on the industry. Let’s take a look at </w:t>
      </w:r>
      <w:hyperlink r:id="rId8" w:history="1">
        <w:r w:rsidRPr="007314EA">
          <w:rPr>
            <w:rFonts w:ascii="Arial" w:eastAsia="Times New Roman" w:hAnsi="Arial" w:cs="Arial"/>
            <w:color w:val="000000"/>
            <w:lang w:eastAsia="en-GB"/>
          </w:rPr>
          <w:t>how digital communication</w:t>
        </w:r>
      </w:hyperlink>
      <w:r w:rsidRPr="007314EA">
        <w:rPr>
          <w:rFonts w:ascii="Arial" w:eastAsia="Times New Roman" w:hAnsi="Arial" w:cs="Arial"/>
          <w:color w:val="000000"/>
          <w:lang w:eastAsia="en-GB"/>
        </w:rPr>
        <w:t> is transforming healthcare as we know it.</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r w:rsidRPr="007314EA">
        <w:rPr>
          <w:rFonts w:ascii="Times New Roman" w:eastAsia="Times New Roman" w:hAnsi="Times New Roman" w:cs="Times New Roman"/>
          <w:sz w:val="24"/>
          <w:szCs w:val="24"/>
          <w:lang w:eastAsia="en-GB"/>
        </w:rPr>
        <w:br/>
      </w:r>
    </w:p>
    <w:p w:rsidR="007314EA" w:rsidRPr="007314EA" w:rsidRDefault="007314EA" w:rsidP="007314EA">
      <w:pPr>
        <w:numPr>
          <w:ilvl w:val="0"/>
          <w:numId w:val="1"/>
        </w:numPr>
        <w:spacing w:after="160" w:line="240" w:lineRule="auto"/>
        <w:textAlignment w:val="baseline"/>
        <w:rPr>
          <w:rFonts w:ascii="Arial" w:eastAsia="Times New Roman" w:hAnsi="Arial" w:cs="Arial"/>
          <w:b/>
          <w:bCs/>
          <w:color w:val="000000"/>
          <w:lang w:eastAsia="en-GB"/>
        </w:rPr>
      </w:pPr>
      <w:r w:rsidRPr="007314EA">
        <w:rPr>
          <w:rFonts w:ascii="Arial" w:eastAsia="Times New Roman" w:hAnsi="Arial" w:cs="Arial"/>
          <w:b/>
          <w:bCs/>
          <w:color w:val="000000"/>
          <w:lang w:eastAsia="en-GB"/>
        </w:rPr>
        <w:t>Patient Hand-Off Tools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xml:space="preserve">Handoffs are when the responsibility for a role is handed off from one medical professional to another. This may happen at shift change or as a patient is transferred to another department. This includes the patient’s administrative data, the tasks that the new provider </w:t>
      </w:r>
      <w:r w:rsidRPr="007314EA">
        <w:rPr>
          <w:rFonts w:ascii="Arial" w:eastAsia="Times New Roman" w:hAnsi="Arial" w:cs="Arial"/>
          <w:color w:val="000000"/>
          <w:lang w:eastAsia="en-GB"/>
        </w:rPr>
        <w:lastRenderedPageBreak/>
        <w:t>needs to perform, the patient’s illness or the severity of their condition, and contingency plans for what to do if the patient’s status changes.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Patient handoff tools all facilitate this, but they take different forms. Caregivers’ tools may share this information via apps or enable surveillance by loved ones. Language tools provide real-time translation, such as when a nurse is giving instructions to family members or the patient before they go home.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w:t>
      </w:r>
    </w:p>
    <w:p w:rsidR="007314EA" w:rsidRPr="007314EA" w:rsidRDefault="007314EA" w:rsidP="007314EA">
      <w:pPr>
        <w:numPr>
          <w:ilvl w:val="0"/>
          <w:numId w:val="2"/>
        </w:numPr>
        <w:spacing w:after="160" w:line="240" w:lineRule="auto"/>
        <w:textAlignment w:val="baseline"/>
        <w:rPr>
          <w:rFonts w:ascii="Arial" w:eastAsia="Times New Roman" w:hAnsi="Arial" w:cs="Arial"/>
          <w:b/>
          <w:bCs/>
          <w:color w:val="000000"/>
          <w:lang w:eastAsia="en-GB"/>
        </w:rPr>
      </w:pPr>
      <w:r w:rsidRPr="007314EA">
        <w:rPr>
          <w:rFonts w:ascii="Arial" w:eastAsia="Times New Roman" w:hAnsi="Arial" w:cs="Arial"/>
          <w:b/>
          <w:bCs/>
          <w:color w:val="000000"/>
          <w:lang w:eastAsia="en-GB"/>
        </w:rPr>
        <w:t>The Next Generation of Pagers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Early pagers simply informed doctors that they were needed or provided a call back number to reach someone who wanted to talk to them. The latest generation of pagers performs the same function but give doctors far more information.</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xml:space="preserve">For example, pagers can share information on a patient’s status, let them know test results are in or inform them of an emergency. Because this information is often sensitive, it has to be protected in accordance with HIPAA regulations. Companies like </w:t>
      </w:r>
      <w:proofErr w:type="spellStart"/>
      <w:r w:rsidRPr="007314EA">
        <w:rPr>
          <w:rFonts w:ascii="Arial" w:eastAsia="Times New Roman" w:hAnsi="Arial" w:cs="Arial"/>
          <w:color w:val="000000"/>
          <w:lang w:eastAsia="en-GB"/>
        </w:rPr>
        <w:t>Spok</w:t>
      </w:r>
      <w:proofErr w:type="spellEnd"/>
      <w:r w:rsidRPr="007314EA">
        <w:rPr>
          <w:rFonts w:ascii="Arial" w:eastAsia="Times New Roman" w:hAnsi="Arial" w:cs="Arial"/>
          <w:color w:val="000000"/>
          <w:lang w:eastAsia="en-GB"/>
        </w:rPr>
        <w:t xml:space="preserve"> are already offering pagers with </w:t>
      </w:r>
      <w:hyperlink r:id="rId9" w:history="1">
        <w:r w:rsidRPr="007314EA">
          <w:rPr>
            <w:rFonts w:ascii="Arial" w:eastAsia="Times New Roman" w:hAnsi="Arial" w:cs="Arial"/>
            <w:color w:val="000000"/>
            <w:lang w:eastAsia="en-GB"/>
          </w:rPr>
          <w:t>encrypted healthcare messaging</w:t>
        </w:r>
      </w:hyperlink>
      <w:r w:rsidRPr="007314EA">
        <w:rPr>
          <w:rFonts w:ascii="Arial" w:eastAsia="Times New Roman" w:hAnsi="Arial" w:cs="Arial"/>
          <w:color w:val="000000"/>
          <w:lang w:eastAsia="en-GB"/>
        </w:rPr>
        <w:t> to protect sensitive information. Their pagers encrypt data from end to end to protect it from hackers, and the device can be locked or will automatically lock after a period of inactivity so that someone who finds it can’t read the sensitive data within.</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w:t>
      </w:r>
    </w:p>
    <w:p w:rsidR="007314EA" w:rsidRPr="007314EA" w:rsidRDefault="007314EA" w:rsidP="007314EA">
      <w:pPr>
        <w:numPr>
          <w:ilvl w:val="0"/>
          <w:numId w:val="3"/>
        </w:numPr>
        <w:spacing w:after="160" w:line="240" w:lineRule="auto"/>
        <w:textAlignment w:val="baseline"/>
        <w:rPr>
          <w:rFonts w:ascii="Arial" w:eastAsia="Times New Roman" w:hAnsi="Arial" w:cs="Arial"/>
          <w:b/>
          <w:bCs/>
          <w:color w:val="000000"/>
          <w:lang w:eastAsia="en-GB"/>
        </w:rPr>
      </w:pPr>
      <w:r w:rsidRPr="007314EA">
        <w:rPr>
          <w:rFonts w:ascii="Arial" w:eastAsia="Times New Roman" w:hAnsi="Arial" w:cs="Arial"/>
          <w:b/>
          <w:bCs/>
          <w:color w:val="000000"/>
          <w:lang w:eastAsia="en-GB"/>
        </w:rPr>
        <w:t>Tele</w:t>
      </w:r>
      <w:r w:rsidR="00CB68AD">
        <w:rPr>
          <w:rFonts w:ascii="Arial" w:eastAsia="Times New Roman" w:hAnsi="Arial" w:cs="Arial"/>
          <w:b/>
          <w:bCs/>
          <w:color w:val="000000"/>
          <w:lang w:eastAsia="en-GB"/>
        </w:rPr>
        <w:t>-</w:t>
      </w:r>
      <w:r w:rsidRPr="007314EA">
        <w:rPr>
          <w:rFonts w:ascii="Arial" w:eastAsia="Times New Roman" w:hAnsi="Arial" w:cs="Arial"/>
          <w:b/>
          <w:bCs/>
          <w:color w:val="000000"/>
          <w:lang w:eastAsia="en-GB"/>
        </w:rPr>
        <w:t>health</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Tele</w:t>
      </w:r>
      <w:r w:rsidR="00CB68AD">
        <w:rPr>
          <w:rFonts w:ascii="Arial" w:eastAsia="Times New Roman" w:hAnsi="Arial" w:cs="Arial"/>
          <w:color w:val="000000"/>
          <w:lang w:eastAsia="en-GB"/>
        </w:rPr>
        <w:t>-</w:t>
      </w:r>
      <w:r w:rsidRPr="007314EA">
        <w:rPr>
          <w:rFonts w:ascii="Arial" w:eastAsia="Times New Roman" w:hAnsi="Arial" w:cs="Arial"/>
          <w:color w:val="000000"/>
          <w:lang w:eastAsia="en-GB"/>
        </w:rPr>
        <w:t>health includes a doctor, nursing, and health educator consultations without meeting them in person, which is generally done through video conferencing.</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Tele</w:t>
      </w:r>
      <w:r w:rsidR="00CB68AD">
        <w:rPr>
          <w:rFonts w:ascii="Arial" w:eastAsia="Times New Roman" w:hAnsi="Arial" w:cs="Arial"/>
          <w:color w:val="000000"/>
          <w:lang w:eastAsia="en-GB"/>
        </w:rPr>
        <w:t>-</w:t>
      </w:r>
      <w:r w:rsidRPr="007314EA">
        <w:rPr>
          <w:rFonts w:ascii="Arial" w:eastAsia="Times New Roman" w:hAnsi="Arial" w:cs="Arial"/>
          <w:color w:val="000000"/>
          <w:lang w:eastAsia="en-GB"/>
        </w:rPr>
        <w:t xml:space="preserve">health has significant potential in closing the gaps in health care, such as allowing patients in rural areas to consult with healthcare providers without having to travel for hours. Patients can consult with medical specialists who have expertise not available in their area. And patients are able to check in with healthcare providers without having to leave their home, a boon to those who are homebound for health reasons or simply lack transportation. Also, digital communication tools such as emails, instant messaging, </w:t>
      </w:r>
      <w:proofErr w:type="gramStart"/>
      <w:r w:rsidRPr="007314EA">
        <w:rPr>
          <w:rFonts w:ascii="Arial" w:eastAsia="Times New Roman" w:hAnsi="Arial" w:cs="Arial"/>
          <w:color w:val="000000"/>
          <w:lang w:eastAsia="en-GB"/>
        </w:rPr>
        <w:t>mobile</w:t>
      </w:r>
      <w:proofErr w:type="gramEnd"/>
      <w:r w:rsidRPr="007314EA">
        <w:rPr>
          <w:rFonts w:ascii="Arial" w:eastAsia="Times New Roman" w:hAnsi="Arial" w:cs="Arial"/>
          <w:color w:val="000000"/>
          <w:lang w:eastAsia="en-GB"/>
        </w:rPr>
        <w:t xml:space="preserve"> phones help to facilitate quick and on-the-spot exchange of information between patients and their caregivers. </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Telemedicine is also attractive because it is convenient for everyone involved. Patients don’t have to leave home and fight traffic. Healthcare professionals may be able to reduce the demands on their time.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w:t>
      </w:r>
    </w:p>
    <w:p w:rsidR="007314EA" w:rsidRPr="007314EA" w:rsidRDefault="007314EA" w:rsidP="007314EA">
      <w:pPr>
        <w:numPr>
          <w:ilvl w:val="0"/>
          <w:numId w:val="4"/>
        </w:numPr>
        <w:spacing w:after="160" w:line="240" w:lineRule="auto"/>
        <w:textAlignment w:val="baseline"/>
        <w:rPr>
          <w:rFonts w:ascii="Arial" w:eastAsia="Times New Roman" w:hAnsi="Arial" w:cs="Arial"/>
          <w:b/>
          <w:bCs/>
          <w:color w:val="000000"/>
          <w:lang w:eastAsia="en-GB"/>
        </w:rPr>
      </w:pPr>
      <w:r w:rsidRPr="007314EA">
        <w:rPr>
          <w:rFonts w:ascii="Arial" w:eastAsia="Times New Roman" w:hAnsi="Arial" w:cs="Arial"/>
          <w:b/>
          <w:bCs/>
          <w:color w:val="000000"/>
          <w:lang w:eastAsia="en-GB"/>
        </w:rPr>
        <w:t>Patient-Provider Messaging Tools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 xml:space="preserve">Patient-provider messaging tools allow patients to have a number of questions answered quickly via messaging. Many of these tools are offered through patient portals offered by Electronic Health Records vendors. When doctors or other medical </w:t>
      </w:r>
      <w:proofErr w:type="gramStart"/>
      <w:r w:rsidRPr="007314EA">
        <w:rPr>
          <w:rFonts w:ascii="Arial" w:eastAsia="Times New Roman" w:hAnsi="Arial" w:cs="Arial"/>
          <w:color w:val="000000"/>
          <w:lang w:eastAsia="en-GB"/>
        </w:rPr>
        <w:t>staff use</w:t>
      </w:r>
      <w:proofErr w:type="gramEnd"/>
      <w:r w:rsidRPr="007314EA">
        <w:rPr>
          <w:rFonts w:ascii="Arial" w:eastAsia="Times New Roman" w:hAnsi="Arial" w:cs="Arial"/>
          <w:color w:val="000000"/>
          <w:lang w:eastAsia="en-GB"/>
        </w:rPr>
        <w:t xml:space="preserve"> these tools, they’re able to respond to patient issues in the timely manner they expect.</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Integrated digital communications may allow a patient to know when medical test results are available in the EHR system, remind patients to schedule follow-up appointments, or inform them that their bill is due. Patient-portals also allow patients to access their own medical records and review them at their leisure.</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What is Digital Literacy?</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Digital literacy means having the skills you need to live, learn, and work in a society where communication and access to information is increasingly through digital technologies like internet platforms, social media, and mobile devices.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lastRenderedPageBreak/>
        <w:t>Digital literacy doesn’t just mean having IT knowledge. It also requires thinking skills, an awareness of the necessary standards of behavio</w:t>
      </w:r>
      <w:r w:rsidR="00572CAB">
        <w:rPr>
          <w:rFonts w:ascii="Arial" w:eastAsia="Times New Roman" w:hAnsi="Arial" w:cs="Arial"/>
          <w:color w:val="000000"/>
          <w:lang w:eastAsia="en-GB"/>
        </w:rPr>
        <w:t>u</w:t>
      </w:r>
      <w:r w:rsidRPr="007314EA">
        <w:rPr>
          <w:rFonts w:ascii="Arial" w:eastAsia="Times New Roman" w:hAnsi="Arial" w:cs="Arial"/>
          <w:color w:val="000000"/>
          <w:lang w:eastAsia="en-GB"/>
        </w:rPr>
        <w:t>r expected in online environments, and an understanding of the shared social issues created by digital technologies. Some of the components of digital literacy are;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Digital tools knowledge:</w:t>
      </w:r>
      <w:r w:rsidRPr="007314EA">
        <w:rPr>
          <w:rFonts w:ascii="Arial" w:eastAsia="Times New Roman" w:hAnsi="Arial" w:cs="Arial"/>
          <w:color w:val="000000"/>
          <w:lang w:eastAsia="en-GB"/>
        </w:rPr>
        <w:t xml:space="preserve"> This is the ability to use digital tools to design and create original content, to access, use, and share information.</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Critical thinking:</w:t>
      </w:r>
      <w:r w:rsidRPr="007314EA">
        <w:rPr>
          <w:rFonts w:ascii="Arial" w:eastAsia="Times New Roman" w:hAnsi="Arial" w:cs="Arial"/>
          <w:color w:val="000000"/>
          <w:lang w:eastAsia="en-GB"/>
        </w:rPr>
        <w:t> This involves questioning how authentic, valid and useful digital information is.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Social engagement:</w:t>
      </w:r>
      <w:r w:rsidRPr="007314EA">
        <w:rPr>
          <w:rFonts w:ascii="Arial" w:eastAsia="Times New Roman" w:hAnsi="Arial" w:cs="Arial"/>
          <w:color w:val="000000"/>
          <w:lang w:eastAsia="en-GB"/>
        </w:rPr>
        <w:t> This involves communicating and collaborating with others in the digital space.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Digital literacy is not only the ab</w:t>
      </w:r>
      <w:r w:rsidR="00A25D3A">
        <w:rPr>
          <w:rFonts w:ascii="Arial" w:eastAsia="Times New Roman" w:hAnsi="Arial" w:cs="Arial"/>
          <w:color w:val="000000"/>
          <w:lang w:eastAsia="en-GB"/>
        </w:rPr>
        <w:t>ility to find but also to analys</w:t>
      </w:r>
      <w:r w:rsidRPr="007314EA">
        <w:rPr>
          <w:rFonts w:ascii="Arial" w:eastAsia="Times New Roman" w:hAnsi="Arial" w:cs="Arial"/>
          <w:color w:val="000000"/>
          <w:lang w:eastAsia="en-GB"/>
        </w:rPr>
        <w:t>e and evaluate information. This means finding the answer to a question and then judging whether the source is reliable or not. </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Some examples of digital literacy skills are:</w:t>
      </w:r>
    </w:p>
    <w:p w:rsidR="007314EA" w:rsidRPr="007314EA" w:rsidRDefault="00996C3A" w:rsidP="007314EA">
      <w:pPr>
        <w:spacing w:after="16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Using your phone to check emails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Creating an online profile on a social media platform</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Using online search to complete a research project</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Using an online search engine to find the answer to a question</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color w:val="000000"/>
          <w:lang w:eastAsia="en-GB"/>
        </w:rPr>
        <w:t>Evaluating online resources for accuracy/trustworthiness of the information</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 xml:space="preserve">Why Digital Literacy is Important to Healthcare </w:t>
      </w:r>
      <w:r w:rsidR="00B74ED7">
        <w:rPr>
          <w:rFonts w:ascii="Arial" w:eastAsia="Times New Roman" w:hAnsi="Arial" w:cs="Arial"/>
          <w:b/>
          <w:bCs/>
          <w:color w:val="000000"/>
          <w:lang w:eastAsia="en-GB"/>
        </w:rPr>
        <w:t>Practitioners and Professionals</w:t>
      </w:r>
    </w:p>
    <w:p w:rsidR="00B16293" w:rsidRDefault="006679B5" w:rsidP="007314EA">
      <w:pPr>
        <w:spacing w:after="240" w:line="240" w:lineRule="auto"/>
        <w:rPr>
          <w:rFonts w:ascii="Arial" w:eastAsia="Times New Roman" w:hAnsi="Arial" w:cs="Arial"/>
          <w:color w:val="000000"/>
          <w:lang w:eastAsia="en-GB"/>
        </w:rPr>
      </w:pPr>
      <w:r>
        <w:rPr>
          <w:rFonts w:ascii="Arial" w:eastAsia="Times New Roman" w:hAnsi="Arial" w:cs="Arial"/>
          <w:color w:val="000000"/>
          <w:lang w:eastAsia="en-GB"/>
        </w:rPr>
        <w:t>The world today is a technology-driven world. Almost every aspect of the world relies on, or is governed by technology. The health care sector particularly relies on technology because of the important role that technology plays in</w:t>
      </w:r>
      <w:r w:rsidR="00842CA9">
        <w:rPr>
          <w:rFonts w:ascii="Arial" w:eastAsia="Times New Roman" w:hAnsi="Arial" w:cs="Arial"/>
          <w:color w:val="000000"/>
          <w:lang w:eastAsia="en-GB"/>
        </w:rPr>
        <w:t xml:space="preserve"> it. Tremendous inventions and discoveries have been made in health care through technology and communications systems. For instan</w:t>
      </w:r>
      <w:r w:rsidR="00B16293">
        <w:rPr>
          <w:rFonts w:ascii="Arial" w:eastAsia="Times New Roman" w:hAnsi="Arial" w:cs="Arial"/>
          <w:color w:val="000000"/>
          <w:lang w:eastAsia="en-GB"/>
        </w:rPr>
        <w:t>ce, X-rays and scans</w:t>
      </w:r>
      <w:r w:rsidR="00842CA9">
        <w:rPr>
          <w:rFonts w:ascii="Arial" w:eastAsia="Times New Roman" w:hAnsi="Arial" w:cs="Arial"/>
          <w:color w:val="000000"/>
          <w:lang w:eastAsia="en-GB"/>
        </w:rPr>
        <w:t xml:space="preserve"> are used to carry out certain kinds of diagnoses to ascertain what may be wrong with an individual</w:t>
      </w:r>
      <w:r w:rsidR="00B16293">
        <w:rPr>
          <w:rFonts w:ascii="Arial" w:eastAsia="Times New Roman" w:hAnsi="Arial" w:cs="Arial"/>
          <w:color w:val="000000"/>
          <w:lang w:eastAsia="en-GB"/>
        </w:rPr>
        <w:t xml:space="preserve">. We also use </w:t>
      </w:r>
      <w:proofErr w:type="spellStart"/>
      <w:r w:rsidR="00B16293">
        <w:rPr>
          <w:rFonts w:ascii="Arial" w:eastAsia="Times New Roman" w:hAnsi="Arial" w:cs="Arial"/>
          <w:color w:val="000000"/>
          <w:lang w:eastAsia="en-GB"/>
        </w:rPr>
        <w:t>thermometres</w:t>
      </w:r>
      <w:proofErr w:type="spellEnd"/>
      <w:r w:rsidR="00B16293">
        <w:rPr>
          <w:rFonts w:ascii="Arial" w:eastAsia="Times New Roman" w:hAnsi="Arial" w:cs="Arial"/>
          <w:color w:val="000000"/>
          <w:lang w:eastAsia="en-GB"/>
        </w:rPr>
        <w:t xml:space="preserve"> to check the temperature of patients.</w:t>
      </w:r>
    </w:p>
    <w:p w:rsidR="007314EA" w:rsidRPr="00842CA9" w:rsidRDefault="00B16293" w:rsidP="007314EA">
      <w:pPr>
        <w:spacing w:after="24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Another important reason why technology and communication systems are important to healthcare practitioners is in the area of surgical operations. Such surgical operations as CAESERIAN SESSION and other kinds of operation would have been very difficult if not impossible without the use of technology and communications system. </w:t>
      </w:r>
      <w:r w:rsidR="00842CA9">
        <w:rPr>
          <w:rFonts w:ascii="Arial" w:eastAsia="Times New Roman" w:hAnsi="Arial" w:cs="Arial"/>
          <w:color w:val="000000"/>
          <w:lang w:eastAsia="en-GB"/>
        </w:rPr>
        <w:t xml:space="preserve"> </w:t>
      </w:r>
      <w:r w:rsidR="006679B5">
        <w:rPr>
          <w:rFonts w:ascii="Arial" w:eastAsia="Times New Roman" w:hAnsi="Arial" w:cs="Arial"/>
          <w:color w:val="000000"/>
          <w:lang w:eastAsia="en-GB"/>
        </w:rPr>
        <w:t xml:space="preserve">  </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Arial" w:eastAsia="Times New Roman" w:hAnsi="Arial" w:cs="Arial"/>
          <w:b/>
          <w:bCs/>
          <w:color w:val="000000"/>
          <w:lang w:eastAsia="en-GB"/>
        </w:rPr>
        <w:t>References</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proofErr w:type="gramStart"/>
      <w:r w:rsidRPr="007314EA">
        <w:rPr>
          <w:rFonts w:ascii="Calibri" w:eastAsia="Times New Roman" w:hAnsi="Calibri" w:cs="Calibri"/>
          <w:color w:val="000000"/>
          <w:lang w:eastAsia="en-GB"/>
        </w:rPr>
        <w:t>Adler-Milstein, J. 2015.</w:t>
      </w:r>
      <w:proofErr w:type="gramEnd"/>
      <w:r w:rsidRPr="007314EA">
        <w:rPr>
          <w:rFonts w:ascii="Calibri" w:eastAsia="Times New Roman" w:hAnsi="Calibri" w:cs="Calibri"/>
          <w:color w:val="000000"/>
          <w:lang w:eastAsia="en-GB"/>
        </w:rPr>
        <w:t xml:space="preserve"> America’s health IT transformation: Translating the promise of electronic health records into better care. Paper presented before the U.S. Senate Committee on Health, Education, </w:t>
      </w:r>
      <w:proofErr w:type="spellStart"/>
      <w:r w:rsidRPr="007314EA">
        <w:rPr>
          <w:rFonts w:ascii="Calibri" w:eastAsia="Times New Roman" w:hAnsi="Calibri" w:cs="Calibri"/>
          <w:color w:val="000000"/>
          <w:lang w:eastAsia="en-GB"/>
        </w:rPr>
        <w:t>Labor</w:t>
      </w:r>
      <w:proofErr w:type="spellEnd"/>
      <w:r w:rsidRPr="007314EA">
        <w:rPr>
          <w:rFonts w:ascii="Calibri" w:eastAsia="Times New Roman" w:hAnsi="Calibri" w:cs="Calibri"/>
          <w:color w:val="000000"/>
          <w:lang w:eastAsia="en-GB"/>
        </w:rPr>
        <w:t xml:space="preserve"> and Pensions, March 17.</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Calibri" w:eastAsia="Times New Roman" w:hAnsi="Calibri" w:cs="Calibri"/>
          <w:color w:val="000000"/>
          <w:lang w:eastAsia="en-GB"/>
        </w:rPr>
        <w:t>AM</w:t>
      </w:r>
      <w:r>
        <w:rPr>
          <w:rFonts w:ascii="Calibri" w:eastAsia="Times New Roman" w:hAnsi="Calibri" w:cs="Calibri"/>
          <w:color w:val="000000"/>
          <w:lang w:eastAsia="en-GB"/>
        </w:rPr>
        <w:t>A (American Medical Association)</w:t>
      </w:r>
      <w:r w:rsidRPr="007314EA">
        <w:rPr>
          <w:rFonts w:ascii="Calibri" w:eastAsia="Times New Roman" w:hAnsi="Calibri" w:cs="Calibri"/>
          <w:color w:val="000000"/>
          <w:lang w:eastAsia="en-GB"/>
        </w:rPr>
        <w:t xml:space="preserve"> 2014. Improving care: Priorities to improve electronic health record usability.</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proofErr w:type="spellStart"/>
      <w:r w:rsidRPr="007314EA">
        <w:rPr>
          <w:rFonts w:ascii="Calibri" w:eastAsia="Times New Roman" w:hAnsi="Calibri" w:cs="Calibri"/>
          <w:color w:val="000000"/>
          <w:lang w:eastAsia="en-GB"/>
        </w:rPr>
        <w:t>Carayon</w:t>
      </w:r>
      <w:proofErr w:type="spellEnd"/>
      <w:r w:rsidRPr="007314EA">
        <w:rPr>
          <w:rFonts w:ascii="Calibri" w:eastAsia="Times New Roman" w:hAnsi="Calibri" w:cs="Calibri"/>
          <w:color w:val="000000"/>
          <w:lang w:eastAsia="en-GB"/>
        </w:rPr>
        <w:t xml:space="preserve">, P., T. B. </w:t>
      </w:r>
      <w:proofErr w:type="spellStart"/>
      <w:r w:rsidRPr="007314EA">
        <w:rPr>
          <w:rFonts w:ascii="Calibri" w:eastAsia="Times New Roman" w:hAnsi="Calibri" w:cs="Calibri"/>
          <w:color w:val="000000"/>
          <w:lang w:eastAsia="en-GB"/>
        </w:rPr>
        <w:t>Wetterneck</w:t>
      </w:r>
      <w:proofErr w:type="spellEnd"/>
      <w:r w:rsidRPr="007314EA">
        <w:rPr>
          <w:rFonts w:ascii="Calibri" w:eastAsia="Times New Roman" w:hAnsi="Calibri" w:cs="Calibri"/>
          <w:color w:val="000000"/>
          <w:lang w:eastAsia="en-GB"/>
        </w:rPr>
        <w:t xml:space="preserve">, B. </w:t>
      </w:r>
      <w:proofErr w:type="spellStart"/>
      <w:r w:rsidRPr="007314EA">
        <w:rPr>
          <w:rFonts w:ascii="Calibri" w:eastAsia="Times New Roman" w:hAnsi="Calibri" w:cs="Calibri"/>
          <w:color w:val="000000"/>
          <w:lang w:eastAsia="en-GB"/>
        </w:rPr>
        <w:t>Alyousef</w:t>
      </w:r>
      <w:proofErr w:type="spellEnd"/>
      <w:r w:rsidRPr="007314EA">
        <w:rPr>
          <w:rFonts w:ascii="Calibri" w:eastAsia="Times New Roman" w:hAnsi="Calibri" w:cs="Calibri"/>
          <w:color w:val="000000"/>
          <w:lang w:eastAsia="en-GB"/>
        </w:rPr>
        <w:t xml:space="preserve">, R. L. Brown, R. S. </w:t>
      </w:r>
      <w:proofErr w:type="spellStart"/>
      <w:r w:rsidRPr="007314EA">
        <w:rPr>
          <w:rFonts w:ascii="Calibri" w:eastAsia="Times New Roman" w:hAnsi="Calibri" w:cs="Calibri"/>
          <w:color w:val="000000"/>
          <w:lang w:eastAsia="en-GB"/>
        </w:rPr>
        <w:t>Cartmill</w:t>
      </w:r>
      <w:proofErr w:type="spellEnd"/>
      <w:r w:rsidRPr="007314EA">
        <w:rPr>
          <w:rFonts w:ascii="Calibri" w:eastAsia="Times New Roman" w:hAnsi="Calibri" w:cs="Calibri"/>
          <w:color w:val="000000"/>
          <w:lang w:eastAsia="en-GB"/>
        </w:rPr>
        <w:t xml:space="preserve">, K. McGuire, P. L. </w:t>
      </w:r>
      <w:proofErr w:type="spellStart"/>
      <w:r w:rsidRPr="007314EA">
        <w:rPr>
          <w:rFonts w:ascii="Calibri" w:eastAsia="Times New Roman" w:hAnsi="Calibri" w:cs="Calibri"/>
          <w:color w:val="000000"/>
          <w:lang w:eastAsia="en-GB"/>
        </w:rPr>
        <w:t>Hoonakker</w:t>
      </w:r>
      <w:proofErr w:type="spellEnd"/>
      <w:r w:rsidRPr="007314EA">
        <w:rPr>
          <w:rFonts w:ascii="Calibri" w:eastAsia="Times New Roman" w:hAnsi="Calibri" w:cs="Calibri"/>
          <w:color w:val="000000"/>
          <w:lang w:eastAsia="en-GB"/>
        </w:rPr>
        <w:t xml:space="preserve">, J. Slagle, K. S. Van Roy, J. M. Walker, M. B. </w:t>
      </w:r>
      <w:proofErr w:type="spellStart"/>
      <w:r w:rsidRPr="007314EA">
        <w:rPr>
          <w:rFonts w:ascii="Calibri" w:eastAsia="Times New Roman" w:hAnsi="Calibri" w:cs="Calibri"/>
          <w:color w:val="000000"/>
          <w:lang w:eastAsia="en-GB"/>
        </w:rPr>
        <w:t>Weinger</w:t>
      </w:r>
      <w:proofErr w:type="spellEnd"/>
      <w:r w:rsidRPr="007314EA">
        <w:rPr>
          <w:rFonts w:ascii="Calibri" w:eastAsia="Times New Roman" w:hAnsi="Calibri" w:cs="Calibri"/>
          <w:color w:val="000000"/>
          <w:lang w:eastAsia="en-GB"/>
        </w:rPr>
        <w:t xml:space="preserve">, A. </w:t>
      </w:r>
      <w:proofErr w:type="spellStart"/>
      <w:r w:rsidRPr="007314EA">
        <w:rPr>
          <w:rFonts w:ascii="Calibri" w:eastAsia="Times New Roman" w:hAnsi="Calibri" w:cs="Calibri"/>
          <w:color w:val="000000"/>
          <w:lang w:eastAsia="en-GB"/>
        </w:rPr>
        <w:t>Xie</w:t>
      </w:r>
      <w:proofErr w:type="spellEnd"/>
      <w:r w:rsidRPr="007314EA">
        <w:rPr>
          <w:rFonts w:ascii="Calibri" w:eastAsia="Times New Roman" w:hAnsi="Calibri" w:cs="Calibri"/>
          <w:color w:val="000000"/>
          <w:lang w:eastAsia="en-GB"/>
        </w:rPr>
        <w:t>, and K. E. Wood. 2015. Impact of electronic health record technology on the work and workflow of physicians in the intensive care unit. International Journal of Medical Informatics 84(8):578–594.</w:t>
      </w:r>
    </w:p>
    <w:p w:rsidR="007314EA" w:rsidRPr="007314EA" w:rsidRDefault="007314EA" w:rsidP="007314EA">
      <w:pPr>
        <w:spacing w:after="0" w:line="240" w:lineRule="auto"/>
        <w:rPr>
          <w:rFonts w:ascii="Times New Roman" w:eastAsia="Times New Roman" w:hAnsi="Times New Roman" w:cs="Times New Roman"/>
          <w:sz w:val="24"/>
          <w:szCs w:val="24"/>
          <w:lang w:eastAsia="en-GB"/>
        </w:rPr>
      </w:pP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Calibri" w:eastAsia="Times New Roman" w:hAnsi="Calibri" w:cs="Calibri"/>
          <w:color w:val="000000"/>
          <w:lang w:eastAsia="en-GB"/>
        </w:rPr>
        <w:t xml:space="preserve">Susan Kennedy, Jo </w:t>
      </w:r>
      <w:proofErr w:type="spellStart"/>
      <w:r w:rsidRPr="007314EA">
        <w:rPr>
          <w:rFonts w:ascii="Calibri" w:eastAsia="Times New Roman" w:hAnsi="Calibri" w:cs="Calibri"/>
          <w:color w:val="000000"/>
          <w:lang w:eastAsia="en-GB"/>
        </w:rPr>
        <w:t>Yaldren</w:t>
      </w:r>
      <w:proofErr w:type="spellEnd"/>
      <w:r w:rsidRPr="007314EA">
        <w:rPr>
          <w:rFonts w:ascii="Calibri" w:eastAsia="Times New Roman" w:hAnsi="Calibri" w:cs="Calibri"/>
          <w:color w:val="000000"/>
          <w:lang w:eastAsia="en-GB"/>
        </w:rPr>
        <w:t>. 2017. A look at digital literacy in health and social care</w:t>
      </w:r>
    </w:p>
    <w:p w:rsidR="007314EA" w:rsidRPr="007314EA" w:rsidRDefault="007314EA" w:rsidP="007314EA">
      <w:pPr>
        <w:spacing w:after="160" w:line="240" w:lineRule="auto"/>
        <w:rPr>
          <w:rFonts w:ascii="Times New Roman" w:eastAsia="Times New Roman" w:hAnsi="Times New Roman" w:cs="Times New Roman"/>
          <w:sz w:val="24"/>
          <w:szCs w:val="24"/>
          <w:lang w:eastAsia="en-GB"/>
        </w:rPr>
      </w:pPr>
      <w:r w:rsidRPr="007314EA">
        <w:rPr>
          <w:rFonts w:ascii="Calibri" w:eastAsia="Times New Roman" w:hAnsi="Calibri" w:cs="Calibri"/>
          <w:color w:val="000000"/>
          <w:lang w:eastAsia="en-GB"/>
        </w:rPr>
        <w:t> </w:t>
      </w:r>
    </w:p>
    <w:p w:rsidR="00996892" w:rsidRDefault="007314EA" w:rsidP="007314EA">
      <w:r w:rsidRPr="007314EA">
        <w:rPr>
          <w:rFonts w:ascii="Times New Roman" w:eastAsia="Times New Roman" w:hAnsi="Times New Roman" w:cs="Times New Roman"/>
          <w:sz w:val="24"/>
          <w:szCs w:val="24"/>
          <w:lang w:eastAsia="en-GB"/>
        </w:rPr>
        <w:lastRenderedPageBreak/>
        <w:br/>
      </w:r>
    </w:p>
    <w:sectPr w:rsidR="00996892" w:rsidSect="003F0D8F">
      <w:pgSz w:w="11906" w:h="16838"/>
      <w:pgMar w:top="1440"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727B9"/>
    <w:multiLevelType w:val="multilevel"/>
    <w:tmpl w:val="3CC015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38466F1"/>
    <w:multiLevelType w:val="multilevel"/>
    <w:tmpl w:val="EE76BA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5AB3BD2"/>
    <w:multiLevelType w:val="multilevel"/>
    <w:tmpl w:val="4CC0F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50D2205"/>
    <w:multiLevelType w:val="multilevel"/>
    <w:tmpl w:val="9CA259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lvlOverride w:ilvl="0">
      <w:lvl w:ilvl="0">
        <w:numFmt w:val="decimal"/>
        <w:lvlText w:val="%1."/>
        <w:lvlJc w:val="left"/>
      </w:lvl>
    </w:lvlOverride>
  </w:num>
  <w:num w:numId="3">
    <w:abstractNumId w:val="3"/>
    <w:lvlOverride w:ilvl="0">
      <w:lvl w:ilvl="0">
        <w:numFmt w:val="decimal"/>
        <w:lvlText w:val="%1."/>
        <w:lvlJc w:val="left"/>
      </w:lvl>
    </w:lvlOverride>
  </w:num>
  <w:num w:numId="4">
    <w:abstractNumId w:val="1"/>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14EA"/>
    <w:rsid w:val="00106572"/>
    <w:rsid w:val="003F0D8F"/>
    <w:rsid w:val="00572CAB"/>
    <w:rsid w:val="006679B5"/>
    <w:rsid w:val="007314EA"/>
    <w:rsid w:val="0075764A"/>
    <w:rsid w:val="00842CA9"/>
    <w:rsid w:val="00996892"/>
    <w:rsid w:val="00996C3A"/>
    <w:rsid w:val="009E0DDC"/>
    <w:rsid w:val="009E65BE"/>
    <w:rsid w:val="009F557C"/>
    <w:rsid w:val="00A25D3A"/>
    <w:rsid w:val="00B16293"/>
    <w:rsid w:val="00B74ED7"/>
    <w:rsid w:val="00BB1806"/>
    <w:rsid w:val="00CB6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14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314EA"/>
    <w:rPr>
      <w:color w:val="0000FF"/>
      <w:u w:val="single"/>
    </w:rPr>
  </w:style>
  <w:style w:type="character" w:customStyle="1" w:styleId="apple-tab-span">
    <w:name w:val="apple-tab-span"/>
    <w:basedOn w:val="DefaultParagraphFont"/>
    <w:rsid w:val="007314E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14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314EA"/>
    <w:rPr>
      <w:color w:val="0000FF"/>
      <w:u w:val="single"/>
    </w:rPr>
  </w:style>
  <w:style w:type="character" w:customStyle="1" w:styleId="apple-tab-span">
    <w:name w:val="apple-tab-span"/>
    <w:basedOn w:val="DefaultParagraphFont"/>
    <w:rsid w:val="00731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929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aily.com/releases/2017/07/170705122941.htm" TargetMode="External"/><Relationship Id="rId3" Type="http://schemas.microsoft.com/office/2007/relationships/stylesWithEffects" Target="stylesWithEffects.xml"/><Relationship Id="rId7" Type="http://schemas.openxmlformats.org/officeDocument/2006/relationships/hyperlink" Target="https://www.merriam-webster.com/dictionary/appl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science/environmen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p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1</Pages>
  <Words>1447</Words>
  <Characters>8252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dc:creator>
  <cp:lastModifiedBy>CC</cp:lastModifiedBy>
  <cp:revision>12</cp:revision>
  <dcterms:created xsi:type="dcterms:W3CDTF">2021-08-04T19:26:00Z</dcterms:created>
  <dcterms:modified xsi:type="dcterms:W3CDTF">2021-08-30T10:45:00Z</dcterms:modified>
</cp:coreProperties>
</file>