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36744E" w14:textId="6EA45219" w:rsidR="006E351B" w:rsidRDefault="007434A5">
      <w:r>
        <w:object w:dxaOrig="11879" w:dyaOrig="16559" w14:anchorId="30EE83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94pt;height:828pt" o:ole="">
            <v:imagedata r:id="rId4" o:title=""/>
          </v:shape>
          <o:OLEObject Type="Embed" ProgID="PowerPoint.Show.12" ShapeID="_x0000_i1025" DrawAspect="Content" ObjectID="_1825537507" r:id="rId5"/>
        </w:object>
      </w:r>
      <w:r w:rsidR="00271B3E">
        <w:br w:type="page"/>
      </w:r>
    </w:p>
    <w:p w14:paraId="2B749651" w14:textId="3492AA15" w:rsidR="006E351B" w:rsidRDefault="006E351B">
      <w:r>
        <w:lastRenderedPageBreak/>
        <w:t xml:space="preserve">Student </w:t>
      </w:r>
      <w:r w:rsidR="00AD419A">
        <w:t>Name: Lucie Dunkova</w:t>
      </w:r>
    </w:p>
    <w:p w14:paraId="30D1740A" w14:textId="21E720AC" w:rsidR="00AD419A" w:rsidRDefault="00AD419A">
      <w:r>
        <w:t>Student number: 2241882</w:t>
      </w:r>
    </w:p>
    <w:p w14:paraId="61397100" w14:textId="6B18A4BB" w:rsidR="00271B3E" w:rsidRDefault="006E351B">
      <w:proofErr w:type="spellStart"/>
      <w:r>
        <w:t>Programme</w:t>
      </w:r>
      <w:proofErr w:type="spellEnd"/>
      <w:r>
        <w:t xml:space="preserve">: </w:t>
      </w:r>
    </w:p>
    <w:p w14:paraId="4EE6BA3B" w14:textId="77777777" w:rsidR="00271B3E" w:rsidRDefault="006E351B" w:rsidP="006E351B">
      <w:pPr>
        <w:jc w:val="both"/>
        <w:rPr>
          <w:rFonts w:ascii="Arial Nova" w:hAnsi="Arial Nova"/>
        </w:rPr>
      </w:pPr>
      <w:r>
        <w:rPr>
          <w:rFonts w:ascii="Arial Nova" w:hAnsi="Arial Nova"/>
        </w:rPr>
        <w:t>BSc Health and Social Care</w:t>
      </w:r>
    </w:p>
    <w:p w14:paraId="3B3FC006" w14:textId="77777777" w:rsidR="006E351B" w:rsidRDefault="006E351B" w:rsidP="006E351B">
      <w:pPr>
        <w:jc w:val="both"/>
        <w:rPr>
          <w:rFonts w:ascii="Arial Nova" w:hAnsi="Arial Nova"/>
        </w:rPr>
      </w:pPr>
    </w:p>
    <w:p w14:paraId="11C29DA1" w14:textId="77777777" w:rsidR="006E351B" w:rsidRDefault="006E351B" w:rsidP="006E351B">
      <w:pPr>
        <w:jc w:val="both"/>
        <w:rPr>
          <w:rFonts w:ascii="Arial Nova" w:hAnsi="Arial Nova"/>
        </w:rPr>
      </w:pPr>
      <w:r>
        <w:rPr>
          <w:rFonts w:ascii="Arial Nova" w:hAnsi="Arial Nova"/>
        </w:rPr>
        <w:t>Module: Changemakers: Creativity and Value Creation</w:t>
      </w:r>
    </w:p>
    <w:p w14:paraId="34E21BA4" w14:textId="77777777" w:rsidR="006E351B" w:rsidRDefault="006E351B" w:rsidP="006E351B">
      <w:pPr>
        <w:jc w:val="both"/>
        <w:rPr>
          <w:rFonts w:ascii="Arial Nova" w:hAnsi="Arial Nova"/>
        </w:rPr>
      </w:pPr>
    </w:p>
    <w:p w14:paraId="4C7C184A" w14:textId="77777777" w:rsidR="006E351B" w:rsidRDefault="006E351B" w:rsidP="006E351B">
      <w:pPr>
        <w:jc w:val="both"/>
        <w:rPr>
          <w:rFonts w:ascii="Arial Nova" w:hAnsi="Arial Nova"/>
        </w:rPr>
      </w:pPr>
      <w:r>
        <w:rPr>
          <w:rFonts w:ascii="Arial Nova" w:hAnsi="Arial Nova"/>
        </w:rPr>
        <w:t>Module Code: BMHP5014</w:t>
      </w:r>
    </w:p>
    <w:p w14:paraId="11710C1A" w14:textId="77777777" w:rsidR="006E351B" w:rsidRDefault="006E351B" w:rsidP="006E351B">
      <w:pPr>
        <w:jc w:val="both"/>
        <w:rPr>
          <w:rFonts w:ascii="Arial Nova" w:hAnsi="Arial Nova"/>
        </w:rPr>
      </w:pPr>
    </w:p>
    <w:p w14:paraId="3F622FB7" w14:textId="43AC3EB0" w:rsidR="006E351B" w:rsidRDefault="006E351B" w:rsidP="006E351B">
      <w:pPr>
        <w:jc w:val="both"/>
        <w:rPr>
          <w:rFonts w:ascii="Arial Nova" w:hAnsi="Arial Nova"/>
        </w:rPr>
      </w:pPr>
      <w:r>
        <w:rPr>
          <w:rFonts w:ascii="Arial Nova" w:hAnsi="Arial Nova"/>
        </w:rPr>
        <w:t>Lecturer: Alice Clayton</w:t>
      </w:r>
    </w:p>
    <w:p w14:paraId="57C393E5" w14:textId="27D7049A" w:rsidR="006E351B" w:rsidRDefault="006E351B" w:rsidP="006E351B">
      <w:pPr>
        <w:jc w:val="both"/>
        <w:rPr>
          <w:rFonts w:ascii="Arial Nova" w:hAnsi="Arial Nova"/>
        </w:rPr>
      </w:pPr>
      <w:r>
        <w:rPr>
          <w:rFonts w:ascii="Arial Nova" w:hAnsi="Arial Nova"/>
        </w:rPr>
        <w:t>Assignment Title: Component 2: Written Assignment {Report}</w:t>
      </w:r>
    </w:p>
    <w:p w14:paraId="4B12D163" w14:textId="77777777" w:rsidR="006E351B" w:rsidRDefault="006E351B" w:rsidP="006E351B">
      <w:pPr>
        <w:jc w:val="both"/>
        <w:rPr>
          <w:rFonts w:ascii="Arial Nova" w:hAnsi="Arial Nova"/>
        </w:rPr>
      </w:pPr>
    </w:p>
    <w:p w14:paraId="73B0EBA2" w14:textId="6A660967" w:rsidR="006E351B" w:rsidRPr="006E351B" w:rsidRDefault="006E351B" w:rsidP="006E351B">
      <w:pPr>
        <w:jc w:val="both"/>
        <w:rPr>
          <w:rFonts w:ascii="Arial Nova" w:hAnsi="Arial Nova"/>
        </w:rPr>
        <w:sectPr w:rsidR="006E351B" w:rsidRPr="006E351B">
          <w:pgSz w:w="12240" w:h="15840"/>
          <w:pgMar w:top="1440" w:right="1440" w:bottom="1440" w:left="1440" w:header="720" w:footer="720" w:gutter="0"/>
          <w:cols w:space="720"/>
          <w:docGrid w:linePitch="360"/>
        </w:sectPr>
      </w:pPr>
    </w:p>
    <w:p w14:paraId="654C8F80" w14:textId="77777777" w:rsidR="00271B3E" w:rsidRDefault="002D3C5D" w:rsidP="00271B3E">
      <w:pPr>
        <w:ind w:left="-3960"/>
      </w:pPr>
      <w:r>
        <w:rPr>
          <w:noProof/>
        </w:rPr>
        <w:lastRenderedPageBreak/>
        <w:drawing>
          <wp:inline distT="0" distB="0" distL="0" distR="0" wp14:anchorId="04EBDD4F" wp14:editId="6795D532">
            <wp:extent cx="12811125" cy="20145375"/>
            <wp:effectExtent l="0" t="0" r="9525" b="9525"/>
            <wp:docPr id="12968129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812900" name=""/>
                    <pic:cNvPicPr/>
                  </pic:nvPicPr>
                  <pic:blipFill>
                    <a:blip r:embed="rId6">
                      <a:extLst>
                        <a:ext uri="{96DAC541-7B7A-43D3-8B79-37D633B846F1}">
                          <asvg:svgBlip xmlns:asvg="http://schemas.microsoft.com/office/drawing/2016/SVG/main" r:embed="rId7"/>
                        </a:ext>
                      </a:extLst>
                    </a:blip>
                    <a:stretch>
                      <a:fillRect/>
                    </a:stretch>
                  </pic:blipFill>
                  <pic:spPr>
                    <a:xfrm>
                      <a:off x="0" y="0"/>
                      <a:ext cx="12821211" cy="20161235"/>
                    </a:xfrm>
                    <a:prstGeom prst="rect">
                      <a:avLst/>
                    </a:prstGeom>
                  </pic:spPr>
                </pic:pic>
              </a:graphicData>
            </a:graphic>
          </wp:inline>
        </w:drawing>
      </w:r>
      <w:r w:rsidR="00271B3E">
        <w:br w:type="page"/>
      </w:r>
    </w:p>
    <w:p w14:paraId="4529FFD6" w14:textId="77777777" w:rsidR="00271B3E" w:rsidRDefault="00271B3E">
      <w:pPr>
        <w:sectPr w:rsidR="00271B3E" w:rsidSect="00271B3E">
          <w:pgSz w:w="20160" w:h="31680"/>
          <w:pgMar w:top="0" w:right="0" w:bottom="15840" w:left="3960" w:header="720" w:footer="720" w:gutter="0"/>
          <w:cols w:space="720"/>
          <w:docGrid w:linePitch="360"/>
        </w:sectPr>
      </w:pPr>
    </w:p>
    <w:p w14:paraId="77488284" w14:textId="77777777" w:rsidR="00271B3E" w:rsidRDefault="00271B3E">
      <w:pPr>
        <w:rPr>
          <w:rFonts w:ascii="Arial" w:hAnsi="Arial" w:cs="Arial"/>
          <w:b/>
          <w:bCs/>
          <w:sz w:val="22"/>
          <w:szCs w:val="22"/>
        </w:rPr>
      </w:pPr>
      <w:r w:rsidRPr="00271B3E">
        <w:rPr>
          <w:rFonts w:ascii="Arial" w:hAnsi="Arial" w:cs="Arial"/>
          <w:b/>
          <w:bCs/>
          <w:sz w:val="22"/>
          <w:szCs w:val="22"/>
        </w:rPr>
        <w:lastRenderedPageBreak/>
        <w:t>Pitch</w:t>
      </w:r>
    </w:p>
    <w:p w14:paraId="33C3F0A0"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 xml:space="preserve">Contemporary UK health and social care environment has become under pressure due to the growing number of patients, intricate care requirements, and </w:t>
      </w:r>
      <w:proofErr w:type="spellStart"/>
      <w:r w:rsidRPr="002D3C5D">
        <w:rPr>
          <w:rFonts w:ascii="Arial" w:hAnsi="Arial" w:cs="Arial"/>
          <w:sz w:val="22"/>
          <w:szCs w:val="22"/>
        </w:rPr>
        <w:t>labour</w:t>
      </w:r>
      <w:proofErr w:type="spellEnd"/>
      <w:r w:rsidRPr="002D3C5D">
        <w:rPr>
          <w:rFonts w:ascii="Arial" w:hAnsi="Arial" w:cs="Arial"/>
          <w:sz w:val="22"/>
          <w:szCs w:val="22"/>
        </w:rPr>
        <w:t xml:space="preserve"> shortages. Patients cannot easily juggle between appointments, medications, and continuous monitoring of their health, and carers are often stressed and experience burnout as well as having low access to available supportive resources. In the meantime, healthcare professionals are faced by disjointed communication systems as well as high cases per patient, which may slow down the process of decision-making and quality of care to patients</w:t>
      </w:r>
      <w:r w:rsidR="008B191A">
        <w:rPr>
          <w:rFonts w:ascii="Arial" w:hAnsi="Arial" w:cs="Arial"/>
          <w:sz w:val="22"/>
          <w:szCs w:val="22"/>
        </w:rPr>
        <w:t xml:space="preserve"> (Mistry, 2022)</w:t>
      </w:r>
      <w:r w:rsidRPr="002D3C5D">
        <w:rPr>
          <w:rFonts w:ascii="Arial" w:hAnsi="Arial" w:cs="Arial"/>
          <w:sz w:val="22"/>
          <w:szCs w:val="22"/>
        </w:rPr>
        <w:t xml:space="preserve">. The Care-Connect solution is intended to mitigate these challenges by offering a digital solution that integrates the patients, carers, and professionals in a unified and reachable platform. The system will enable the delivery of care and enhance the outcomes of all the stakeholders by integrating </w:t>
      </w:r>
      <w:proofErr w:type="spellStart"/>
      <w:r w:rsidRPr="002D3C5D">
        <w:rPr>
          <w:rFonts w:ascii="Arial" w:hAnsi="Arial" w:cs="Arial"/>
          <w:sz w:val="22"/>
          <w:szCs w:val="22"/>
        </w:rPr>
        <w:t>personalised</w:t>
      </w:r>
      <w:proofErr w:type="spellEnd"/>
      <w:r w:rsidRPr="002D3C5D">
        <w:rPr>
          <w:rFonts w:ascii="Arial" w:hAnsi="Arial" w:cs="Arial"/>
          <w:sz w:val="22"/>
          <w:szCs w:val="22"/>
        </w:rPr>
        <w:t xml:space="preserve"> health management tools with safe communication channels.</w:t>
      </w:r>
    </w:p>
    <w:p w14:paraId="7EF2E889"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The platform is patient empowerment based. Care-Connect users are able to manage symptoms, adherence to medication, as well as get reminders about appointments or treatment milestones. This does not only help keep self-care more consistent, but also enables patients to take an active part in health management</w:t>
      </w:r>
      <w:r w:rsidR="008B191A">
        <w:rPr>
          <w:rFonts w:ascii="Arial" w:hAnsi="Arial" w:cs="Arial"/>
          <w:sz w:val="22"/>
          <w:szCs w:val="22"/>
        </w:rPr>
        <w:t xml:space="preserve"> (</w:t>
      </w:r>
      <w:proofErr w:type="spellStart"/>
      <w:r w:rsidR="008B191A">
        <w:rPr>
          <w:rFonts w:ascii="Arial" w:hAnsi="Arial" w:cs="Arial"/>
          <w:sz w:val="22"/>
          <w:szCs w:val="22"/>
        </w:rPr>
        <w:t>Vacchi</w:t>
      </w:r>
      <w:proofErr w:type="spellEnd"/>
      <w:r w:rsidR="008B191A">
        <w:rPr>
          <w:rFonts w:ascii="Arial" w:hAnsi="Arial" w:cs="Arial"/>
          <w:sz w:val="22"/>
          <w:szCs w:val="22"/>
        </w:rPr>
        <w:t xml:space="preserve"> et al., 2024)</w:t>
      </w:r>
      <w:r w:rsidRPr="002D3C5D">
        <w:rPr>
          <w:rFonts w:ascii="Arial" w:hAnsi="Arial" w:cs="Arial"/>
          <w:sz w:val="22"/>
          <w:szCs w:val="22"/>
        </w:rPr>
        <w:t>. Care-Connect allows individuals to gain direct insights into their health and track their progress, see how their health trends, identify warning signs, and share valid information with a medical expert. Such attention to the current care process can result in better treatment results and the feeling of ownership of personal health, which is generally lacking in conventional care models.</w:t>
      </w:r>
    </w:p>
    <w:p w14:paraId="47CFDBBC"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 xml:space="preserve">Another important user group of Care-Connect is a carer who can be very instrumental in assisting patients but experiences a lot of stress themselves. The site provides mental health support services, relaxation, and information to allow the carers to cope with their wellbeing. It also enables them to </w:t>
      </w:r>
      <w:proofErr w:type="spellStart"/>
      <w:r w:rsidRPr="002D3C5D">
        <w:rPr>
          <w:rFonts w:ascii="Arial" w:hAnsi="Arial" w:cs="Arial"/>
          <w:sz w:val="22"/>
          <w:szCs w:val="22"/>
        </w:rPr>
        <w:t>organise</w:t>
      </w:r>
      <w:proofErr w:type="spellEnd"/>
      <w:r w:rsidRPr="002D3C5D">
        <w:rPr>
          <w:rFonts w:ascii="Arial" w:hAnsi="Arial" w:cs="Arial"/>
          <w:sz w:val="22"/>
          <w:szCs w:val="22"/>
        </w:rPr>
        <w:t xml:space="preserve"> the care better through sharing and accessing updates on the health, appointments and treatment plans of the patient</w:t>
      </w:r>
      <w:r w:rsidR="00A06EBF">
        <w:rPr>
          <w:rFonts w:ascii="Arial" w:hAnsi="Arial" w:cs="Arial"/>
          <w:sz w:val="22"/>
          <w:szCs w:val="22"/>
        </w:rPr>
        <w:t xml:space="preserve"> (Morency et al., 2021)</w:t>
      </w:r>
      <w:r w:rsidRPr="002D3C5D">
        <w:rPr>
          <w:rFonts w:ascii="Arial" w:hAnsi="Arial" w:cs="Arial"/>
          <w:sz w:val="22"/>
          <w:szCs w:val="22"/>
        </w:rPr>
        <w:t>. Care-Connect is likely to assist carers to feel more supported and less overwhelmed because it reduces the uncertainty and offers them tools to handle care responsibilities, which would in turn enhance the quality of care they deliver.</w:t>
      </w:r>
    </w:p>
    <w:p w14:paraId="0C2DA0D4"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As a health facility, the platform will enable the healthcare professional to access the pertinent information about the patient in a timely manner and can be able to make informed and responsive decisions. The timely reporting on the symptoms and medication compliance and patient-reported outcomes imply that the doctors, nurses, and other allied health teams can step in early when problems occur</w:t>
      </w:r>
      <w:r w:rsidR="00A06EBF">
        <w:rPr>
          <w:rFonts w:ascii="Arial" w:hAnsi="Arial" w:cs="Arial"/>
          <w:sz w:val="22"/>
          <w:szCs w:val="22"/>
        </w:rPr>
        <w:t xml:space="preserve"> (Pimm, 2025)</w:t>
      </w:r>
      <w:r w:rsidRPr="002D3C5D">
        <w:rPr>
          <w:rFonts w:ascii="Arial" w:hAnsi="Arial" w:cs="Arial"/>
          <w:sz w:val="22"/>
          <w:szCs w:val="22"/>
        </w:rPr>
        <w:t xml:space="preserve">. The system also saves on administrative load because of the </w:t>
      </w:r>
      <w:r w:rsidRPr="002D3C5D">
        <w:rPr>
          <w:rFonts w:ascii="Arial" w:hAnsi="Arial" w:cs="Arial"/>
          <w:sz w:val="22"/>
          <w:szCs w:val="22"/>
        </w:rPr>
        <w:lastRenderedPageBreak/>
        <w:t>consolidation of communication and record keeping so that professionals can concentrate more on direct patient care. By incorporating the existing NHS systems, the platform would not be substituted by the current workflows but only complement them so that the process of adoption can be smooth.</w:t>
      </w:r>
    </w:p>
    <w:p w14:paraId="4D7F9D36"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Care-Connect fills major loopholes in the existing system. Patients tend to go through various disconnected services, which may lead to missed appointments, irregular medication intake, and a delay in service. It is possible that carers do not have support or guidance to cope with complicated care duties, which makes them more stressful and prone to burnout</w:t>
      </w:r>
      <w:r w:rsidR="00A06EBF">
        <w:rPr>
          <w:rFonts w:ascii="Arial" w:hAnsi="Arial" w:cs="Arial"/>
          <w:sz w:val="22"/>
          <w:szCs w:val="22"/>
        </w:rPr>
        <w:t xml:space="preserve"> (Eaton et al., 2024)</w:t>
      </w:r>
      <w:r w:rsidRPr="002D3C5D">
        <w:rPr>
          <w:rFonts w:ascii="Arial" w:hAnsi="Arial" w:cs="Arial"/>
          <w:sz w:val="22"/>
          <w:szCs w:val="22"/>
        </w:rPr>
        <w:t>. Professionals are often exposed to the outdated or disintegrated information systems that make the coordinated care a challenge. The introduction of a single platform of communication, monitoring and sharing of information will seal these gaps and ensure effective, responsive and person-</w:t>
      </w:r>
      <w:proofErr w:type="spellStart"/>
      <w:r w:rsidRPr="002D3C5D">
        <w:rPr>
          <w:rFonts w:ascii="Arial" w:hAnsi="Arial" w:cs="Arial"/>
          <w:sz w:val="22"/>
          <w:szCs w:val="22"/>
        </w:rPr>
        <w:t>centred</w:t>
      </w:r>
      <w:proofErr w:type="spellEnd"/>
      <w:r w:rsidRPr="002D3C5D">
        <w:rPr>
          <w:rFonts w:ascii="Arial" w:hAnsi="Arial" w:cs="Arial"/>
          <w:sz w:val="22"/>
          <w:szCs w:val="22"/>
        </w:rPr>
        <w:t xml:space="preserve"> health and social care provision by Care-Connect.</w:t>
      </w:r>
    </w:p>
    <w:p w14:paraId="33BF034C"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 xml:space="preserve">Care-Connect will be implemented in phases so as to make the implementation smooth. The preliminary planning and research will include consultation with the stakeholders to know the requirements of the patients, carers, and professionals and also </w:t>
      </w:r>
      <w:proofErr w:type="spellStart"/>
      <w:r w:rsidRPr="002D3C5D">
        <w:rPr>
          <w:rFonts w:ascii="Arial" w:hAnsi="Arial" w:cs="Arial"/>
          <w:sz w:val="22"/>
          <w:szCs w:val="22"/>
        </w:rPr>
        <w:t>analysing</w:t>
      </w:r>
      <w:proofErr w:type="spellEnd"/>
      <w:r w:rsidRPr="002D3C5D">
        <w:rPr>
          <w:rFonts w:ascii="Arial" w:hAnsi="Arial" w:cs="Arial"/>
          <w:sz w:val="22"/>
          <w:szCs w:val="22"/>
        </w:rPr>
        <w:t xml:space="preserve"> available digital infrastructure in the NHS. The development will be based on the creation of an easily usable and secure platform with features and options that are designed based on the needs of the different user groups. An initial trial period will enable a limited number of users to evaluate the system to enable some level of feedback to </w:t>
      </w:r>
      <w:proofErr w:type="spellStart"/>
      <w:r w:rsidRPr="002D3C5D">
        <w:rPr>
          <w:rFonts w:ascii="Arial" w:hAnsi="Arial" w:cs="Arial"/>
          <w:sz w:val="22"/>
          <w:szCs w:val="22"/>
        </w:rPr>
        <w:t>optimise</w:t>
      </w:r>
      <w:proofErr w:type="spellEnd"/>
      <w:r w:rsidRPr="002D3C5D">
        <w:rPr>
          <w:rFonts w:ascii="Arial" w:hAnsi="Arial" w:cs="Arial"/>
          <w:sz w:val="22"/>
          <w:szCs w:val="22"/>
        </w:rPr>
        <w:t xml:space="preserve"> the functionality of the system and then roll it out to a larger audience</w:t>
      </w:r>
      <w:r w:rsidR="00A06EBF">
        <w:rPr>
          <w:rFonts w:ascii="Arial" w:hAnsi="Arial" w:cs="Arial"/>
          <w:sz w:val="22"/>
          <w:szCs w:val="22"/>
        </w:rPr>
        <w:t xml:space="preserve"> (Xiong et al., 2023)</w:t>
      </w:r>
      <w:r w:rsidRPr="002D3C5D">
        <w:rPr>
          <w:rFonts w:ascii="Arial" w:hAnsi="Arial" w:cs="Arial"/>
          <w:sz w:val="22"/>
          <w:szCs w:val="22"/>
        </w:rPr>
        <w:t>. Training and onboarding will be applied to assist the users with navigating the platform so that they are confident in using the system and competent in its use.</w:t>
      </w:r>
    </w:p>
    <w:p w14:paraId="41EE5CEA"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Upon the full deployment of the platform, data sharing and continuity of care will proceed flawlessly with the integration of NHS electronic health records and other clinical systems. Care-Connect will be available on web and mobile applications whereby users will always be able to access their health and care information. The design is security and compliance-focused, and all requirements will be adhering to GDPR, NHS digital standards, and data protection practices</w:t>
      </w:r>
      <w:r w:rsidR="00A06EBF">
        <w:rPr>
          <w:rFonts w:ascii="Arial" w:hAnsi="Arial" w:cs="Arial"/>
          <w:sz w:val="22"/>
          <w:szCs w:val="22"/>
        </w:rPr>
        <w:t xml:space="preserve"> (Trumble et al., 2025).</w:t>
      </w:r>
      <w:r w:rsidRPr="002D3C5D">
        <w:rPr>
          <w:rFonts w:ascii="Arial" w:hAnsi="Arial" w:cs="Arial"/>
          <w:sz w:val="22"/>
          <w:szCs w:val="22"/>
        </w:rPr>
        <w:t xml:space="preserve"> The system is also designed based on accessibility standards to be able to allow users with various abilities and the level of digital literacy to navigate and use the platform.</w:t>
      </w:r>
    </w:p>
    <w:p w14:paraId="706F62D5"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 xml:space="preserve">Care-Connect has a timeline of about a year. The initial two months are devoted to the research and the planning, then four months are devoted to the development and testing. Two months of pilot time enables improvement to be made multiple times and a month to make final </w:t>
      </w:r>
      <w:r w:rsidRPr="002D3C5D">
        <w:rPr>
          <w:rFonts w:ascii="Arial" w:hAnsi="Arial" w:cs="Arial"/>
          <w:sz w:val="22"/>
          <w:szCs w:val="22"/>
        </w:rPr>
        <w:lastRenderedPageBreak/>
        <w:t>improvements</w:t>
      </w:r>
      <w:r w:rsidR="00A06EBF">
        <w:rPr>
          <w:rFonts w:ascii="Arial" w:hAnsi="Arial" w:cs="Arial"/>
          <w:sz w:val="22"/>
          <w:szCs w:val="22"/>
        </w:rPr>
        <w:t xml:space="preserve"> (Huang et al., 2023)</w:t>
      </w:r>
      <w:r w:rsidRPr="002D3C5D">
        <w:rPr>
          <w:rFonts w:ascii="Arial" w:hAnsi="Arial" w:cs="Arial"/>
          <w:sz w:val="22"/>
          <w:szCs w:val="22"/>
        </w:rPr>
        <w:t>. The next two months will be spent on training and onboarding with a full-scale rollout and continuous assessment in the last month. These incremental steps precondition the fact that the platform is completely tested, well comprehended and streamlined towards effectiveness before it can be adopted on a broader level.</w:t>
      </w:r>
    </w:p>
    <w:p w14:paraId="7C2F7FCF"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 xml:space="preserve">The dissemination plans aim at getting to the entire parties concerned. Engagement of NHS trusts, community health teams, GP </w:t>
      </w:r>
      <w:proofErr w:type="spellStart"/>
      <w:r w:rsidRPr="002D3C5D">
        <w:rPr>
          <w:rFonts w:ascii="Arial" w:hAnsi="Arial" w:cs="Arial"/>
          <w:sz w:val="22"/>
          <w:szCs w:val="22"/>
        </w:rPr>
        <w:t>practises</w:t>
      </w:r>
      <w:proofErr w:type="spellEnd"/>
      <w:r w:rsidRPr="002D3C5D">
        <w:rPr>
          <w:rFonts w:ascii="Arial" w:hAnsi="Arial" w:cs="Arial"/>
          <w:sz w:val="22"/>
          <w:szCs w:val="22"/>
        </w:rPr>
        <w:t xml:space="preserve"> and social care providers will foster adoption and training sessions and workshops will make professionals, patients and carers </w:t>
      </w:r>
      <w:proofErr w:type="spellStart"/>
      <w:r w:rsidRPr="002D3C5D">
        <w:rPr>
          <w:rFonts w:ascii="Arial" w:hAnsi="Arial" w:cs="Arial"/>
          <w:sz w:val="22"/>
          <w:szCs w:val="22"/>
        </w:rPr>
        <w:t>familiarised</w:t>
      </w:r>
      <w:proofErr w:type="spellEnd"/>
      <w:r w:rsidRPr="002D3C5D">
        <w:rPr>
          <w:rFonts w:ascii="Arial" w:hAnsi="Arial" w:cs="Arial"/>
          <w:sz w:val="22"/>
          <w:szCs w:val="22"/>
        </w:rPr>
        <w:t xml:space="preserve"> with the platform. Online patient portals and social media, as well as the NHS web, will create awareness and be sources of information. Findings, best </w:t>
      </w:r>
      <w:proofErr w:type="spellStart"/>
      <w:r w:rsidRPr="002D3C5D">
        <w:rPr>
          <w:rFonts w:ascii="Arial" w:hAnsi="Arial" w:cs="Arial"/>
          <w:sz w:val="22"/>
          <w:szCs w:val="22"/>
        </w:rPr>
        <w:t>practises</w:t>
      </w:r>
      <w:proofErr w:type="spellEnd"/>
      <w:r w:rsidRPr="002D3C5D">
        <w:rPr>
          <w:rFonts w:ascii="Arial" w:hAnsi="Arial" w:cs="Arial"/>
          <w:sz w:val="22"/>
          <w:szCs w:val="22"/>
        </w:rPr>
        <w:t>, and implementation results will also be shared using academic and professional networks that will contribute to broader implementation and implementing a better system</w:t>
      </w:r>
      <w:r w:rsidR="00A06EBF">
        <w:rPr>
          <w:rFonts w:ascii="Arial" w:hAnsi="Arial" w:cs="Arial"/>
          <w:sz w:val="22"/>
          <w:szCs w:val="22"/>
        </w:rPr>
        <w:t xml:space="preserve"> (Chan, 2024)</w:t>
      </w:r>
      <w:r w:rsidRPr="002D3C5D">
        <w:rPr>
          <w:rFonts w:ascii="Arial" w:hAnsi="Arial" w:cs="Arial"/>
          <w:sz w:val="22"/>
          <w:szCs w:val="22"/>
        </w:rPr>
        <w:t>.</w:t>
      </w:r>
    </w:p>
    <w:p w14:paraId="454720E9" w14:textId="77777777" w:rsidR="00271B3E" w:rsidRDefault="002D3C5D" w:rsidP="002D3C5D">
      <w:pPr>
        <w:spacing w:line="360" w:lineRule="auto"/>
        <w:jc w:val="both"/>
        <w:rPr>
          <w:rFonts w:ascii="Arial" w:hAnsi="Arial" w:cs="Arial"/>
          <w:sz w:val="22"/>
          <w:szCs w:val="22"/>
        </w:rPr>
      </w:pPr>
      <w:r w:rsidRPr="002D3C5D">
        <w:rPr>
          <w:rFonts w:ascii="Arial" w:hAnsi="Arial" w:cs="Arial"/>
          <w:sz w:val="22"/>
          <w:szCs w:val="22"/>
        </w:rPr>
        <w:t xml:space="preserve">To conclude, Care-Connect is a step-change in the </w:t>
      </w:r>
      <w:proofErr w:type="spellStart"/>
      <w:r w:rsidRPr="002D3C5D">
        <w:rPr>
          <w:rFonts w:ascii="Arial" w:hAnsi="Arial" w:cs="Arial"/>
          <w:sz w:val="22"/>
          <w:szCs w:val="22"/>
        </w:rPr>
        <w:t>utilisation</w:t>
      </w:r>
      <w:proofErr w:type="spellEnd"/>
      <w:r w:rsidRPr="002D3C5D">
        <w:rPr>
          <w:rFonts w:ascii="Arial" w:hAnsi="Arial" w:cs="Arial"/>
          <w:sz w:val="22"/>
          <w:szCs w:val="22"/>
        </w:rPr>
        <w:t xml:space="preserve"> of digital tools to enhance the health and social care in the UK. It helps to manage health in a proactive way, decrease stress and administration load, enhance communication and collaboration by linking patients, carers, and professionals in a single integrated platform. The system enables individuals to be in control of their care journey by providing them with </w:t>
      </w:r>
      <w:proofErr w:type="spellStart"/>
      <w:r w:rsidRPr="002D3C5D">
        <w:rPr>
          <w:rFonts w:ascii="Arial" w:hAnsi="Arial" w:cs="Arial"/>
          <w:sz w:val="22"/>
          <w:szCs w:val="22"/>
        </w:rPr>
        <w:t>personalised</w:t>
      </w:r>
      <w:proofErr w:type="spellEnd"/>
      <w:r w:rsidRPr="002D3C5D">
        <w:rPr>
          <w:rFonts w:ascii="Arial" w:hAnsi="Arial" w:cs="Arial"/>
          <w:sz w:val="22"/>
          <w:szCs w:val="22"/>
        </w:rPr>
        <w:t xml:space="preserve"> tools, real-time updates, and mental health support, and professionals to deliver efficient and high-quality services, empowering them to do so. Care-Connect eventually leads to a more sensitive, patient-</w:t>
      </w:r>
      <w:proofErr w:type="spellStart"/>
      <w:r w:rsidRPr="002D3C5D">
        <w:rPr>
          <w:rFonts w:ascii="Arial" w:hAnsi="Arial" w:cs="Arial"/>
          <w:sz w:val="22"/>
          <w:szCs w:val="22"/>
        </w:rPr>
        <w:t>centred</w:t>
      </w:r>
      <w:proofErr w:type="spellEnd"/>
      <w:r w:rsidRPr="002D3C5D">
        <w:rPr>
          <w:rFonts w:ascii="Arial" w:hAnsi="Arial" w:cs="Arial"/>
          <w:sz w:val="22"/>
          <w:szCs w:val="22"/>
        </w:rPr>
        <w:t xml:space="preserve"> health and social care ecosystem, matching technology with actual demand of its users and propelling greater outcomes to everyone.</w:t>
      </w:r>
    </w:p>
    <w:p w14:paraId="54C65619" w14:textId="77777777" w:rsidR="00271B3E" w:rsidRDefault="00271B3E" w:rsidP="00271B3E">
      <w:pPr>
        <w:rPr>
          <w:rFonts w:ascii="Arial" w:hAnsi="Arial" w:cs="Arial"/>
          <w:sz w:val="22"/>
          <w:szCs w:val="22"/>
        </w:rPr>
      </w:pPr>
      <w:r>
        <w:rPr>
          <w:rFonts w:ascii="Arial" w:hAnsi="Arial" w:cs="Arial"/>
          <w:sz w:val="22"/>
          <w:szCs w:val="22"/>
        </w:rPr>
        <w:br w:type="page"/>
      </w:r>
    </w:p>
    <w:p w14:paraId="57E1D38C" w14:textId="77777777" w:rsidR="00271B3E" w:rsidRPr="00714D59" w:rsidRDefault="00271B3E" w:rsidP="00271B3E">
      <w:pPr>
        <w:spacing w:line="360" w:lineRule="auto"/>
        <w:jc w:val="both"/>
        <w:rPr>
          <w:rFonts w:ascii="Arial" w:hAnsi="Arial" w:cs="Arial"/>
          <w:b/>
          <w:bCs/>
          <w:sz w:val="22"/>
          <w:szCs w:val="22"/>
        </w:rPr>
      </w:pPr>
      <w:r w:rsidRPr="00714D59">
        <w:rPr>
          <w:rFonts w:ascii="Arial" w:hAnsi="Arial" w:cs="Arial"/>
          <w:b/>
          <w:bCs/>
          <w:sz w:val="22"/>
          <w:szCs w:val="22"/>
        </w:rPr>
        <w:lastRenderedPageBreak/>
        <w:t>References</w:t>
      </w:r>
    </w:p>
    <w:p w14:paraId="0D7D933B"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Chan, P.L.L., Dharmaratne, S., Lee, C. and Abbott, P., 2024. Transforming Primary &amp; Community Health Services for a Healthy Future: A Rapid Review.</w:t>
      </w:r>
    </w:p>
    <w:p w14:paraId="2585EB18"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 xml:space="preserve">Eaton, C., Vallejo, N., McDonald, X., Wu, J., Rodríguez, R., Muthusamy, N., </w:t>
      </w:r>
      <w:proofErr w:type="spellStart"/>
      <w:r w:rsidRPr="002D3C5D">
        <w:rPr>
          <w:rFonts w:ascii="Arial" w:hAnsi="Arial" w:cs="Arial"/>
          <w:sz w:val="22"/>
          <w:szCs w:val="22"/>
        </w:rPr>
        <w:t>Mathioudakis</w:t>
      </w:r>
      <w:proofErr w:type="spellEnd"/>
      <w:r w:rsidRPr="002D3C5D">
        <w:rPr>
          <w:rFonts w:ascii="Arial" w:hAnsi="Arial" w:cs="Arial"/>
          <w:sz w:val="22"/>
          <w:szCs w:val="22"/>
        </w:rPr>
        <w:t>, N. and Riekert, K.A., 2024. User engagement with mHealth interventions to promote treatment adherence and self-management in people with chronic health conditions: systematic review. </w:t>
      </w:r>
      <w:r w:rsidRPr="002D3C5D">
        <w:rPr>
          <w:rFonts w:ascii="Arial" w:hAnsi="Arial" w:cs="Arial"/>
          <w:i/>
          <w:iCs/>
          <w:sz w:val="22"/>
          <w:szCs w:val="22"/>
        </w:rPr>
        <w:t>Journal of medical Internet research</w:t>
      </w:r>
      <w:r w:rsidRPr="002D3C5D">
        <w:rPr>
          <w:rFonts w:ascii="Arial" w:hAnsi="Arial" w:cs="Arial"/>
          <w:sz w:val="22"/>
          <w:szCs w:val="22"/>
        </w:rPr>
        <w:t>, </w:t>
      </w:r>
      <w:r w:rsidRPr="002D3C5D">
        <w:rPr>
          <w:rFonts w:ascii="Arial" w:hAnsi="Arial" w:cs="Arial"/>
          <w:i/>
          <w:iCs/>
          <w:sz w:val="22"/>
          <w:szCs w:val="22"/>
        </w:rPr>
        <w:t>26</w:t>
      </w:r>
      <w:r w:rsidRPr="002D3C5D">
        <w:rPr>
          <w:rFonts w:ascii="Arial" w:hAnsi="Arial" w:cs="Arial"/>
          <w:sz w:val="22"/>
          <w:szCs w:val="22"/>
        </w:rPr>
        <w:t>, p.e50508.</w:t>
      </w:r>
    </w:p>
    <w:p w14:paraId="1D98B516"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Huang, J., Chan, S.C., Ko, S., Tong, E., Cheung, C.S., Wong, W.N., Cheung, N.T. and Wong, M.C., 2023. Associations between adoption of eHealth management module and optimal control of HbA1c in diabetes patients. </w:t>
      </w:r>
      <w:r w:rsidRPr="002D3C5D">
        <w:rPr>
          <w:rFonts w:ascii="Arial" w:hAnsi="Arial" w:cs="Arial"/>
          <w:i/>
          <w:iCs/>
          <w:sz w:val="22"/>
          <w:szCs w:val="22"/>
        </w:rPr>
        <w:t>NPJ Digital Medicine</w:t>
      </w:r>
      <w:r w:rsidRPr="002D3C5D">
        <w:rPr>
          <w:rFonts w:ascii="Arial" w:hAnsi="Arial" w:cs="Arial"/>
          <w:sz w:val="22"/>
          <w:szCs w:val="22"/>
        </w:rPr>
        <w:t>, </w:t>
      </w:r>
      <w:r w:rsidRPr="002D3C5D">
        <w:rPr>
          <w:rFonts w:ascii="Arial" w:hAnsi="Arial" w:cs="Arial"/>
          <w:i/>
          <w:iCs/>
          <w:sz w:val="22"/>
          <w:szCs w:val="22"/>
        </w:rPr>
        <w:t>6</w:t>
      </w:r>
      <w:r w:rsidRPr="002D3C5D">
        <w:rPr>
          <w:rFonts w:ascii="Arial" w:hAnsi="Arial" w:cs="Arial"/>
          <w:sz w:val="22"/>
          <w:szCs w:val="22"/>
        </w:rPr>
        <w:t>(1), p.67.</w:t>
      </w:r>
    </w:p>
    <w:p w14:paraId="0667DDC5"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Kobson, B., Hanley, J., Mair, A., Dima, A.L., Rea, N. and Paterson, R.E., 2025. Patients’ perspectives on medication adherence feedback interventions for managing long-term medications: a systematic review of qualitative evidence. </w:t>
      </w:r>
      <w:r w:rsidRPr="002D3C5D">
        <w:rPr>
          <w:rFonts w:ascii="Arial" w:hAnsi="Arial" w:cs="Arial"/>
          <w:i/>
          <w:iCs/>
          <w:sz w:val="22"/>
          <w:szCs w:val="22"/>
        </w:rPr>
        <w:t>International Journal of Clinical Pharmacy</w:t>
      </w:r>
      <w:r w:rsidRPr="002D3C5D">
        <w:rPr>
          <w:rFonts w:ascii="Arial" w:hAnsi="Arial" w:cs="Arial"/>
          <w:sz w:val="22"/>
          <w:szCs w:val="22"/>
        </w:rPr>
        <w:t>, pp.1-16.</w:t>
      </w:r>
    </w:p>
    <w:p w14:paraId="59B37AB3"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 xml:space="preserve">Mistry, P., Maguire, D., </w:t>
      </w:r>
      <w:proofErr w:type="spellStart"/>
      <w:r w:rsidRPr="002D3C5D">
        <w:rPr>
          <w:rFonts w:ascii="Arial" w:hAnsi="Arial" w:cs="Arial"/>
          <w:sz w:val="22"/>
          <w:szCs w:val="22"/>
        </w:rPr>
        <w:t>Chikwira</w:t>
      </w:r>
      <w:proofErr w:type="spellEnd"/>
      <w:r w:rsidRPr="002D3C5D">
        <w:rPr>
          <w:rFonts w:ascii="Arial" w:hAnsi="Arial" w:cs="Arial"/>
          <w:sz w:val="22"/>
          <w:szCs w:val="22"/>
        </w:rPr>
        <w:t>, L. and Lindsay, T., 2022. Interoperability is more than technology.</w:t>
      </w:r>
    </w:p>
    <w:p w14:paraId="5576FE57"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Morency, J.L., Caldon, K.L., Root, L., Hayes, C.A., Brighton, S. and Lyons, K.D., 2021. Feasibility study of a wellness intervention for caregivers of patients undergoing hematopoietic stem cell transplantation: The Ready to CARE Intervention. </w:t>
      </w:r>
      <w:r w:rsidRPr="002D3C5D">
        <w:rPr>
          <w:rFonts w:ascii="Arial" w:hAnsi="Arial" w:cs="Arial"/>
          <w:i/>
          <w:iCs/>
          <w:sz w:val="22"/>
          <w:szCs w:val="22"/>
        </w:rPr>
        <w:t>British Journal of Occupational Therapy</w:t>
      </w:r>
      <w:r w:rsidRPr="002D3C5D">
        <w:rPr>
          <w:rFonts w:ascii="Arial" w:hAnsi="Arial" w:cs="Arial"/>
          <w:sz w:val="22"/>
          <w:szCs w:val="22"/>
        </w:rPr>
        <w:t>, </w:t>
      </w:r>
      <w:r w:rsidRPr="002D3C5D">
        <w:rPr>
          <w:rFonts w:ascii="Arial" w:hAnsi="Arial" w:cs="Arial"/>
          <w:i/>
          <w:iCs/>
          <w:sz w:val="22"/>
          <w:szCs w:val="22"/>
        </w:rPr>
        <w:t>84</w:t>
      </w:r>
      <w:r w:rsidRPr="002D3C5D">
        <w:rPr>
          <w:rFonts w:ascii="Arial" w:hAnsi="Arial" w:cs="Arial"/>
          <w:sz w:val="22"/>
          <w:szCs w:val="22"/>
        </w:rPr>
        <w:t>(3), pp.144-153.</w:t>
      </w:r>
    </w:p>
    <w:p w14:paraId="51083D3A" w14:textId="77777777" w:rsidR="002D3C5D" w:rsidRPr="002D3C5D" w:rsidRDefault="002D3C5D" w:rsidP="002D3C5D">
      <w:pPr>
        <w:spacing w:line="360" w:lineRule="auto"/>
        <w:jc w:val="both"/>
        <w:rPr>
          <w:rFonts w:ascii="Arial" w:hAnsi="Arial" w:cs="Arial"/>
          <w:sz w:val="22"/>
          <w:szCs w:val="22"/>
        </w:rPr>
      </w:pPr>
      <w:proofErr w:type="spellStart"/>
      <w:r w:rsidRPr="002D3C5D">
        <w:rPr>
          <w:rFonts w:ascii="Arial" w:hAnsi="Arial" w:cs="Arial"/>
          <w:sz w:val="22"/>
          <w:szCs w:val="22"/>
        </w:rPr>
        <w:t>Pilosof</w:t>
      </w:r>
      <w:proofErr w:type="spellEnd"/>
      <w:r w:rsidRPr="002D3C5D">
        <w:rPr>
          <w:rFonts w:ascii="Arial" w:hAnsi="Arial" w:cs="Arial"/>
          <w:sz w:val="22"/>
          <w:szCs w:val="22"/>
        </w:rPr>
        <w:t xml:space="preserve">, N.P., </w:t>
      </w:r>
      <w:proofErr w:type="spellStart"/>
      <w:r w:rsidRPr="002D3C5D">
        <w:rPr>
          <w:rFonts w:ascii="Arial" w:hAnsi="Arial" w:cs="Arial"/>
          <w:sz w:val="22"/>
          <w:szCs w:val="22"/>
        </w:rPr>
        <w:t>Welcman</w:t>
      </w:r>
      <w:proofErr w:type="spellEnd"/>
      <w:r w:rsidRPr="002D3C5D">
        <w:rPr>
          <w:rFonts w:ascii="Arial" w:hAnsi="Arial" w:cs="Arial"/>
          <w:sz w:val="22"/>
          <w:szCs w:val="22"/>
        </w:rPr>
        <w:t xml:space="preserve">, Y., Barrett, M., Oborn, E. and Barrett, S., 2025. Building digital resilience: leading healthcare transformation through an online community. </w:t>
      </w:r>
      <w:r w:rsidRPr="002D3C5D">
        <w:rPr>
          <w:rFonts w:ascii="Arial" w:hAnsi="Arial" w:cs="Arial"/>
          <w:i/>
          <w:iCs/>
          <w:sz w:val="22"/>
          <w:szCs w:val="22"/>
        </w:rPr>
        <w:t>Frontiers in Digital Health</w:t>
      </w:r>
      <w:r w:rsidRPr="002D3C5D">
        <w:rPr>
          <w:rFonts w:ascii="Arial" w:hAnsi="Arial" w:cs="Arial"/>
          <w:sz w:val="22"/>
          <w:szCs w:val="22"/>
        </w:rPr>
        <w:t xml:space="preserve">, </w:t>
      </w:r>
      <w:r w:rsidRPr="002D3C5D">
        <w:rPr>
          <w:rFonts w:ascii="Arial" w:hAnsi="Arial" w:cs="Arial"/>
          <w:i/>
          <w:iCs/>
          <w:sz w:val="22"/>
          <w:szCs w:val="22"/>
        </w:rPr>
        <w:t>7</w:t>
      </w:r>
      <w:r w:rsidRPr="002D3C5D">
        <w:rPr>
          <w:rFonts w:ascii="Arial" w:hAnsi="Arial" w:cs="Arial"/>
          <w:sz w:val="22"/>
          <w:szCs w:val="22"/>
        </w:rPr>
        <w:t xml:space="preserve">. </w:t>
      </w:r>
      <w:proofErr w:type="spellStart"/>
      <w:proofErr w:type="gramStart"/>
      <w:r w:rsidRPr="002D3C5D">
        <w:rPr>
          <w:rFonts w:ascii="Arial" w:hAnsi="Arial" w:cs="Arial"/>
          <w:sz w:val="22"/>
          <w:szCs w:val="22"/>
        </w:rPr>
        <w:t>doi:https</w:t>
      </w:r>
      <w:proofErr w:type="spellEnd"/>
      <w:r w:rsidRPr="002D3C5D">
        <w:rPr>
          <w:rFonts w:ascii="Arial" w:hAnsi="Arial" w:cs="Arial"/>
          <w:sz w:val="22"/>
          <w:szCs w:val="22"/>
        </w:rPr>
        <w:t>://doi.org/10.3389/fdgth.2025.1656804</w:t>
      </w:r>
      <w:proofErr w:type="gramEnd"/>
      <w:r w:rsidRPr="002D3C5D">
        <w:rPr>
          <w:rFonts w:ascii="Arial" w:hAnsi="Arial" w:cs="Arial"/>
          <w:sz w:val="22"/>
          <w:szCs w:val="22"/>
        </w:rPr>
        <w:t>.</w:t>
      </w:r>
    </w:p>
    <w:p w14:paraId="4421A9F2"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 xml:space="preserve">Pimm, E., 2025. </w:t>
      </w:r>
      <w:proofErr w:type="spellStart"/>
      <w:r w:rsidRPr="002D3C5D">
        <w:rPr>
          <w:rFonts w:ascii="Arial" w:hAnsi="Arial" w:cs="Arial"/>
          <w:sz w:val="22"/>
          <w:szCs w:val="22"/>
        </w:rPr>
        <w:t>Recognising</w:t>
      </w:r>
      <w:proofErr w:type="spellEnd"/>
      <w:r w:rsidRPr="002D3C5D">
        <w:rPr>
          <w:rFonts w:ascii="Arial" w:hAnsi="Arial" w:cs="Arial"/>
          <w:sz w:val="22"/>
          <w:szCs w:val="22"/>
        </w:rPr>
        <w:t xml:space="preserve"> and addressing loneliness and social isolation in older people. </w:t>
      </w:r>
      <w:r w:rsidRPr="002D3C5D">
        <w:rPr>
          <w:rFonts w:ascii="Arial" w:hAnsi="Arial" w:cs="Arial"/>
          <w:i/>
          <w:iCs/>
          <w:sz w:val="22"/>
          <w:szCs w:val="22"/>
        </w:rPr>
        <w:t>Nursing Older People</w:t>
      </w:r>
      <w:r w:rsidRPr="002D3C5D">
        <w:rPr>
          <w:rFonts w:ascii="Arial" w:hAnsi="Arial" w:cs="Arial"/>
          <w:sz w:val="22"/>
          <w:szCs w:val="22"/>
        </w:rPr>
        <w:t>, </w:t>
      </w:r>
      <w:r w:rsidRPr="002D3C5D">
        <w:rPr>
          <w:rFonts w:ascii="Arial" w:hAnsi="Arial" w:cs="Arial"/>
          <w:i/>
          <w:iCs/>
          <w:sz w:val="22"/>
          <w:szCs w:val="22"/>
        </w:rPr>
        <w:t>37</w:t>
      </w:r>
      <w:r w:rsidRPr="002D3C5D">
        <w:rPr>
          <w:rFonts w:ascii="Arial" w:hAnsi="Arial" w:cs="Arial"/>
          <w:sz w:val="22"/>
          <w:szCs w:val="22"/>
        </w:rPr>
        <w:t>(1).</w:t>
      </w:r>
    </w:p>
    <w:p w14:paraId="5A817484" w14:textId="77777777" w:rsidR="002D3C5D" w:rsidRPr="002D3C5D" w:rsidRDefault="002D3C5D" w:rsidP="002D3C5D">
      <w:pPr>
        <w:spacing w:line="360" w:lineRule="auto"/>
        <w:jc w:val="both"/>
        <w:rPr>
          <w:rFonts w:ascii="Arial" w:hAnsi="Arial" w:cs="Arial"/>
          <w:sz w:val="22"/>
          <w:szCs w:val="22"/>
        </w:rPr>
      </w:pPr>
      <w:r w:rsidRPr="002D3C5D">
        <w:rPr>
          <w:rFonts w:ascii="Arial" w:hAnsi="Arial" w:cs="Arial"/>
          <w:sz w:val="22"/>
          <w:szCs w:val="22"/>
        </w:rPr>
        <w:t xml:space="preserve">Trumble, S., Williams, A., Stokes, T., Dennis, S., Hui, F., </w:t>
      </w:r>
      <w:proofErr w:type="spellStart"/>
      <w:r w:rsidRPr="002D3C5D">
        <w:rPr>
          <w:rFonts w:ascii="Arial" w:hAnsi="Arial" w:cs="Arial"/>
          <w:sz w:val="22"/>
          <w:szCs w:val="22"/>
        </w:rPr>
        <w:t>Assifi</w:t>
      </w:r>
      <w:proofErr w:type="spellEnd"/>
      <w:r w:rsidRPr="002D3C5D">
        <w:rPr>
          <w:rFonts w:ascii="Arial" w:hAnsi="Arial" w:cs="Arial"/>
          <w:sz w:val="22"/>
          <w:szCs w:val="22"/>
        </w:rPr>
        <w:t>, A. and West, K., 2025. PRIMARY CARE (AAAPC) ANNUAL RESEARCH CONFERENCE.</w:t>
      </w:r>
    </w:p>
    <w:p w14:paraId="335FD05C" w14:textId="77777777" w:rsidR="002D3C5D" w:rsidRPr="002D3C5D" w:rsidRDefault="002D3C5D" w:rsidP="002D3C5D">
      <w:pPr>
        <w:spacing w:line="360" w:lineRule="auto"/>
        <w:jc w:val="both"/>
        <w:rPr>
          <w:rFonts w:ascii="Arial" w:hAnsi="Arial" w:cs="Arial"/>
          <w:sz w:val="22"/>
          <w:szCs w:val="22"/>
        </w:rPr>
      </w:pPr>
      <w:proofErr w:type="spellStart"/>
      <w:r w:rsidRPr="002D3C5D">
        <w:rPr>
          <w:rFonts w:ascii="Arial" w:hAnsi="Arial" w:cs="Arial"/>
          <w:sz w:val="22"/>
          <w:szCs w:val="22"/>
        </w:rPr>
        <w:t>Vacchi</w:t>
      </w:r>
      <w:proofErr w:type="spellEnd"/>
      <w:r w:rsidRPr="002D3C5D">
        <w:rPr>
          <w:rFonts w:ascii="Arial" w:hAnsi="Arial" w:cs="Arial"/>
          <w:sz w:val="22"/>
          <w:szCs w:val="22"/>
        </w:rPr>
        <w:t xml:space="preserve">, L., </w:t>
      </w:r>
      <w:proofErr w:type="spellStart"/>
      <w:r w:rsidRPr="002D3C5D">
        <w:rPr>
          <w:rFonts w:ascii="Arial" w:hAnsi="Arial" w:cs="Arial"/>
          <w:sz w:val="22"/>
          <w:szCs w:val="22"/>
        </w:rPr>
        <w:t>Zirone</w:t>
      </w:r>
      <w:proofErr w:type="spellEnd"/>
      <w:r w:rsidRPr="002D3C5D">
        <w:rPr>
          <w:rFonts w:ascii="Arial" w:hAnsi="Arial" w:cs="Arial"/>
          <w:sz w:val="22"/>
          <w:szCs w:val="22"/>
        </w:rPr>
        <w:t xml:space="preserve">, E., </w:t>
      </w:r>
      <w:proofErr w:type="spellStart"/>
      <w:r w:rsidRPr="002D3C5D">
        <w:rPr>
          <w:rFonts w:ascii="Arial" w:hAnsi="Arial" w:cs="Arial"/>
          <w:sz w:val="22"/>
          <w:szCs w:val="22"/>
        </w:rPr>
        <w:t>Strina</w:t>
      </w:r>
      <w:proofErr w:type="spellEnd"/>
      <w:r w:rsidRPr="002D3C5D">
        <w:rPr>
          <w:rFonts w:ascii="Arial" w:hAnsi="Arial" w:cs="Arial"/>
          <w:sz w:val="22"/>
          <w:szCs w:val="22"/>
        </w:rPr>
        <w:t>, V., Cavaletti, G. and Ferrarese, C., 2024. Mobile Applications to Support Multiple Sclerosis Communities: The Post-COVID-19 Scenario. </w:t>
      </w:r>
      <w:r w:rsidRPr="002D3C5D">
        <w:rPr>
          <w:rFonts w:ascii="Arial" w:hAnsi="Arial" w:cs="Arial"/>
          <w:i/>
          <w:iCs/>
          <w:sz w:val="22"/>
          <w:szCs w:val="22"/>
        </w:rPr>
        <w:t>Telemedicine and e-Health</w:t>
      </w:r>
      <w:r w:rsidRPr="002D3C5D">
        <w:rPr>
          <w:rFonts w:ascii="Arial" w:hAnsi="Arial" w:cs="Arial"/>
          <w:sz w:val="22"/>
          <w:szCs w:val="22"/>
        </w:rPr>
        <w:t>, </w:t>
      </w:r>
      <w:r w:rsidRPr="002D3C5D">
        <w:rPr>
          <w:rFonts w:ascii="Arial" w:hAnsi="Arial" w:cs="Arial"/>
          <w:i/>
          <w:iCs/>
          <w:sz w:val="22"/>
          <w:szCs w:val="22"/>
        </w:rPr>
        <w:t>30</w:t>
      </w:r>
      <w:r w:rsidRPr="002D3C5D">
        <w:rPr>
          <w:rFonts w:ascii="Arial" w:hAnsi="Arial" w:cs="Arial"/>
          <w:sz w:val="22"/>
          <w:szCs w:val="22"/>
        </w:rPr>
        <w:t xml:space="preserve">(6), </w:t>
      </w:r>
      <w:proofErr w:type="gramStart"/>
      <w:r w:rsidRPr="002D3C5D">
        <w:rPr>
          <w:rFonts w:ascii="Arial" w:hAnsi="Arial" w:cs="Arial"/>
          <w:sz w:val="22"/>
          <w:szCs w:val="22"/>
        </w:rPr>
        <w:t>pp.e</w:t>
      </w:r>
      <w:proofErr w:type="gramEnd"/>
      <w:r w:rsidRPr="002D3C5D">
        <w:rPr>
          <w:rFonts w:ascii="Arial" w:hAnsi="Arial" w:cs="Arial"/>
          <w:sz w:val="22"/>
          <w:szCs w:val="22"/>
        </w:rPr>
        <w:t>1615-e1628.</w:t>
      </w:r>
    </w:p>
    <w:p w14:paraId="7DC91C2E" w14:textId="77777777" w:rsidR="00271B3E" w:rsidRPr="00714D59" w:rsidRDefault="002D3C5D" w:rsidP="00271B3E">
      <w:pPr>
        <w:spacing w:line="360" w:lineRule="auto"/>
        <w:jc w:val="both"/>
        <w:rPr>
          <w:rFonts w:ascii="Arial" w:hAnsi="Arial" w:cs="Arial"/>
          <w:sz w:val="22"/>
          <w:szCs w:val="22"/>
        </w:rPr>
      </w:pPr>
      <w:r w:rsidRPr="002D3C5D">
        <w:rPr>
          <w:rFonts w:ascii="Arial" w:hAnsi="Arial" w:cs="Arial"/>
          <w:sz w:val="22"/>
          <w:szCs w:val="22"/>
        </w:rPr>
        <w:lastRenderedPageBreak/>
        <w:t xml:space="preserve">Xiong, S., Lu, H., Peoples, N., Duman, E.K., Najarro, A., Ni, Z., Gong, E., Yin, R., </w:t>
      </w:r>
      <w:proofErr w:type="spellStart"/>
      <w:r w:rsidRPr="002D3C5D">
        <w:rPr>
          <w:rFonts w:ascii="Arial" w:hAnsi="Arial" w:cs="Arial"/>
          <w:sz w:val="22"/>
          <w:szCs w:val="22"/>
        </w:rPr>
        <w:t>Ostbye</w:t>
      </w:r>
      <w:proofErr w:type="spellEnd"/>
      <w:r w:rsidRPr="002D3C5D">
        <w:rPr>
          <w:rFonts w:ascii="Arial" w:hAnsi="Arial" w:cs="Arial"/>
          <w:sz w:val="22"/>
          <w:szCs w:val="22"/>
        </w:rPr>
        <w:t>, T., Palileo-Villanueva, L.M. and Doma, R., 2023. Digital health interventions for non-communicable disease management in primary health care in low-and middle-income countries. </w:t>
      </w:r>
      <w:r w:rsidRPr="002D3C5D">
        <w:rPr>
          <w:rFonts w:ascii="Arial" w:hAnsi="Arial" w:cs="Arial"/>
          <w:i/>
          <w:iCs/>
          <w:sz w:val="22"/>
          <w:szCs w:val="22"/>
        </w:rPr>
        <w:t>NPJ Digital Medicine</w:t>
      </w:r>
      <w:r w:rsidRPr="002D3C5D">
        <w:rPr>
          <w:rFonts w:ascii="Arial" w:hAnsi="Arial" w:cs="Arial"/>
          <w:sz w:val="22"/>
          <w:szCs w:val="22"/>
        </w:rPr>
        <w:t>, </w:t>
      </w:r>
      <w:r w:rsidRPr="002D3C5D">
        <w:rPr>
          <w:rFonts w:ascii="Arial" w:hAnsi="Arial" w:cs="Arial"/>
          <w:i/>
          <w:iCs/>
          <w:sz w:val="22"/>
          <w:szCs w:val="22"/>
        </w:rPr>
        <w:t>6</w:t>
      </w:r>
      <w:r w:rsidRPr="002D3C5D">
        <w:rPr>
          <w:rFonts w:ascii="Arial" w:hAnsi="Arial" w:cs="Arial"/>
          <w:sz w:val="22"/>
          <w:szCs w:val="22"/>
        </w:rPr>
        <w:t>(1), p.12</w:t>
      </w:r>
      <w:r w:rsidR="00271B3E" w:rsidRPr="00714D59">
        <w:rPr>
          <w:rFonts w:ascii="Arial" w:hAnsi="Arial" w:cs="Arial"/>
          <w:sz w:val="22"/>
          <w:szCs w:val="22"/>
        </w:rPr>
        <w:t>.</w:t>
      </w:r>
    </w:p>
    <w:p w14:paraId="274B0AD9" w14:textId="77777777" w:rsidR="00271B3E" w:rsidRPr="00271B3E" w:rsidRDefault="00271B3E">
      <w:pPr>
        <w:rPr>
          <w:rFonts w:ascii="Arial" w:hAnsi="Arial" w:cs="Arial"/>
          <w:sz w:val="22"/>
          <w:szCs w:val="22"/>
        </w:rPr>
      </w:pPr>
    </w:p>
    <w:sectPr w:rsidR="00271B3E" w:rsidRPr="00271B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B3E"/>
    <w:rsid w:val="00142505"/>
    <w:rsid w:val="001C2756"/>
    <w:rsid w:val="00271B3E"/>
    <w:rsid w:val="002D3C5D"/>
    <w:rsid w:val="004E1A25"/>
    <w:rsid w:val="005873B8"/>
    <w:rsid w:val="006E351B"/>
    <w:rsid w:val="007434A5"/>
    <w:rsid w:val="00767288"/>
    <w:rsid w:val="008B191A"/>
    <w:rsid w:val="00A06EBF"/>
    <w:rsid w:val="00AD419A"/>
    <w:rsid w:val="00AE484A"/>
    <w:rsid w:val="00E715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38866"/>
  <w15:chartTrackingRefBased/>
  <w15:docId w15:val="{EC28AEAF-5721-490C-BB29-9FDA843BC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B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1B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1B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1B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1B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1B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1B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1B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1B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B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1B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1B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1B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1B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1B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1B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1B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1B3E"/>
    <w:rPr>
      <w:rFonts w:eastAsiaTheme="majorEastAsia" w:cstheme="majorBidi"/>
      <w:color w:val="272727" w:themeColor="text1" w:themeTint="D8"/>
    </w:rPr>
  </w:style>
  <w:style w:type="paragraph" w:styleId="Title">
    <w:name w:val="Title"/>
    <w:basedOn w:val="Normal"/>
    <w:next w:val="Normal"/>
    <w:link w:val="TitleChar"/>
    <w:uiPriority w:val="10"/>
    <w:qFormat/>
    <w:rsid w:val="00271B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B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1B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1B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1B3E"/>
    <w:pPr>
      <w:spacing w:before="160"/>
      <w:jc w:val="center"/>
    </w:pPr>
    <w:rPr>
      <w:i/>
      <w:iCs/>
      <w:color w:val="404040" w:themeColor="text1" w:themeTint="BF"/>
    </w:rPr>
  </w:style>
  <w:style w:type="character" w:customStyle="1" w:styleId="QuoteChar">
    <w:name w:val="Quote Char"/>
    <w:basedOn w:val="DefaultParagraphFont"/>
    <w:link w:val="Quote"/>
    <w:uiPriority w:val="29"/>
    <w:rsid w:val="00271B3E"/>
    <w:rPr>
      <w:i/>
      <w:iCs/>
      <w:color w:val="404040" w:themeColor="text1" w:themeTint="BF"/>
    </w:rPr>
  </w:style>
  <w:style w:type="paragraph" w:styleId="ListParagraph">
    <w:name w:val="List Paragraph"/>
    <w:basedOn w:val="Normal"/>
    <w:uiPriority w:val="34"/>
    <w:qFormat/>
    <w:rsid w:val="00271B3E"/>
    <w:pPr>
      <w:ind w:left="720"/>
      <w:contextualSpacing/>
    </w:pPr>
  </w:style>
  <w:style w:type="character" w:styleId="IntenseEmphasis">
    <w:name w:val="Intense Emphasis"/>
    <w:basedOn w:val="DefaultParagraphFont"/>
    <w:uiPriority w:val="21"/>
    <w:qFormat/>
    <w:rsid w:val="00271B3E"/>
    <w:rPr>
      <w:i/>
      <w:iCs/>
      <w:color w:val="0F4761" w:themeColor="accent1" w:themeShade="BF"/>
    </w:rPr>
  </w:style>
  <w:style w:type="paragraph" w:styleId="IntenseQuote">
    <w:name w:val="Intense Quote"/>
    <w:basedOn w:val="Normal"/>
    <w:next w:val="Normal"/>
    <w:link w:val="IntenseQuoteChar"/>
    <w:uiPriority w:val="30"/>
    <w:qFormat/>
    <w:rsid w:val="00271B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1B3E"/>
    <w:rPr>
      <w:i/>
      <w:iCs/>
      <w:color w:val="0F4761" w:themeColor="accent1" w:themeShade="BF"/>
    </w:rPr>
  </w:style>
  <w:style w:type="character" w:styleId="IntenseReference">
    <w:name w:val="Intense Reference"/>
    <w:basedOn w:val="DefaultParagraphFont"/>
    <w:uiPriority w:val="32"/>
    <w:qFormat/>
    <w:rsid w:val="00271B3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sv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package" Target="embeddings/Microsoft_PowerPoint_Presentation.pptx"/><Relationship Id="rId4" Type="http://schemas.openxmlformats.org/officeDocument/2006/relationships/image" Target="media/image1.emf"/><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1520</Words>
  <Characters>8696</Characters>
  <Application>Microsoft Office Word</Application>
  <DocSecurity>0</DocSecurity>
  <Lines>135</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IRFAN</dc:creator>
  <cp:keywords/>
  <dc:description/>
  <cp:lastModifiedBy>roman dunka</cp:lastModifiedBy>
  <cp:revision>4</cp:revision>
  <dcterms:created xsi:type="dcterms:W3CDTF">2025-11-25T00:45:00Z</dcterms:created>
  <dcterms:modified xsi:type="dcterms:W3CDTF">2025-11-25T00:59:00Z</dcterms:modified>
</cp:coreProperties>
</file>