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eastAsiaTheme="minorHAnsi"/>
          <w:color w:val="4472C4" w:themeColor="accent1"/>
          <w:lang w:val="en-GB"/>
        </w:rPr>
        <w:id w:val="629673556"/>
        <w:docPartObj>
          <w:docPartGallery w:val="Cover Pages"/>
          <w:docPartUnique/>
        </w:docPartObj>
      </w:sdtPr>
      <w:sdtEndPr>
        <w:rPr>
          <w:color w:val="auto"/>
        </w:rPr>
      </w:sdtEndPr>
      <w:sdtContent>
        <w:p w14:paraId="117DC827" w14:textId="465DCF3C" w:rsidR="00711D7D" w:rsidRDefault="00711D7D" w:rsidP="00E45348">
          <w:pPr>
            <w:pStyle w:val="NoSpacing"/>
            <w:spacing w:before="1540" w:after="240"/>
            <w:jc w:val="right"/>
            <w:rPr>
              <w:color w:val="4472C4" w:themeColor="accent1"/>
            </w:rPr>
          </w:pPr>
          <w:r>
            <w:rPr>
              <w:noProof/>
            </w:rPr>
            <w:drawing>
              <wp:inline distT="0" distB="0" distL="0" distR="0" wp14:anchorId="7F002E12" wp14:editId="44F477BA">
                <wp:extent cx="2346960" cy="962517"/>
                <wp:effectExtent l="0" t="0" r="0" b="9525"/>
                <wp:docPr id="10" name="Picture 10" descr="Image result for uwts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Image result for uwtsd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387106" cy="978981"/>
                        </a:xfrm>
                        <a:prstGeom prst="rect">
                          <a:avLst/>
                        </a:prstGeom>
                        <a:noFill/>
                        <a:ln>
                          <a:noFill/>
                        </a:ln>
                      </pic:spPr>
                    </pic:pic>
                  </a:graphicData>
                </a:graphic>
              </wp:inline>
            </w:drawing>
          </w:r>
        </w:p>
        <w:sdt>
          <w:sdtPr>
            <w:rPr>
              <w:b/>
              <w:bCs/>
              <w:i/>
              <w:iCs/>
              <w:color w:val="2F5496" w:themeColor="accent1" w:themeShade="BF"/>
              <w:sz w:val="72"/>
              <w:szCs w:val="72"/>
            </w:rPr>
            <w:alias w:val="Title"/>
            <w:tag w:val=""/>
            <w:id w:val="1735040861"/>
            <w:placeholder>
              <w:docPart w:val="0CC8E72B36D443E7BD27F8A847335CD1"/>
            </w:placeholder>
            <w:dataBinding w:prefixMappings="xmlns:ns0='http://purl.org/dc/elements/1.1/' xmlns:ns1='http://schemas.openxmlformats.org/package/2006/metadata/core-properties' " w:xpath="/ns1:coreProperties[1]/ns0:title[1]" w:storeItemID="{6C3C8BC8-F283-45AE-878A-BAB7291924A1}"/>
            <w:text/>
          </w:sdtPr>
          <w:sdtEndPr/>
          <w:sdtContent>
            <w:p w14:paraId="0C8876A0" w14:textId="145549E5" w:rsidR="00711D7D" w:rsidRPr="00711D7D" w:rsidRDefault="00711D7D">
              <w:pPr>
                <w:pStyle w:val="NoSpacing"/>
                <w:pBdr>
                  <w:top w:val="single" w:sz="6" w:space="6" w:color="4472C4" w:themeColor="accent1"/>
                  <w:bottom w:val="single" w:sz="6" w:space="6" w:color="4472C4" w:themeColor="accent1"/>
                </w:pBdr>
                <w:spacing w:after="240"/>
                <w:jc w:val="center"/>
                <w:rPr>
                  <w:rFonts w:asciiTheme="majorHAnsi" w:eastAsiaTheme="majorEastAsia" w:hAnsiTheme="majorHAnsi" w:cstheme="majorBidi"/>
                  <w:caps/>
                  <w:color w:val="4472C4" w:themeColor="accent1"/>
                  <w:sz w:val="72"/>
                  <w:szCs w:val="72"/>
                </w:rPr>
              </w:pPr>
              <w:r w:rsidRPr="00711D7D">
                <w:rPr>
                  <w:b/>
                  <w:bCs/>
                  <w:i/>
                  <w:iCs/>
                  <w:color w:val="2F5496" w:themeColor="accent1" w:themeShade="BF"/>
                  <w:sz w:val="72"/>
                  <w:szCs w:val="72"/>
                </w:rPr>
                <w:t>MANAGING PEOPLE</w:t>
              </w:r>
            </w:p>
          </w:sdtContent>
        </w:sdt>
        <w:p w14:paraId="6A3B8FA5" w14:textId="329572E0" w:rsidR="00711D7D" w:rsidRPr="00531185" w:rsidRDefault="00531185" w:rsidP="00531185">
          <w:pPr>
            <w:pStyle w:val="NoSpacing"/>
            <w:jc w:val="center"/>
            <w:rPr>
              <w:b/>
              <w:bCs/>
              <w:color w:val="1F4E79" w:themeColor="accent5" w:themeShade="80"/>
              <w:sz w:val="32"/>
              <w:szCs w:val="32"/>
            </w:rPr>
          </w:pPr>
          <w:r w:rsidRPr="00531185">
            <w:rPr>
              <w:b/>
              <w:bCs/>
              <w:color w:val="1F4E79" w:themeColor="accent5" w:themeShade="80"/>
              <w:sz w:val="32"/>
              <w:szCs w:val="32"/>
            </w:rPr>
            <w:t>ASESSMENT 2</w:t>
          </w:r>
        </w:p>
        <w:p w14:paraId="0A029DA3" w14:textId="016CCCE0" w:rsidR="00711D7D" w:rsidRDefault="00EB21A5">
          <w:pPr>
            <w:pStyle w:val="NoSpacing"/>
            <w:spacing w:before="480"/>
            <w:jc w:val="center"/>
            <w:rPr>
              <w:color w:val="4472C4" w:themeColor="accent1"/>
            </w:rPr>
          </w:pPr>
          <w:r>
            <w:rPr>
              <w:noProof/>
              <w:color w:val="4472C4" w:themeColor="accent1"/>
            </w:rPr>
            <mc:AlternateContent>
              <mc:Choice Requires="wps">
                <w:drawing>
                  <wp:anchor distT="0" distB="0" distL="114300" distR="114300" simplePos="0" relativeHeight="251659264" behindDoc="0" locked="0" layoutInCell="1" allowOverlap="1" wp14:anchorId="6649AB59" wp14:editId="6CA8E934">
                    <wp:simplePos x="0" y="0"/>
                    <wp:positionH relativeFrom="margin">
                      <wp:posOffset>38100</wp:posOffset>
                    </wp:positionH>
                    <wp:positionV relativeFrom="page">
                      <wp:posOffset>8648700</wp:posOffset>
                    </wp:positionV>
                    <wp:extent cx="5685790" cy="1645920"/>
                    <wp:effectExtent l="0" t="0" r="10160" b="11430"/>
                    <wp:wrapNone/>
                    <wp:docPr id="142" name="Text Box 142"/>
                    <wp:cNvGraphicFramePr/>
                    <a:graphic xmlns:a="http://schemas.openxmlformats.org/drawingml/2006/main">
                      <a:graphicData uri="http://schemas.microsoft.com/office/word/2010/wordprocessingShape">
                        <wps:wsp>
                          <wps:cNvSpPr txBox="1"/>
                          <wps:spPr>
                            <a:xfrm>
                              <a:off x="0" y="0"/>
                              <a:ext cx="5685790" cy="164592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854A5D2" w14:textId="77777777" w:rsidR="00711D7D" w:rsidRDefault="00711D7D" w:rsidP="00711D7D">
                                <w:pPr>
                                  <w:jc w:val="center"/>
                                  <w:rPr>
                                    <w:b/>
                                    <w:bCs/>
                                    <w:i/>
                                    <w:iCs/>
                                    <w:color w:val="2F5496" w:themeColor="accent1" w:themeShade="BF"/>
                                    <w:sz w:val="40"/>
                                    <w:szCs w:val="40"/>
                                  </w:rPr>
                                </w:pPr>
                                <w:r>
                                  <w:rPr>
                                    <w:b/>
                                    <w:bCs/>
                                    <w:i/>
                                    <w:iCs/>
                                    <w:color w:val="2F5496" w:themeColor="accent1" w:themeShade="BF"/>
                                    <w:sz w:val="40"/>
                                    <w:szCs w:val="40"/>
                                  </w:rPr>
                                  <w:t>Lecturer-Charles Oham</w:t>
                                </w:r>
                              </w:p>
                              <w:p w14:paraId="426A4839" w14:textId="77777777" w:rsidR="00711D7D" w:rsidRDefault="00711D7D" w:rsidP="00711D7D">
                                <w:pPr>
                                  <w:jc w:val="center"/>
                                  <w:rPr>
                                    <w:b/>
                                    <w:bCs/>
                                    <w:i/>
                                    <w:iCs/>
                                    <w:color w:val="2F5496" w:themeColor="accent1" w:themeShade="BF"/>
                                    <w:sz w:val="40"/>
                                    <w:szCs w:val="40"/>
                                  </w:rPr>
                                </w:pPr>
                                <w:r>
                                  <w:rPr>
                                    <w:b/>
                                    <w:bCs/>
                                    <w:i/>
                                    <w:iCs/>
                                    <w:color w:val="2F5496" w:themeColor="accent1" w:themeShade="BF"/>
                                    <w:sz w:val="40"/>
                                    <w:szCs w:val="40"/>
                                  </w:rPr>
                                  <w:t>Written by Alina Coman</w:t>
                                </w:r>
                              </w:p>
                              <w:p w14:paraId="026191DF" w14:textId="77777777" w:rsidR="00711D7D" w:rsidRDefault="00711D7D" w:rsidP="00711D7D">
                                <w:pPr>
                                  <w:jc w:val="center"/>
                                  <w:rPr>
                                    <w:b/>
                                    <w:bCs/>
                                    <w:i/>
                                    <w:iCs/>
                                    <w:color w:val="2F5496" w:themeColor="accent1" w:themeShade="BF"/>
                                    <w:sz w:val="40"/>
                                    <w:szCs w:val="40"/>
                                  </w:rPr>
                                </w:pPr>
                                <w:r>
                                  <w:rPr>
                                    <w:b/>
                                    <w:bCs/>
                                    <w:i/>
                                    <w:iCs/>
                                    <w:color w:val="2F5496" w:themeColor="accent1" w:themeShade="BF"/>
                                    <w:sz w:val="40"/>
                                    <w:szCs w:val="40"/>
                                  </w:rPr>
                                  <w:t>(1919781)</w:t>
                                </w:r>
                              </w:p>
                              <w:p w14:paraId="6D4A4B27" w14:textId="0C701553" w:rsidR="00711D7D" w:rsidRDefault="00D57D44" w:rsidP="00711D7D">
                                <w:pPr>
                                  <w:pStyle w:val="NoSpacing"/>
                                  <w:spacing w:after="40"/>
                                  <w:jc w:val="center"/>
                                  <w:rPr>
                                    <w:color w:val="4472C4" w:themeColor="accent1"/>
                                  </w:rPr>
                                </w:pPr>
                                <w:sdt>
                                  <w:sdtPr>
                                    <w:rPr>
                                      <w:caps/>
                                      <w:color w:val="4472C4" w:themeColor="accent1"/>
                                    </w:rPr>
                                    <w:alias w:val="Company"/>
                                    <w:tag w:val=""/>
                                    <w:id w:val="1390145197"/>
                                    <w:showingPlcHdr/>
                                    <w:dataBinding w:prefixMappings="xmlns:ns0='http://schemas.openxmlformats.org/officeDocument/2006/extended-properties' " w:xpath="/ns0:Properties[1]/ns0:Company[1]" w:storeItemID="{6668398D-A668-4E3E-A5EB-62B293D839F1}"/>
                                    <w:text/>
                                  </w:sdtPr>
                                  <w:sdtEndPr/>
                                  <w:sdtContent>
                                    <w:r w:rsidR="00711D7D">
                                      <w:rPr>
                                        <w:caps/>
                                        <w:color w:val="4472C4" w:themeColor="accent1"/>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649AB59" id="_x0000_t202" coordsize="21600,21600" o:spt="202" path="m,l,21600r21600,l21600,xe">
                    <v:stroke joinstyle="miter"/>
                    <v:path gradientshapeok="t" o:connecttype="rect"/>
                  </v:shapetype>
                  <v:shape id="Text Box 142" o:spid="_x0000_s1026" type="#_x0000_t202" style="position:absolute;left:0;text-align:left;margin-left:3pt;margin-top:681pt;width:447.7pt;height:129.6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6Zm2eAIAAFcFAAAOAAAAZHJzL2Uyb0RvYy54bWysVMFu2zAMvQ/YPwi6r06yJmuDOkXWosOA&#10;oi3WDj0rstQYk0VNUhJnX78n2U6LbpcOu8g0+UiRj6TOztvGsK3yoSZb8vHRiDNlJVW1fSr594er&#10;DyechShsJQxZVfK9Cvx88f7d2c7N1YTWZCrlGYLYMN+5kq9jdPOiCHKtGhGOyCkLoybfiIhf/1RU&#10;XuwQvTHFZDSaFTvylfMkVQjQXnZGvsjxtVYy3modVGSm5Mgt5tPnc5XOYnEm5k9euHUt+zTEP2TR&#10;iNri0kOoSxEF2/j6j1BNLT0F0vFIUlOQ1rVUuQZUMx69quZ+LZzKtYCc4A40hf8XVt5s7zyrK/Tu&#10;eMKZFQ2a9KDayD5Ty5IODO1cmAN47wCNLQxAD/oAZSq81b5JX5TEYAfX+wO/KZyEcjo7mX46hUnC&#10;Np4dT08nuQPFs7vzIX5R1LAklNyjgZlXsb0OEakAOkDSbZauamNyE41lu5LPPk5H2eFggYexCavy&#10;OPRhUkld6lmKe6MSxthvSoOOXEFS5EFUF8azrcAICSmVjbn4HBfohNJI4i2OPf45q7c4d3UMN5ON&#10;B+emtuRz9a/Srn4MKesODyJf1J3E2K7avtUrqvbotKduW4KTVzW6cS1CvBMe64EOYuXjLQ5tCKxT&#10;L3G2Jv/rb/qEx9TCytkO61by8HMjvOLMfLWY57Sbg+AHYTUIdtNcEOgf4zFxMotw8NEMovbUPOIl&#10;WKZbYBJW4q6SrwbxInZLj5dEquUyg7CBTsRre+9kCp26kWbroX0U3vUDGDG7NzQsopi/msMOmzwt&#10;LTeRdJ2HNBHasdgTje3Ns9u/NOl5ePmfUc/v4eI3AAAA//8DAFBLAwQUAAYACAAAACEAroAc7+EA&#10;AAALAQAADwAAAGRycy9kb3ducmV2LnhtbEyPS0/DMBCE70j8B2uRuFEnKUQQ4lSICiEkDm15nJ14&#10;SaLG6yh2HuXXs5zgtjs7mv0m3yy2ExMOvnWkIF5FIJAqZ1qqFby/PV3dgvBBk9GdI1RwQg+b4vws&#10;15lxM+1xOoRacAj5TCtoQugzKX3VoNV+5Xokvn25werA61BLM+iZw20nkyhKpdUt8YdG9/jYYHU8&#10;jFbB7rv8SF8/x9O8fdlOezw+jzfxWqnLi+XhHkTAJfyZ4Ref0aFgptKNZLzoFKTcJLC8ThOe2HAX&#10;xdcgSpbSJE5AFrn836H4AQAA//8DAFBLAQItABQABgAIAAAAIQC2gziS/gAAAOEBAAATAAAAAAAA&#10;AAAAAAAAAAAAAABbQ29udGVudF9UeXBlc10ueG1sUEsBAi0AFAAGAAgAAAAhADj9If/WAAAAlAEA&#10;AAsAAAAAAAAAAAAAAAAALwEAAF9yZWxzLy5yZWxzUEsBAi0AFAAGAAgAAAAhADPpmbZ4AgAAVwUA&#10;AA4AAAAAAAAAAAAAAAAALgIAAGRycy9lMm9Eb2MueG1sUEsBAi0AFAAGAAgAAAAhAK6AHO/hAAAA&#10;CwEAAA8AAAAAAAAAAAAAAAAA0gQAAGRycy9kb3ducmV2LnhtbFBLBQYAAAAABAAEAPMAAADgBQAA&#10;AAA=&#10;" filled="f" stroked="f" strokeweight=".5pt">
                    <v:textbox inset="0,0,0,0">
                      <w:txbxContent>
                        <w:p w14:paraId="5854A5D2" w14:textId="77777777" w:rsidR="00711D7D" w:rsidRDefault="00711D7D" w:rsidP="00711D7D">
                          <w:pPr>
                            <w:jc w:val="center"/>
                            <w:rPr>
                              <w:b/>
                              <w:bCs/>
                              <w:i/>
                              <w:iCs/>
                              <w:color w:val="2F5496" w:themeColor="accent1" w:themeShade="BF"/>
                              <w:sz w:val="40"/>
                              <w:szCs w:val="40"/>
                            </w:rPr>
                          </w:pPr>
                          <w:r>
                            <w:rPr>
                              <w:b/>
                              <w:bCs/>
                              <w:i/>
                              <w:iCs/>
                              <w:color w:val="2F5496" w:themeColor="accent1" w:themeShade="BF"/>
                              <w:sz w:val="40"/>
                              <w:szCs w:val="40"/>
                            </w:rPr>
                            <w:t>Lecturer-Charles Oham</w:t>
                          </w:r>
                        </w:p>
                        <w:p w14:paraId="426A4839" w14:textId="77777777" w:rsidR="00711D7D" w:rsidRDefault="00711D7D" w:rsidP="00711D7D">
                          <w:pPr>
                            <w:jc w:val="center"/>
                            <w:rPr>
                              <w:b/>
                              <w:bCs/>
                              <w:i/>
                              <w:iCs/>
                              <w:color w:val="2F5496" w:themeColor="accent1" w:themeShade="BF"/>
                              <w:sz w:val="40"/>
                              <w:szCs w:val="40"/>
                            </w:rPr>
                          </w:pPr>
                          <w:r>
                            <w:rPr>
                              <w:b/>
                              <w:bCs/>
                              <w:i/>
                              <w:iCs/>
                              <w:color w:val="2F5496" w:themeColor="accent1" w:themeShade="BF"/>
                              <w:sz w:val="40"/>
                              <w:szCs w:val="40"/>
                            </w:rPr>
                            <w:t>Written by Alina Coman</w:t>
                          </w:r>
                        </w:p>
                        <w:p w14:paraId="026191DF" w14:textId="77777777" w:rsidR="00711D7D" w:rsidRDefault="00711D7D" w:rsidP="00711D7D">
                          <w:pPr>
                            <w:jc w:val="center"/>
                            <w:rPr>
                              <w:b/>
                              <w:bCs/>
                              <w:i/>
                              <w:iCs/>
                              <w:color w:val="2F5496" w:themeColor="accent1" w:themeShade="BF"/>
                              <w:sz w:val="40"/>
                              <w:szCs w:val="40"/>
                            </w:rPr>
                          </w:pPr>
                          <w:r>
                            <w:rPr>
                              <w:b/>
                              <w:bCs/>
                              <w:i/>
                              <w:iCs/>
                              <w:color w:val="2F5496" w:themeColor="accent1" w:themeShade="BF"/>
                              <w:sz w:val="40"/>
                              <w:szCs w:val="40"/>
                            </w:rPr>
                            <w:t>(1919781)</w:t>
                          </w:r>
                        </w:p>
                        <w:p w14:paraId="6D4A4B27" w14:textId="0C701553" w:rsidR="00711D7D" w:rsidRDefault="00D57D44" w:rsidP="00711D7D">
                          <w:pPr>
                            <w:pStyle w:val="NoSpacing"/>
                            <w:spacing w:after="40"/>
                            <w:jc w:val="center"/>
                            <w:rPr>
                              <w:color w:val="4472C4" w:themeColor="accent1"/>
                            </w:rPr>
                          </w:pPr>
                          <w:sdt>
                            <w:sdtPr>
                              <w:rPr>
                                <w:caps/>
                                <w:color w:val="4472C4" w:themeColor="accent1"/>
                              </w:rPr>
                              <w:alias w:val="Company"/>
                              <w:tag w:val=""/>
                              <w:id w:val="1390145197"/>
                              <w:showingPlcHdr/>
                              <w:dataBinding w:prefixMappings="xmlns:ns0='http://schemas.openxmlformats.org/officeDocument/2006/extended-properties' " w:xpath="/ns0:Properties[1]/ns0:Company[1]" w:storeItemID="{6668398D-A668-4E3E-A5EB-62B293D839F1}"/>
                              <w:text/>
                            </w:sdtPr>
                            <w:sdtEndPr/>
                            <w:sdtContent>
                              <w:r w:rsidR="00711D7D">
                                <w:rPr>
                                  <w:caps/>
                                  <w:color w:val="4472C4" w:themeColor="accent1"/>
                                </w:rPr>
                                <w:t xml:space="preserve">     </w:t>
                              </w:r>
                            </w:sdtContent>
                          </w:sdt>
                        </w:p>
                      </w:txbxContent>
                    </v:textbox>
                    <w10:wrap anchorx="margin" anchory="page"/>
                  </v:shape>
                </w:pict>
              </mc:Fallback>
            </mc:AlternateContent>
          </w:r>
          <w:r w:rsidR="00531185">
            <w:rPr>
              <w:noProof/>
            </w:rPr>
            <w:drawing>
              <wp:inline distT="0" distB="0" distL="0" distR="0" wp14:anchorId="7867E4E9" wp14:editId="322F684C">
                <wp:extent cx="4890135" cy="3442729"/>
                <wp:effectExtent l="152400" t="152400" r="367665" b="367665"/>
                <wp:docPr id="2" name="Picture 2"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ee the source image"/>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999611" cy="3519802"/>
                        </a:xfrm>
                        <a:prstGeom prst="rect">
                          <a:avLst/>
                        </a:prstGeom>
                        <a:ln>
                          <a:noFill/>
                        </a:ln>
                        <a:effectLst>
                          <a:outerShdw blurRad="292100" dist="139700" dir="2700000" algn="tl" rotWithShape="0">
                            <a:srgbClr val="333333">
                              <a:alpha val="65000"/>
                            </a:srgbClr>
                          </a:outerShdw>
                        </a:effectLst>
                      </pic:spPr>
                    </pic:pic>
                  </a:graphicData>
                </a:graphic>
              </wp:inline>
            </w:drawing>
          </w:r>
        </w:p>
        <w:p w14:paraId="7D26882B" w14:textId="131AAD08" w:rsidR="00531185" w:rsidRDefault="00531185">
          <w:pPr>
            <w:pStyle w:val="NoSpacing"/>
            <w:spacing w:before="480"/>
            <w:jc w:val="center"/>
            <w:rPr>
              <w:color w:val="4472C4" w:themeColor="accent1"/>
            </w:rPr>
          </w:pPr>
        </w:p>
        <w:p w14:paraId="11BCBB6A" w14:textId="5B6326BA" w:rsidR="00A75039" w:rsidRDefault="00711D7D" w:rsidP="004C26DF">
          <w:r>
            <w:br w:type="page"/>
          </w:r>
        </w:p>
      </w:sdtContent>
    </w:sdt>
    <w:p w14:paraId="48696136" w14:textId="30644520" w:rsidR="004C26DF" w:rsidRPr="00A75039" w:rsidRDefault="004C26DF" w:rsidP="004C26DF">
      <w:r w:rsidRPr="004C26DF">
        <w:rPr>
          <w:b/>
          <w:bCs/>
          <w:color w:val="2F5496" w:themeColor="accent1" w:themeShade="BF"/>
          <w:sz w:val="32"/>
          <w:szCs w:val="32"/>
        </w:rPr>
        <w:lastRenderedPageBreak/>
        <w:t>Table of content</w:t>
      </w:r>
    </w:p>
    <w:p w14:paraId="5D147BE4" w14:textId="16C5DB9C" w:rsidR="00A77C42" w:rsidRPr="00A77C42" w:rsidRDefault="00D57D44" w:rsidP="00A77C42">
      <w:pPr>
        <w:pStyle w:val="TOC1"/>
        <w:tabs>
          <w:tab w:val="right" w:leader="dot" w:pos="9350"/>
        </w:tabs>
        <w:rPr>
          <w:rFonts w:asciiTheme="minorHAnsi" w:eastAsiaTheme="minorEastAsia" w:hAnsiTheme="minorHAnsi"/>
          <w:noProof/>
          <w:sz w:val="22"/>
        </w:rPr>
      </w:pPr>
      <w:hyperlink w:anchor="_Toc78255309" w:history="1">
        <w:r w:rsidR="00A77C42" w:rsidRPr="00A77C42">
          <w:rPr>
            <w:rStyle w:val="Hyperlink"/>
            <w:rFonts w:cs="Times New Roman"/>
            <w:noProof/>
            <w:color w:val="auto"/>
          </w:rPr>
          <w:t>Introduction</w:t>
        </w:r>
        <w:r w:rsidR="00A77C42" w:rsidRPr="00A77C42">
          <w:rPr>
            <w:noProof/>
            <w:webHidden/>
          </w:rPr>
          <w:tab/>
        </w:r>
        <w:r w:rsidR="00721AD3">
          <w:rPr>
            <w:noProof/>
            <w:webHidden/>
          </w:rPr>
          <w:t>2</w:t>
        </w:r>
      </w:hyperlink>
    </w:p>
    <w:p w14:paraId="75E1B0BE" w14:textId="2A676367" w:rsidR="00A77C42" w:rsidRPr="00A77C42" w:rsidRDefault="00D57D44" w:rsidP="00A77C42">
      <w:pPr>
        <w:pStyle w:val="TOC1"/>
        <w:tabs>
          <w:tab w:val="left" w:pos="440"/>
          <w:tab w:val="right" w:leader="dot" w:pos="9350"/>
        </w:tabs>
        <w:rPr>
          <w:rFonts w:asciiTheme="minorHAnsi" w:eastAsiaTheme="minorEastAsia" w:hAnsiTheme="minorHAnsi"/>
          <w:noProof/>
          <w:sz w:val="22"/>
        </w:rPr>
      </w:pPr>
      <w:hyperlink w:anchor="_Toc78255310" w:history="1">
        <w:r w:rsidR="00A77C42" w:rsidRPr="00A77C42">
          <w:rPr>
            <w:rStyle w:val="Hyperlink"/>
            <w:rFonts w:cs="Times New Roman"/>
            <w:noProof/>
            <w:color w:val="auto"/>
          </w:rPr>
          <w:t>1.Employee Engagement – Concept and Drivers</w:t>
        </w:r>
        <w:r w:rsidR="00A77C42" w:rsidRPr="00A77C42">
          <w:rPr>
            <w:noProof/>
            <w:webHidden/>
          </w:rPr>
          <w:tab/>
        </w:r>
        <w:r w:rsidR="00721AD3">
          <w:rPr>
            <w:noProof/>
            <w:webHidden/>
          </w:rPr>
          <w:t>2</w:t>
        </w:r>
      </w:hyperlink>
    </w:p>
    <w:p w14:paraId="6E465DD6" w14:textId="20047D5B" w:rsidR="00A77C42" w:rsidRPr="00A77C42" w:rsidRDefault="00D57D44" w:rsidP="00A77C42">
      <w:pPr>
        <w:pStyle w:val="TOC2"/>
        <w:tabs>
          <w:tab w:val="right" w:leader="dot" w:pos="9350"/>
        </w:tabs>
        <w:rPr>
          <w:noProof/>
        </w:rPr>
      </w:pPr>
      <w:hyperlink w:anchor="_Toc78255311" w:history="1">
        <w:r w:rsidR="00A77C42" w:rsidRPr="00A77C42">
          <w:rPr>
            <w:rStyle w:val="Hyperlink"/>
            <w:noProof/>
            <w:color w:val="auto"/>
          </w:rPr>
          <w:t>1.1 Concept of employee engagement</w:t>
        </w:r>
        <w:r w:rsidR="00A77C42" w:rsidRPr="00A77C42">
          <w:rPr>
            <w:noProof/>
            <w:webHidden/>
          </w:rPr>
          <w:tab/>
        </w:r>
        <w:r w:rsidR="00721AD3">
          <w:rPr>
            <w:noProof/>
            <w:webHidden/>
          </w:rPr>
          <w:t>2</w:t>
        </w:r>
      </w:hyperlink>
    </w:p>
    <w:p w14:paraId="1C8ABB7A" w14:textId="77777777" w:rsidR="00A77C42" w:rsidRPr="00A77C42" w:rsidRDefault="00D57D44" w:rsidP="00A77C42">
      <w:pPr>
        <w:pStyle w:val="TOC2"/>
        <w:tabs>
          <w:tab w:val="right" w:leader="dot" w:pos="9350"/>
        </w:tabs>
        <w:rPr>
          <w:noProof/>
        </w:rPr>
      </w:pPr>
      <w:hyperlink w:anchor="_Toc78255312" w:history="1">
        <w:r w:rsidR="00A77C42" w:rsidRPr="00A77C42">
          <w:rPr>
            <w:rStyle w:val="Hyperlink"/>
            <w:noProof/>
            <w:color w:val="auto"/>
          </w:rPr>
          <w:t>1.2 Drivers of employee engagement</w:t>
        </w:r>
        <w:r w:rsidR="00A77C42" w:rsidRPr="00A77C42">
          <w:rPr>
            <w:noProof/>
            <w:webHidden/>
          </w:rPr>
          <w:tab/>
        </w:r>
        <w:r w:rsidR="00A77C42" w:rsidRPr="00A77C42">
          <w:rPr>
            <w:noProof/>
            <w:webHidden/>
          </w:rPr>
          <w:fldChar w:fldCharType="begin"/>
        </w:r>
        <w:r w:rsidR="00A77C42" w:rsidRPr="00A77C42">
          <w:rPr>
            <w:noProof/>
            <w:webHidden/>
          </w:rPr>
          <w:instrText xml:space="preserve"> PAGEREF _Toc78255312 \h </w:instrText>
        </w:r>
        <w:r w:rsidR="00A77C42" w:rsidRPr="00A77C42">
          <w:rPr>
            <w:noProof/>
            <w:webHidden/>
          </w:rPr>
        </w:r>
        <w:r w:rsidR="00A77C42" w:rsidRPr="00A77C42">
          <w:rPr>
            <w:noProof/>
            <w:webHidden/>
          </w:rPr>
          <w:fldChar w:fldCharType="separate"/>
        </w:r>
        <w:r w:rsidR="00A77C42" w:rsidRPr="00A77C42">
          <w:rPr>
            <w:noProof/>
            <w:webHidden/>
          </w:rPr>
          <w:t>2</w:t>
        </w:r>
        <w:r w:rsidR="00A77C42" w:rsidRPr="00A77C42">
          <w:rPr>
            <w:noProof/>
            <w:webHidden/>
          </w:rPr>
          <w:fldChar w:fldCharType="end"/>
        </w:r>
      </w:hyperlink>
    </w:p>
    <w:p w14:paraId="1146FDFB" w14:textId="0A1AADD5" w:rsidR="00A77C42" w:rsidRPr="00A77C42" w:rsidRDefault="00D57D44" w:rsidP="00A77C42">
      <w:pPr>
        <w:pStyle w:val="TOC1"/>
        <w:tabs>
          <w:tab w:val="left" w:pos="440"/>
          <w:tab w:val="right" w:leader="dot" w:pos="9350"/>
        </w:tabs>
        <w:rPr>
          <w:rFonts w:asciiTheme="minorHAnsi" w:eastAsiaTheme="minorEastAsia" w:hAnsiTheme="minorHAnsi"/>
          <w:noProof/>
          <w:sz w:val="22"/>
        </w:rPr>
      </w:pPr>
      <w:hyperlink w:anchor="_Toc78255313" w:history="1">
        <w:r w:rsidR="00A77C42" w:rsidRPr="00A77C42">
          <w:rPr>
            <w:rStyle w:val="Hyperlink"/>
            <w:noProof/>
            <w:color w:val="auto"/>
          </w:rPr>
          <w:t>2.Diagnostic tools for measuring employee engagement</w:t>
        </w:r>
        <w:r w:rsidR="00A77C42" w:rsidRPr="00A77C42">
          <w:rPr>
            <w:noProof/>
            <w:webHidden/>
          </w:rPr>
          <w:tab/>
        </w:r>
        <w:r w:rsidR="00721AD3">
          <w:rPr>
            <w:noProof/>
            <w:webHidden/>
          </w:rPr>
          <w:t>4</w:t>
        </w:r>
      </w:hyperlink>
    </w:p>
    <w:p w14:paraId="6B8A44AC" w14:textId="6F2B714E" w:rsidR="00A77C42" w:rsidRPr="00A77C42" w:rsidRDefault="00D57D44" w:rsidP="00A77C42">
      <w:pPr>
        <w:pStyle w:val="TOC1"/>
        <w:tabs>
          <w:tab w:val="left" w:pos="440"/>
          <w:tab w:val="right" w:leader="dot" w:pos="9350"/>
        </w:tabs>
        <w:rPr>
          <w:rFonts w:asciiTheme="minorHAnsi" w:eastAsiaTheme="minorEastAsia" w:hAnsiTheme="minorHAnsi"/>
          <w:noProof/>
          <w:sz w:val="22"/>
        </w:rPr>
      </w:pPr>
      <w:hyperlink w:anchor="_Toc78255314" w:history="1">
        <w:r w:rsidR="00A77C42" w:rsidRPr="00A77C42">
          <w:rPr>
            <w:rStyle w:val="Hyperlink"/>
            <w:noProof/>
            <w:color w:val="auto"/>
          </w:rPr>
          <w:t>3.Constructing Employee Value Proposition (EVP)</w:t>
        </w:r>
        <w:r w:rsidR="00A77C42" w:rsidRPr="00A77C42">
          <w:rPr>
            <w:noProof/>
            <w:webHidden/>
          </w:rPr>
          <w:tab/>
        </w:r>
        <w:r w:rsidR="00A77C42" w:rsidRPr="00A77C42">
          <w:rPr>
            <w:noProof/>
            <w:webHidden/>
          </w:rPr>
          <w:fldChar w:fldCharType="begin"/>
        </w:r>
        <w:r w:rsidR="00A77C42" w:rsidRPr="00A77C42">
          <w:rPr>
            <w:noProof/>
            <w:webHidden/>
          </w:rPr>
          <w:instrText xml:space="preserve"> PAGEREF _Toc78255314 \h </w:instrText>
        </w:r>
        <w:r w:rsidR="00A77C42" w:rsidRPr="00A77C42">
          <w:rPr>
            <w:noProof/>
            <w:webHidden/>
          </w:rPr>
        </w:r>
        <w:r w:rsidR="00A77C42" w:rsidRPr="00A77C42">
          <w:rPr>
            <w:noProof/>
            <w:webHidden/>
          </w:rPr>
          <w:fldChar w:fldCharType="separate"/>
        </w:r>
        <w:r w:rsidR="00A77C42" w:rsidRPr="00A77C42">
          <w:rPr>
            <w:noProof/>
            <w:webHidden/>
          </w:rPr>
          <w:t>5</w:t>
        </w:r>
        <w:r w:rsidR="00A77C42" w:rsidRPr="00A77C42">
          <w:rPr>
            <w:noProof/>
            <w:webHidden/>
          </w:rPr>
          <w:fldChar w:fldCharType="end"/>
        </w:r>
      </w:hyperlink>
    </w:p>
    <w:p w14:paraId="3279670E" w14:textId="7148B91A" w:rsidR="00A77C42" w:rsidRPr="00A77C42" w:rsidRDefault="00D57D44" w:rsidP="00A77C42">
      <w:pPr>
        <w:pStyle w:val="TOC1"/>
        <w:tabs>
          <w:tab w:val="right" w:leader="dot" w:pos="9350"/>
        </w:tabs>
        <w:rPr>
          <w:rFonts w:asciiTheme="minorHAnsi" w:eastAsiaTheme="minorEastAsia" w:hAnsiTheme="minorHAnsi"/>
          <w:noProof/>
          <w:sz w:val="22"/>
        </w:rPr>
      </w:pPr>
      <w:hyperlink w:anchor="_Toc78255315" w:history="1">
        <w:r w:rsidR="00A77C42" w:rsidRPr="00A77C42">
          <w:rPr>
            <w:rStyle w:val="Hyperlink"/>
            <w:rFonts w:cs="Times New Roman"/>
            <w:noProof/>
            <w:color w:val="auto"/>
          </w:rPr>
          <w:t>Conclusion</w:t>
        </w:r>
        <w:r w:rsidR="00A77C42" w:rsidRPr="00A77C42">
          <w:rPr>
            <w:noProof/>
            <w:webHidden/>
          </w:rPr>
          <w:tab/>
        </w:r>
        <w:r w:rsidR="00721AD3">
          <w:rPr>
            <w:noProof/>
            <w:webHidden/>
          </w:rPr>
          <w:t>6</w:t>
        </w:r>
      </w:hyperlink>
    </w:p>
    <w:p w14:paraId="76736591" w14:textId="77777777" w:rsidR="00A77C42" w:rsidRPr="00A77C42" w:rsidRDefault="00D57D44" w:rsidP="00A77C42">
      <w:pPr>
        <w:pStyle w:val="TOC1"/>
        <w:tabs>
          <w:tab w:val="right" w:leader="dot" w:pos="9350"/>
        </w:tabs>
        <w:rPr>
          <w:rFonts w:asciiTheme="minorHAnsi" w:eastAsiaTheme="minorEastAsia" w:hAnsiTheme="minorHAnsi"/>
          <w:noProof/>
          <w:sz w:val="22"/>
        </w:rPr>
      </w:pPr>
      <w:hyperlink w:anchor="_Toc78255316" w:history="1">
        <w:r w:rsidR="00A77C42" w:rsidRPr="00A77C42">
          <w:rPr>
            <w:rStyle w:val="Hyperlink"/>
            <w:rFonts w:cs="Times New Roman"/>
            <w:noProof/>
            <w:color w:val="auto"/>
          </w:rPr>
          <w:t>Reference</w:t>
        </w:r>
        <w:r w:rsidR="00A77C42" w:rsidRPr="00A77C42">
          <w:rPr>
            <w:noProof/>
            <w:webHidden/>
          </w:rPr>
          <w:tab/>
        </w:r>
        <w:r w:rsidR="00A77C42" w:rsidRPr="00A77C42">
          <w:rPr>
            <w:noProof/>
            <w:webHidden/>
          </w:rPr>
          <w:fldChar w:fldCharType="begin"/>
        </w:r>
        <w:r w:rsidR="00A77C42" w:rsidRPr="00A77C42">
          <w:rPr>
            <w:noProof/>
            <w:webHidden/>
          </w:rPr>
          <w:instrText xml:space="preserve"> PAGEREF _Toc78255316 \h </w:instrText>
        </w:r>
        <w:r w:rsidR="00A77C42" w:rsidRPr="00A77C42">
          <w:rPr>
            <w:noProof/>
            <w:webHidden/>
          </w:rPr>
        </w:r>
        <w:r w:rsidR="00A77C42" w:rsidRPr="00A77C42">
          <w:rPr>
            <w:noProof/>
            <w:webHidden/>
          </w:rPr>
          <w:fldChar w:fldCharType="separate"/>
        </w:r>
        <w:r w:rsidR="00A77C42" w:rsidRPr="00A77C42">
          <w:rPr>
            <w:noProof/>
            <w:webHidden/>
          </w:rPr>
          <w:t>7</w:t>
        </w:r>
        <w:r w:rsidR="00A77C42" w:rsidRPr="00A77C42">
          <w:rPr>
            <w:noProof/>
            <w:webHidden/>
          </w:rPr>
          <w:fldChar w:fldCharType="end"/>
        </w:r>
      </w:hyperlink>
    </w:p>
    <w:p w14:paraId="0C2B7EED" w14:textId="77777777" w:rsidR="004C26DF" w:rsidRPr="004C26DF" w:rsidRDefault="004C26DF" w:rsidP="004C26DF">
      <w:pPr>
        <w:rPr>
          <w:b/>
          <w:bCs/>
          <w:color w:val="2F5496" w:themeColor="accent1" w:themeShade="BF"/>
          <w:sz w:val="32"/>
          <w:szCs w:val="32"/>
        </w:rPr>
      </w:pPr>
    </w:p>
    <w:p w14:paraId="0F8C0F41" w14:textId="23E6EC5C" w:rsidR="0079527C" w:rsidRDefault="0079527C" w:rsidP="0079527C">
      <w:pPr>
        <w:jc w:val="center"/>
        <w:rPr>
          <w:b/>
          <w:bCs/>
          <w:i/>
          <w:iCs/>
          <w:color w:val="2F5496" w:themeColor="accent1" w:themeShade="BF"/>
          <w:sz w:val="40"/>
          <w:szCs w:val="40"/>
        </w:rPr>
      </w:pPr>
    </w:p>
    <w:p w14:paraId="6D063CCB" w14:textId="23571A81" w:rsidR="00E225E4" w:rsidRDefault="00E225E4" w:rsidP="0079527C">
      <w:pPr>
        <w:jc w:val="center"/>
        <w:rPr>
          <w:b/>
          <w:bCs/>
          <w:i/>
          <w:iCs/>
          <w:color w:val="2F5496" w:themeColor="accent1" w:themeShade="BF"/>
          <w:sz w:val="40"/>
          <w:szCs w:val="40"/>
        </w:rPr>
      </w:pPr>
    </w:p>
    <w:p w14:paraId="5FA089EC" w14:textId="2CD81261" w:rsidR="00E225E4" w:rsidRDefault="00E225E4" w:rsidP="0079527C">
      <w:pPr>
        <w:jc w:val="center"/>
        <w:rPr>
          <w:b/>
          <w:bCs/>
          <w:i/>
          <w:iCs/>
          <w:color w:val="2F5496" w:themeColor="accent1" w:themeShade="BF"/>
          <w:sz w:val="40"/>
          <w:szCs w:val="40"/>
        </w:rPr>
      </w:pPr>
    </w:p>
    <w:p w14:paraId="7845DF70" w14:textId="2B99C17A" w:rsidR="00E225E4" w:rsidRDefault="00E225E4" w:rsidP="0079527C">
      <w:pPr>
        <w:jc w:val="center"/>
        <w:rPr>
          <w:b/>
          <w:bCs/>
          <w:i/>
          <w:iCs/>
          <w:color w:val="2F5496" w:themeColor="accent1" w:themeShade="BF"/>
          <w:sz w:val="40"/>
          <w:szCs w:val="40"/>
        </w:rPr>
      </w:pPr>
    </w:p>
    <w:p w14:paraId="44A02D7A" w14:textId="4FFD7816" w:rsidR="00E225E4" w:rsidRDefault="00E225E4" w:rsidP="0079527C">
      <w:pPr>
        <w:jc w:val="center"/>
        <w:rPr>
          <w:b/>
          <w:bCs/>
          <w:i/>
          <w:iCs/>
          <w:color w:val="2F5496" w:themeColor="accent1" w:themeShade="BF"/>
          <w:sz w:val="40"/>
          <w:szCs w:val="40"/>
        </w:rPr>
      </w:pPr>
    </w:p>
    <w:p w14:paraId="49F4CADE" w14:textId="4F178F8C" w:rsidR="00E225E4" w:rsidRDefault="00E225E4" w:rsidP="0079527C">
      <w:pPr>
        <w:jc w:val="center"/>
        <w:rPr>
          <w:b/>
          <w:bCs/>
          <w:i/>
          <w:iCs/>
          <w:color w:val="2F5496" w:themeColor="accent1" w:themeShade="BF"/>
          <w:sz w:val="40"/>
          <w:szCs w:val="40"/>
        </w:rPr>
      </w:pPr>
    </w:p>
    <w:p w14:paraId="55EAD316" w14:textId="2CB0DC0B" w:rsidR="00E225E4" w:rsidRDefault="00E225E4" w:rsidP="0079527C">
      <w:pPr>
        <w:jc w:val="center"/>
        <w:rPr>
          <w:b/>
          <w:bCs/>
          <w:i/>
          <w:iCs/>
          <w:color w:val="2F5496" w:themeColor="accent1" w:themeShade="BF"/>
          <w:sz w:val="40"/>
          <w:szCs w:val="40"/>
        </w:rPr>
      </w:pPr>
    </w:p>
    <w:p w14:paraId="17F65ECD" w14:textId="619F98EA" w:rsidR="00E225E4" w:rsidRDefault="00E225E4" w:rsidP="0079527C">
      <w:pPr>
        <w:jc w:val="center"/>
        <w:rPr>
          <w:b/>
          <w:bCs/>
          <w:i/>
          <w:iCs/>
          <w:color w:val="2F5496" w:themeColor="accent1" w:themeShade="BF"/>
          <w:sz w:val="40"/>
          <w:szCs w:val="40"/>
        </w:rPr>
      </w:pPr>
    </w:p>
    <w:p w14:paraId="42BA3CEC" w14:textId="7DC0037F" w:rsidR="00E225E4" w:rsidRDefault="00E225E4" w:rsidP="0079527C">
      <w:pPr>
        <w:jc w:val="center"/>
        <w:rPr>
          <w:b/>
          <w:bCs/>
          <w:i/>
          <w:iCs/>
          <w:color w:val="2F5496" w:themeColor="accent1" w:themeShade="BF"/>
          <w:sz w:val="40"/>
          <w:szCs w:val="40"/>
        </w:rPr>
      </w:pPr>
    </w:p>
    <w:p w14:paraId="4A531034" w14:textId="6FA17879" w:rsidR="00E225E4" w:rsidRDefault="00E225E4" w:rsidP="0079527C">
      <w:pPr>
        <w:jc w:val="center"/>
        <w:rPr>
          <w:b/>
          <w:bCs/>
          <w:i/>
          <w:iCs/>
          <w:color w:val="2F5496" w:themeColor="accent1" w:themeShade="BF"/>
          <w:sz w:val="40"/>
          <w:szCs w:val="40"/>
        </w:rPr>
      </w:pPr>
    </w:p>
    <w:p w14:paraId="2097B524" w14:textId="770CF13A" w:rsidR="00E225E4" w:rsidRDefault="00E225E4" w:rsidP="0079527C">
      <w:pPr>
        <w:jc w:val="center"/>
        <w:rPr>
          <w:b/>
          <w:bCs/>
          <w:i/>
          <w:iCs/>
          <w:color w:val="2F5496" w:themeColor="accent1" w:themeShade="BF"/>
          <w:sz w:val="40"/>
          <w:szCs w:val="40"/>
        </w:rPr>
      </w:pPr>
    </w:p>
    <w:p w14:paraId="468F4564" w14:textId="25214B10" w:rsidR="00E225E4" w:rsidRDefault="00E225E4" w:rsidP="0079527C">
      <w:pPr>
        <w:jc w:val="center"/>
        <w:rPr>
          <w:b/>
          <w:bCs/>
          <w:i/>
          <w:iCs/>
          <w:color w:val="2F5496" w:themeColor="accent1" w:themeShade="BF"/>
          <w:sz w:val="40"/>
          <w:szCs w:val="40"/>
        </w:rPr>
      </w:pPr>
    </w:p>
    <w:p w14:paraId="09496195" w14:textId="4F0C7D00" w:rsidR="00E225E4" w:rsidRDefault="00E225E4" w:rsidP="00E225E4">
      <w:pPr>
        <w:rPr>
          <w:color w:val="2F5496" w:themeColor="accent1" w:themeShade="BF"/>
          <w:sz w:val="32"/>
          <w:szCs w:val="32"/>
        </w:rPr>
      </w:pPr>
    </w:p>
    <w:p w14:paraId="2D2446BD" w14:textId="607C6CCC" w:rsidR="00E225E4" w:rsidRDefault="00E225E4" w:rsidP="00E225E4">
      <w:pPr>
        <w:rPr>
          <w:b/>
          <w:bCs/>
          <w:color w:val="2F5496" w:themeColor="accent1" w:themeShade="BF"/>
          <w:sz w:val="32"/>
          <w:szCs w:val="32"/>
        </w:rPr>
      </w:pPr>
      <w:r>
        <w:rPr>
          <w:b/>
          <w:bCs/>
          <w:color w:val="2F5496" w:themeColor="accent1" w:themeShade="BF"/>
          <w:sz w:val="32"/>
          <w:szCs w:val="32"/>
        </w:rPr>
        <w:lastRenderedPageBreak/>
        <w:t>Introduction</w:t>
      </w:r>
    </w:p>
    <w:p w14:paraId="2066B0B8" w14:textId="53B18D71" w:rsidR="00E225E4" w:rsidRPr="00216856" w:rsidRDefault="00833D3D" w:rsidP="00E225E4">
      <w:pPr>
        <w:rPr>
          <w:rFonts w:cstheme="minorHAnsi"/>
          <w:sz w:val="24"/>
          <w:szCs w:val="24"/>
        </w:rPr>
      </w:pPr>
      <w:r w:rsidRPr="00833D3D">
        <w:rPr>
          <w:rFonts w:cstheme="minorHAnsi"/>
          <w:sz w:val="24"/>
          <w:szCs w:val="24"/>
        </w:rPr>
        <w:t>Employee engagement is a holistic measure of an employee’s enthusiasm, motivation, and investment in the job. Though is it often associated with job satisfaction, employee engagement could be defined and understood in different ways. Organizational efficacy, growth, and culture are largely interrelated with employee engagement, furthermore employee engagement is commitment, enthusiasm, passion, and motivation which is a combination of behaviours and attitude that give value to the organization and retain employees (Khan 1990). With the invention of varied constraints, necessary adaptation is mandatory in order to utilize the changed drivers to engage the employees within the organization.</w:t>
      </w:r>
    </w:p>
    <w:p w14:paraId="249A2AEA" w14:textId="1857C57C" w:rsidR="00F966D4" w:rsidRPr="00216856" w:rsidRDefault="00FC1288" w:rsidP="00E225E4">
      <w:pPr>
        <w:rPr>
          <w:rFonts w:cstheme="minorHAnsi"/>
          <w:b/>
          <w:bCs/>
          <w:color w:val="2F5496" w:themeColor="accent1" w:themeShade="BF"/>
          <w:sz w:val="32"/>
          <w:szCs w:val="32"/>
        </w:rPr>
      </w:pPr>
      <w:r>
        <w:rPr>
          <w:rFonts w:cstheme="minorHAnsi"/>
          <w:b/>
          <w:bCs/>
          <w:color w:val="2F5496" w:themeColor="accent1" w:themeShade="BF"/>
          <w:sz w:val="32"/>
          <w:szCs w:val="32"/>
        </w:rPr>
        <w:t>1.</w:t>
      </w:r>
      <w:r w:rsidR="00F966D4" w:rsidRPr="00216856">
        <w:rPr>
          <w:rFonts w:cstheme="minorHAnsi"/>
          <w:b/>
          <w:bCs/>
          <w:color w:val="2F5496" w:themeColor="accent1" w:themeShade="BF"/>
          <w:sz w:val="32"/>
          <w:szCs w:val="32"/>
        </w:rPr>
        <w:t>Employee engagement concept and drivers</w:t>
      </w:r>
    </w:p>
    <w:p w14:paraId="0E355218" w14:textId="11305100" w:rsidR="000723A4" w:rsidRDefault="00FC1288" w:rsidP="00E225E4">
      <w:pPr>
        <w:rPr>
          <w:rFonts w:cstheme="minorHAnsi"/>
          <w:i/>
          <w:iCs/>
          <w:color w:val="2F5496" w:themeColor="accent1" w:themeShade="BF"/>
          <w:sz w:val="32"/>
          <w:szCs w:val="32"/>
        </w:rPr>
      </w:pPr>
      <w:r>
        <w:rPr>
          <w:rFonts w:cstheme="minorHAnsi"/>
          <w:i/>
          <w:iCs/>
          <w:color w:val="2F5496" w:themeColor="accent1" w:themeShade="BF"/>
          <w:sz w:val="32"/>
          <w:szCs w:val="32"/>
        </w:rPr>
        <w:t>1.1</w:t>
      </w:r>
      <w:r w:rsidR="00F966D4" w:rsidRPr="00216856">
        <w:rPr>
          <w:rFonts w:cstheme="minorHAnsi"/>
          <w:i/>
          <w:iCs/>
          <w:color w:val="2F5496" w:themeColor="accent1" w:themeShade="BF"/>
          <w:sz w:val="32"/>
          <w:szCs w:val="32"/>
        </w:rPr>
        <w:t>Concept of employee engagement</w:t>
      </w:r>
    </w:p>
    <w:p w14:paraId="1153A942" w14:textId="77777777" w:rsidR="000723A4" w:rsidRPr="000723A4" w:rsidRDefault="000723A4" w:rsidP="000723A4">
      <w:pPr>
        <w:rPr>
          <w:rFonts w:cstheme="minorHAnsi"/>
          <w:sz w:val="24"/>
          <w:szCs w:val="24"/>
        </w:rPr>
      </w:pPr>
      <w:r w:rsidRPr="000723A4">
        <w:rPr>
          <w:rFonts w:cstheme="minorHAnsi"/>
          <w:sz w:val="24"/>
          <w:szCs w:val="24"/>
        </w:rPr>
        <w:t>Employee engagement is defined in varied ways by the industry leaders. Willis Towers Watson, 2021 marks employee engagement as the contributory factor in an organization’s success that can be derived from the willingness and capacity of the employees. According to Gallup, 2021, the employees who have involvement, enthusiasm, and commitment regarding their work are the engaged employees. Aon Hewitt outlined the psychological investment of an employee in his/her company as employee engagement (Antony, 2018). According to Harvard Business Review,2021, people’s desire to attend, understand, and contribute to the success of the organization through one’s predefined responsibilities and beyond is employee engagement.</w:t>
      </w:r>
    </w:p>
    <w:p w14:paraId="05A021C1" w14:textId="51910AD6" w:rsidR="000723A4" w:rsidRPr="000723A4" w:rsidRDefault="000723A4" w:rsidP="000723A4">
      <w:pPr>
        <w:rPr>
          <w:rFonts w:cstheme="minorHAnsi"/>
          <w:sz w:val="24"/>
          <w:szCs w:val="24"/>
        </w:rPr>
      </w:pPr>
      <w:r w:rsidRPr="000723A4">
        <w:rPr>
          <w:rFonts w:cstheme="minorHAnsi"/>
          <w:sz w:val="24"/>
          <w:szCs w:val="24"/>
        </w:rPr>
        <w:t>Improvement of employee engagement directly increases the organization's efficiency and productivity. Researches show profits increase up to 21% by engaging the employees within the organization (</w:t>
      </w:r>
      <w:proofErr w:type="spellStart"/>
      <w:r w:rsidRPr="000723A4">
        <w:rPr>
          <w:rFonts w:cstheme="minorHAnsi"/>
          <w:sz w:val="24"/>
          <w:szCs w:val="24"/>
        </w:rPr>
        <w:t>Macheky</w:t>
      </w:r>
      <w:proofErr w:type="spellEnd"/>
      <w:r w:rsidRPr="000723A4">
        <w:rPr>
          <w:rFonts w:cstheme="minorHAnsi"/>
          <w:sz w:val="24"/>
          <w:szCs w:val="24"/>
        </w:rPr>
        <w:t xml:space="preserve">, 2021). It also reduces employee turnover up to 59%, therefore is reducing the cost associated with new recruitment.  A white paper from Achievers shows that disengaged employees are prone to more general errors, which is on average 60% higher than engaged workers. Disengagement of employees costs the U.S. economy alone around $500 billion per year (Achievers. 2021).  Disengaged workers also tend to check for new options and to have a greater turnover ratio, which in turn costs the companies higher in the recruitment process (Aslam, Imran, and Rahman, 2018 and </w:t>
      </w:r>
      <w:proofErr w:type="spellStart"/>
      <w:r w:rsidRPr="000723A4">
        <w:rPr>
          <w:rFonts w:cstheme="minorHAnsi"/>
          <w:sz w:val="24"/>
          <w:szCs w:val="24"/>
        </w:rPr>
        <w:t>Hejjas</w:t>
      </w:r>
      <w:proofErr w:type="spellEnd"/>
      <w:r w:rsidRPr="000723A4">
        <w:rPr>
          <w:rFonts w:cstheme="minorHAnsi"/>
          <w:sz w:val="24"/>
          <w:szCs w:val="24"/>
        </w:rPr>
        <w:t xml:space="preserve">, Miller and </w:t>
      </w:r>
      <w:proofErr w:type="spellStart"/>
      <w:r w:rsidRPr="000723A4">
        <w:rPr>
          <w:rFonts w:cstheme="minorHAnsi"/>
          <w:sz w:val="24"/>
          <w:szCs w:val="24"/>
        </w:rPr>
        <w:t>Scarles</w:t>
      </w:r>
      <w:proofErr w:type="spellEnd"/>
      <w:r w:rsidRPr="000723A4">
        <w:rPr>
          <w:rFonts w:cstheme="minorHAnsi"/>
          <w:sz w:val="24"/>
          <w:szCs w:val="24"/>
        </w:rPr>
        <w:t>, 2019). State of the Global Workplace Report by Gallup said that around 85% of the workforce worldwide are either not engaged or actively disengaged with their works (Gallup, 2021). Hence understanding the drivers behind employee engagement is key to improving it.</w:t>
      </w:r>
    </w:p>
    <w:p w14:paraId="42CFFCFA" w14:textId="4919B772" w:rsidR="00E542A8" w:rsidRDefault="00FC1288" w:rsidP="00F3581F">
      <w:pPr>
        <w:rPr>
          <w:i/>
          <w:iCs/>
          <w:color w:val="2F5496" w:themeColor="accent1" w:themeShade="BF"/>
          <w:sz w:val="32"/>
          <w:szCs w:val="32"/>
        </w:rPr>
      </w:pPr>
      <w:r>
        <w:rPr>
          <w:i/>
          <w:iCs/>
          <w:color w:val="2F5496" w:themeColor="accent1" w:themeShade="BF"/>
          <w:sz w:val="32"/>
          <w:szCs w:val="32"/>
        </w:rPr>
        <w:t>1.2</w:t>
      </w:r>
      <w:r w:rsidR="00E542A8" w:rsidRPr="00E542A8">
        <w:rPr>
          <w:i/>
          <w:iCs/>
          <w:color w:val="2F5496" w:themeColor="accent1" w:themeShade="BF"/>
          <w:sz w:val="32"/>
          <w:szCs w:val="32"/>
        </w:rPr>
        <w:t>Drivers of employee engagement</w:t>
      </w:r>
    </w:p>
    <w:p w14:paraId="2653CFA5" w14:textId="7A9F7796" w:rsidR="00E542A8" w:rsidRDefault="00E542A8" w:rsidP="00E542A8">
      <w:pPr>
        <w:rPr>
          <w:rFonts w:cs="Times New Roman"/>
          <w:sz w:val="24"/>
          <w:szCs w:val="24"/>
        </w:rPr>
      </w:pPr>
      <w:r w:rsidRPr="00E542A8">
        <w:rPr>
          <w:rFonts w:cs="Times New Roman"/>
          <w:sz w:val="24"/>
          <w:szCs w:val="24"/>
        </w:rPr>
        <w:t xml:space="preserve">There are a number of elements identified as drivers behind employee engagement. For example, </w:t>
      </w:r>
      <w:r w:rsidR="0016580A">
        <w:rPr>
          <w:rFonts w:cs="Times New Roman"/>
          <w:sz w:val="24"/>
          <w:szCs w:val="24"/>
        </w:rPr>
        <w:t>I have</w:t>
      </w:r>
      <w:r>
        <w:rPr>
          <w:rFonts w:cs="Times New Roman"/>
          <w:sz w:val="24"/>
          <w:szCs w:val="24"/>
        </w:rPr>
        <w:t xml:space="preserve"> identified</w:t>
      </w:r>
      <w:r w:rsidRPr="00E542A8">
        <w:rPr>
          <w:rFonts w:cs="Times New Roman"/>
          <w:sz w:val="24"/>
          <w:szCs w:val="24"/>
        </w:rPr>
        <w:t xml:space="preserve"> 26 common drivers responsible for employee engagement within 12 top engagement research companies (</w:t>
      </w:r>
      <w:r w:rsidRPr="00E542A8">
        <w:rPr>
          <w:rFonts w:cs="Times New Roman"/>
          <w:sz w:val="24"/>
          <w:szCs w:val="24"/>
          <w:shd w:val="clear" w:color="auto" w:fill="FFFFFF"/>
        </w:rPr>
        <w:t>Gallup, 2021)</w:t>
      </w:r>
      <w:r w:rsidRPr="00E542A8">
        <w:rPr>
          <w:rFonts w:cs="Times New Roman"/>
          <w:sz w:val="24"/>
          <w:szCs w:val="24"/>
        </w:rPr>
        <w:t>. Overall, there are 8 most common drivers which are described below.</w:t>
      </w:r>
    </w:p>
    <w:p w14:paraId="52BBBA44" w14:textId="7DE8365F" w:rsidR="00FC1288" w:rsidRDefault="00FC1288" w:rsidP="00E542A8">
      <w:pPr>
        <w:rPr>
          <w:rFonts w:cs="Times New Roman"/>
          <w:b/>
          <w:bCs/>
          <w:sz w:val="24"/>
          <w:szCs w:val="24"/>
        </w:rPr>
      </w:pPr>
      <w:r w:rsidRPr="00FC1288">
        <w:rPr>
          <w:rFonts w:cs="Times New Roman"/>
          <w:b/>
          <w:bCs/>
          <w:sz w:val="24"/>
          <w:szCs w:val="24"/>
        </w:rPr>
        <w:lastRenderedPageBreak/>
        <w:t>Understanding of organisational strategy</w:t>
      </w:r>
    </w:p>
    <w:p w14:paraId="5761A845" w14:textId="68A2C672" w:rsidR="00FC1288" w:rsidRDefault="00FC1288" w:rsidP="00FC1288">
      <w:pPr>
        <w:rPr>
          <w:sz w:val="24"/>
          <w:szCs w:val="24"/>
        </w:rPr>
      </w:pPr>
      <w:r w:rsidRPr="00FC1288">
        <w:rPr>
          <w:sz w:val="24"/>
          <w:szCs w:val="24"/>
        </w:rPr>
        <w:t>Managing every single employee is impossible</w:t>
      </w:r>
      <w:r>
        <w:rPr>
          <w:sz w:val="24"/>
          <w:szCs w:val="24"/>
        </w:rPr>
        <w:t>,</w:t>
      </w:r>
      <w:r w:rsidRPr="00FC1288">
        <w:rPr>
          <w:sz w:val="24"/>
          <w:szCs w:val="24"/>
        </w:rPr>
        <w:t xml:space="preserve"> rather assisting the employees to understand the organization’s strategic goals is pretty much plausible and engenders better decision making from them. One way of making it possible is the cascade method of communication (</w:t>
      </w:r>
      <w:bookmarkStart w:id="0" w:name="_Hlk78140821"/>
      <w:r w:rsidRPr="00FC1288">
        <w:rPr>
          <w:sz w:val="24"/>
          <w:szCs w:val="24"/>
        </w:rPr>
        <w:t>Anthony, 2018</w:t>
      </w:r>
      <w:bookmarkEnd w:id="0"/>
      <w:r w:rsidRPr="00FC1288">
        <w:rPr>
          <w:sz w:val="24"/>
          <w:szCs w:val="24"/>
        </w:rPr>
        <w:t>). Senior management should interact directly with the front-line employees through emails, town</w:t>
      </w:r>
      <w:r w:rsidR="001070B3">
        <w:rPr>
          <w:sz w:val="24"/>
          <w:szCs w:val="24"/>
        </w:rPr>
        <w:t xml:space="preserve"> </w:t>
      </w:r>
      <w:r w:rsidRPr="00FC1288">
        <w:rPr>
          <w:sz w:val="24"/>
          <w:szCs w:val="24"/>
        </w:rPr>
        <w:t>hall-style conversations</w:t>
      </w:r>
      <w:r w:rsidR="001070B3">
        <w:rPr>
          <w:sz w:val="24"/>
          <w:szCs w:val="24"/>
        </w:rPr>
        <w:t>,</w:t>
      </w:r>
      <w:r w:rsidRPr="00FC1288">
        <w:rPr>
          <w:sz w:val="24"/>
          <w:szCs w:val="24"/>
        </w:rPr>
        <w:t xml:space="preserve"> </w:t>
      </w:r>
      <w:r w:rsidR="00065A66">
        <w:rPr>
          <w:sz w:val="24"/>
          <w:szCs w:val="24"/>
        </w:rPr>
        <w:t>and others,</w:t>
      </w:r>
      <w:r w:rsidRPr="00FC1288">
        <w:rPr>
          <w:sz w:val="24"/>
          <w:szCs w:val="24"/>
        </w:rPr>
        <w:t xml:space="preserve"> which enables them to effectively engage, provide </w:t>
      </w:r>
      <w:r w:rsidR="00F67578" w:rsidRPr="00FC1288">
        <w:rPr>
          <w:sz w:val="24"/>
          <w:szCs w:val="24"/>
        </w:rPr>
        <w:t>feedback</w:t>
      </w:r>
      <w:r w:rsidR="00F67578">
        <w:rPr>
          <w:sz w:val="24"/>
          <w:szCs w:val="24"/>
        </w:rPr>
        <w:t>,</w:t>
      </w:r>
      <w:r w:rsidR="00F67578" w:rsidRPr="00FC1288">
        <w:rPr>
          <w:sz w:val="24"/>
          <w:szCs w:val="24"/>
        </w:rPr>
        <w:t xml:space="preserve"> and</w:t>
      </w:r>
      <w:r w:rsidRPr="00FC1288">
        <w:rPr>
          <w:sz w:val="24"/>
          <w:szCs w:val="24"/>
        </w:rPr>
        <w:t xml:space="preserve"> feel more empowered. This strategy works better than the traditional method of indirect communication between top management and front-line workers.</w:t>
      </w:r>
    </w:p>
    <w:p w14:paraId="66F5C29A" w14:textId="425CDC0C" w:rsidR="00D57083" w:rsidRPr="00BE5135" w:rsidRDefault="00D57083" w:rsidP="00D57083">
      <w:pPr>
        <w:rPr>
          <w:b/>
          <w:bCs/>
          <w:sz w:val="24"/>
          <w:szCs w:val="24"/>
        </w:rPr>
      </w:pPr>
      <w:r w:rsidRPr="00D57083">
        <w:rPr>
          <w:b/>
          <w:bCs/>
          <w:sz w:val="24"/>
          <w:szCs w:val="24"/>
        </w:rPr>
        <w:t>Recognition</w:t>
      </w:r>
      <w:r w:rsidR="00BE5135">
        <w:rPr>
          <w:b/>
          <w:bCs/>
          <w:sz w:val="24"/>
          <w:szCs w:val="24"/>
        </w:rPr>
        <w:t>:</w:t>
      </w:r>
      <w:r w:rsidR="00FA47B9">
        <w:rPr>
          <w:sz w:val="24"/>
          <w:szCs w:val="24"/>
        </w:rPr>
        <w:t xml:space="preserve"> </w:t>
      </w:r>
      <w:r w:rsidR="00FA47B9" w:rsidRPr="00FA47B9">
        <w:rPr>
          <w:sz w:val="24"/>
          <w:szCs w:val="24"/>
        </w:rPr>
        <w:t>Every employee aspires for appreciation, which is a fact of the common human psychology. Recognition of an employee's performance can generate great results in terms of employee engagement. Every now and then, managers should personally recognize the additional efforts beyond requirements made by a team member. It is reassuring workers’ engagement as well as demonstrates a positive impact. According to a survey report, recognition is one of the most effective non-financial processes of retaining employees.</w:t>
      </w:r>
    </w:p>
    <w:p w14:paraId="11CBC459" w14:textId="5D8843F8" w:rsidR="00DA1086" w:rsidRPr="00BE5135" w:rsidRDefault="00DA1086" w:rsidP="00DA1086">
      <w:pPr>
        <w:rPr>
          <w:b/>
          <w:bCs/>
          <w:sz w:val="24"/>
          <w:szCs w:val="24"/>
        </w:rPr>
      </w:pPr>
      <w:r w:rsidRPr="00DA1086">
        <w:rPr>
          <w:b/>
          <w:bCs/>
          <w:sz w:val="24"/>
          <w:szCs w:val="24"/>
        </w:rPr>
        <w:t>Opportunity for growth</w:t>
      </w:r>
      <w:r w:rsidR="00BE5135">
        <w:rPr>
          <w:b/>
          <w:bCs/>
          <w:sz w:val="24"/>
          <w:szCs w:val="24"/>
        </w:rPr>
        <w:t xml:space="preserve">: </w:t>
      </w:r>
      <w:r w:rsidRPr="00DA1086">
        <w:rPr>
          <w:rFonts w:cs="Times New Roman"/>
          <w:sz w:val="24"/>
          <w:szCs w:val="24"/>
        </w:rPr>
        <w:t xml:space="preserve">With the rapid evolution of technology and consequential changes within the industries, the required skill sets for employees are </w:t>
      </w:r>
      <w:r w:rsidR="00AE3A3A">
        <w:rPr>
          <w:rFonts w:cs="Times New Roman"/>
          <w:sz w:val="24"/>
          <w:szCs w:val="24"/>
        </w:rPr>
        <w:t>in continuous development</w:t>
      </w:r>
      <w:r w:rsidRPr="00DA1086">
        <w:rPr>
          <w:rFonts w:cs="Times New Roman"/>
          <w:sz w:val="24"/>
          <w:szCs w:val="24"/>
        </w:rPr>
        <w:t xml:space="preserve">. </w:t>
      </w:r>
      <w:r w:rsidR="00A13942">
        <w:rPr>
          <w:rFonts w:cs="Times New Roman"/>
          <w:sz w:val="24"/>
          <w:szCs w:val="24"/>
        </w:rPr>
        <w:t>Moreover</w:t>
      </w:r>
      <w:r w:rsidRPr="00DA1086">
        <w:rPr>
          <w:rFonts w:cs="Times New Roman"/>
          <w:sz w:val="24"/>
          <w:szCs w:val="24"/>
        </w:rPr>
        <w:t>, companies are bound to pivot every few years with talents having the required skills, which were under the radar just a few years back. Now</w:t>
      </w:r>
      <w:r w:rsidR="001A65A8">
        <w:rPr>
          <w:rFonts w:cs="Times New Roman"/>
          <w:sz w:val="24"/>
          <w:szCs w:val="24"/>
        </w:rPr>
        <w:t>adays</w:t>
      </w:r>
      <w:r w:rsidRPr="00DA1086">
        <w:rPr>
          <w:rFonts w:cs="Times New Roman"/>
          <w:sz w:val="24"/>
          <w:szCs w:val="24"/>
        </w:rPr>
        <w:t>, organizations that provide employees the opportunities to grow their abilities and learn newer skills also indirectly show that they are concern about their employees’ long-term welfare and job security. These opportunities also provide satisfaction to comparatively proactive workers (</w:t>
      </w:r>
      <w:bookmarkStart w:id="1" w:name="_Hlk78140834"/>
      <w:r w:rsidRPr="00DA1086">
        <w:rPr>
          <w:rFonts w:cs="Times New Roman"/>
          <w:sz w:val="24"/>
          <w:szCs w:val="24"/>
        </w:rPr>
        <w:t xml:space="preserve">Shaik and </w:t>
      </w:r>
      <w:proofErr w:type="spellStart"/>
      <w:r w:rsidRPr="00DA1086">
        <w:rPr>
          <w:rFonts w:cs="Times New Roman"/>
          <w:sz w:val="24"/>
          <w:szCs w:val="24"/>
        </w:rPr>
        <w:t>Makhecha</w:t>
      </w:r>
      <w:proofErr w:type="spellEnd"/>
      <w:r w:rsidRPr="00DA1086">
        <w:rPr>
          <w:rFonts w:cs="Times New Roman"/>
          <w:sz w:val="24"/>
          <w:szCs w:val="24"/>
        </w:rPr>
        <w:t>, 2019</w:t>
      </w:r>
      <w:bookmarkEnd w:id="1"/>
      <w:r w:rsidRPr="00DA1086">
        <w:rPr>
          <w:rFonts w:cs="Times New Roman"/>
          <w:sz w:val="24"/>
          <w:szCs w:val="24"/>
        </w:rPr>
        <w:t>). Th</w:t>
      </w:r>
      <w:r>
        <w:rPr>
          <w:rFonts w:cs="Times New Roman"/>
          <w:sz w:val="24"/>
          <w:szCs w:val="24"/>
        </w:rPr>
        <w:t>erefore,</w:t>
      </w:r>
      <w:r w:rsidRPr="00DA1086">
        <w:rPr>
          <w:rFonts w:cs="Times New Roman"/>
          <w:sz w:val="24"/>
          <w:szCs w:val="24"/>
        </w:rPr>
        <w:t xml:space="preserve"> this is a great driver for employee engagement.</w:t>
      </w:r>
    </w:p>
    <w:p w14:paraId="7E0F2D18" w14:textId="63B79FCE" w:rsidR="00DF1A5B" w:rsidRPr="006455A7" w:rsidRDefault="00DF1A5B" w:rsidP="00DF1A5B">
      <w:pPr>
        <w:rPr>
          <w:sz w:val="24"/>
          <w:szCs w:val="24"/>
        </w:rPr>
      </w:pPr>
      <w:r w:rsidRPr="00DF1A5B">
        <w:rPr>
          <w:rFonts w:cs="Times New Roman"/>
          <w:b/>
          <w:bCs/>
          <w:sz w:val="24"/>
          <w:szCs w:val="24"/>
        </w:rPr>
        <w:t>Relationship with the Line Manager</w:t>
      </w:r>
      <w:r w:rsidR="00BE5135">
        <w:rPr>
          <w:rFonts w:cs="Times New Roman"/>
          <w:b/>
          <w:bCs/>
          <w:sz w:val="24"/>
          <w:szCs w:val="24"/>
        </w:rPr>
        <w:t>:</w:t>
      </w:r>
      <w:r w:rsidR="006455A7" w:rsidRPr="006455A7">
        <w:t xml:space="preserve"> </w:t>
      </w:r>
      <w:r w:rsidR="006455A7" w:rsidRPr="006455A7">
        <w:rPr>
          <w:rFonts w:cs="Times New Roman"/>
          <w:sz w:val="24"/>
          <w:szCs w:val="24"/>
        </w:rPr>
        <w:t>The intra-employee relationship is another driver, which can ensure employee engagement up to seven-folds. A group of supportive colleagues help employees to feel more engaged as well as prepare them for a challenging environment, exciting project, or challenging conversation with their manager. Meaningful relationships are a time-consuming yet critical element for employee engagement (Anthony, 2018).</w:t>
      </w:r>
      <w:r w:rsidR="00BE5135" w:rsidRPr="006455A7">
        <w:rPr>
          <w:rFonts w:cs="Times New Roman"/>
          <w:sz w:val="24"/>
          <w:szCs w:val="24"/>
        </w:rPr>
        <w:t xml:space="preserve"> </w:t>
      </w:r>
    </w:p>
    <w:p w14:paraId="1E7FF5D5" w14:textId="2E6E1315" w:rsidR="00151752" w:rsidRPr="00BE5135" w:rsidRDefault="00151752" w:rsidP="00DF1A5B">
      <w:pPr>
        <w:rPr>
          <w:rFonts w:cs="Times New Roman"/>
          <w:b/>
          <w:bCs/>
          <w:sz w:val="24"/>
          <w:szCs w:val="24"/>
        </w:rPr>
      </w:pPr>
      <w:r w:rsidRPr="00151752">
        <w:rPr>
          <w:rFonts w:cs="Times New Roman"/>
          <w:b/>
          <w:bCs/>
          <w:sz w:val="24"/>
          <w:szCs w:val="24"/>
        </w:rPr>
        <w:t xml:space="preserve">Level of autonomy: </w:t>
      </w:r>
      <w:r w:rsidRPr="00151752">
        <w:rPr>
          <w:rFonts w:cs="Times New Roman"/>
          <w:sz w:val="24"/>
          <w:szCs w:val="24"/>
        </w:rPr>
        <w:t>Against the traditional mindset, today’s employees require a certain level of autonomy; especially when knowledge and talent are available. Given that, employee's activities are aligned with larger strategy and key information is dispersed among the team, therefore, knowledge workers should be given the chance to work themselves. Managers should be more trusting and empowering, which in return will provide more engagement, commitment, and productivity from employees.</w:t>
      </w:r>
    </w:p>
    <w:p w14:paraId="0DBB7BF1" w14:textId="0F521808" w:rsidR="00206395" w:rsidRPr="005713F3" w:rsidRDefault="00DD4E18" w:rsidP="00206395">
      <w:pPr>
        <w:rPr>
          <w:rFonts w:cstheme="minorHAnsi"/>
          <w:b/>
          <w:bCs/>
          <w:sz w:val="24"/>
          <w:szCs w:val="24"/>
        </w:rPr>
      </w:pPr>
      <w:r w:rsidRPr="00523D2F">
        <w:rPr>
          <w:rFonts w:cstheme="minorHAnsi"/>
          <w:b/>
          <w:bCs/>
          <w:sz w:val="24"/>
          <w:szCs w:val="24"/>
        </w:rPr>
        <w:t xml:space="preserve">Sense of accomplishment: </w:t>
      </w:r>
      <w:bookmarkStart w:id="2" w:name="_Toc78255313"/>
      <w:r w:rsidR="00206395" w:rsidRPr="00206395">
        <w:rPr>
          <w:rFonts w:cstheme="minorHAnsi"/>
          <w:sz w:val="24"/>
          <w:szCs w:val="24"/>
        </w:rPr>
        <w:t xml:space="preserve">For employees under 35, one of the key drivers for engagement is the sense of accomplishment. Tasks should be more specific with certain incentives that </w:t>
      </w:r>
      <w:r w:rsidR="005713F3" w:rsidRPr="00206395">
        <w:rPr>
          <w:rFonts w:cstheme="minorHAnsi"/>
          <w:sz w:val="24"/>
          <w:szCs w:val="24"/>
        </w:rPr>
        <w:t>install</w:t>
      </w:r>
      <w:r w:rsidR="00206395" w:rsidRPr="00206395">
        <w:rPr>
          <w:rFonts w:cstheme="minorHAnsi"/>
          <w:sz w:val="24"/>
          <w:szCs w:val="24"/>
        </w:rPr>
        <w:t xml:space="preserve"> a sense of accomplishment within the workers. Offering training opportunities will also be helpful in this regard, which enables the employees to develop their skills and feel more engaged.</w:t>
      </w:r>
    </w:p>
    <w:p w14:paraId="490AB1C4" w14:textId="6C8E887E" w:rsidR="00206395" w:rsidRDefault="00206395" w:rsidP="00206395">
      <w:pPr>
        <w:rPr>
          <w:rFonts w:cstheme="minorHAnsi"/>
          <w:sz w:val="24"/>
          <w:szCs w:val="24"/>
        </w:rPr>
      </w:pPr>
      <w:r w:rsidRPr="00206395">
        <w:rPr>
          <w:rFonts w:cstheme="minorHAnsi"/>
          <w:sz w:val="24"/>
          <w:szCs w:val="24"/>
        </w:rPr>
        <w:lastRenderedPageBreak/>
        <w:t xml:space="preserve">Compensation: Compensation is a tricky yet driver with utmost importance for employee engagement. Market, projected growth, and employee contribution should be factored meticulously to ensure an effective and efficient remuneration strategy (Anthony, 2018 and Shaik and </w:t>
      </w:r>
      <w:proofErr w:type="spellStart"/>
      <w:r w:rsidRPr="00206395">
        <w:rPr>
          <w:rFonts w:cstheme="minorHAnsi"/>
          <w:sz w:val="24"/>
          <w:szCs w:val="24"/>
        </w:rPr>
        <w:t>Makhecha</w:t>
      </w:r>
      <w:proofErr w:type="spellEnd"/>
      <w:r w:rsidRPr="00206395">
        <w:rPr>
          <w:rFonts w:cstheme="minorHAnsi"/>
          <w:sz w:val="24"/>
          <w:szCs w:val="24"/>
        </w:rPr>
        <w:t>, 2019). It directly determines the employees’ engagement with the organization. A low salary than the industry standard and infrequent raises might save money in the short run, but in the long run, ensures several folds of losses. So, it is better for any organization to formulate and implement a satisfactory compensation package, focusing to retain the top talents within the organization.</w:t>
      </w:r>
    </w:p>
    <w:p w14:paraId="105C39C5" w14:textId="2921CA04" w:rsidR="00DD4E18" w:rsidRPr="00721AD3" w:rsidRDefault="00721AD3" w:rsidP="00206395">
      <w:pPr>
        <w:rPr>
          <w:rFonts w:cstheme="minorHAnsi"/>
          <w:i/>
          <w:iCs/>
          <w:color w:val="2E74B5" w:themeColor="accent5" w:themeShade="BF"/>
          <w:sz w:val="32"/>
          <w:szCs w:val="32"/>
        </w:rPr>
      </w:pPr>
      <w:r>
        <w:rPr>
          <w:rFonts w:cstheme="minorHAnsi"/>
          <w:i/>
          <w:iCs/>
          <w:color w:val="2E74B5" w:themeColor="accent5" w:themeShade="BF"/>
          <w:sz w:val="32"/>
          <w:szCs w:val="32"/>
        </w:rPr>
        <w:t>2.</w:t>
      </w:r>
      <w:r w:rsidR="00DD4E18" w:rsidRPr="00721AD3">
        <w:rPr>
          <w:rFonts w:cstheme="minorHAnsi"/>
          <w:i/>
          <w:iCs/>
          <w:color w:val="2E74B5" w:themeColor="accent5" w:themeShade="BF"/>
          <w:sz w:val="32"/>
          <w:szCs w:val="32"/>
        </w:rPr>
        <w:t>Diagnostic tools for measuring employee engagement</w:t>
      </w:r>
      <w:bookmarkEnd w:id="2"/>
    </w:p>
    <w:p w14:paraId="16D565A6" w14:textId="77777777" w:rsidR="00EF6DE4" w:rsidRPr="00EF6DE4" w:rsidRDefault="00EF6DE4" w:rsidP="00EF6DE4">
      <w:pPr>
        <w:rPr>
          <w:rFonts w:cstheme="minorHAnsi"/>
          <w:sz w:val="24"/>
          <w:szCs w:val="24"/>
        </w:rPr>
      </w:pPr>
      <w:r w:rsidRPr="00EF6DE4">
        <w:rPr>
          <w:rFonts w:cstheme="minorHAnsi"/>
          <w:sz w:val="24"/>
          <w:szCs w:val="24"/>
        </w:rPr>
        <w:t>There are a number of diagnostic tools available for measuring the engagement of the employees. The best strategy is to use a mixture of them, rather than just sticking to any certain one. The tools are as follows:</w:t>
      </w:r>
    </w:p>
    <w:p w14:paraId="13A9454F" w14:textId="2BA0DFFC" w:rsidR="00EF6DE4" w:rsidRPr="00EF6DE4" w:rsidRDefault="00EF6DE4" w:rsidP="00EF6DE4">
      <w:pPr>
        <w:rPr>
          <w:rFonts w:cstheme="minorHAnsi"/>
          <w:sz w:val="24"/>
          <w:szCs w:val="24"/>
        </w:rPr>
      </w:pPr>
      <w:r w:rsidRPr="00EF6DE4">
        <w:rPr>
          <w:rFonts w:cstheme="minorHAnsi"/>
          <w:b/>
          <w:bCs/>
          <w:sz w:val="24"/>
          <w:szCs w:val="24"/>
        </w:rPr>
        <w:t>Pulse surveys</w:t>
      </w:r>
      <w:r w:rsidRPr="00EF6DE4">
        <w:rPr>
          <w:rFonts w:cstheme="minorHAnsi"/>
          <w:sz w:val="24"/>
          <w:szCs w:val="24"/>
        </w:rPr>
        <w:t>: It is one of the most common and efficient tools for employee engagement (</w:t>
      </w:r>
      <w:proofErr w:type="spellStart"/>
      <w:r w:rsidRPr="00EF6DE4">
        <w:rPr>
          <w:rFonts w:cstheme="minorHAnsi"/>
          <w:sz w:val="24"/>
          <w:szCs w:val="24"/>
        </w:rPr>
        <w:t>Goestjahjanti</w:t>
      </w:r>
      <w:proofErr w:type="spellEnd"/>
      <w:r w:rsidRPr="00EF6DE4">
        <w:rPr>
          <w:rFonts w:cstheme="minorHAnsi"/>
          <w:sz w:val="24"/>
          <w:szCs w:val="24"/>
        </w:rPr>
        <w:t xml:space="preserve"> et al, 2020). The smaller size of the surveys enables them to be distributed more frequently and provides a real-time view of the situation. Data can be collected through a mix of numerical scale and open-ended short questions aimed towards the drivers of engagement. Every survey should be focused on finding a specific insight with a set of relevant five to ten questions. These anonymous survey insights can be used to make decisions regarding modification. </w:t>
      </w:r>
    </w:p>
    <w:p w14:paraId="5F6085A1" w14:textId="5FD49D6C" w:rsidR="00DD4E18" w:rsidRPr="00523D2F" w:rsidRDefault="00EF6DE4" w:rsidP="00EF6DE4">
      <w:pPr>
        <w:rPr>
          <w:rFonts w:cstheme="minorHAnsi"/>
          <w:sz w:val="24"/>
          <w:szCs w:val="24"/>
        </w:rPr>
      </w:pPr>
      <w:r w:rsidRPr="00EF6DE4">
        <w:rPr>
          <w:rFonts w:cstheme="minorHAnsi"/>
          <w:b/>
          <w:bCs/>
          <w:sz w:val="24"/>
          <w:szCs w:val="24"/>
        </w:rPr>
        <w:t>One-on-one meetings</w:t>
      </w:r>
      <w:r w:rsidRPr="00EF6DE4">
        <w:rPr>
          <w:rFonts w:cstheme="minorHAnsi"/>
          <w:sz w:val="24"/>
          <w:szCs w:val="24"/>
        </w:rPr>
        <w:t>: Private meetings enable employees to focus on matters relatively more important to them, which might be missing in the surveys. The focus should be given to listening to the employee within these meetings. Besides, the interviewer should be someone who has a solid relationship with the interviewee (St-Aubin, 2021). This way these meetings would be more beneficial, compared to other tools</w:t>
      </w:r>
    </w:p>
    <w:p w14:paraId="294645BF" w14:textId="1A7F7691" w:rsidR="00EF6DE4" w:rsidRPr="00EF6DE4" w:rsidRDefault="00DD4E18" w:rsidP="00EF6DE4">
      <w:pPr>
        <w:rPr>
          <w:rFonts w:cstheme="minorHAnsi"/>
          <w:sz w:val="24"/>
          <w:szCs w:val="24"/>
        </w:rPr>
      </w:pPr>
      <w:r w:rsidRPr="00523D2F">
        <w:rPr>
          <w:rFonts w:cstheme="minorHAnsi"/>
          <w:b/>
          <w:bCs/>
          <w:sz w:val="24"/>
          <w:szCs w:val="24"/>
        </w:rPr>
        <w:t>Small group discussions:</w:t>
      </w:r>
      <w:r w:rsidRPr="00523D2F">
        <w:rPr>
          <w:rFonts w:cstheme="minorHAnsi"/>
          <w:sz w:val="24"/>
          <w:szCs w:val="24"/>
        </w:rPr>
        <w:t xml:space="preserve"> </w:t>
      </w:r>
      <w:r w:rsidR="00324035">
        <w:rPr>
          <w:rFonts w:cstheme="minorHAnsi"/>
          <w:sz w:val="24"/>
          <w:szCs w:val="24"/>
        </w:rPr>
        <w:t>G</w:t>
      </w:r>
      <w:r w:rsidR="00EF6DE4" w:rsidRPr="00EF6DE4">
        <w:rPr>
          <w:rFonts w:cstheme="minorHAnsi"/>
          <w:sz w:val="24"/>
          <w:szCs w:val="24"/>
        </w:rPr>
        <w:t xml:space="preserve">roup discussions are alternative for bigger companies, where one-on-one meetings aren’t a plausible option. Employees from similar departments should be clustered and discussion should be conducted on the team’s challenges and successes; whereas cross-departmental group discussions should be held for understanding the inter-departmental issues and the overall bigger picture (Burnett and </w:t>
      </w:r>
      <w:proofErr w:type="spellStart"/>
      <w:r w:rsidR="00EF6DE4" w:rsidRPr="00EF6DE4">
        <w:rPr>
          <w:rFonts w:cstheme="minorHAnsi"/>
          <w:sz w:val="24"/>
          <w:szCs w:val="24"/>
        </w:rPr>
        <w:t>Lisk</w:t>
      </w:r>
      <w:proofErr w:type="spellEnd"/>
      <w:r w:rsidR="00EF6DE4" w:rsidRPr="00EF6DE4">
        <w:rPr>
          <w:rFonts w:cstheme="minorHAnsi"/>
          <w:sz w:val="24"/>
          <w:szCs w:val="24"/>
        </w:rPr>
        <w:t>, 2019).</w:t>
      </w:r>
    </w:p>
    <w:p w14:paraId="07EE66CA" w14:textId="77777777" w:rsidR="00EF6DE4" w:rsidRPr="00EF6DE4" w:rsidRDefault="00EF6DE4" w:rsidP="00EF6DE4">
      <w:pPr>
        <w:rPr>
          <w:rFonts w:cstheme="minorHAnsi"/>
          <w:sz w:val="24"/>
          <w:szCs w:val="24"/>
        </w:rPr>
      </w:pPr>
      <w:r w:rsidRPr="00EF6DE4">
        <w:rPr>
          <w:rFonts w:cstheme="minorHAnsi"/>
          <w:b/>
          <w:bCs/>
          <w:sz w:val="24"/>
          <w:szCs w:val="24"/>
        </w:rPr>
        <w:t>Stay and exit interviews</w:t>
      </w:r>
      <w:r w:rsidRPr="00EF6DE4">
        <w:rPr>
          <w:rFonts w:cstheme="minorHAnsi"/>
          <w:sz w:val="24"/>
          <w:szCs w:val="24"/>
        </w:rPr>
        <w:t>: Many organizations conduct exit interviews, but more importance should be given to conducting stay interviews. These interviews should be focused on learning what makes employees remain within the organizations and how things can be improved. Finally, when someone wants to leave, exit interviews should be arranged to find out the issues. However, it is more of a reactive tactic; so, stay interviews are more effective in this aspect.</w:t>
      </w:r>
    </w:p>
    <w:p w14:paraId="14F36A80" w14:textId="5FEA01E9" w:rsidR="00EF6DE4" w:rsidRPr="00523D2F" w:rsidRDefault="00EF6DE4" w:rsidP="00EF6DE4">
      <w:pPr>
        <w:rPr>
          <w:rFonts w:cstheme="minorHAnsi"/>
          <w:sz w:val="24"/>
          <w:szCs w:val="24"/>
        </w:rPr>
      </w:pPr>
      <w:r w:rsidRPr="00EF6DE4">
        <w:rPr>
          <w:rFonts w:cstheme="minorHAnsi"/>
          <w:b/>
          <w:bCs/>
          <w:sz w:val="24"/>
          <w:szCs w:val="24"/>
        </w:rPr>
        <w:t>Employee Net Promoter Score (ENPS</w:t>
      </w:r>
      <w:r w:rsidRPr="00EF6DE4">
        <w:rPr>
          <w:rFonts w:cstheme="minorHAnsi"/>
          <w:sz w:val="24"/>
          <w:szCs w:val="24"/>
        </w:rPr>
        <w:t>): ENPS is a tool that focuses on assessing employee loyalty. It is based on Net Promoter Score (NPS), which was designed to measure customer loyalty. Employees anonymously mark their company on a scale of 1-10; the score is again classified into three categories: detractors (0-6), passives (7&amp;8), and promoters (9&amp;10). Detractors</w:t>
      </w:r>
    </w:p>
    <w:p w14:paraId="718FC857" w14:textId="7AD65267" w:rsidR="00DD4E18" w:rsidRPr="00523D2F" w:rsidRDefault="00DD4E18" w:rsidP="00DD4E18">
      <w:pPr>
        <w:rPr>
          <w:rFonts w:cstheme="minorHAnsi"/>
          <w:sz w:val="24"/>
          <w:szCs w:val="24"/>
        </w:rPr>
      </w:pPr>
      <w:r w:rsidRPr="00523D2F">
        <w:rPr>
          <w:rFonts w:cstheme="minorHAnsi"/>
          <w:sz w:val="24"/>
          <w:szCs w:val="24"/>
        </w:rPr>
        <w:lastRenderedPageBreak/>
        <w:t xml:space="preserve">wouldn’t recommend working for the organization whereas promoters are the biggest supporters. </w:t>
      </w:r>
      <w:r w:rsidR="004D3FDD">
        <w:rPr>
          <w:rFonts w:cstheme="minorHAnsi"/>
          <w:sz w:val="24"/>
          <w:szCs w:val="24"/>
        </w:rPr>
        <w:t>E</w:t>
      </w:r>
      <w:r w:rsidRPr="00523D2F">
        <w:rPr>
          <w:rFonts w:cstheme="minorHAnsi"/>
          <w:sz w:val="24"/>
          <w:szCs w:val="24"/>
        </w:rPr>
        <w:t xml:space="preserve">NPS nicely depicts the workforce clusters based </w:t>
      </w:r>
      <w:r w:rsidR="00FB11C3">
        <w:rPr>
          <w:rFonts w:cstheme="minorHAnsi"/>
          <w:sz w:val="24"/>
          <w:szCs w:val="24"/>
        </w:rPr>
        <w:t>on</w:t>
      </w:r>
      <w:r w:rsidRPr="00523D2F">
        <w:rPr>
          <w:rFonts w:cstheme="minorHAnsi"/>
          <w:sz w:val="24"/>
          <w:szCs w:val="24"/>
        </w:rPr>
        <w:t xml:space="preserve"> dedication and engagement; though it doesn’t explain the underlying reasons (</w:t>
      </w:r>
      <w:proofErr w:type="spellStart"/>
      <w:r w:rsidRPr="00523D2F">
        <w:rPr>
          <w:rFonts w:cstheme="minorHAnsi"/>
          <w:sz w:val="24"/>
          <w:szCs w:val="24"/>
        </w:rPr>
        <w:t>Yaneva</w:t>
      </w:r>
      <w:proofErr w:type="spellEnd"/>
      <w:r w:rsidRPr="00523D2F">
        <w:rPr>
          <w:rFonts w:cstheme="minorHAnsi"/>
          <w:sz w:val="24"/>
          <w:szCs w:val="24"/>
        </w:rPr>
        <w:t xml:space="preserve">, 2018). </w:t>
      </w:r>
    </w:p>
    <w:p w14:paraId="3405A898" w14:textId="7C5E3F30" w:rsidR="00DD4E18" w:rsidRDefault="00DD4E18" w:rsidP="00DD4E18">
      <w:pPr>
        <w:pStyle w:val="Heading1"/>
        <w:numPr>
          <w:ilvl w:val="0"/>
          <w:numId w:val="1"/>
        </w:numPr>
        <w:spacing w:line="360" w:lineRule="auto"/>
        <w:jc w:val="both"/>
        <w:rPr>
          <w:rFonts w:asciiTheme="minorHAnsi" w:hAnsiTheme="minorHAnsi" w:cstheme="minorHAnsi"/>
          <w:i/>
          <w:iCs/>
        </w:rPr>
      </w:pPr>
      <w:bookmarkStart w:id="3" w:name="_Toc78255314"/>
      <w:r w:rsidRPr="00B6025F">
        <w:rPr>
          <w:rFonts w:asciiTheme="minorHAnsi" w:hAnsiTheme="minorHAnsi" w:cstheme="minorHAnsi"/>
          <w:i/>
          <w:iCs/>
        </w:rPr>
        <w:t>Constructi</w:t>
      </w:r>
      <w:r w:rsidR="00C927A7">
        <w:rPr>
          <w:rFonts w:asciiTheme="minorHAnsi" w:hAnsiTheme="minorHAnsi" w:cstheme="minorHAnsi"/>
          <w:i/>
          <w:iCs/>
        </w:rPr>
        <w:t>ve</w:t>
      </w:r>
      <w:r w:rsidRPr="00B6025F">
        <w:rPr>
          <w:rFonts w:asciiTheme="minorHAnsi" w:hAnsiTheme="minorHAnsi" w:cstheme="minorHAnsi"/>
          <w:i/>
          <w:iCs/>
        </w:rPr>
        <w:t xml:space="preserve"> Employee Value Proposition (EVP)</w:t>
      </w:r>
      <w:bookmarkEnd w:id="3"/>
    </w:p>
    <w:p w14:paraId="70BECD01" w14:textId="77777777" w:rsidR="00AD0474" w:rsidRPr="00AD0474" w:rsidRDefault="00AD0474" w:rsidP="00AD0474">
      <w:pPr>
        <w:rPr>
          <w:sz w:val="24"/>
          <w:szCs w:val="24"/>
        </w:rPr>
      </w:pPr>
      <w:r w:rsidRPr="00AD0474">
        <w:rPr>
          <w:sz w:val="24"/>
          <w:szCs w:val="24"/>
        </w:rPr>
        <w:t xml:space="preserve">In the traditional sense, Employee Value Proposition (EVP) is the combination of financial and non-financial benefits provided to the employees for their contribution to an organization. The modern definition says EVP is the ecosystem consisting of support, recognition, and values by the employer in order to facilitate the employees to achieve their max potential. EVP is important for attracting and retaining top talents as well as optimizing recruitment expenses. </w:t>
      </w:r>
    </w:p>
    <w:p w14:paraId="46AB0C8C" w14:textId="08C61714" w:rsidR="00AD0474" w:rsidRDefault="00AD0474" w:rsidP="00AD0474">
      <w:pPr>
        <w:rPr>
          <w:sz w:val="24"/>
          <w:szCs w:val="24"/>
        </w:rPr>
      </w:pPr>
      <w:r w:rsidRPr="00AD0474">
        <w:rPr>
          <w:sz w:val="24"/>
          <w:szCs w:val="24"/>
        </w:rPr>
        <w:t>HR theories list five main components for EVP that can be used towards organizations in a way that can be helpful for engagement between employees and management. Financial rewards, employee benefits, career development, work environment, and culture are the main theories that can improve employee engagement within the organization resulting in better performance and image</w:t>
      </w:r>
      <w:r>
        <w:rPr>
          <w:sz w:val="24"/>
          <w:szCs w:val="24"/>
        </w:rPr>
        <w:t>.</w:t>
      </w:r>
    </w:p>
    <w:p w14:paraId="32701875" w14:textId="796C9B20" w:rsidR="00AD0474" w:rsidRDefault="00AD0474" w:rsidP="00AD0474">
      <w:pPr>
        <w:rPr>
          <w:sz w:val="24"/>
          <w:szCs w:val="24"/>
        </w:rPr>
      </w:pPr>
      <w:r w:rsidRPr="00AD0474">
        <w:rPr>
          <w:sz w:val="24"/>
          <w:szCs w:val="24"/>
        </w:rPr>
        <w:t>A good salary, bonuses, and benefits can attract employee attention to better work performance. Career development is a key to discover talent within employees and make them feel valued and passionate in achieving the organization's goals. The work environment is an important aspect for employees. Teamwork, flexible hours, recognition, and better communication is part of great team-building and engagement. Creating a culture within the organization allows employees to trust and collaborate better leading to a great work relationship aligned with company goals and performance.</w:t>
      </w:r>
    </w:p>
    <w:p w14:paraId="14B4AF50" w14:textId="77777777" w:rsidR="00AD0474" w:rsidRPr="00AD0474" w:rsidRDefault="00AD0474" w:rsidP="00AD0474">
      <w:pPr>
        <w:rPr>
          <w:sz w:val="24"/>
          <w:szCs w:val="24"/>
        </w:rPr>
      </w:pPr>
      <w:r w:rsidRPr="00AD0474">
        <w:rPr>
          <w:sz w:val="24"/>
          <w:szCs w:val="24"/>
        </w:rPr>
        <w:t>Traditional EVP is getting less impactful within the pandemic-oriented remote workforce. So, some additional human-centric actions must be included for an effective EVP (</w:t>
      </w:r>
      <w:proofErr w:type="spellStart"/>
      <w:r w:rsidRPr="00AD0474">
        <w:rPr>
          <w:sz w:val="24"/>
          <w:szCs w:val="24"/>
        </w:rPr>
        <w:t>Venkataramani</w:t>
      </w:r>
      <w:proofErr w:type="spellEnd"/>
      <w:r w:rsidRPr="00AD0474">
        <w:rPr>
          <w:sz w:val="24"/>
          <w:szCs w:val="24"/>
        </w:rPr>
        <w:t>, 2021). Mentionable actions are:</w:t>
      </w:r>
    </w:p>
    <w:p w14:paraId="72B65119" w14:textId="77777777" w:rsidR="00AD0474" w:rsidRPr="00AD0474" w:rsidRDefault="00AD0474" w:rsidP="00AD0474">
      <w:pPr>
        <w:rPr>
          <w:sz w:val="24"/>
          <w:szCs w:val="24"/>
        </w:rPr>
      </w:pPr>
      <w:r w:rsidRPr="00AD0474">
        <w:rPr>
          <w:sz w:val="24"/>
          <w:szCs w:val="24"/>
        </w:rPr>
        <w:t>Deeper connections: Including goal-based daily task plans and talent processes, modifying family benefits based on employee needs and organizational capacity, and educating the managers regarding more people-centric attitudes will ensure building a deeper connection within the organization (</w:t>
      </w:r>
      <w:proofErr w:type="spellStart"/>
      <w:r w:rsidRPr="00AD0474">
        <w:rPr>
          <w:sz w:val="24"/>
          <w:szCs w:val="24"/>
        </w:rPr>
        <w:t>Chanana</w:t>
      </w:r>
      <w:proofErr w:type="spellEnd"/>
      <w:r w:rsidRPr="00AD0474">
        <w:rPr>
          <w:sz w:val="24"/>
          <w:szCs w:val="24"/>
        </w:rPr>
        <w:t xml:space="preserve">, 2020).  </w:t>
      </w:r>
    </w:p>
    <w:p w14:paraId="57521F65" w14:textId="77777777" w:rsidR="00AD0474" w:rsidRPr="00AD0474" w:rsidRDefault="00AD0474" w:rsidP="00AD0474">
      <w:pPr>
        <w:rPr>
          <w:sz w:val="24"/>
          <w:szCs w:val="24"/>
        </w:rPr>
      </w:pPr>
      <w:r w:rsidRPr="00AD0474">
        <w:rPr>
          <w:sz w:val="24"/>
          <w:szCs w:val="24"/>
        </w:rPr>
        <w:t>Radical flexibility: Employee and team relative more flexibility and autonomy, aligned with organizational strategy and communication within the team will bring in radical change within the employees’ confidence, satisfaction, and engagement.</w:t>
      </w:r>
    </w:p>
    <w:p w14:paraId="048B5484" w14:textId="77777777" w:rsidR="00AD0474" w:rsidRPr="00AD0474" w:rsidRDefault="00AD0474" w:rsidP="00AD0474">
      <w:pPr>
        <w:rPr>
          <w:sz w:val="24"/>
          <w:szCs w:val="24"/>
        </w:rPr>
      </w:pPr>
      <w:r w:rsidRPr="00AD0474">
        <w:rPr>
          <w:sz w:val="24"/>
          <w:szCs w:val="24"/>
        </w:rPr>
        <w:t>Redefined personal growth: Customized personal growth opportunities along with virtual sessions focused on personal necessities will certainly meet the needs of the employees during and after-pandemic workplace. Sponsoring an online learning platform, encouraging peer-to-peer learning, etc will help to implement the aforementioned goal.</w:t>
      </w:r>
    </w:p>
    <w:p w14:paraId="7035F1DD" w14:textId="77777777" w:rsidR="00AD0474" w:rsidRPr="00AD0474" w:rsidRDefault="00AD0474" w:rsidP="00AD0474">
      <w:pPr>
        <w:rPr>
          <w:sz w:val="24"/>
          <w:szCs w:val="24"/>
        </w:rPr>
      </w:pPr>
      <w:r w:rsidRPr="00AD0474">
        <w:rPr>
          <w:sz w:val="24"/>
          <w:szCs w:val="24"/>
        </w:rPr>
        <w:t xml:space="preserve">Holistic well-being: Managers must focus on person to person for the implementation of a holistic well-being approach. Regular virtual one-on-one sessions with line managers, honest </w:t>
      </w:r>
      <w:r w:rsidRPr="00AD0474">
        <w:rPr>
          <w:sz w:val="24"/>
          <w:szCs w:val="24"/>
        </w:rPr>
        <w:lastRenderedPageBreak/>
        <w:t>conversations about mental health, virtual team discussion, and gamification activities, etc will surely go a long way to ensure the holistic well-being of the employees and in turn, will make them more engaged (</w:t>
      </w:r>
      <w:proofErr w:type="spellStart"/>
      <w:r w:rsidRPr="00AD0474">
        <w:rPr>
          <w:sz w:val="24"/>
          <w:szCs w:val="24"/>
        </w:rPr>
        <w:t>Risley</w:t>
      </w:r>
      <w:proofErr w:type="spellEnd"/>
      <w:r w:rsidRPr="00AD0474">
        <w:rPr>
          <w:sz w:val="24"/>
          <w:szCs w:val="24"/>
        </w:rPr>
        <w:t>, 2020).</w:t>
      </w:r>
    </w:p>
    <w:p w14:paraId="568813EF" w14:textId="608CA80A" w:rsidR="00AD0474" w:rsidRPr="00AD0474" w:rsidRDefault="00AD0474" w:rsidP="00AD0474">
      <w:pPr>
        <w:rPr>
          <w:sz w:val="24"/>
          <w:szCs w:val="24"/>
        </w:rPr>
      </w:pPr>
      <w:r w:rsidRPr="00AD0474">
        <w:rPr>
          <w:sz w:val="24"/>
          <w:szCs w:val="24"/>
        </w:rPr>
        <w:t>Shared purpose: Encouraging inter-organizational decisive ownership of societal issues, creating accountability for implementing personalized actions on those issues, and ensuring better implemented CSR by prioritizing those societal issues aligned with organizational goals – collectively confirms the “shared purpose” element of the modern EVP.</w:t>
      </w:r>
    </w:p>
    <w:p w14:paraId="36D22ECC" w14:textId="77777777" w:rsidR="00DD4E18" w:rsidRPr="009C42FC" w:rsidRDefault="00DD4E18" w:rsidP="00DD4E18">
      <w:pPr>
        <w:pStyle w:val="Heading1"/>
        <w:rPr>
          <w:rFonts w:asciiTheme="minorHAnsi" w:hAnsiTheme="minorHAnsi" w:cstheme="minorHAnsi"/>
          <w:i/>
          <w:iCs/>
        </w:rPr>
      </w:pPr>
      <w:bookmarkStart w:id="4" w:name="_Toc78255315"/>
      <w:r w:rsidRPr="009C42FC">
        <w:rPr>
          <w:rFonts w:asciiTheme="minorHAnsi" w:hAnsiTheme="minorHAnsi" w:cstheme="minorHAnsi"/>
          <w:i/>
          <w:iCs/>
        </w:rPr>
        <w:t>Conclusion</w:t>
      </w:r>
      <w:bookmarkEnd w:id="4"/>
    </w:p>
    <w:p w14:paraId="349AA01A" w14:textId="77777777" w:rsidR="007E227A" w:rsidRDefault="009C42FC" w:rsidP="007E227A">
      <w:pPr>
        <w:rPr>
          <w:rFonts w:cstheme="minorHAnsi"/>
          <w:sz w:val="24"/>
          <w:szCs w:val="24"/>
        </w:rPr>
      </w:pPr>
      <w:r w:rsidRPr="009C42FC">
        <w:rPr>
          <w:rFonts w:cstheme="minorHAnsi"/>
          <w:sz w:val="24"/>
          <w:szCs w:val="24"/>
        </w:rPr>
        <w:t xml:space="preserve">Employee engagement is essential for the excellence of an organization. An engaging employee is a continuous process, that requires meticulous planning, utilizing the right tools, </w:t>
      </w:r>
      <w:r w:rsidRPr="009C42FC">
        <w:rPr>
          <w:rFonts w:cstheme="minorHAnsi"/>
          <w:sz w:val="24"/>
          <w:szCs w:val="24"/>
        </w:rPr>
        <w:t>analysing</w:t>
      </w:r>
      <w:r w:rsidRPr="009C42FC">
        <w:rPr>
          <w:rFonts w:cstheme="minorHAnsi"/>
          <w:sz w:val="24"/>
          <w:szCs w:val="24"/>
        </w:rPr>
        <w:t xml:space="preserve"> the results, and modifying HR policies, then again going back to tracking the results. Through effective utilization of the right EVP, it is plausible to attract, retain and develop the best talents available within the organization’s capacity. And for that, modernizing the EVP based on changing dynamics and adapting according</w:t>
      </w:r>
      <w:r w:rsidR="00721AD3">
        <w:rPr>
          <w:rFonts w:cstheme="minorHAnsi"/>
          <w:sz w:val="24"/>
          <w:szCs w:val="24"/>
        </w:rPr>
        <w:t>ly is the way to achieve the best performance for organisations.</w:t>
      </w:r>
      <w:bookmarkStart w:id="5" w:name="_Toc78255316"/>
    </w:p>
    <w:p w14:paraId="4364D5CD" w14:textId="77777777" w:rsidR="007E227A" w:rsidRDefault="007E227A" w:rsidP="007E227A">
      <w:pPr>
        <w:rPr>
          <w:rFonts w:cstheme="minorHAnsi"/>
          <w:sz w:val="24"/>
          <w:szCs w:val="24"/>
        </w:rPr>
      </w:pPr>
    </w:p>
    <w:p w14:paraId="3932E828" w14:textId="77777777" w:rsidR="007E227A" w:rsidRDefault="007E227A" w:rsidP="007E227A">
      <w:pPr>
        <w:rPr>
          <w:rFonts w:cstheme="minorHAnsi"/>
          <w:sz w:val="24"/>
          <w:szCs w:val="24"/>
        </w:rPr>
      </w:pPr>
    </w:p>
    <w:p w14:paraId="51976174" w14:textId="77777777" w:rsidR="007E227A" w:rsidRDefault="007E227A" w:rsidP="007E227A">
      <w:pPr>
        <w:rPr>
          <w:rFonts w:cstheme="minorHAnsi"/>
          <w:sz w:val="24"/>
          <w:szCs w:val="24"/>
        </w:rPr>
      </w:pPr>
    </w:p>
    <w:p w14:paraId="2362471E" w14:textId="77777777" w:rsidR="007E227A" w:rsidRDefault="007E227A" w:rsidP="007E227A">
      <w:pPr>
        <w:rPr>
          <w:rFonts w:cstheme="minorHAnsi"/>
          <w:sz w:val="24"/>
          <w:szCs w:val="24"/>
        </w:rPr>
      </w:pPr>
    </w:p>
    <w:p w14:paraId="4E861019" w14:textId="77777777" w:rsidR="007E227A" w:rsidRDefault="007E227A" w:rsidP="007E227A">
      <w:pPr>
        <w:rPr>
          <w:rFonts w:cstheme="minorHAnsi"/>
          <w:sz w:val="24"/>
          <w:szCs w:val="24"/>
        </w:rPr>
      </w:pPr>
    </w:p>
    <w:p w14:paraId="76CBC38F" w14:textId="77777777" w:rsidR="007E227A" w:rsidRDefault="007E227A" w:rsidP="007E227A">
      <w:pPr>
        <w:rPr>
          <w:rFonts w:cstheme="minorHAnsi"/>
          <w:sz w:val="24"/>
          <w:szCs w:val="24"/>
        </w:rPr>
      </w:pPr>
    </w:p>
    <w:p w14:paraId="455A3539" w14:textId="77777777" w:rsidR="007E227A" w:rsidRDefault="007E227A" w:rsidP="007E227A">
      <w:pPr>
        <w:rPr>
          <w:rFonts w:cstheme="minorHAnsi"/>
          <w:sz w:val="24"/>
          <w:szCs w:val="24"/>
        </w:rPr>
      </w:pPr>
    </w:p>
    <w:p w14:paraId="3940572E" w14:textId="77777777" w:rsidR="007E227A" w:rsidRDefault="007E227A" w:rsidP="007E227A">
      <w:pPr>
        <w:rPr>
          <w:rFonts w:cstheme="minorHAnsi"/>
          <w:sz w:val="24"/>
          <w:szCs w:val="24"/>
        </w:rPr>
      </w:pPr>
    </w:p>
    <w:p w14:paraId="389DF1CC" w14:textId="77777777" w:rsidR="007E227A" w:rsidRDefault="007E227A" w:rsidP="007E227A">
      <w:pPr>
        <w:rPr>
          <w:rFonts w:cstheme="minorHAnsi"/>
          <w:sz w:val="24"/>
          <w:szCs w:val="24"/>
        </w:rPr>
      </w:pPr>
    </w:p>
    <w:p w14:paraId="489D6166" w14:textId="77777777" w:rsidR="007E227A" w:rsidRDefault="007E227A" w:rsidP="007E227A">
      <w:pPr>
        <w:rPr>
          <w:rFonts w:cstheme="minorHAnsi"/>
          <w:sz w:val="24"/>
          <w:szCs w:val="24"/>
        </w:rPr>
      </w:pPr>
    </w:p>
    <w:p w14:paraId="358D5B42" w14:textId="77777777" w:rsidR="007E227A" w:rsidRDefault="007E227A" w:rsidP="007E227A">
      <w:pPr>
        <w:rPr>
          <w:rFonts w:cstheme="minorHAnsi"/>
          <w:sz w:val="24"/>
          <w:szCs w:val="24"/>
        </w:rPr>
      </w:pPr>
    </w:p>
    <w:p w14:paraId="20B0B3B4" w14:textId="77777777" w:rsidR="007E227A" w:rsidRDefault="007E227A" w:rsidP="007E227A">
      <w:pPr>
        <w:rPr>
          <w:rFonts w:cstheme="minorHAnsi"/>
          <w:sz w:val="24"/>
          <w:szCs w:val="24"/>
        </w:rPr>
      </w:pPr>
    </w:p>
    <w:p w14:paraId="089E5657" w14:textId="77777777" w:rsidR="007E227A" w:rsidRDefault="007E227A" w:rsidP="007E227A">
      <w:pPr>
        <w:rPr>
          <w:rFonts w:cstheme="minorHAnsi"/>
          <w:sz w:val="24"/>
          <w:szCs w:val="24"/>
        </w:rPr>
      </w:pPr>
    </w:p>
    <w:p w14:paraId="1A5B19E3" w14:textId="77777777" w:rsidR="007E227A" w:rsidRDefault="007E227A" w:rsidP="007E227A">
      <w:pPr>
        <w:rPr>
          <w:rFonts w:cstheme="minorHAnsi"/>
          <w:sz w:val="24"/>
          <w:szCs w:val="24"/>
        </w:rPr>
      </w:pPr>
    </w:p>
    <w:p w14:paraId="08319E7B" w14:textId="77777777" w:rsidR="007E227A" w:rsidRDefault="007E227A" w:rsidP="007E227A">
      <w:pPr>
        <w:rPr>
          <w:rFonts w:cstheme="minorHAnsi"/>
          <w:sz w:val="24"/>
          <w:szCs w:val="24"/>
        </w:rPr>
      </w:pPr>
    </w:p>
    <w:p w14:paraId="0600EA78" w14:textId="77777777" w:rsidR="007E227A" w:rsidRDefault="007E227A" w:rsidP="007E227A">
      <w:pPr>
        <w:rPr>
          <w:rFonts w:cstheme="minorHAnsi"/>
          <w:sz w:val="24"/>
          <w:szCs w:val="24"/>
        </w:rPr>
      </w:pPr>
    </w:p>
    <w:p w14:paraId="7BF0D97C" w14:textId="77777777" w:rsidR="007E227A" w:rsidRDefault="007E227A" w:rsidP="007E227A">
      <w:pPr>
        <w:rPr>
          <w:rFonts w:cstheme="minorHAnsi"/>
          <w:sz w:val="24"/>
          <w:szCs w:val="24"/>
        </w:rPr>
      </w:pPr>
    </w:p>
    <w:p w14:paraId="2C3973CB" w14:textId="77777777" w:rsidR="007E227A" w:rsidRDefault="007E227A" w:rsidP="007E227A">
      <w:pPr>
        <w:rPr>
          <w:rFonts w:cstheme="minorHAnsi"/>
          <w:sz w:val="24"/>
          <w:szCs w:val="24"/>
        </w:rPr>
      </w:pPr>
    </w:p>
    <w:p w14:paraId="274F0912" w14:textId="61D46527" w:rsidR="00DD4E18" w:rsidRPr="007E227A" w:rsidRDefault="00DD4E18" w:rsidP="007E227A">
      <w:pPr>
        <w:rPr>
          <w:rFonts w:cstheme="minorHAnsi"/>
          <w:color w:val="2E74B5" w:themeColor="accent5" w:themeShade="BF"/>
          <w:sz w:val="24"/>
          <w:szCs w:val="24"/>
        </w:rPr>
      </w:pPr>
      <w:r w:rsidRPr="007E227A">
        <w:rPr>
          <w:rFonts w:cstheme="minorHAnsi"/>
          <w:i/>
          <w:iCs/>
          <w:color w:val="2E74B5" w:themeColor="accent5" w:themeShade="BF"/>
          <w:sz w:val="32"/>
          <w:szCs w:val="32"/>
        </w:rPr>
        <w:lastRenderedPageBreak/>
        <w:t>Reference</w:t>
      </w:r>
      <w:bookmarkEnd w:id="5"/>
    </w:p>
    <w:p w14:paraId="1E1BCBFC" w14:textId="77777777" w:rsidR="00DD4E18" w:rsidRPr="00523D2F" w:rsidRDefault="00DD4E18" w:rsidP="00DD4E18">
      <w:pPr>
        <w:rPr>
          <w:rFonts w:cstheme="minorHAnsi"/>
          <w:sz w:val="24"/>
          <w:szCs w:val="24"/>
          <w:shd w:val="clear" w:color="auto" w:fill="FFFFFF"/>
        </w:rPr>
      </w:pPr>
      <w:bookmarkStart w:id="6" w:name="_Hlk78140280"/>
      <w:r w:rsidRPr="00523D2F">
        <w:rPr>
          <w:rFonts w:cstheme="minorHAnsi"/>
          <w:sz w:val="24"/>
          <w:szCs w:val="24"/>
          <w:shd w:val="clear" w:color="auto" w:fill="FFFFFF"/>
        </w:rPr>
        <w:t>Achievers. 2021</w:t>
      </w:r>
      <w:bookmarkEnd w:id="6"/>
      <w:r w:rsidRPr="00523D2F">
        <w:rPr>
          <w:rFonts w:cstheme="minorHAnsi"/>
          <w:sz w:val="24"/>
          <w:szCs w:val="24"/>
          <w:shd w:val="clear" w:color="auto" w:fill="FFFFFF"/>
        </w:rPr>
        <w:t>. </w:t>
      </w:r>
      <w:r w:rsidRPr="00523D2F">
        <w:rPr>
          <w:rFonts w:cstheme="minorHAnsi"/>
          <w:i/>
          <w:iCs/>
          <w:sz w:val="24"/>
          <w:szCs w:val="24"/>
          <w:shd w:val="clear" w:color="auto" w:fill="FFFFFF"/>
        </w:rPr>
        <w:t>The True Cost of Employee Disengagement - Achievers</w:t>
      </w:r>
      <w:r w:rsidRPr="00523D2F">
        <w:rPr>
          <w:rFonts w:cstheme="minorHAnsi"/>
          <w:sz w:val="24"/>
          <w:szCs w:val="24"/>
          <w:shd w:val="clear" w:color="auto" w:fill="FFFFFF"/>
        </w:rPr>
        <w:t xml:space="preserve">. [online] Available at: &lt;https://www.achievers.com/resources/white-papers/the-true-cost-of-employee-disengagement/&gt; </w:t>
      </w:r>
    </w:p>
    <w:p w14:paraId="2B6D5139" w14:textId="77777777" w:rsidR="00DD4E18" w:rsidRPr="00523D2F" w:rsidRDefault="00DD4E18" w:rsidP="00DD4E18">
      <w:pPr>
        <w:rPr>
          <w:rFonts w:cstheme="minorHAnsi"/>
          <w:sz w:val="24"/>
          <w:szCs w:val="24"/>
        </w:rPr>
      </w:pPr>
      <w:r w:rsidRPr="00523D2F">
        <w:rPr>
          <w:rFonts w:cstheme="minorHAnsi"/>
          <w:sz w:val="24"/>
          <w:szCs w:val="24"/>
        </w:rPr>
        <w:t>Antony, M.R., 2018. Paradigm shift in employee engagement–A critical analysis on the drivers of employee engagement. </w:t>
      </w:r>
      <w:r w:rsidRPr="00523D2F">
        <w:rPr>
          <w:rFonts w:cstheme="minorHAnsi"/>
          <w:i/>
          <w:iCs/>
          <w:sz w:val="24"/>
          <w:szCs w:val="24"/>
        </w:rPr>
        <w:t>International Journal of Information, Business and Management</w:t>
      </w:r>
      <w:r w:rsidRPr="00523D2F">
        <w:rPr>
          <w:rFonts w:cstheme="minorHAnsi"/>
          <w:sz w:val="24"/>
          <w:szCs w:val="24"/>
        </w:rPr>
        <w:t>, </w:t>
      </w:r>
      <w:r w:rsidRPr="00523D2F">
        <w:rPr>
          <w:rFonts w:cstheme="minorHAnsi"/>
          <w:i/>
          <w:iCs/>
          <w:sz w:val="24"/>
          <w:szCs w:val="24"/>
        </w:rPr>
        <w:t>10</w:t>
      </w:r>
      <w:r w:rsidRPr="00523D2F">
        <w:rPr>
          <w:rFonts w:cstheme="minorHAnsi"/>
          <w:sz w:val="24"/>
          <w:szCs w:val="24"/>
        </w:rPr>
        <w:t>(2), pp.32-46.</w:t>
      </w:r>
    </w:p>
    <w:p w14:paraId="1BD1C6E9" w14:textId="77777777" w:rsidR="00DD4E18" w:rsidRPr="00523D2F" w:rsidRDefault="00DD4E18" w:rsidP="00DD4E18">
      <w:pPr>
        <w:rPr>
          <w:rFonts w:cstheme="minorHAnsi"/>
          <w:sz w:val="24"/>
          <w:szCs w:val="24"/>
          <w:shd w:val="clear" w:color="auto" w:fill="FFFFFF"/>
        </w:rPr>
      </w:pPr>
      <w:r w:rsidRPr="00523D2F">
        <w:rPr>
          <w:rFonts w:cstheme="minorHAnsi"/>
          <w:sz w:val="24"/>
          <w:szCs w:val="24"/>
          <w:shd w:val="clear" w:color="auto" w:fill="FFFFFF"/>
        </w:rPr>
        <w:t xml:space="preserve">Aslam, U., </w:t>
      </w:r>
      <w:proofErr w:type="spellStart"/>
      <w:r w:rsidRPr="00523D2F">
        <w:rPr>
          <w:rFonts w:cstheme="minorHAnsi"/>
          <w:sz w:val="24"/>
          <w:szCs w:val="24"/>
          <w:shd w:val="clear" w:color="auto" w:fill="FFFFFF"/>
        </w:rPr>
        <w:t>Muqadas</w:t>
      </w:r>
      <w:proofErr w:type="spellEnd"/>
      <w:r w:rsidRPr="00523D2F">
        <w:rPr>
          <w:rFonts w:cstheme="minorHAnsi"/>
          <w:sz w:val="24"/>
          <w:szCs w:val="24"/>
          <w:shd w:val="clear" w:color="auto" w:fill="FFFFFF"/>
        </w:rPr>
        <w:t>, F., Imran, M.K. and Rahman, U.U., 2018. Investigating the antecedents of work disengagement in the workplace. </w:t>
      </w:r>
      <w:r w:rsidRPr="00523D2F">
        <w:rPr>
          <w:rFonts w:cstheme="minorHAnsi"/>
          <w:i/>
          <w:iCs/>
          <w:sz w:val="24"/>
          <w:szCs w:val="24"/>
          <w:shd w:val="clear" w:color="auto" w:fill="FFFFFF"/>
        </w:rPr>
        <w:t>Journal of Management Development</w:t>
      </w:r>
      <w:r w:rsidRPr="00523D2F">
        <w:rPr>
          <w:rFonts w:cstheme="minorHAnsi"/>
          <w:sz w:val="24"/>
          <w:szCs w:val="24"/>
          <w:shd w:val="clear" w:color="auto" w:fill="FFFFFF"/>
        </w:rPr>
        <w:t>.</w:t>
      </w:r>
    </w:p>
    <w:p w14:paraId="59C88BE5" w14:textId="77777777" w:rsidR="00DD4E18" w:rsidRPr="00523D2F" w:rsidRDefault="00DD4E18" w:rsidP="00DD4E18">
      <w:pPr>
        <w:rPr>
          <w:rFonts w:cstheme="minorHAnsi"/>
          <w:sz w:val="24"/>
          <w:szCs w:val="24"/>
        </w:rPr>
      </w:pPr>
      <w:r w:rsidRPr="00523D2F">
        <w:rPr>
          <w:rFonts w:cstheme="minorHAnsi"/>
          <w:sz w:val="24"/>
          <w:szCs w:val="24"/>
        </w:rPr>
        <w:t xml:space="preserve">Burnett, J.R. and </w:t>
      </w:r>
      <w:proofErr w:type="spellStart"/>
      <w:r w:rsidRPr="00523D2F">
        <w:rPr>
          <w:rFonts w:cstheme="minorHAnsi"/>
          <w:sz w:val="24"/>
          <w:szCs w:val="24"/>
        </w:rPr>
        <w:t>Lisk</w:t>
      </w:r>
      <w:proofErr w:type="spellEnd"/>
      <w:r w:rsidRPr="00523D2F">
        <w:rPr>
          <w:rFonts w:cstheme="minorHAnsi"/>
          <w:sz w:val="24"/>
          <w:szCs w:val="24"/>
        </w:rPr>
        <w:t>, T.C., 2019. The future of employee engagement: Real-time monitoring and digital tools for engaging a workforce. </w:t>
      </w:r>
      <w:r w:rsidRPr="00523D2F">
        <w:rPr>
          <w:rFonts w:cstheme="minorHAnsi"/>
          <w:i/>
          <w:iCs/>
          <w:sz w:val="24"/>
          <w:szCs w:val="24"/>
        </w:rPr>
        <w:t>International Studies of Management &amp; Organization</w:t>
      </w:r>
      <w:r w:rsidRPr="00523D2F">
        <w:rPr>
          <w:rFonts w:cstheme="minorHAnsi"/>
          <w:sz w:val="24"/>
          <w:szCs w:val="24"/>
        </w:rPr>
        <w:t>, </w:t>
      </w:r>
      <w:r w:rsidRPr="00523D2F">
        <w:rPr>
          <w:rFonts w:cstheme="minorHAnsi"/>
          <w:i/>
          <w:iCs/>
          <w:sz w:val="24"/>
          <w:szCs w:val="24"/>
        </w:rPr>
        <w:t>49</w:t>
      </w:r>
      <w:r w:rsidRPr="00523D2F">
        <w:rPr>
          <w:rFonts w:cstheme="minorHAnsi"/>
          <w:sz w:val="24"/>
          <w:szCs w:val="24"/>
        </w:rPr>
        <w:t>(1), pp.108-119.</w:t>
      </w:r>
    </w:p>
    <w:p w14:paraId="7DABB351" w14:textId="77777777" w:rsidR="00DD4E18" w:rsidRPr="00523D2F" w:rsidRDefault="00DD4E18" w:rsidP="00DD4E18">
      <w:pPr>
        <w:rPr>
          <w:rFonts w:cstheme="minorHAnsi"/>
          <w:sz w:val="24"/>
          <w:szCs w:val="24"/>
          <w:shd w:val="clear" w:color="auto" w:fill="FFFFFF"/>
        </w:rPr>
      </w:pPr>
      <w:r w:rsidRPr="00523D2F">
        <w:rPr>
          <w:rFonts w:cstheme="minorHAnsi"/>
          <w:sz w:val="24"/>
          <w:szCs w:val="24"/>
          <w:shd w:val="clear" w:color="auto" w:fill="FFFFFF"/>
        </w:rPr>
        <w:t>Gallup, I., 2021. </w:t>
      </w:r>
      <w:bookmarkStart w:id="7" w:name="_Hlk78140442"/>
      <w:r w:rsidRPr="00523D2F">
        <w:rPr>
          <w:rFonts w:cstheme="minorHAnsi"/>
          <w:i/>
          <w:iCs/>
          <w:sz w:val="24"/>
          <w:szCs w:val="24"/>
          <w:shd w:val="clear" w:color="auto" w:fill="FFFFFF"/>
        </w:rPr>
        <w:t>State of the Global Workplace Report</w:t>
      </w:r>
      <w:bookmarkEnd w:id="7"/>
      <w:r w:rsidRPr="00523D2F">
        <w:rPr>
          <w:rFonts w:cstheme="minorHAnsi"/>
          <w:sz w:val="24"/>
          <w:szCs w:val="24"/>
          <w:shd w:val="clear" w:color="auto" w:fill="FFFFFF"/>
        </w:rPr>
        <w:t xml:space="preserve">. [online] Gallup.com. Available at: &lt;https://www.gallup.com/workplace/349484/state-of-the-global workplace.aspx?utm_source=2013StateofGlobalWorkplaceReport&amp;utm_medium=2013SOGWReportLandingPage&amp;utm_campaign=2013StateofGlobalReport_Redirectto2017page&amp;utm_content=download2017now_textlink&gt; </w:t>
      </w:r>
    </w:p>
    <w:p w14:paraId="3F0B368B" w14:textId="77777777" w:rsidR="00DD4E18" w:rsidRPr="00523D2F" w:rsidRDefault="00DD4E18" w:rsidP="00DD4E18">
      <w:pPr>
        <w:rPr>
          <w:rFonts w:cstheme="minorHAnsi"/>
          <w:sz w:val="24"/>
          <w:szCs w:val="24"/>
          <w:shd w:val="clear" w:color="auto" w:fill="FFFFFF"/>
        </w:rPr>
      </w:pPr>
      <w:bookmarkStart w:id="8" w:name="_Hlk78140101"/>
      <w:r w:rsidRPr="00523D2F">
        <w:rPr>
          <w:rFonts w:cstheme="minorHAnsi"/>
          <w:sz w:val="24"/>
          <w:szCs w:val="24"/>
          <w:shd w:val="clear" w:color="auto" w:fill="FFFFFF"/>
        </w:rPr>
        <w:t>Harvard Business Review. 2021</w:t>
      </w:r>
      <w:bookmarkEnd w:id="8"/>
      <w:r w:rsidRPr="00523D2F">
        <w:rPr>
          <w:rFonts w:cstheme="minorHAnsi"/>
          <w:sz w:val="24"/>
          <w:szCs w:val="24"/>
          <w:shd w:val="clear" w:color="auto" w:fill="FFFFFF"/>
        </w:rPr>
        <w:t>. </w:t>
      </w:r>
      <w:r w:rsidRPr="00523D2F">
        <w:rPr>
          <w:rFonts w:cstheme="minorHAnsi"/>
          <w:i/>
          <w:iCs/>
          <w:sz w:val="24"/>
          <w:szCs w:val="24"/>
          <w:shd w:val="clear" w:color="auto" w:fill="FFFFFF"/>
        </w:rPr>
        <w:t>Employee Engagement Does More than Boost Productivity</w:t>
      </w:r>
      <w:r w:rsidRPr="00523D2F">
        <w:rPr>
          <w:rFonts w:cstheme="minorHAnsi"/>
          <w:sz w:val="24"/>
          <w:szCs w:val="24"/>
          <w:shd w:val="clear" w:color="auto" w:fill="FFFFFF"/>
        </w:rPr>
        <w:t xml:space="preserve">. [online] Available at: &lt;https://hbr.org/2013/07/employee-engagement-does-more&gt; </w:t>
      </w:r>
    </w:p>
    <w:p w14:paraId="2C383FC0" w14:textId="77777777" w:rsidR="00DD4E18" w:rsidRPr="00523D2F" w:rsidRDefault="00DD4E18" w:rsidP="00DD4E18">
      <w:pPr>
        <w:rPr>
          <w:rFonts w:cstheme="minorHAnsi"/>
          <w:sz w:val="24"/>
          <w:szCs w:val="24"/>
          <w:shd w:val="clear" w:color="auto" w:fill="FFFFFF"/>
        </w:rPr>
      </w:pPr>
      <w:proofErr w:type="spellStart"/>
      <w:r w:rsidRPr="00523D2F">
        <w:rPr>
          <w:rFonts w:cstheme="minorHAnsi"/>
          <w:sz w:val="24"/>
          <w:szCs w:val="24"/>
          <w:shd w:val="clear" w:color="auto" w:fill="FFFFFF"/>
        </w:rPr>
        <w:t>Hejjas</w:t>
      </w:r>
      <w:proofErr w:type="spellEnd"/>
      <w:r w:rsidRPr="00523D2F">
        <w:rPr>
          <w:rFonts w:cstheme="minorHAnsi"/>
          <w:sz w:val="24"/>
          <w:szCs w:val="24"/>
          <w:shd w:val="clear" w:color="auto" w:fill="FFFFFF"/>
        </w:rPr>
        <w:t xml:space="preserve">, K., Miller, G. and </w:t>
      </w:r>
      <w:proofErr w:type="spellStart"/>
      <w:r w:rsidRPr="00523D2F">
        <w:rPr>
          <w:rFonts w:cstheme="minorHAnsi"/>
          <w:sz w:val="24"/>
          <w:szCs w:val="24"/>
          <w:shd w:val="clear" w:color="auto" w:fill="FFFFFF"/>
        </w:rPr>
        <w:t>Scarles</w:t>
      </w:r>
      <w:proofErr w:type="spellEnd"/>
      <w:r w:rsidRPr="00523D2F">
        <w:rPr>
          <w:rFonts w:cstheme="minorHAnsi"/>
          <w:sz w:val="24"/>
          <w:szCs w:val="24"/>
          <w:shd w:val="clear" w:color="auto" w:fill="FFFFFF"/>
        </w:rPr>
        <w:t>, C., 2019. “It’s like hating puppies!” Employee disengagement and corporate social responsibility. </w:t>
      </w:r>
      <w:r w:rsidRPr="00523D2F">
        <w:rPr>
          <w:rFonts w:cstheme="minorHAnsi"/>
          <w:i/>
          <w:iCs/>
          <w:sz w:val="24"/>
          <w:szCs w:val="24"/>
          <w:shd w:val="clear" w:color="auto" w:fill="FFFFFF"/>
        </w:rPr>
        <w:t>Journal of Business Ethics</w:t>
      </w:r>
      <w:r w:rsidRPr="00523D2F">
        <w:rPr>
          <w:rFonts w:cstheme="minorHAnsi"/>
          <w:sz w:val="24"/>
          <w:szCs w:val="24"/>
          <w:shd w:val="clear" w:color="auto" w:fill="FFFFFF"/>
        </w:rPr>
        <w:t>, </w:t>
      </w:r>
      <w:r w:rsidRPr="00523D2F">
        <w:rPr>
          <w:rFonts w:cstheme="minorHAnsi"/>
          <w:i/>
          <w:iCs/>
          <w:sz w:val="24"/>
          <w:szCs w:val="24"/>
          <w:shd w:val="clear" w:color="auto" w:fill="FFFFFF"/>
        </w:rPr>
        <w:t>157</w:t>
      </w:r>
      <w:r w:rsidRPr="00523D2F">
        <w:rPr>
          <w:rFonts w:cstheme="minorHAnsi"/>
          <w:sz w:val="24"/>
          <w:szCs w:val="24"/>
          <w:shd w:val="clear" w:color="auto" w:fill="FFFFFF"/>
        </w:rPr>
        <w:t>(2), pp.319-337.</w:t>
      </w:r>
    </w:p>
    <w:p w14:paraId="04F266A5" w14:textId="77777777" w:rsidR="00DD4E18" w:rsidRPr="00523D2F" w:rsidRDefault="00DD4E18" w:rsidP="00DD4E18">
      <w:pPr>
        <w:rPr>
          <w:rFonts w:cstheme="minorHAnsi"/>
          <w:sz w:val="24"/>
          <w:szCs w:val="24"/>
          <w:shd w:val="clear" w:color="auto" w:fill="FFFFFF"/>
        </w:rPr>
      </w:pPr>
      <w:r w:rsidRPr="00523D2F">
        <w:rPr>
          <w:rFonts w:cstheme="minorHAnsi"/>
          <w:sz w:val="24"/>
          <w:szCs w:val="24"/>
          <w:shd w:val="clear" w:color="auto" w:fill="FFFFFF"/>
        </w:rPr>
        <w:t>Kahn, W., 1990. Psychological Conditions of Personal Engagement and Disengagement at Work. </w:t>
      </w:r>
      <w:r w:rsidRPr="00523D2F">
        <w:rPr>
          <w:rFonts w:cstheme="minorHAnsi"/>
          <w:i/>
          <w:iCs/>
          <w:sz w:val="24"/>
          <w:szCs w:val="24"/>
          <w:shd w:val="clear" w:color="auto" w:fill="FFFFFF"/>
        </w:rPr>
        <w:t>Academy of Management Journal</w:t>
      </w:r>
      <w:r w:rsidRPr="00523D2F">
        <w:rPr>
          <w:rFonts w:cstheme="minorHAnsi"/>
          <w:sz w:val="24"/>
          <w:szCs w:val="24"/>
          <w:shd w:val="clear" w:color="auto" w:fill="FFFFFF"/>
        </w:rPr>
        <w:t>, 33(4), pp.692-724.</w:t>
      </w:r>
    </w:p>
    <w:p w14:paraId="62587CC4" w14:textId="77777777" w:rsidR="00DD4E18" w:rsidRPr="00523D2F" w:rsidRDefault="00DD4E18" w:rsidP="00DD4E18">
      <w:pPr>
        <w:rPr>
          <w:rFonts w:cstheme="minorHAnsi"/>
          <w:sz w:val="24"/>
          <w:szCs w:val="24"/>
        </w:rPr>
      </w:pPr>
      <w:bookmarkStart w:id="9" w:name="_Hlk78141054"/>
      <w:proofErr w:type="spellStart"/>
      <w:r w:rsidRPr="00523D2F">
        <w:rPr>
          <w:rFonts w:cstheme="minorHAnsi"/>
          <w:sz w:val="24"/>
          <w:szCs w:val="24"/>
        </w:rPr>
        <w:t>Khodakarami</w:t>
      </w:r>
      <w:proofErr w:type="spellEnd"/>
      <w:r w:rsidRPr="00523D2F">
        <w:rPr>
          <w:rFonts w:cstheme="minorHAnsi"/>
          <w:sz w:val="24"/>
          <w:szCs w:val="24"/>
        </w:rPr>
        <w:t xml:space="preserve">, N. and </w:t>
      </w:r>
      <w:proofErr w:type="spellStart"/>
      <w:r w:rsidRPr="00523D2F">
        <w:rPr>
          <w:rFonts w:cstheme="minorHAnsi"/>
          <w:sz w:val="24"/>
          <w:szCs w:val="24"/>
        </w:rPr>
        <w:t>Dirani</w:t>
      </w:r>
      <w:proofErr w:type="spellEnd"/>
      <w:r w:rsidRPr="00523D2F">
        <w:rPr>
          <w:rFonts w:cstheme="minorHAnsi"/>
          <w:sz w:val="24"/>
          <w:szCs w:val="24"/>
        </w:rPr>
        <w:t>, K., 2020. Drivers of employee engagement: Differences by work area and gender. </w:t>
      </w:r>
      <w:r w:rsidRPr="00523D2F">
        <w:rPr>
          <w:rFonts w:cstheme="minorHAnsi"/>
          <w:i/>
          <w:iCs/>
          <w:sz w:val="24"/>
          <w:szCs w:val="24"/>
        </w:rPr>
        <w:t>Industrial and Commercial Training</w:t>
      </w:r>
      <w:r w:rsidRPr="00523D2F">
        <w:rPr>
          <w:rFonts w:cstheme="minorHAnsi"/>
          <w:sz w:val="24"/>
          <w:szCs w:val="24"/>
        </w:rPr>
        <w:t>.</w:t>
      </w:r>
    </w:p>
    <w:p w14:paraId="77B74736" w14:textId="77777777" w:rsidR="00DD4E18" w:rsidRPr="00523D2F" w:rsidRDefault="00DD4E18" w:rsidP="00DD4E18">
      <w:pPr>
        <w:rPr>
          <w:rFonts w:cstheme="minorHAnsi"/>
          <w:sz w:val="24"/>
          <w:szCs w:val="24"/>
        </w:rPr>
      </w:pPr>
      <w:r w:rsidRPr="00523D2F">
        <w:rPr>
          <w:rFonts w:cstheme="minorHAnsi"/>
          <w:sz w:val="24"/>
          <w:szCs w:val="24"/>
        </w:rPr>
        <w:t>Mackey, Z., 2021. </w:t>
      </w:r>
      <w:r w:rsidRPr="00523D2F">
        <w:rPr>
          <w:rFonts w:cstheme="minorHAnsi"/>
          <w:i/>
          <w:iCs/>
          <w:sz w:val="24"/>
          <w:szCs w:val="24"/>
        </w:rPr>
        <w:t>10 Startling Employee Engagement Statistics</w:t>
      </w:r>
      <w:r w:rsidRPr="00523D2F">
        <w:rPr>
          <w:rFonts w:cstheme="minorHAnsi"/>
          <w:sz w:val="24"/>
          <w:szCs w:val="24"/>
        </w:rPr>
        <w:t xml:space="preserve">. [online] Ideas.bkconnection.com. Available at: &lt;https://ideas.bkconnection.com/10-startling-employee-engagement-and-statistics&gt; </w:t>
      </w:r>
    </w:p>
    <w:bookmarkEnd w:id="9"/>
    <w:p w14:paraId="4D33E4EB" w14:textId="77777777" w:rsidR="00DD4E18" w:rsidRPr="00523D2F" w:rsidRDefault="00DD4E18" w:rsidP="00DD4E18">
      <w:pPr>
        <w:rPr>
          <w:rFonts w:cstheme="minorHAnsi"/>
          <w:sz w:val="24"/>
          <w:szCs w:val="24"/>
        </w:rPr>
      </w:pPr>
      <w:r w:rsidRPr="00523D2F">
        <w:rPr>
          <w:rFonts w:cstheme="minorHAnsi"/>
          <w:sz w:val="24"/>
          <w:szCs w:val="24"/>
        </w:rPr>
        <w:t>Mani, S. and Mishra, M., 2020. Non-monetary levers to enhance employee engagement in organizations</w:t>
      </w:r>
      <w:proofErr w:type="gramStart"/>
      <w:r w:rsidRPr="00523D2F">
        <w:rPr>
          <w:rFonts w:cstheme="minorHAnsi"/>
          <w:sz w:val="24"/>
          <w:szCs w:val="24"/>
        </w:rPr>
        <w:t>–“</w:t>
      </w:r>
      <w:proofErr w:type="gramEnd"/>
      <w:r w:rsidRPr="00523D2F">
        <w:rPr>
          <w:rFonts w:cstheme="minorHAnsi"/>
          <w:sz w:val="24"/>
          <w:szCs w:val="24"/>
        </w:rPr>
        <w:t>GREAT” model of motivation during the Covid-19 crisis. </w:t>
      </w:r>
      <w:r w:rsidRPr="00523D2F">
        <w:rPr>
          <w:rFonts w:cstheme="minorHAnsi"/>
          <w:i/>
          <w:iCs/>
          <w:sz w:val="24"/>
          <w:szCs w:val="24"/>
        </w:rPr>
        <w:t>Strategic HR Review</w:t>
      </w:r>
      <w:r w:rsidRPr="00523D2F">
        <w:rPr>
          <w:rFonts w:cstheme="minorHAnsi"/>
          <w:sz w:val="24"/>
          <w:szCs w:val="24"/>
        </w:rPr>
        <w:t>.</w:t>
      </w:r>
    </w:p>
    <w:p w14:paraId="5AE1E06A" w14:textId="77777777" w:rsidR="00DD4E18" w:rsidRPr="00523D2F" w:rsidRDefault="00DD4E18" w:rsidP="00DD4E18">
      <w:pPr>
        <w:rPr>
          <w:rFonts w:cstheme="minorHAnsi"/>
          <w:sz w:val="24"/>
          <w:szCs w:val="24"/>
        </w:rPr>
      </w:pPr>
      <w:proofErr w:type="spellStart"/>
      <w:r w:rsidRPr="00523D2F">
        <w:rPr>
          <w:rFonts w:cstheme="minorHAnsi"/>
          <w:sz w:val="24"/>
          <w:szCs w:val="24"/>
        </w:rPr>
        <w:t>Risley</w:t>
      </w:r>
      <w:proofErr w:type="spellEnd"/>
      <w:r w:rsidRPr="00523D2F">
        <w:rPr>
          <w:rFonts w:cstheme="minorHAnsi"/>
          <w:sz w:val="24"/>
          <w:szCs w:val="24"/>
        </w:rPr>
        <w:t>, C., 2020. Maintaining performance and employee engagement during the COVID-19 pandemic. </w:t>
      </w:r>
      <w:r w:rsidRPr="00523D2F">
        <w:rPr>
          <w:rFonts w:cstheme="minorHAnsi"/>
          <w:i/>
          <w:iCs/>
          <w:sz w:val="24"/>
          <w:szCs w:val="24"/>
        </w:rPr>
        <w:t>Journal of Library Administration</w:t>
      </w:r>
      <w:r w:rsidRPr="00523D2F">
        <w:rPr>
          <w:rFonts w:cstheme="minorHAnsi"/>
          <w:sz w:val="24"/>
          <w:szCs w:val="24"/>
        </w:rPr>
        <w:t>, </w:t>
      </w:r>
      <w:r w:rsidRPr="00523D2F">
        <w:rPr>
          <w:rFonts w:cstheme="minorHAnsi"/>
          <w:i/>
          <w:iCs/>
          <w:sz w:val="24"/>
          <w:szCs w:val="24"/>
        </w:rPr>
        <w:t>60</w:t>
      </w:r>
      <w:r w:rsidRPr="00523D2F">
        <w:rPr>
          <w:rFonts w:cstheme="minorHAnsi"/>
          <w:sz w:val="24"/>
          <w:szCs w:val="24"/>
        </w:rPr>
        <w:t>(6), pp.653-659.</w:t>
      </w:r>
    </w:p>
    <w:p w14:paraId="266B2291" w14:textId="77777777" w:rsidR="00DD4E18" w:rsidRPr="00523D2F" w:rsidRDefault="00DD4E18" w:rsidP="00DD4E18">
      <w:pPr>
        <w:rPr>
          <w:rFonts w:cstheme="minorHAnsi"/>
          <w:sz w:val="24"/>
          <w:szCs w:val="24"/>
        </w:rPr>
      </w:pPr>
      <w:proofErr w:type="spellStart"/>
      <w:r w:rsidRPr="00523D2F">
        <w:rPr>
          <w:rFonts w:cstheme="minorHAnsi"/>
          <w:sz w:val="24"/>
          <w:szCs w:val="24"/>
        </w:rPr>
        <w:t>Rounak</w:t>
      </w:r>
      <w:proofErr w:type="spellEnd"/>
      <w:r w:rsidRPr="00523D2F">
        <w:rPr>
          <w:rFonts w:cstheme="minorHAnsi"/>
          <w:sz w:val="24"/>
          <w:szCs w:val="24"/>
        </w:rPr>
        <w:t xml:space="preserve">, S. and </w:t>
      </w:r>
      <w:proofErr w:type="spellStart"/>
      <w:r w:rsidRPr="00523D2F">
        <w:rPr>
          <w:rFonts w:cstheme="minorHAnsi"/>
          <w:sz w:val="24"/>
          <w:szCs w:val="24"/>
        </w:rPr>
        <w:t>Misra</w:t>
      </w:r>
      <w:proofErr w:type="spellEnd"/>
      <w:r w:rsidRPr="00523D2F">
        <w:rPr>
          <w:rFonts w:cstheme="minorHAnsi"/>
          <w:sz w:val="24"/>
          <w:szCs w:val="24"/>
        </w:rPr>
        <w:t>, R.K., 2020. Employee value proposition: an analysis of organizational factors–the way to enhance value perception. </w:t>
      </w:r>
      <w:r w:rsidRPr="00523D2F">
        <w:rPr>
          <w:rFonts w:cstheme="minorHAnsi"/>
          <w:i/>
          <w:iCs/>
          <w:sz w:val="24"/>
          <w:szCs w:val="24"/>
        </w:rPr>
        <w:t>Development and Learning in Organizations: An International Journal</w:t>
      </w:r>
      <w:r w:rsidRPr="00523D2F">
        <w:rPr>
          <w:rFonts w:cstheme="minorHAnsi"/>
          <w:sz w:val="24"/>
          <w:szCs w:val="24"/>
        </w:rPr>
        <w:t>.</w:t>
      </w:r>
    </w:p>
    <w:p w14:paraId="7719E944" w14:textId="77777777" w:rsidR="00DD4E18" w:rsidRPr="00523D2F" w:rsidRDefault="00DD4E18" w:rsidP="00DD4E18">
      <w:pPr>
        <w:rPr>
          <w:rFonts w:cstheme="minorHAnsi"/>
          <w:sz w:val="24"/>
          <w:szCs w:val="24"/>
        </w:rPr>
      </w:pPr>
      <w:r w:rsidRPr="00523D2F">
        <w:rPr>
          <w:rFonts w:cstheme="minorHAnsi"/>
          <w:sz w:val="24"/>
          <w:szCs w:val="24"/>
        </w:rPr>
        <w:lastRenderedPageBreak/>
        <w:t xml:space="preserve">Shaik, F.F. and </w:t>
      </w:r>
      <w:proofErr w:type="spellStart"/>
      <w:r w:rsidRPr="00523D2F">
        <w:rPr>
          <w:rFonts w:cstheme="minorHAnsi"/>
          <w:sz w:val="24"/>
          <w:szCs w:val="24"/>
        </w:rPr>
        <w:t>Makhecha</w:t>
      </w:r>
      <w:proofErr w:type="spellEnd"/>
      <w:r w:rsidRPr="00523D2F">
        <w:rPr>
          <w:rFonts w:cstheme="minorHAnsi"/>
          <w:sz w:val="24"/>
          <w:szCs w:val="24"/>
        </w:rPr>
        <w:t>, U.P., 2019. Drivers of employee engagement in global virtual teams. </w:t>
      </w:r>
      <w:r w:rsidRPr="00523D2F">
        <w:rPr>
          <w:rFonts w:cstheme="minorHAnsi"/>
          <w:i/>
          <w:iCs/>
          <w:sz w:val="24"/>
          <w:szCs w:val="24"/>
        </w:rPr>
        <w:t>Australasian Journal of Information Systems</w:t>
      </w:r>
      <w:r w:rsidRPr="00523D2F">
        <w:rPr>
          <w:rFonts w:cstheme="minorHAnsi"/>
          <w:sz w:val="24"/>
          <w:szCs w:val="24"/>
        </w:rPr>
        <w:t>, </w:t>
      </w:r>
      <w:r w:rsidRPr="00523D2F">
        <w:rPr>
          <w:rFonts w:cstheme="minorHAnsi"/>
          <w:i/>
          <w:iCs/>
          <w:sz w:val="24"/>
          <w:szCs w:val="24"/>
        </w:rPr>
        <w:t>23</w:t>
      </w:r>
      <w:r w:rsidRPr="00523D2F">
        <w:rPr>
          <w:rFonts w:cstheme="minorHAnsi"/>
          <w:sz w:val="24"/>
          <w:szCs w:val="24"/>
        </w:rPr>
        <w:t>.</w:t>
      </w:r>
    </w:p>
    <w:p w14:paraId="3816D8AE" w14:textId="77777777" w:rsidR="00DD4E18" w:rsidRPr="00523D2F" w:rsidRDefault="00DD4E18" w:rsidP="00DD4E18">
      <w:pPr>
        <w:rPr>
          <w:rFonts w:cstheme="minorHAnsi"/>
          <w:sz w:val="24"/>
          <w:szCs w:val="24"/>
        </w:rPr>
      </w:pPr>
      <w:r w:rsidRPr="00523D2F">
        <w:rPr>
          <w:rFonts w:cstheme="minorHAnsi"/>
          <w:sz w:val="24"/>
          <w:szCs w:val="24"/>
          <w:shd w:val="clear" w:color="auto" w:fill="FFFFFF"/>
        </w:rPr>
        <w:t>St-Aubin, N., 2021. </w:t>
      </w:r>
      <w:r w:rsidRPr="00523D2F">
        <w:rPr>
          <w:rFonts w:cstheme="minorHAnsi"/>
          <w:i/>
          <w:iCs/>
          <w:sz w:val="24"/>
          <w:szCs w:val="24"/>
          <w:shd w:val="clear" w:color="auto" w:fill="FFFFFF"/>
        </w:rPr>
        <w:t>Employee engagement surveys: a complete guide</w:t>
      </w:r>
      <w:r w:rsidRPr="00523D2F">
        <w:rPr>
          <w:rFonts w:cstheme="minorHAnsi"/>
          <w:sz w:val="24"/>
          <w:szCs w:val="24"/>
          <w:shd w:val="clear" w:color="auto" w:fill="FFFFFF"/>
        </w:rPr>
        <w:t xml:space="preserve">. [online] </w:t>
      </w:r>
      <w:proofErr w:type="spellStart"/>
      <w:r w:rsidRPr="00523D2F">
        <w:rPr>
          <w:rFonts w:cstheme="minorHAnsi"/>
          <w:sz w:val="24"/>
          <w:szCs w:val="24"/>
          <w:shd w:val="clear" w:color="auto" w:fill="FFFFFF"/>
        </w:rPr>
        <w:t>Officevibe</w:t>
      </w:r>
      <w:proofErr w:type="spellEnd"/>
      <w:r w:rsidRPr="00523D2F">
        <w:rPr>
          <w:rFonts w:cstheme="minorHAnsi"/>
          <w:sz w:val="24"/>
          <w:szCs w:val="24"/>
          <w:shd w:val="clear" w:color="auto" w:fill="FFFFFF"/>
        </w:rPr>
        <w:t xml:space="preserve">. Available at: &lt;https://officevibe.com/guides/surveys&gt; </w:t>
      </w:r>
    </w:p>
    <w:p w14:paraId="5F83522B" w14:textId="77777777" w:rsidR="00DD4E18" w:rsidRPr="00523D2F" w:rsidRDefault="00DD4E18" w:rsidP="00DD4E18">
      <w:pPr>
        <w:rPr>
          <w:rFonts w:cstheme="minorHAnsi"/>
          <w:sz w:val="24"/>
          <w:szCs w:val="24"/>
        </w:rPr>
      </w:pPr>
      <w:proofErr w:type="spellStart"/>
      <w:r w:rsidRPr="00523D2F">
        <w:rPr>
          <w:rFonts w:cstheme="minorHAnsi"/>
          <w:sz w:val="24"/>
          <w:szCs w:val="24"/>
          <w:shd w:val="clear" w:color="auto" w:fill="FFFFFF"/>
        </w:rPr>
        <w:t>Venkataramani</w:t>
      </w:r>
      <w:proofErr w:type="spellEnd"/>
      <w:r w:rsidRPr="00523D2F">
        <w:rPr>
          <w:rFonts w:cstheme="minorHAnsi"/>
          <w:sz w:val="24"/>
          <w:szCs w:val="24"/>
          <w:shd w:val="clear" w:color="auto" w:fill="FFFFFF"/>
        </w:rPr>
        <w:t>, S., 2021. </w:t>
      </w:r>
      <w:r w:rsidRPr="00523D2F">
        <w:rPr>
          <w:rFonts w:cstheme="minorHAnsi"/>
          <w:i/>
          <w:iCs/>
          <w:sz w:val="24"/>
          <w:szCs w:val="24"/>
          <w:shd w:val="clear" w:color="auto" w:fill="FFFFFF"/>
        </w:rPr>
        <w:t>Make Way for a More Human-Centric Employee Value Proposition</w:t>
      </w:r>
      <w:r w:rsidRPr="00523D2F">
        <w:rPr>
          <w:rFonts w:cstheme="minorHAnsi"/>
          <w:sz w:val="24"/>
          <w:szCs w:val="24"/>
          <w:shd w:val="clear" w:color="auto" w:fill="FFFFFF"/>
        </w:rPr>
        <w:t xml:space="preserve">. [online] Gartner. Available at: &lt;https://www.gartner.com/smarterwithgartner/make-way-for-a-more-human-centric-employee-value-proposition/&gt; </w:t>
      </w:r>
      <w:r w:rsidRPr="00523D2F">
        <w:rPr>
          <w:rFonts w:cstheme="minorHAnsi"/>
          <w:sz w:val="24"/>
          <w:szCs w:val="24"/>
        </w:rPr>
        <w:br/>
      </w:r>
      <w:proofErr w:type="spellStart"/>
      <w:r w:rsidRPr="00523D2F">
        <w:rPr>
          <w:rFonts w:cstheme="minorHAnsi"/>
          <w:sz w:val="24"/>
          <w:szCs w:val="24"/>
        </w:rPr>
        <w:t>Goestjahjanti</w:t>
      </w:r>
      <w:proofErr w:type="spellEnd"/>
      <w:r w:rsidRPr="00523D2F">
        <w:rPr>
          <w:rFonts w:cstheme="minorHAnsi"/>
          <w:sz w:val="24"/>
          <w:szCs w:val="24"/>
        </w:rPr>
        <w:t xml:space="preserve">, S.F., </w:t>
      </w:r>
      <w:proofErr w:type="spellStart"/>
      <w:r w:rsidRPr="00523D2F">
        <w:rPr>
          <w:rFonts w:cstheme="minorHAnsi"/>
          <w:sz w:val="24"/>
          <w:szCs w:val="24"/>
        </w:rPr>
        <w:t>Novitasari</w:t>
      </w:r>
      <w:proofErr w:type="spellEnd"/>
      <w:r w:rsidRPr="00523D2F">
        <w:rPr>
          <w:rFonts w:cstheme="minorHAnsi"/>
          <w:sz w:val="24"/>
          <w:szCs w:val="24"/>
        </w:rPr>
        <w:t xml:space="preserve">, D., </w:t>
      </w:r>
      <w:proofErr w:type="spellStart"/>
      <w:r w:rsidRPr="00523D2F">
        <w:rPr>
          <w:rFonts w:cstheme="minorHAnsi"/>
          <w:sz w:val="24"/>
          <w:szCs w:val="24"/>
        </w:rPr>
        <w:t>Hutagalung</w:t>
      </w:r>
      <w:proofErr w:type="spellEnd"/>
      <w:r w:rsidRPr="00523D2F">
        <w:rPr>
          <w:rFonts w:cstheme="minorHAnsi"/>
          <w:sz w:val="24"/>
          <w:szCs w:val="24"/>
        </w:rPr>
        <w:t xml:space="preserve">, D., </w:t>
      </w:r>
      <w:proofErr w:type="spellStart"/>
      <w:r w:rsidRPr="00523D2F">
        <w:rPr>
          <w:rFonts w:cstheme="minorHAnsi"/>
          <w:sz w:val="24"/>
          <w:szCs w:val="24"/>
        </w:rPr>
        <w:t>Asbari</w:t>
      </w:r>
      <w:proofErr w:type="spellEnd"/>
      <w:r w:rsidRPr="00523D2F">
        <w:rPr>
          <w:rFonts w:cstheme="minorHAnsi"/>
          <w:sz w:val="24"/>
          <w:szCs w:val="24"/>
        </w:rPr>
        <w:t xml:space="preserve">, M. and </w:t>
      </w:r>
      <w:proofErr w:type="spellStart"/>
      <w:r w:rsidRPr="00523D2F">
        <w:rPr>
          <w:rFonts w:cstheme="minorHAnsi"/>
          <w:sz w:val="24"/>
          <w:szCs w:val="24"/>
        </w:rPr>
        <w:t>Supono</w:t>
      </w:r>
      <w:proofErr w:type="spellEnd"/>
      <w:r w:rsidRPr="00523D2F">
        <w:rPr>
          <w:rFonts w:cstheme="minorHAnsi"/>
          <w:sz w:val="24"/>
          <w:szCs w:val="24"/>
        </w:rPr>
        <w:t xml:space="preserve">, J., 2020. Impact of Talent Management, Authentic Leadership and Employee Engagement on Job Satisfaction: Evidence </w:t>
      </w:r>
      <w:proofErr w:type="gramStart"/>
      <w:r w:rsidRPr="00523D2F">
        <w:rPr>
          <w:rFonts w:cstheme="minorHAnsi"/>
          <w:sz w:val="24"/>
          <w:szCs w:val="24"/>
        </w:rPr>
        <w:t>From</w:t>
      </w:r>
      <w:proofErr w:type="gramEnd"/>
      <w:r w:rsidRPr="00523D2F">
        <w:rPr>
          <w:rFonts w:cstheme="minorHAnsi"/>
          <w:sz w:val="24"/>
          <w:szCs w:val="24"/>
        </w:rPr>
        <w:t xml:space="preserve"> South East Asian Industries. </w:t>
      </w:r>
      <w:r w:rsidRPr="00523D2F">
        <w:rPr>
          <w:rFonts w:cstheme="minorHAnsi"/>
          <w:i/>
          <w:iCs/>
          <w:sz w:val="24"/>
          <w:szCs w:val="24"/>
        </w:rPr>
        <w:t>Journal of Critical Reviews</w:t>
      </w:r>
      <w:r w:rsidRPr="00523D2F">
        <w:rPr>
          <w:rFonts w:cstheme="minorHAnsi"/>
          <w:sz w:val="24"/>
          <w:szCs w:val="24"/>
        </w:rPr>
        <w:t>, </w:t>
      </w:r>
      <w:r w:rsidRPr="00523D2F">
        <w:rPr>
          <w:rFonts w:cstheme="minorHAnsi"/>
          <w:i/>
          <w:iCs/>
          <w:sz w:val="24"/>
          <w:szCs w:val="24"/>
        </w:rPr>
        <w:t>7</w:t>
      </w:r>
      <w:r w:rsidRPr="00523D2F">
        <w:rPr>
          <w:rFonts w:cstheme="minorHAnsi"/>
          <w:sz w:val="24"/>
          <w:szCs w:val="24"/>
        </w:rPr>
        <w:t>(19), pp.67-88.</w:t>
      </w:r>
    </w:p>
    <w:p w14:paraId="4BF415FC" w14:textId="77777777" w:rsidR="00DD4E18" w:rsidRPr="00523D2F" w:rsidRDefault="00DD4E18" w:rsidP="00DD4E18">
      <w:pPr>
        <w:rPr>
          <w:rFonts w:cstheme="minorHAnsi"/>
          <w:sz w:val="24"/>
          <w:szCs w:val="24"/>
          <w:shd w:val="clear" w:color="auto" w:fill="FFFFFF"/>
        </w:rPr>
      </w:pPr>
      <w:bookmarkStart w:id="10" w:name="_Hlk78144821"/>
      <w:r w:rsidRPr="00523D2F">
        <w:rPr>
          <w:rFonts w:cstheme="minorHAnsi"/>
          <w:sz w:val="24"/>
          <w:szCs w:val="24"/>
          <w:shd w:val="clear" w:color="auto" w:fill="FFFFFF"/>
        </w:rPr>
        <w:t>Willis Towers Watson. 2021</w:t>
      </w:r>
      <w:bookmarkEnd w:id="10"/>
      <w:r w:rsidRPr="00523D2F">
        <w:rPr>
          <w:rFonts w:cstheme="minorHAnsi"/>
          <w:sz w:val="24"/>
          <w:szCs w:val="24"/>
          <w:shd w:val="clear" w:color="auto" w:fill="FFFFFF"/>
        </w:rPr>
        <w:t>. </w:t>
      </w:r>
      <w:r w:rsidRPr="00523D2F">
        <w:rPr>
          <w:rFonts w:cstheme="minorHAnsi"/>
          <w:i/>
          <w:iCs/>
          <w:sz w:val="24"/>
          <w:szCs w:val="24"/>
          <w:shd w:val="clear" w:color="auto" w:fill="FFFFFF"/>
        </w:rPr>
        <w:t xml:space="preserve">Why is employee engagement </w:t>
      </w:r>
      <w:proofErr w:type="gramStart"/>
      <w:r w:rsidRPr="00523D2F">
        <w:rPr>
          <w:rFonts w:cstheme="minorHAnsi"/>
          <w:i/>
          <w:iCs/>
          <w:sz w:val="24"/>
          <w:szCs w:val="24"/>
          <w:shd w:val="clear" w:color="auto" w:fill="FFFFFF"/>
        </w:rPr>
        <w:t>important?</w:t>
      </w:r>
      <w:r w:rsidRPr="00523D2F">
        <w:rPr>
          <w:rFonts w:cstheme="minorHAnsi"/>
          <w:sz w:val="24"/>
          <w:szCs w:val="24"/>
          <w:shd w:val="clear" w:color="auto" w:fill="FFFFFF"/>
        </w:rPr>
        <w:t>.</w:t>
      </w:r>
      <w:proofErr w:type="gramEnd"/>
      <w:r w:rsidRPr="00523D2F">
        <w:rPr>
          <w:rFonts w:cstheme="minorHAnsi"/>
          <w:sz w:val="24"/>
          <w:szCs w:val="24"/>
          <w:shd w:val="clear" w:color="auto" w:fill="FFFFFF"/>
        </w:rPr>
        <w:t xml:space="preserve"> [online] Available at: &lt;https://www.willistowerswatson.com/en-US/Insights/2021/05/why-is-employee-engagement-important&gt; </w:t>
      </w:r>
    </w:p>
    <w:p w14:paraId="6DFC40A2" w14:textId="77777777" w:rsidR="00DD4E18" w:rsidRPr="00523D2F" w:rsidRDefault="00DD4E18" w:rsidP="00DD4E18">
      <w:pPr>
        <w:rPr>
          <w:rFonts w:cstheme="minorHAnsi"/>
          <w:sz w:val="24"/>
          <w:szCs w:val="24"/>
          <w:shd w:val="clear" w:color="auto" w:fill="FFFFFF"/>
        </w:rPr>
      </w:pPr>
      <w:proofErr w:type="spellStart"/>
      <w:r w:rsidRPr="00523D2F">
        <w:rPr>
          <w:rFonts w:cstheme="minorHAnsi"/>
          <w:sz w:val="24"/>
          <w:szCs w:val="24"/>
          <w:shd w:val="clear" w:color="auto" w:fill="FFFFFF"/>
        </w:rPr>
        <w:t>Yaneva</w:t>
      </w:r>
      <w:proofErr w:type="spellEnd"/>
      <w:r w:rsidRPr="00523D2F">
        <w:rPr>
          <w:rFonts w:cstheme="minorHAnsi"/>
          <w:sz w:val="24"/>
          <w:szCs w:val="24"/>
          <w:shd w:val="clear" w:color="auto" w:fill="FFFFFF"/>
        </w:rPr>
        <w:t>, M., 2018. Employee satisfaction vs. employee engagement vs. employee NPS. </w:t>
      </w:r>
      <w:r w:rsidRPr="00523D2F">
        <w:rPr>
          <w:rFonts w:cstheme="minorHAnsi"/>
          <w:i/>
          <w:iCs/>
          <w:sz w:val="24"/>
          <w:szCs w:val="24"/>
          <w:shd w:val="clear" w:color="auto" w:fill="FFFFFF"/>
        </w:rPr>
        <w:t>European Journal of Economics and Business Studies</w:t>
      </w:r>
      <w:r w:rsidRPr="00523D2F">
        <w:rPr>
          <w:rFonts w:cstheme="minorHAnsi"/>
          <w:sz w:val="24"/>
          <w:szCs w:val="24"/>
          <w:shd w:val="clear" w:color="auto" w:fill="FFFFFF"/>
        </w:rPr>
        <w:t>, </w:t>
      </w:r>
      <w:r w:rsidRPr="00523D2F">
        <w:rPr>
          <w:rFonts w:cstheme="minorHAnsi"/>
          <w:i/>
          <w:iCs/>
          <w:sz w:val="24"/>
          <w:szCs w:val="24"/>
          <w:shd w:val="clear" w:color="auto" w:fill="FFFFFF"/>
        </w:rPr>
        <w:t>4</w:t>
      </w:r>
      <w:r w:rsidRPr="00523D2F">
        <w:rPr>
          <w:rFonts w:cstheme="minorHAnsi"/>
          <w:sz w:val="24"/>
          <w:szCs w:val="24"/>
          <w:shd w:val="clear" w:color="auto" w:fill="FFFFFF"/>
        </w:rPr>
        <w:t>(1), pp.221-227.</w:t>
      </w:r>
    </w:p>
    <w:p w14:paraId="014869C3" w14:textId="77777777" w:rsidR="00DD4E18" w:rsidRPr="00523D2F" w:rsidRDefault="00DD4E18" w:rsidP="00DD4E18">
      <w:pPr>
        <w:rPr>
          <w:rFonts w:cstheme="minorHAnsi"/>
          <w:sz w:val="24"/>
          <w:szCs w:val="24"/>
        </w:rPr>
      </w:pPr>
    </w:p>
    <w:p w14:paraId="52794E16" w14:textId="77777777" w:rsidR="00DD4E18" w:rsidRPr="00523D2F" w:rsidRDefault="00DD4E18" w:rsidP="00BE5135">
      <w:pPr>
        <w:rPr>
          <w:rFonts w:cstheme="minorHAnsi"/>
          <w:b/>
          <w:bCs/>
          <w:sz w:val="24"/>
          <w:szCs w:val="24"/>
        </w:rPr>
      </w:pPr>
    </w:p>
    <w:p w14:paraId="0DE44AE2" w14:textId="77777777" w:rsidR="00BE5135" w:rsidRPr="00523D2F" w:rsidRDefault="00BE5135" w:rsidP="00DA1086">
      <w:pPr>
        <w:rPr>
          <w:rFonts w:cstheme="minorHAnsi"/>
          <w:b/>
          <w:bCs/>
          <w:sz w:val="24"/>
          <w:szCs w:val="24"/>
        </w:rPr>
      </w:pPr>
    </w:p>
    <w:p w14:paraId="1DB9C923" w14:textId="77777777" w:rsidR="00DA1086" w:rsidRPr="00523D2F" w:rsidRDefault="00DA1086" w:rsidP="00D57083">
      <w:pPr>
        <w:rPr>
          <w:rFonts w:cstheme="minorHAnsi"/>
          <w:b/>
          <w:bCs/>
          <w:sz w:val="24"/>
          <w:szCs w:val="24"/>
        </w:rPr>
      </w:pPr>
    </w:p>
    <w:p w14:paraId="7483E83C" w14:textId="77777777" w:rsidR="00D57083" w:rsidRPr="00523D2F" w:rsidRDefault="00D57083" w:rsidP="00FC1288">
      <w:pPr>
        <w:rPr>
          <w:rFonts w:cstheme="minorHAnsi"/>
          <w:b/>
          <w:bCs/>
          <w:sz w:val="24"/>
          <w:szCs w:val="24"/>
        </w:rPr>
      </w:pPr>
    </w:p>
    <w:p w14:paraId="507ADA57" w14:textId="77777777" w:rsidR="00FC1288" w:rsidRPr="00523D2F" w:rsidRDefault="00FC1288" w:rsidP="00E542A8">
      <w:pPr>
        <w:rPr>
          <w:rFonts w:cstheme="minorHAnsi"/>
          <w:b/>
          <w:bCs/>
          <w:sz w:val="24"/>
          <w:szCs w:val="24"/>
        </w:rPr>
      </w:pPr>
    </w:p>
    <w:p w14:paraId="0A680474" w14:textId="77777777" w:rsidR="00E225E4" w:rsidRPr="00523D2F" w:rsidRDefault="00E225E4" w:rsidP="00E225E4">
      <w:pPr>
        <w:rPr>
          <w:rFonts w:cstheme="minorHAnsi"/>
          <w:color w:val="2F5496" w:themeColor="accent1" w:themeShade="BF"/>
          <w:sz w:val="24"/>
          <w:szCs w:val="24"/>
        </w:rPr>
      </w:pPr>
    </w:p>
    <w:sectPr w:rsidR="00E225E4" w:rsidRPr="00523D2F" w:rsidSect="00711D7D">
      <w:footerReference w:type="default" r:id="rId10"/>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F8F9A5D" w14:textId="77777777" w:rsidR="00D57D44" w:rsidRDefault="00D57D44" w:rsidP="00721AD3">
      <w:pPr>
        <w:spacing w:after="0" w:line="240" w:lineRule="auto"/>
      </w:pPr>
      <w:r>
        <w:separator/>
      </w:r>
    </w:p>
  </w:endnote>
  <w:endnote w:type="continuationSeparator" w:id="0">
    <w:p w14:paraId="0C4AE74A" w14:textId="77777777" w:rsidR="00D57D44" w:rsidRDefault="00D57D44" w:rsidP="00721AD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26402911"/>
      <w:docPartObj>
        <w:docPartGallery w:val="Page Numbers (Bottom of Page)"/>
        <w:docPartUnique/>
      </w:docPartObj>
    </w:sdtPr>
    <w:sdtEndPr>
      <w:rPr>
        <w:noProof/>
      </w:rPr>
    </w:sdtEndPr>
    <w:sdtContent>
      <w:p w14:paraId="6F32D098" w14:textId="49BC94BD" w:rsidR="00721AD3" w:rsidRDefault="00721AD3">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6FE2EF7" w14:textId="77777777" w:rsidR="00721AD3" w:rsidRDefault="00721AD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5324FB4" w14:textId="77777777" w:rsidR="00D57D44" w:rsidRDefault="00D57D44" w:rsidP="00721AD3">
      <w:pPr>
        <w:spacing w:after="0" w:line="240" w:lineRule="auto"/>
      </w:pPr>
      <w:r>
        <w:separator/>
      </w:r>
    </w:p>
  </w:footnote>
  <w:footnote w:type="continuationSeparator" w:id="0">
    <w:p w14:paraId="02A88701" w14:textId="77777777" w:rsidR="00D57D44" w:rsidRDefault="00D57D44" w:rsidP="00721AD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6661885"/>
    <w:multiLevelType w:val="multilevel"/>
    <w:tmpl w:val="38E2A194"/>
    <w:lvl w:ilvl="0">
      <w:start w:val="1"/>
      <w:numFmt w:val="decimal"/>
      <w:lvlText w:val="%1."/>
      <w:lvlJc w:val="left"/>
      <w:pPr>
        <w:ind w:left="360" w:hanging="360"/>
      </w:pPr>
      <w:rPr>
        <w:sz w:val="36"/>
        <w:szCs w:val="32"/>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6FF272DA"/>
    <w:multiLevelType w:val="hybridMultilevel"/>
    <w:tmpl w:val="1C5A05B4"/>
    <w:lvl w:ilvl="0" w:tplc="3A66E5CE">
      <w:start w:val="1"/>
      <w:numFmt w:val="decimal"/>
      <w:lvlText w:val="%1)"/>
      <w:lvlJc w:val="left"/>
      <w:pPr>
        <w:ind w:left="720" w:hanging="360"/>
      </w:pPr>
      <w:rPr>
        <w:rFonts w:hint="default"/>
        <w:b/>
        <w:bCs/>
        <w:sz w:val="32"/>
        <w:szCs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72731"/>
    <w:rsid w:val="00035850"/>
    <w:rsid w:val="00040DA0"/>
    <w:rsid w:val="00065A66"/>
    <w:rsid w:val="000723A4"/>
    <w:rsid w:val="000D60EB"/>
    <w:rsid w:val="001070B3"/>
    <w:rsid w:val="00151752"/>
    <w:rsid w:val="0016580A"/>
    <w:rsid w:val="001A65A8"/>
    <w:rsid w:val="001D1F99"/>
    <w:rsid w:val="00206395"/>
    <w:rsid w:val="00216856"/>
    <w:rsid w:val="00250908"/>
    <w:rsid w:val="00287964"/>
    <w:rsid w:val="00324035"/>
    <w:rsid w:val="003C014B"/>
    <w:rsid w:val="0042197D"/>
    <w:rsid w:val="004C26DF"/>
    <w:rsid w:val="004D3FDD"/>
    <w:rsid w:val="00523D2F"/>
    <w:rsid w:val="00531185"/>
    <w:rsid w:val="005713F3"/>
    <w:rsid w:val="00572731"/>
    <w:rsid w:val="0057693D"/>
    <w:rsid w:val="005A7D65"/>
    <w:rsid w:val="006068DE"/>
    <w:rsid w:val="006455A7"/>
    <w:rsid w:val="006D0473"/>
    <w:rsid w:val="006D5562"/>
    <w:rsid w:val="00711D7D"/>
    <w:rsid w:val="00721AD3"/>
    <w:rsid w:val="0079527C"/>
    <w:rsid w:val="007E227A"/>
    <w:rsid w:val="00816026"/>
    <w:rsid w:val="00833D3D"/>
    <w:rsid w:val="00847D43"/>
    <w:rsid w:val="009C42FC"/>
    <w:rsid w:val="00A13942"/>
    <w:rsid w:val="00A46FCA"/>
    <w:rsid w:val="00A75039"/>
    <w:rsid w:val="00A77C42"/>
    <w:rsid w:val="00AC544B"/>
    <w:rsid w:val="00AC70B1"/>
    <w:rsid w:val="00AD0474"/>
    <w:rsid w:val="00AE3A3A"/>
    <w:rsid w:val="00B6025F"/>
    <w:rsid w:val="00BE30A1"/>
    <w:rsid w:val="00BE5135"/>
    <w:rsid w:val="00C00095"/>
    <w:rsid w:val="00C927A7"/>
    <w:rsid w:val="00D57083"/>
    <w:rsid w:val="00D57D44"/>
    <w:rsid w:val="00D668D6"/>
    <w:rsid w:val="00D87FFA"/>
    <w:rsid w:val="00DA1086"/>
    <w:rsid w:val="00DD4E18"/>
    <w:rsid w:val="00DF1A5B"/>
    <w:rsid w:val="00E225E4"/>
    <w:rsid w:val="00E3751A"/>
    <w:rsid w:val="00E45348"/>
    <w:rsid w:val="00E51109"/>
    <w:rsid w:val="00E542A8"/>
    <w:rsid w:val="00EB21A5"/>
    <w:rsid w:val="00EF6DE4"/>
    <w:rsid w:val="00F3581F"/>
    <w:rsid w:val="00F67578"/>
    <w:rsid w:val="00F966D4"/>
    <w:rsid w:val="00FA47B9"/>
    <w:rsid w:val="00FB11C3"/>
    <w:rsid w:val="00FC128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BD964B"/>
  <w15:chartTrackingRefBased/>
  <w15:docId w15:val="{EB2BE2C4-3467-4167-A090-AB914AD211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35850"/>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77C42"/>
    <w:rPr>
      <w:color w:val="0000FF"/>
      <w:u w:val="single"/>
    </w:rPr>
  </w:style>
  <w:style w:type="paragraph" w:styleId="TOC1">
    <w:name w:val="toc 1"/>
    <w:basedOn w:val="Normal"/>
    <w:next w:val="Normal"/>
    <w:autoRedefine/>
    <w:uiPriority w:val="39"/>
    <w:unhideWhenUsed/>
    <w:rsid w:val="00A77C42"/>
    <w:pPr>
      <w:spacing w:after="100" w:line="360" w:lineRule="auto"/>
      <w:jc w:val="both"/>
    </w:pPr>
    <w:rPr>
      <w:rFonts w:ascii="Times New Roman" w:hAnsi="Times New Roman"/>
      <w:sz w:val="24"/>
      <w:lang w:val="en-US"/>
    </w:rPr>
  </w:style>
  <w:style w:type="paragraph" w:styleId="TOC2">
    <w:name w:val="toc 2"/>
    <w:basedOn w:val="Normal"/>
    <w:next w:val="Normal"/>
    <w:autoRedefine/>
    <w:uiPriority w:val="39"/>
    <w:unhideWhenUsed/>
    <w:rsid w:val="00A77C42"/>
    <w:pPr>
      <w:spacing w:after="100" w:line="360" w:lineRule="auto"/>
      <w:ind w:left="240"/>
      <w:jc w:val="both"/>
    </w:pPr>
    <w:rPr>
      <w:rFonts w:ascii="Times New Roman" w:hAnsi="Times New Roman"/>
      <w:sz w:val="24"/>
      <w:lang w:val="en-US"/>
    </w:rPr>
  </w:style>
  <w:style w:type="paragraph" w:styleId="NormalWeb">
    <w:name w:val="Normal (Web)"/>
    <w:basedOn w:val="Normal"/>
    <w:uiPriority w:val="99"/>
    <w:unhideWhenUsed/>
    <w:rsid w:val="00F3581F"/>
    <w:pPr>
      <w:spacing w:before="100" w:beforeAutospacing="1" w:after="100" w:afterAutospacing="1" w:line="240" w:lineRule="auto"/>
      <w:jc w:val="both"/>
    </w:pPr>
    <w:rPr>
      <w:rFonts w:ascii="Times New Roman" w:eastAsia="Times New Roman" w:hAnsi="Times New Roman" w:cs="Times New Roman"/>
      <w:sz w:val="24"/>
      <w:szCs w:val="24"/>
      <w:lang w:val="en-US"/>
    </w:rPr>
  </w:style>
  <w:style w:type="character" w:customStyle="1" w:styleId="Heading1Char">
    <w:name w:val="Heading 1 Char"/>
    <w:basedOn w:val="DefaultParagraphFont"/>
    <w:link w:val="Heading1"/>
    <w:uiPriority w:val="9"/>
    <w:rsid w:val="00035850"/>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035850"/>
    <w:pPr>
      <w:outlineLvl w:val="9"/>
    </w:pPr>
    <w:rPr>
      <w:lang w:val="en-US"/>
    </w:rPr>
  </w:style>
  <w:style w:type="paragraph" w:styleId="NoSpacing">
    <w:name w:val="No Spacing"/>
    <w:link w:val="NoSpacingChar"/>
    <w:uiPriority w:val="1"/>
    <w:qFormat/>
    <w:rsid w:val="00711D7D"/>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711D7D"/>
    <w:rPr>
      <w:rFonts w:eastAsiaTheme="minorEastAsia"/>
      <w:lang w:val="en-US"/>
    </w:rPr>
  </w:style>
  <w:style w:type="paragraph" w:styleId="ListParagraph">
    <w:name w:val="List Paragraph"/>
    <w:basedOn w:val="Normal"/>
    <w:uiPriority w:val="34"/>
    <w:qFormat/>
    <w:rsid w:val="00DD4E18"/>
    <w:pPr>
      <w:spacing w:line="360" w:lineRule="auto"/>
      <w:ind w:left="720"/>
      <w:contextualSpacing/>
      <w:jc w:val="both"/>
    </w:pPr>
    <w:rPr>
      <w:rFonts w:ascii="Times New Roman" w:hAnsi="Times New Roman"/>
      <w:sz w:val="24"/>
      <w:lang w:val="en-US"/>
    </w:rPr>
  </w:style>
  <w:style w:type="paragraph" w:styleId="Header">
    <w:name w:val="header"/>
    <w:basedOn w:val="Normal"/>
    <w:link w:val="HeaderChar"/>
    <w:uiPriority w:val="99"/>
    <w:unhideWhenUsed/>
    <w:rsid w:val="00721AD3"/>
    <w:pPr>
      <w:tabs>
        <w:tab w:val="center" w:pos="4513"/>
        <w:tab w:val="right" w:pos="9026"/>
      </w:tabs>
      <w:spacing w:after="0" w:line="240" w:lineRule="auto"/>
    </w:pPr>
  </w:style>
  <w:style w:type="character" w:customStyle="1" w:styleId="HeaderChar">
    <w:name w:val="Header Char"/>
    <w:basedOn w:val="DefaultParagraphFont"/>
    <w:link w:val="Header"/>
    <w:uiPriority w:val="99"/>
    <w:rsid w:val="00721AD3"/>
  </w:style>
  <w:style w:type="paragraph" w:styleId="Footer">
    <w:name w:val="footer"/>
    <w:basedOn w:val="Normal"/>
    <w:link w:val="FooterChar"/>
    <w:uiPriority w:val="99"/>
    <w:unhideWhenUsed/>
    <w:rsid w:val="00721AD3"/>
    <w:pPr>
      <w:tabs>
        <w:tab w:val="center" w:pos="4513"/>
        <w:tab w:val="right" w:pos="9026"/>
      </w:tabs>
      <w:spacing w:after="0" w:line="240" w:lineRule="auto"/>
    </w:pPr>
  </w:style>
  <w:style w:type="character" w:customStyle="1" w:styleId="FooterChar">
    <w:name w:val="Footer Char"/>
    <w:basedOn w:val="DefaultParagraphFont"/>
    <w:link w:val="Footer"/>
    <w:uiPriority w:val="99"/>
    <w:rsid w:val="00721AD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634696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glossaryDocument" Target="glossary/document.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0CC8E72B36D443E7BD27F8A847335CD1"/>
        <w:category>
          <w:name w:val="General"/>
          <w:gallery w:val="placeholder"/>
        </w:category>
        <w:types>
          <w:type w:val="bbPlcHdr"/>
        </w:types>
        <w:behaviors>
          <w:behavior w:val="content"/>
        </w:behaviors>
        <w:guid w:val="{8336E942-4F01-4437-90CD-B65DF49EA78C}"/>
      </w:docPartPr>
      <w:docPartBody>
        <w:p w:rsidR="00AC6B70" w:rsidRDefault="002A6844" w:rsidP="002A6844">
          <w:pPr>
            <w:pStyle w:val="0CC8E72B36D443E7BD27F8A847335CD1"/>
          </w:pPr>
          <w:r>
            <w:rPr>
              <w:rFonts w:asciiTheme="majorHAnsi" w:eastAsiaTheme="majorEastAsia" w:hAnsiTheme="majorHAnsi" w:cstheme="majorBidi"/>
              <w:caps/>
              <w:color w:val="4472C4" w:themeColor="accent1"/>
              <w:sz w:val="80"/>
              <w:szCs w:val="80"/>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A6844"/>
    <w:rsid w:val="00104E30"/>
    <w:rsid w:val="002A6844"/>
    <w:rsid w:val="004B0B70"/>
    <w:rsid w:val="008470FA"/>
    <w:rsid w:val="00AC6B70"/>
    <w:rsid w:val="00BE2D3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0CC8E72B36D443E7BD27F8A847335CD1">
    <w:name w:val="0CC8E72B36D443E7BD27F8A847335CD1"/>
    <w:rsid w:val="002A6844"/>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Wil15</b:Tag>
    <b:SourceType>JournalArticle</b:SourceType>
    <b:Guid>{56A3D305-323A-4A0C-A3EC-C80DF75170EA}</b:Guid>
    <b:Title>The Meaning of Employee Engagement</b:Title>
    <b:Year>2015</b:Year>
    <b:Author>
      <b:Author>
        <b:NameList>
          <b:Person>
            <b:Last>Schneider</b:Last>
            <b:First>William</b:First>
            <b:Middle>H. Macey and Benjamin</b:Middle>
          </b:Person>
        </b:NameList>
      </b:Author>
    </b:Author>
    <b:JournalName>Industrial and organisational Psychology</b:JournalName>
    <b:Pages>3-30</b:Pages>
    <b:Volume>1</b:Volume>
    <b:RefOrder>1</b:RefOrder>
  </b:Source>
</b:Sources>
</file>

<file path=customXml/itemProps1.xml><?xml version="1.0" encoding="utf-8"?>
<ds:datastoreItem xmlns:ds="http://schemas.openxmlformats.org/officeDocument/2006/customXml" ds:itemID="{737EDBDF-620F-496B-8BE9-14F3B6243B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1377</TotalTime>
  <Pages>9</Pages>
  <Words>2649</Words>
  <Characters>15103</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MANAGING PEOPLE</vt:lpstr>
    </vt:vector>
  </TitlesOfParts>
  <Company/>
  <LinksUpToDate>false</LinksUpToDate>
  <CharactersWithSpaces>17717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MANAGING PEOPLE</dc:title>
  <dc:subject>ASSESSMENT 2</dc:subject>
  <dc:creator>alina coman</dc:creator>
  <cp:keywords/>
  <dc:description/>
  <cp:lastModifiedBy>alina coman</cp:lastModifiedBy>
  <cp:revision>64</cp:revision>
  <dcterms:created xsi:type="dcterms:W3CDTF">2021-08-11T20:53:00Z</dcterms:created>
  <dcterms:modified xsi:type="dcterms:W3CDTF">2021-09-02T22:46:00Z</dcterms:modified>
</cp:coreProperties>
</file>