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65A2AFEF" w:rsidR="00530E16" w:rsidRPr="00186F62" w:rsidRDefault="004468F8">
                            <w:pPr>
                              <w:spacing w:before="120" w:line="277" w:lineRule="auto"/>
                              <w:textDirection w:val="btLr"/>
                            </w:pPr>
                            <w:r>
                              <w:rPr>
                                <w:color w:val="404040"/>
                                <w:sz w:val="36"/>
                              </w:rPr>
                              <w:t xml:space="preserve">Student name: </w:t>
                            </w:r>
                            <w:r w:rsidR="00186F62">
                              <w:rPr>
                                <w:color w:val="404040"/>
                                <w:sz w:val="36"/>
                              </w:rPr>
                              <w:t>Marta Yarychkivska</w:t>
                            </w:r>
                          </w:p>
                          <w:p w14:paraId="07714B75" w14:textId="0B0D228A" w:rsidR="00530E16" w:rsidRDefault="004468F8">
                            <w:pPr>
                              <w:spacing w:before="120" w:line="277" w:lineRule="auto"/>
                              <w:textDirection w:val="btLr"/>
                            </w:pPr>
                            <w:r>
                              <w:rPr>
                                <w:color w:val="404040"/>
                                <w:sz w:val="36"/>
                              </w:rPr>
                              <w:t>Student ID:</w:t>
                            </w:r>
                            <w:r w:rsidR="00186F62">
                              <w:rPr>
                                <w:color w:val="404040"/>
                                <w:sz w:val="36"/>
                              </w:rPr>
                              <w:t>2544691</w:t>
                            </w:r>
                          </w:p>
                          <w:p w14:paraId="20688A91" w14:textId="78EFA4B3" w:rsidR="00530E16" w:rsidRPr="00946606" w:rsidRDefault="004468F8">
                            <w:pPr>
                              <w:spacing w:before="120" w:line="277" w:lineRule="auto"/>
                              <w:textDirection w:val="btLr"/>
                              <w:rPr>
                                <w:lang w:val="uk-UA"/>
                              </w:rPr>
                            </w:pPr>
                            <w:r>
                              <w:rPr>
                                <w:color w:val="404040"/>
                                <w:sz w:val="36"/>
                              </w:rPr>
                              <w:t xml:space="preserve">Lecturer’s Name: </w:t>
                            </w:r>
                            <w:r w:rsidR="00186F62">
                              <w:rPr>
                                <w:color w:val="404040"/>
                                <w:sz w:val="36"/>
                              </w:rPr>
                              <w:t>Amitave Banik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65A2AFEF" w:rsidR="00530E16" w:rsidRPr="00186F62" w:rsidRDefault="004468F8">
                      <w:pPr>
                        <w:spacing w:before="120" w:line="277" w:lineRule="auto"/>
                        <w:textDirection w:val="btLr"/>
                      </w:pPr>
                      <w:r>
                        <w:rPr>
                          <w:color w:val="404040"/>
                          <w:sz w:val="36"/>
                        </w:rPr>
                        <w:t xml:space="preserve">Student name: </w:t>
                      </w:r>
                      <w:r w:rsidR="00186F62">
                        <w:rPr>
                          <w:color w:val="404040"/>
                          <w:sz w:val="36"/>
                        </w:rPr>
                        <w:t>Marta Yarychkivska</w:t>
                      </w:r>
                    </w:p>
                    <w:p w14:paraId="07714B75" w14:textId="0B0D228A" w:rsidR="00530E16" w:rsidRDefault="004468F8">
                      <w:pPr>
                        <w:spacing w:before="120" w:line="277" w:lineRule="auto"/>
                        <w:textDirection w:val="btLr"/>
                      </w:pPr>
                      <w:r>
                        <w:rPr>
                          <w:color w:val="404040"/>
                          <w:sz w:val="36"/>
                        </w:rPr>
                        <w:t>Student ID:</w:t>
                      </w:r>
                      <w:r w:rsidR="00186F62">
                        <w:rPr>
                          <w:color w:val="404040"/>
                          <w:sz w:val="36"/>
                        </w:rPr>
                        <w:t>2544691</w:t>
                      </w:r>
                    </w:p>
                    <w:p w14:paraId="20688A91" w14:textId="78EFA4B3" w:rsidR="00530E16" w:rsidRPr="00946606" w:rsidRDefault="004468F8">
                      <w:pPr>
                        <w:spacing w:before="120" w:line="277" w:lineRule="auto"/>
                        <w:textDirection w:val="btLr"/>
                        <w:rPr>
                          <w:lang w:val="uk-UA"/>
                        </w:rPr>
                      </w:pPr>
                      <w:r>
                        <w:rPr>
                          <w:color w:val="404040"/>
                          <w:sz w:val="36"/>
                        </w:rPr>
                        <w:t xml:space="preserve">Lecturer’s Name: </w:t>
                      </w:r>
                      <w:r w:rsidR="00186F62">
                        <w:rPr>
                          <w:color w:val="404040"/>
                          <w:sz w:val="36"/>
                        </w:rPr>
                        <w:t>Amitave Banik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1B8FE014" w14:textId="7F4B461E" w:rsidR="002A1842" w:rsidRDefault="00EF541A">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r>
        <w:rPr>
          <w:rFonts w:ascii="Arial" w:eastAsia="Arial" w:hAnsi="Arial" w:cs="Arial"/>
        </w:rPr>
        <w:br/>
      </w:r>
    </w:p>
    <w:p w14:paraId="6F7529E4" w14:textId="66665C10" w:rsidR="004468F8" w:rsidRPr="00A34265" w:rsidRDefault="004468F8" w:rsidP="00EF541A">
      <w:pPr>
        <w:pStyle w:val="Heading1"/>
        <w:rPr>
          <w:rFonts w:ascii="Aptos" w:hAnsi="Aptos" w:cs="Times New Roman"/>
          <w:color w:val="auto"/>
          <w:sz w:val="24"/>
          <w:szCs w:val="24"/>
        </w:rPr>
      </w:pPr>
      <w:bookmarkStart w:id="0" w:name="_Toc203606109"/>
      <w:r w:rsidRPr="0055379F">
        <w:rPr>
          <w:rFonts w:ascii="Arial" w:hAnsi="Arial" w:cs="Arial"/>
          <w:b/>
          <w:bCs/>
          <w:sz w:val="32"/>
          <w:szCs w:val="32"/>
        </w:rPr>
        <w:lastRenderedPageBreak/>
        <w:t>Section 1: Introducing the Research Paper and Topic Development</w:t>
      </w:r>
      <w:bookmarkStart w:id="1" w:name="_Toc203606110"/>
      <w:bookmarkEnd w:id="0"/>
      <w:r w:rsidR="00EF541A" w:rsidRPr="0055379F">
        <w:rPr>
          <w:rFonts w:ascii="Arial" w:hAnsi="Arial" w:cs="Arial"/>
          <w:b/>
          <w:bCs/>
          <w:sz w:val="32"/>
          <w:szCs w:val="32"/>
        </w:rPr>
        <w:br/>
      </w:r>
      <w:r w:rsidR="00210D5A" w:rsidRPr="0055379F">
        <w:rPr>
          <w:rFonts w:ascii="Arial" w:hAnsi="Arial" w:cs="Arial"/>
          <w:b/>
          <w:bCs/>
          <w:color w:val="156082" w:themeColor="accent1"/>
          <w:sz w:val="32"/>
          <w:szCs w:val="32"/>
        </w:rPr>
        <w:t>1.</w:t>
      </w:r>
      <w:bookmarkEnd w:id="1"/>
      <w:r w:rsidR="004107F6" w:rsidRPr="0055379F">
        <w:rPr>
          <w:rFonts w:ascii="Arial" w:hAnsi="Arial" w:cs="Arial"/>
          <w:b/>
          <w:bCs/>
          <w:color w:val="156082" w:themeColor="accent1"/>
          <w:sz w:val="32"/>
          <w:szCs w:val="32"/>
          <w:lang w:val="uk-UA"/>
        </w:rPr>
        <w:t>1</w:t>
      </w:r>
      <w:r w:rsidR="004107F6" w:rsidRPr="0055379F">
        <w:rPr>
          <w:rFonts w:ascii="Arial" w:hAnsi="Arial" w:cs="Arial"/>
          <w:b/>
          <w:bCs/>
          <w:color w:val="156082" w:themeColor="accent1"/>
          <w:sz w:val="32"/>
          <w:szCs w:val="32"/>
        </w:rPr>
        <w:t xml:space="preserve"> </w:t>
      </w:r>
      <w:r w:rsidR="004107F6" w:rsidRPr="0055379F">
        <w:rPr>
          <w:rFonts w:ascii="Arial" w:hAnsi="Arial" w:cs="Arial"/>
          <w:b/>
          <w:bCs/>
          <w:color w:val="156082" w:themeColor="accent1"/>
          <w:sz w:val="32"/>
          <w:szCs w:val="32"/>
          <w:lang w:val="uk-UA"/>
        </w:rPr>
        <w:t xml:space="preserve">Paper Details (Title, Author(s) and Year of </w:t>
      </w:r>
      <w:r w:rsidR="00EF541A" w:rsidRPr="0055379F">
        <w:rPr>
          <w:rFonts w:ascii="Arial" w:hAnsi="Arial" w:cs="Arial"/>
          <w:b/>
          <w:bCs/>
          <w:color w:val="156082" w:themeColor="accent1"/>
          <w:sz w:val="32"/>
          <w:szCs w:val="32"/>
          <w:lang w:val="uk-UA"/>
        </w:rPr>
        <w:t>Publication)</w:t>
      </w:r>
      <w:r w:rsidR="00EF541A" w:rsidRPr="0055379F">
        <w:rPr>
          <w:rFonts w:ascii="Arial" w:hAnsi="Arial" w:cs="Arial"/>
          <w:color w:val="156082" w:themeColor="accent1"/>
          <w:lang w:val="uk-UA"/>
        </w:rPr>
        <w:t xml:space="preserve"> </w:t>
      </w:r>
      <w:r w:rsidR="00EF541A" w:rsidRPr="00D72B4A">
        <w:rPr>
          <w:rFonts w:ascii="Arial" w:hAnsi="Arial" w:cs="Arial"/>
          <w:color w:val="auto"/>
          <w:sz w:val="22"/>
          <w:szCs w:val="22"/>
          <w:lang w:val="uk-UA"/>
        </w:rPr>
        <w:t>For</w:t>
      </w:r>
      <w:r w:rsidR="004107F6" w:rsidRPr="00D72B4A">
        <w:rPr>
          <w:rFonts w:ascii="Arial" w:hAnsi="Arial" w:cs="Arial"/>
          <w:color w:val="auto"/>
          <w:sz w:val="22"/>
          <w:szCs w:val="22"/>
          <w:lang w:val="uk-UA"/>
        </w:rPr>
        <w:t xml:space="preserve"> my presentation, I chose a research paper called ‘She didn’t know how to go back’: School attendance problems during COVID-19 — A study with parents and professionals. Its authors are Brontë McDonald, Kathryn J. Lester and Daniel Michelson. They published this work in 2023, in the British Journal of Educational Psychology. The study was carried out in the south of England.</w:t>
      </w:r>
      <w:bookmarkStart w:id="2" w:name="_Toc203606111"/>
      <w:r w:rsidR="00C54A3A" w:rsidRPr="00D72B4A">
        <w:rPr>
          <w:rFonts w:ascii="Arial" w:hAnsi="Arial" w:cs="Arial"/>
          <w:color w:val="auto"/>
          <w:sz w:val="22"/>
          <w:szCs w:val="22"/>
          <w:lang w:val="uk-UA"/>
        </w:rPr>
        <w:t xml:space="preserve"> </w:t>
      </w:r>
      <w:r w:rsidR="00EF541A" w:rsidRPr="00D72B4A">
        <w:rPr>
          <w:rFonts w:ascii="Arial" w:hAnsi="Arial" w:cs="Arial"/>
          <w:color w:val="auto"/>
          <w:sz w:val="22"/>
          <w:szCs w:val="22"/>
        </w:rPr>
        <w:br/>
      </w:r>
      <w:r w:rsidR="00E10231" w:rsidRPr="0055379F">
        <w:rPr>
          <w:rFonts w:ascii="Arial" w:hAnsi="Arial" w:cs="Arial"/>
          <w:b/>
          <w:bCs/>
          <w:color w:val="156082" w:themeColor="accent1"/>
          <w:sz w:val="32"/>
          <w:szCs w:val="32"/>
        </w:rPr>
        <w:t>1.2 Main</w:t>
      </w:r>
      <w:r w:rsidRPr="0055379F">
        <w:rPr>
          <w:rFonts w:ascii="Arial" w:hAnsi="Arial" w:cs="Arial"/>
          <w:b/>
          <w:bCs/>
          <w:color w:val="156082" w:themeColor="accent1"/>
          <w:sz w:val="32"/>
          <w:szCs w:val="32"/>
        </w:rPr>
        <w:t xml:space="preserve"> Topic or Problem Explored in the Paper</w:t>
      </w:r>
      <w:bookmarkEnd w:id="2"/>
      <w:r w:rsidR="00046DF3" w:rsidRPr="0055379F">
        <w:rPr>
          <w:rFonts w:ascii="Arial" w:hAnsi="Arial" w:cs="Arial"/>
          <w:b/>
          <w:bCs/>
          <w:color w:val="auto"/>
          <w:sz w:val="28"/>
          <w:szCs w:val="28"/>
        </w:rPr>
        <w:t>.</w:t>
      </w:r>
      <w:r w:rsidR="00046DF3" w:rsidRPr="0055379F">
        <w:rPr>
          <w:rFonts w:ascii="Arial" w:hAnsi="Arial" w:cs="Arial"/>
          <w:color w:val="auto"/>
        </w:rPr>
        <w:br/>
      </w:r>
      <w:r w:rsidR="004107F6" w:rsidRPr="00D72B4A">
        <w:rPr>
          <w:rFonts w:ascii="Arial" w:hAnsi="Arial" w:cs="Arial"/>
          <w:color w:val="auto"/>
          <w:sz w:val="22"/>
          <w:szCs w:val="22"/>
          <w:lang w:val="uk-UA"/>
        </w:rPr>
        <w:t>This paper looks at school attendance problems among primary school children during the COVID-19 pandemic. The main goal of the research was simple: to understand why these problems happened, and find good ways to help children and their families. The main problem is clear: many children found it very hard to go back to school after long lockdowns. When schools closed, their usual daily routine broke completely. When schools opened again, they could not return to their old way of life easily. These difficulties were biggest for two groups: children with special educational needs (SEN), and children who already had anxiety problems before COVID. There were other reasons too: strong fear of getting COVID, trouble with new strict school rules, worry about falling behind with studies, and poor communication between families and schools. The study says that bad school attendance is never only the child’s problem — it always comes from three sides: the child himself, his family, and</w:t>
      </w:r>
      <w:r w:rsidR="00135F9E" w:rsidRPr="00D72B4A">
        <w:rPr>
          <w:rFonts w:ascii="Arial" w:hAnsi="Arial" w:cs="Arial"/>
          <w:color w:val="auto"/>
          <w:sz w:val="22"/>
          <w:szCs w:val="22"/>
        </w:rPr>
        <w:t xml:space="preserve"> </w:t>
      </w:r>
      <w:r w:rsidR="004107F6" w:rsidRPr="00D72B4A">
        <w:rPr>
          <w:rFonts w:ascii="Arial" w:hAnsi="Arial" w:cs="Arial"/>
          <w:color w:val="auto"/>
          <w:sz w:val="22"/>
          <w:szCs w:val="22"/>
          <w:lang w:val="uk-UA"/>
        </w:rPr>
        <w:t>his</w:t>
      </w:r>
      <w:r w:rsidR="00135F9E" w:rsidRPr="00D72B4A">
        <w:rPr>
          <w:rFonts w:ascii="Arial" w:hAnsi="Arial" w:cs="Arial"/>
          <w:color w:val="auto"/>
          <w:sz w:val="22"/>
          <w:szCs w:val="22"/>
          <w:lang w:val="uk-UA"/>
        </w:rPr>
        <w:t xml:space="preserve"> </w:t>
      </w:r>
      <w:r w:rsidR="004107F6" w:rsidRPr="00D72B4A">
        <w:rPr>
          <w:rFonts w:ascii="Arial" w:hAnsi="Arial" w:cs="Arial"/>
          <w:color w:val="auto"/>
          <w:sz w:val="22"/>
          <w:szCs w:val="22"/>
          <w:lang w:val="uk-UA"/>
        </w:rPr>
        <w:t>schoo</w:t>
      </w:r>
      <w:bookmarkStart w:id="3" w:name="_Toc203606112"/>
      <w:r w:rsidR="00135F9E" w:rsidRPr="00D72B4A">
        <w:rPr>
          <w:rFonts w:ascii="Arial" w:hAnsi="Arial" w:cs="Arial"/>
          <w:color w:val="auto"/>
          <w:sz w:val="22"/>
          <w:szCs w:val="22"/>
        </w:rPr>
        <w:t>l</w:t>
      </w:r>
      <w:r w:rsidR="00135F9E" w:rsidRPr="00D72B4A">
        <w:rPr>
          <w:rFonts w:ascii="Arial" w:hAnsi="Arial" w:cs="Arial"/>
          <w:color w:val="auto"/>
          <w:sz w:val="22"/>
          <w:szCs w:val="22"/>
        </w:rPr>
        <w:br/>
      </w:r>
      <w:r w:rsidR="00E10231" w:rsidRPr="0055379F">
        <w:rPr>
          <w:rFonts w:ascii="Arial" w:hAnsi="Arial" w:cs="Arial"/>
          <w:b/>
          <w:bCs/>
          <w:color w:val="156082" w:themeColor="accent1"/>
          <w:sz w:val="32"/>
          <w:szCs w:val="32"/>
        </w:rPr>
        <w:t>1.3 Who</w:t>
      </w:r>
      <w:r w:rsidRPr="0055379F">
        <w:rPr>
          <w:rFonts w:ascii="Arial" w:hAnsi="Arial" w:cs="Arial"/>
          <w:b/>
          <w:bCs/>
          <w:color w:val="156082" w:themeColor="accent1"/>
          <w:sz w:val="32"/>
          <w:szCs w:val="32"/>
        </w:rPr>
        <w:t xml:space="preserve"> Is the Research </w:t>
      </w:r>
      <w:bookmarkEnd w:id="3"/>
      <w:r w:rsidR="004107F6" w:rsidRPr="0055379F">
        <w:rPr>
          <w:rFonts w:ascii="Arial" w:hAnsi="Arial" w:cs="Arial"/>
          <w:b/>
          <w:bCs/>
          <w:color w:val="156082" w:themeColor="accent1"/>
          <w:sz w:val="32"/>
          <w:szCs w:val="32"/>
        </w:rPr>
        <w:t>About?</w:t>
      </w:r>
      <w:r w:rsidR="004107F6" w:rsidRPr="0055379F">
        <w:rPr>
          <w:rFonts w:ascii="Arial" w:hAnsi="Arial" w:cs="Arial"/>
          <w:color w:val="156082" w:themeColor="accent1"/>
          <w:sz w:val="24"/>
          <w:szCs w:val="24"/>
          <w:lang w:val="uk-UA"/>
        </w:rPr>
        <w:t xml:space="preserve"> </w:t>
      </w:r>
      <w:r w:rsidR="004107F6" w:rsidRPr="00D72B4A">
        <w:rPr>
          <w:rFonts w:ascii="Arial" w:hAnsi="Arial" w:cs="Arial"/>
          <w:color w:val="auto"/>
          <w:sz w:val="22"/>
          <w:szCs w:val="22"/>
          <w:lang w:val="uk-UA"/>
        </w:rPr>
        <w:t>The research focuses on primary school children who had attendance problems during the pandemic. But the researchers did not talk only to children. They also spoke to two other very important groups: parents of these children, and different school professionals. Among them were headteachers, ordinary teachers, educational psychologists, mental health workers and SEN coordinators. They wanted to look at the same problem from all sides. This approach showed one important thing: parents and professionals often understand the causes of bad attendance differently, and also have different ideas about what kind of help children really need.</w:t>
      </w:r>
      <w:bookmarkStart w:id="4" w:name="_Toc203606113"/>
      <w:r w:rsidR="00135F9E" w:rsidRPr="00D72B4A">
        <w:rPr>
          <w:rFonts w:ascii="Arial" w:hAnsi="Arial" w:cs="Arial"/>
          <w:color w:val="auto"/>
          <w:sz w:val="22"/>
          <w:szCs w:val="22"/>
        </w:rPr>
        <w:br/>
      </w:r>
      <w:r w:rsidR="00E10231" w:rsidRPr="0055379F">
        <w:rPr>
          <w:rFonts w:ascii="Arial" w:hAnsi="Arial" w:cs="Arial"/>
          <w:b/>
          <w:bCs/>
          <w:color w:val="156082" w:themeColor="accent1"/>
          <w:sz w:val="32"/>
          <w:szCs w:val="32"/>
        </w:rPr>
        <w:t>1.4 Why</w:t>
      </w:r>
      <w:r w:rsidRPr="0055379F">
        <w:rPr>
          <w:rFonts w:ascii="Arial" w:hAnsi="Arial" w:cs="Arial"/>
          <w:b/>
          <w:bCs/>
          <w:color w:val="156082" w:themeColor="accent1"/>
          <w:sz w:val="32"/>
          <w:szCs w:val="32"/>
        </w:rPr>
        <w:t xml:space="preserve"> Is This Topic Important in UK Health and Social Care?</w:t>
      </w:r>
      <w:bookmarkEnd w:id="4"/>
      <w:r w:rsidR="004107F6" w:rsidRPr="0055379F">
        <w:rPr>
          <w:rFonts w:ascii="Arial" w:hAnsi="Arial" w:cs="Arial"/>
          <w:color w:val="156082" w:themeColor="accent1"/>
          <w:sz w:val="32"/>
          <w:szCs w:val="32"/>
          <w:lang w:val="uk-UA"/>
        </w:rPr>
        <w:br/>
      </w:r>
      <w:r w:rsidR="00C54A3A" w:rsidRPr="00D72B4A">
        <w:rPr>
          <w:rFonts w:ascii="Arial" w:hAnsi="Arial" w:cs="Arial"/>
          <w:color w:val="auto"/>
          <w:sz w:val="22"/>
          <w:szCs w:val="22"/>
          <w:lang w:val="uk-UA"/>
        </w:rPr>
        <w:t>This topic is important for UK health and social care because school attendance problems can be associated with children’s mental health difficulties and persistent absence (Lereya et al., 2019). The issue is therefore relevant not only to education but also to children’s mental health, family wellbeing and support services. The study also highlights the importance of communication between families, schools and support services. Children with SEN or mental health difficulties may require coordinated support. Early intervention and strong relationships between schools and families can therefore help provide appropriate support for children</w:t>
      </w:r>
      <w:bookmarkStart w:id="5" w:name="_Toc203606114"/>
      <w:r w:rsidR="00FE3245" w:rsidRPr="00D72B4A">
        <w:rPr>
          <w:rFonts w:ascii="Aptos" w:hAnsi="Aptos" w:cs="Times New Roman"/>
          <w:b/>
          <w:bCs/>
          <w:color w:val="156082" w:themeColor="accent1"/>
          <w:sz w:val="32"/>
          <w:szCs w:val="32"/>
          <w:lang w:val="uk-UA"/>
        </w:rPr>
        <w:br/>
      </w:r>
      <w:r w:rsidR="00A34265">
        <w:rPr>
          <w:rFonts w:ascii="Aptos" w:hAnsi="Aptos" w:cs="Times New Roman"/>
          <w:b/>
          <w:bCs/>
          <w:color w:val="156082" w:themeColor="accent1"/>
          <w:sz w:val="32"/>
          <w:szCs w:val="32"/>
          <w:lang w:val="uk-UA"/>
        </w:rPr>
        <w:br/>
      </w:r>
      <w:r w:rsidRPr="00A34265">
        <w:rPr>
          <w:rFonts w:ascii="Aptos" w:hAnsi="Aptos" w:cs="Times New Roman"/>
          <w:b/>
          <w:bCs/>
          <w:color w:val="156082" w:themeColor="accent1"/>
          <w:sz w:val="32"/>
          <w:szCs w:val="32"/>
        </w:rPr>
        <w:t>2:Understanding</w:t>
      </w:r>
      <w:r w:rsidR="00B42EB8" w:rsidRPr="00A34265">
        <w:rPr>
          <w:rFonts w:ascii="Aptos" w:hAnsi="Aptos" w:cs="Times New Roman"/>
          <w:b/>
          <w:bCs/>
          <w:color w:val="156082" w:themeColor="accent1"/>
          <w:sz w:val="32"/>
          <w:szCs w:val="32"/>
        </w:rPr>
        <w:t xml:space="preserve"> </w:t>
      </w:r>
      <w:r w:rsidRPr="00A34265">
        <w:rPr>
          <w:rFonts w:ascii="Aptos" w:hAnsi="Aptos" w:cs="Times New Roman"/>
          <w:b/>
          <w:bCs/>
          <w:color w:val="156082" w:themeColor="accent1"/>
          <w:sz w:val="32"/>
          <w:szCs w:val="32"/>
        </w:rPr>
        <w:t>the Purpose and Research Question</w:t>
      </w:r>
      <w:bookmarkEnd w:id="5"/>
      <w:r w:rsidR="00B42EB8" w:rsidRPr="00EF541A">
        <w:rPr>
          <w:rFonts w:ascii="Aptos" w:hAnsi="Aptos" w:cs="Times New Roman"/>
          <w:color w:val="auto"/>
          <w:sz w:val="32"/>
          <w:szCs w:val="32"/>
        </w:rPr>
        <w:br/>
      </w:r>
      <w:r w:rsidR="00B42EB8" w:rsidRPr="00CF54F6">
        <w:rPr>
          <w:rFonts w:ascii="Aptos" w:hAnsi="Aptos" w:cs="Times New Roman"/>
          <w:color w:val="auto"/>
          <w:sz w:val="24"/>
          <w:szCs w:val="24"/>
        </w:rPr>
        <w:t xml:space="preserve">The main aim of this study by McDonald et al. (2023) was to understand the reasons for </w:t>
      </w:r>
      <w:r w:rsidR="00B42EB8" w:rsidRPr="00CF54F6">
        <w:rPr>
          <w:rFonts w:ascii="Aptos" w:hAnsi="Aptos" w:cs="Times New Roman"/>
          <w:color w:val="auto"/>
          <w:sz w:val="24"/>
          <w:szCs w:val="24"/>
        </w:rPr>
        <w:lastRenderedPageBreak/>
        <w:t>school attendance problems during the COVID-19 pandemic and find effective ways to support primary school children and their families. The authors explored three key questions: what factors were linked to attendance problems, what support was already in place and how well it worked, and what other help could make a real difference for children and families. The main barriers found were children’s anxiety, disrupted daily routines, fear of infection and poor communication between home and school. The study highlights the importance of early help, good communication and joined-up support for children and families.</w:t>
      </w:r>
      <w:bookmarkStart w:id="6" w:name="_Toc203606115"/>
      <w:r w:rsidR="00D32DEE" w:rsidRPr="00CF54F6">
        <w:rPr>
          <w:rFonts w:ascii="Aptos" w:hAnsi="Aptos" w:cs="Times New Roman"/>
          <w:color w:val="auto"/>
          <w:sz w:val="24"/>
          <w:szCs w:val="24"/>
        </w:rPr>
        <w:br/>
      </w:r>
      <w:r w:rsidR="00D32DEE" w:rsidRPr="00CF54F6">
        <w:rPr>
          <w:rFonts w:ascii="Aptos" w:hAnsi="Aptos" w:cs="Times New Roman"/>
          <w:color w:val="auto"/>
          <w:sz w:val="32"/>
          <w:szCs w:val="32"/>
        </w:rPr>
        <w:br/>
      </w:r>
      <w:r w:rsidR="00210D5A" w:rsidRPr="00A34265">
        <w:rPr>
          <w:rFonts w:ascii="Aptos" w:hAnsi="Aptos" w:cs="Times New Roman"/>
          <w:b/>
          <w:bCs/>
          <w:color w:val="156082" w:themeColor="accent1"/>
          <w:sz w:val="32"/>
          <w:szCs w:val="32"/>
        </w:rPr>
        <w:t>2.1 Research</w:t>
      </w:r>
      <w:r w:rsidRPr="00A34265">
        <w:rPr>
          <w:rFonts w:ascii="Aptos" w:hAnsi="Aptos" w:cs="Times New Roman"/>
          <w:b/>
          <w:bCs/>
          <w:color w:val="156082" w:themeColor="accent1"/>
          <w:sz w:val="32"/>
          <w:szCs w:val="32"/>
        </w:rPr>
        <w:t xml:space="preserve"> Question(s) or </w:t>
      </w:r>
      <w:bookmarkEnd w:id="6"/>
      <w:r w:rsidR="00D32DEE" w:rsidRPr="00A34265">
        <w:rPr>
          <w:rFonts w:ascii="Aptos" w:hAnsi="Aptos" w:cs="Times New Roman"/>
          <w:b/>
          <w:bCs/>
          <w:color w:val="156082" w:themeColor="accent1"/>
          <w:sz w:val="32"/>
          <w:szCs w:val="32"/>
        </w:rPr>
        <w:t>Objectives</w:t>
      </w:r>
      <w:r w:rsidR="00D32DEE" w:rsidRPr="00EF541A">
        <w:rPr>
          <w:rFonts w:ascii="Aptos" w:hAnsi="Aptos" w:cs="Times New Roman"/>
          <w:color w:val="auto"/>
        </w:rPr>
        <w:t xml:space="preserve"> </w:t>
      </w:r>
      <w:r w:rsidR="00D32DEE" w:rsidRPr="00A34265">
        <w:rPr>
          <w:rFonts w:ascii="Aptos" w:hAnsi="Aptos" w:cs="Times New Roman"/>
          <w:color w:val="auto"/>
          <w:sz w:val="24"/>
          <w:szCs w:val="24"/>
        </w:rPr>
        <w:t>The researchers had three main questions. First, they wanted to identify the factors linked to school attendance problems among primary school children during the COVID-19 pandemic. Second, they examined what support was already available and how effective it was. Third, they explored what extra support could help children and families and how best to organise it. These questions helped the researchers understand attendance problems as seen by parents and professionals and identify areas where support could be improved (McDonald et al., 2023).</w:t>
      </w:r>
    </w:p>
    <w:p w14:paraId="5FEF1813" w14:textId="0252D619" w:rsidR="00CA603E" w:rsidRPr="00A34265" w:rsidRDefault="004468F8" w:rsidP="00D72B4A">
      <w:pPr>
        <w:pStyle w:val="Heading1"/>
        <w:jc w:val="both"/>
        <w:rPr>
          <w:rFonts w:ascii="Aptos" w:hAnsi="Aptos" w:cs="Times New Roman"/>
          <w:b/>
          <w:bCs/>
          <w:color w:val="156082" w:themeColor="accent1"/>
          <w:sz w:val="32"/>
          <w:szCs w:val="32"/>
        </w:rPr>
      </w:pPr>
      <w:bookmarkStart w:id="7" w:name="_Toc203606116"/>
      <w:r w:rsidRPr="00A34265">
        <w:rPr>
          <w:rFonts w:ascii="Aptos" w:hAnsi="Aptos" w:cs="Times New Roman"/>
          <w:b/>
          <w:bCs/>
          <w:color w:val="156082" w:themeColor="accent1"/>
          <w:sz w:val="32"/>
          <w:szCs w:val="32"/>
        </w:rPr>
        <w:t>Section 3: Understanding the Research Methods</w:t>
      </w:r>
      <w:bookmarkStart w:id="8" w:name="_Toc203606117"/>
      <w:bookmarkEnd w:id="7"/>
      <w:r w:rsidR="00D72B4A">
        <w:rPr>
          <w:rFonts w:ascii="Aptos" w:hAnsi="Aptos" w:cs="Times New Roman"/>
          <w:b/>
          <w:bCs/>
          <w:color w:val="156082" w:themeColor="accent1"/>
          <w:sz w:val="32"/>
          <w:szCs w:val="32"/>
          <w:lang w:val="uk-UA"/>
        </w:rPr>
        <w:t xml:space="preserve"> </w:t>
      </w:r>
      <w:r w:rsidR="00E10231" w:rsidRPr="00A34265">
        <w:rPr>
          <w:rFonts w:ascii="Aptos" w:hAnsi="Aptos" w:cs="Times New Roman"/>
          <w:b/>
          <w:bCs/>
          <w:color w:val="156082" w:themeColor="accent1"/>
          <w:sz w:val="32"/>
          <w:szCs w:val="32"/>
        </w:rPr>
        <w:t>3.1 Overview</w:t>
      </w:r>
      <w:r w:rsidRPr="00A34265">
        <w:rPr>
          <w:rFonts w:ascii="Aptos" w:hAnsi="Aptos" w:cs="Times New Roman"/>
          <w:b/>
          <w:bCs/>
          <w:color w:val="156082" w:themeColor="accent1"/>
          <w:sz w:val="32"/>
          <w:szCs w:val="32"/>
        </w:rPr>
        <w:t xml:space="preserve"> of Quantitative, Qualitative, and Mixed-Methods Research</w:t>
      </w:r>
      <w:bookmarkEnd w:id="8"/>
    </w:p>
    <w:p w14:paraId="3A1BF5C6" w14:textId="43B2F20C" w:rsidR="00CA603E" w:rsidRPr="00D72B4A" w:rsidRDefault="00CA603E" w:rsidP="00CA603E">
      <w:pPr>
        <w:spacing w:line="360" w:lineRule="auto"/>
        <w:jc w:val="both"/>
        <w:rPr>
          <w:rFonts w:ascii="Arial" w:eastAsia="Arial" w:hAnsi="Arial" w:cs="Arial"/>
          <w:sz w:val="22"/>
          <w:szCs w:val="22"/>
        </w:rPr>
      </w:pPr>
      <w:r w:rsidRPr="00D72B4A">
        <w:rPr>
          <w:rFonts w:ascii="Arial" w:eastAsia="Arial" w:hAnsi="Arial" w:cs="Arial"/>
          <w:sz w:val="22"/>
          <w:szCs w:val="22"/>
        </w:rPr>
        <w:t>Quantitative research works with numerical, measurable data to answer research questions. Researchers collect this information through questionnaires, standardised measurements or existing official records, then use statistical tools to identify patterns, links or differences between groups. For example, in health and social care, a study could track blood pressure readings across a group of patients to test whether a new treatment produces a measurable effect. This approach works well when a study needs results that can be quantified and compared reliably (Creswell and Creswell, 2018).</w:t>
      </w:r>
      <w:r w:rsidR="00D72B4A" w:rsidRPr="00D72B4A">
        <w:rPr>
          <w:rFonts w:ascii="Arial" w:eastAsia="Arial" w:hAnsi="Arial" w:cs="Arial"/>
          <w:sz w:val="22"/>
          <w:szCs w:val="22"/>
          <w:lang w:val="uk-UA"/>
        </w:rPr>
        <w:br/>
      </w:r>
      <w:r w:rsidRPr="00D72B4A">
        <w:rPr>
          <w:rFonts w:ascii="Arial" w:eastAsia="Arial" w:hAnsi="Arial" w:cs="Arial"/>
          <w:sz w:val="22"/>
          <w:szCs w:val="22"/>
        </w:rPr>
        <w:t xml:space="preserve">Qualitative research explores </w:t>
      </w:r>
      <w:r w:rsidR="00EF541A" w:rsidRPr="00D72B4A">
        <w:rPr>
          <w:rFonts w:ascii="Arial" w:eastAsia="Arial" w:hAnsi="Arial" w:cs="Arial"/>
          <w:sz w:val="22"/>
          <w:szCs w:val="22"/>
        </w:rPr>
        <w:t>peoples</w:t>
      </w:r>
      <w:r w:rsidRPr="00D72B4A">
        <w:rPr>
          <w:rFonts w:ascii="Arial" w:eastAsia="Arial" w:hAnsi="Arial" w:cs="Arial"/>
          <w:sz w:val="22"/>
          <w:szCs w:val="22"/>
        </w:rPr>
        <w:t xml:space="preserve"> lived experiences, personal views, feelings and interpretations, rather than producing numerical results. Researchers gather this type of data through in-depth interviews, direct observation or open-ended survey questions. For example, a health and social care project could interview patients about how they experienced receiving care in a particular hospital setting. This method helps researchers understand not just what happened, but why people felt or acted in certain ways (Creswell and Creswell, 2018</w:t>
      </w:r>
      <w:r w:rsidR="009043E0" w:rsidRPr="00D72B4A">
        <w:rPr>
          <w:rFonts w:ascii="Arial" w:hAnsi="Arial" w:cs="Arial"/>
          <w:sz w:val="22"/>
          <w:szCs w:val="22"/>
        </w:rPr>
        <w:t xml:space="preserve"> </w:t>
      </w:r>
      <w:r w:rsidR="009043E0" w:rsidRPr="00D72B4A">
        <w:rPr>
          <w:rFonts w:ascii="Arial" w:eastAsia="Arial" w:hAnsi="Arial" w:cs="Arial"/>
          <w:sz w:val="22"/>
          <w:szCs w:val="22"/>
        </w:rPr>
        <w:t>Braun et al., 2021</w:t>
      </w:r>
      <w:r w:rsidRPr="00D72B4A">
        <w:rPr>
          <w:rFonts w:ascii="Arial" w:eastAsia="Arial" w:hAnsi="Arial" w:cs="Arial"/>
          <w:sz w:val="22"/>
          <w:szCs w:val="22"/>
        </w:rPr>
        <w:t>).</w:t>
      </w:r>
    </w:p>
    <w:p w14:paraId="371DA1CA" w14:textId="7667AEF8" w:rsidR="00CA603E" w:rsidRPr="00D72B4A" w:rsidRDefault="00CA603E" w:rsidP="00CA603E">
      <w:pPr>
        <w:spacing w:line="360" w:lineRule="auto"/>
        <w:jc w:val="both"/>
        <w:rPr>
          <w:rFonts w:ascii="Arial" w:eastAsia="Arial" w:hAnsi="Arial" w:cs="Arial"/>
          <w:sz w:val="22"/>
          <w:szCs w:val="22"/>
        </w:rPr>
      </w:pPr>
      <w:r w:rsidRPr="00D72B4A">
        <w:rPr>
          <w:rFonts w:ascii="Arial" w:eastAsia="Arial" w:hAnsi="Arial" w:cs="Arial"/>
          <w:sz w:val="22"/>
          <w:szCs w:val="22"/>
        </w:rPr>
        <w:t xml:space="preserve">Mixed-methods research brings both quantitative and qualitative approaches together within a single study. Researchers can use numerical data first to map broader patterns, then add qualitative evidence to explain the human experiences and reasons behind those patterns. </w:t>
      </w:r>
      <w:r w:rsidRPr="00D72B4A">
        <w:rPr>
          <w:rFonts w:ascii="Arial" w:eastAsia="Arial" w:hAnsi="Arial" w:cs="Arial"/>
          <w:sz w:val="22"/>
          <w:szCs w:val="22"/>
        </w:rPr>
        <w:lastRenderedPageBreak/>
        <w:t>For example, a study could start with a structured questionnaire to measure overall patient satisfaction, then follow up with interviews to explore exactly why some people reported positive or negative experiences. Using both types of data together gives a fuller, more rounded picture of the issue being studied (Johnson, Onwuegbuzie and Turner, 2007).</w:t>
      </w:r>
      <w:r w:rsidR="00D72B4A" w:rsidRPr="00D72B4A">
        <w:rPr>
          <w:rFonts w:ascii="Arial" w:eastAsia="Arial" w:hAnsi="Arial" w:cs="Arial"/>
          <w:sz w:val="22"/>
          <w:szCs w:val="22"/>
          <w:lang w:val="uk-UA"/>
        </w:rPr>
        <w:br/>
      </w:r>
      <w:r w:rsidRPr="00A34265">
        <w:rPr>
          <w:rFonts w:ascii="Arial" w:eastAsia="Arial" w:hAnsi="Arial" w:cs="Arial"/>
          <w:color w:val="156082" w:themeColor="accent1"/>
          <w:sz w:val="32"/>
          <w:szCs w:val="32"/>
        </w:rPr>
        <w:t>3.2 Research Methodology Used in the Chosen Paper and Why</w:t>
      </w:r>
      <w:r w:rsidRPr="00A34265">
        <w:rPr>
          <w:rFonts w:ascii="Arial" w:eastAsia="Arial" w:hAnsi="Arial" w:cs="Arial"/>
          <w:sz w:val="32"/>
          <w:szCs w:val="32"/>
        </w:rPr>
        <w:br/>
      </w:r>
      <w:r w:rsidRPr="00D72B4A">
        <w:rPr>
          <w:rFonts w:ascii="Arial" w:eastAsia="Arial" w:hAnsi="Arial" w:cs="Arial"/>
          <w:sz w:val="22"/>
          <w:szCs w:val="22"/>
        </w:rPr>
        <w:t>The chosen paper by McDonald et al. (2023) follows a qualitative research design. Although the authors describe the study as a qualitative, mixed-method design, both phases involved the collection and analysis of qualitative data. This is clear from how the work was built: the team set out to capture personal experiences and views from parents and professionals, rather than focusing on statistical measurements or large-scale numerical results. The study collected qualitative data in two separate, sequential phases.</w:t>
      </w:r>
      <w:r w:rsidRPr="00D72B4A">
        <w:rPr>
          <w:rFonts w:ascii="Arial" w:eastAsia="Arial" w:hAnsi="Arial" w:cs="Arial"/>
          <w:sz w:val="22"/>
          <w:szCs w:val="22"/>
        </w:rPr>
        <w:br/>
        <w:t>In Phase 1, the team used open-ended qualitative surveys made up of six questions. Twenty-nine parents and 19 professionals took part. The questions covered the nature of school attendance problems, possible reasons behind them, support families had already received and what further help might be useful. Because participants could answer freely in their own words, the responses provided qualitative data.</w:t>
      </w:r>
      <w:r w:rsidRPr="00D72B4A">
        <w:rPr>
          <w:rFonts w:ascii="Arial" w:eastAsia="Arial" w:hAnsi="Arial" w:cs="Arial"/>
          <w:sz w:val="22"/>
          <w:szCs w:val="22"/>
        </w:rPr>
        <w:br/>
        <w:t xml:space="preserve">In Phase 2, the researchers carried out semi-structured interviews with 10 parents and 12 professionals. Each interview lasted between 45 and 60 minutes and took place over the telephone or </w:t>
      </w:r>
      <w:r w:rsidR="009043E0" w:rsidRPr="00D72B4A">
        <w:rPr>
          <w:rFonts w:ascii="Arial" w:eastAsia="Arial" w:hAnsi="Arial" w:cs="Arial"/>
          <w:sz w:val="22"/>
          <w:szCs w:val="22"/>
        </w:rPr>
        <w:t>zoom</w:t>
      </w:r>
      <w:r w:rsidRPr="00D72B4A">
        <w:rPr>
          <w:rFonts w:ascii="Arial" w:eastAsia="Arial" w:hAnsi="Arial" w:cs="Arial"/>
          <w:sz w:val="22"/>
          <w:szCs w:val="22"/>
        </w:rPr>
        <w:t>. The interviews were recorded, transcribed verbatim and anonymised so no participant could be identified. This stage gave people the chance to explain their experiences in much greater detail than was possible in the survey (McDonald et al., 2023</w:t>
      </w:r>
      <w:proofErr w:type="gramStart"/>
      <w:r w:rsidRPr="00D72B4A">
        <w:rPr>
          <w:rFonts w:ascii="Arial" w:eastAsia="Arial" w:hAnsi="Arial" w:cs="Arial"/>
          <w:sz w:val="22"/>
          <w:szCs w:val="22"/>
        </w:rPr>
        <w:t>).A</w:t>
      </w:r>
      <w:proofErr w:type="gramEnd"/>
      <w:r w:rsidRPr="00D72B4A">
        <w:rPr>
          <w:rFonts w:ascii="Arial" w:eastAsia="Arial" w:hAnsi="Arial" w:cs="Arial"/>
          <w:sz w:val="22"/>
          <w:szCs w:val="22"/>
        </w:rPr>
        <w:t xml:space="preserve"> qualitative design was the right choice here because the study asked why children developed attendance difficulties and how different groups judged the support available. These are questions that call for rich, detailed accounts of feelings and opinions — answers that numbers alone cannot fully capture. Working in two phases also meant the team could use what they learned from the surveys to shape the interview guides and explore important points more deeply.</w:t>
      </w:r>
    </w:p>
    <w:p w14:paraId="7D17648F" w14:textId="77777777" w:rsidR="00D72B4A" w:rsidRPr="00D72B4A" w:rsidRDefault="00CA603E" w:rsidP="00D72B4A">
      <w:pPr>
        <w:spacing w:line="360" w:lineRule="auto"/>
        <w:jc w:val="both"/>
        <w:rPr>
          <w:rFonts w:ascii="Arial" w:hAnsi="Arial" w:cs="Arial"/>
          <w:sz w:val="22"/>
          <w:szCs w:val="22"/>
          <w:lang w:val="uk-UA"/>
        </w:rPr>
      </w:pPr>
      <w:r w:rsidRPr="00D72B4A">
        <w:rPr>
          <w:rFonts w:ascii="Arial" w:eastAsia="Arial" w:hAnsi="Arial" w:cs="Arial"/>
          <w:sz w:val="22"/>
          <w:szCs w:val="22"/>
        </w:rPr>
        <w:t>All survey and interview data were analysed using thematic framework analysis.</w:t>
      </w:r>
      <w:r w:rsidR="0092733E" w:rsidRPr="00D72B4A">
        <w:rPr>
          <w:rFonts w:ascii="Arial" w:hAnsi="Arial" w:cs="Arial"/>
          <w:sz w:val="22"/>
          <w:szCs w:val="22"/>
        </w:rPr>
        <w:t xml:space="preserve"> </w:t>
      </w:r>
      <w:r w:rsidR="0092733E" w:rsidRPr="00D72B4A">
        <w:rPr>
          <w:rFonts w:ascii="Arial" w:eastAsia="Arial" w:hAnsi="Arial" w:cs="Arial"/>
          <w:sz w:val="22"/>
          <w:szCs w:val="22"/>
        </w:rPr>
        <w:t>The researchers combined two coding approaches: deductive coding, where they looked for themes already suggested by the original research aims, and inductive coding, which let new, unexpected themes come through directly from what participants had said. Once identified, themes were organised and interpreted to build the study’s overall findings</w:t>
      </w:r>
      <w:r w:rsidR="009043E0" w:rsidRPr="00D72B4A">
        <w:rPr>
          <w:rFonts w:ascii="Arial" w:eastAsia="Arial" w:hAnsi="Arial" w:cs="Arial"/>
          <w:sz w:val="22"/>
          <w:szCs w:val="22"/>
        </w:rPr>
        <w:t xml:space="preserve"> </w:t>
      </w:r>
      <w:r w:rsidR="0092733E" w:rsidRPr="00D72B4A">
        <w:rPr>
          <w:rFonts w:ascii="Arial" w:eastAsia="Arial" w:hAnsi="Arial" w:cs="Arial"/>
          <w:sz w:val="22"/>
          <w:szCs w:val="22"/>
        </w:rPr>
        <w:t>(</w:t>
      </w:r>
      <w:r w:rsidR="009043E0" w:rsidRPr="00D72B4A">
        <w:rPr>
          <w:rFonts w:ascii="Arial" w:eastAsia="Arial" w:hAnsi="Arial" w:cs="Arial"/>
          <w:sz w:val="22"/>
          <w:szCs w:val="22"/>
        </w:rPr>
        <w:t>Gale et al., 2013;</w:t>
      </w:r>
      <w:r w:rsidR="0092733E" w:rsidRPr="00D72B4A">
        <w:rPr>
          <w:rFonts w:ascii="Arial" w:eastAsia="Arial" w:hAnsi="Arial" w:cs="Arial"/>
          <w:sz w:val="22"/>
          <w:szCs w:val="22"/>
        </w:rPr>
        <w:t>McDonald et al., 2023).</w:t>
      </w:r>
      <w:bookmarkStart w:id="9" w:name="_Toc203606119"/>
      <w:r w:rsidR="0092733E" w:rsidRPr="00D72B4A">
        <w:rPr>
          <w:rFonts w:ascii="Arial" w:eastAsia="Arial" w:hAnsi="Arial" w:cs="Arial"/>
          <w:sz w:val="22"/>
          <w:szCs w:val="22"/>
        </w:rPr>
        <w:br/>
      </w:r>
      <w:r w:rsidR="004468F8" w:rsidRPr="00A34265">
        <w:rPr>
          <w:rFonts w:ascii="Arial" w:hAnsi="Arial" w:cs="Arial"/>
          <w:b/>
          <w:bCs/>
          <w:color w:val="156082" w:themeColor="accent1"/>
          <w:sz w:val="32"/>
          <w:szCs w:val="32"/>
        </w:rPr>
        <w:t>3.3 Primary and Secondary Data</w:t>
      </w:r>
      <w:r w:rsidR="004468F8" w:rsidRPr="00A34265">
        <w:rPr>
          <w:rFonts w:ascii="Arial" w:hAnsi="Arial" w:cs="Arial"/>
          <w:sz w:val="32"/>
          <w:szCs w:val="32"/>
        </w:rPr>
        <w:t xml:space="preserve">: </w:t>
      </w:r>
      <w:r w:rsidR="004468F8" w:rsidRPr="00D72B4A">
        <w:rPr>
          <w:rFonts w:ascii="Arial" w:hAnsi="Arial" w:cs="Arial"/>
          <w:sz w:val="22"/>
          <w:szCs w:val="22"/>
        </w:rPr>
        <w:t xml:space="preserve">Definitions, Differences, and Application to </w:t>
      </w:r>
      <w:r w:rsidR="0092733E" w:rsidRPr="00D72B4A">
        <w:rPr>
          <w:rFonts w:ascii="Arial" w:hAnsi="Arial" w:cs="Arial"/>
          <w:sz w:val="22"/>
          <w:szCs w:val="22"/>
        </w:rPr>
        <w:t>the</w:t>
      </w:r>
      <w:r w:rsidR="004468F8" w:rsidRPr="00D72B4A">
        <w:rPr>
          <w:rFonts w:ascii="Arial" w:hAnsi="Arial" w:cs="Arial"/>
          <w:sz w:val="22"/>
          <w:szCs w:val="22"/>
        </w:rPr>
        <w:t xml:space="preserve"> Paper</w:t>
      </w:r>
      <w:bookmarkEnd w:id="9"/>
      <w:r w:rsidR="0092733E" w:rsidRPr="00D72B4A">
        <w:rPr>
          <w:rFonts w:ascii="Arial" w:hAnsi="Arial" w:cs="Arial"/>
          <w:sz w:val="22"/>
          <w:szCs w:val="22"/>
        </w:rPr>
        <w:t xml:space="preserve"> Primary data are new information collected directly by the research team </w:t>
      </w:r>
      <w:r w:rsidR="0092733E" w:rsidRPr="00D72B4A">
        <w:rPr>
          <w:rFonts w:ascii="Arial" w:hAnsi="Arial" w:cs="Arial"/>
          <w:sz w:val="22"/>
          <w:szCs w:val="22"/>
        </w:rPr>
        <w:lastRenderedPageBreak/>
        <w:t>specifically for their current project. Common examples are interviews, surveys, observations and standardised measurements. Secondary data are information that already exists, collected earlier by other researchers, government bodies or organisations, which a new study can reuse for its own purposes. Typical sources are official statistics, earlier academic papers, public reports and established databases (Johnston, 2014).</w:t>
      </w:r>
      <w:r w:rsidR="0092733E" w:rsidRPr="00D72B4A">
        <w:rPr>
          <w:rFonts w:ascii="Arial" w:hAnsi="Arial" w:cs="Arial"/>
          <w:sz w:val="22"/>
          <w:szCs w:val="22"/>
        </w:rPr>
        <w:br/>
        <w:t>The core difference between the two lies in when and why the information was first gathered. Primary data are created during the study itself, directly by the team running it; secondary data already existed before that study began. Primary data can be shaped to fit a project’s exact needs, while secondary data are especially useful for setting context, comparing findings or drawing on evidence from much larger sources.</w:t>
      </w:r>
      <w:r w:rsidR="0092733E" w:rsidRPr="00D72B4A">
        <w:rPr>
          <w:rFonts w:ascii="Arial" w:hAnsi="Arial" w:cs="Arial"/>
          <w:sz w:val="22"/>
          <w:szCs w:val="22"/>
        </w:rPr>
        <w:br/>
        <w:t>In McDonald et al. (2023), the main body of evidence comes from primary data, because the team collected all survey responses and interviews themselves for this specific project. Phase 1 produced primary data through open-ended surveys, and Phase 2 added further primary data through semi-structured interviews. In this way, the researchers gathered first-hand accounts directly from people who had personal or professional experience of the attendance issues being studied. The team also used secondary sources — earlier published research, government statistics and existing evidence — to build the background section and help interpret their results. These materials were not, however, treated as the main data for the study. The primary survey and interview materials were processed through thematic framework analysis: researchers read through the responses, created clear categories, organised answers into a structured framework and then identified and interpreted the key themes. Using both deductive and inductive coding helped them make full sense of what participants had shared (McDonald et al., 2023</w:t>
      </w:r>
      <w:proofErr w:type="gramStart"/>
      <w:r w:rsidR="0092733E" w:rsidRPr="00D72B4A">
        <w:rPr>
          <w:rFonts w:ascii="Arial" w:hAnsi="Arial" w:cs="Arial"/>
          <w:sz w:val="22"/>
          <w:szCs w:val="22"/>
        </w:rPr>
        <w:t>).Overall</w:t>
      </w:r>
      <w:proofErr w:type="gramEnd"/>
      <w:r w:rsidR="0092733E" w:rsidRPr="00D72B4A">
        <w:rPr>
          <w:rFonts w:ascii="Arial" w:hAnsi="Arial" w:cs="Arial"/>
          <w:sz w:val="22"/>
          <w:szCs w:val="22"/>
        </w:rPr>
        <w:t>, this study is a clear example of why the chosen method must always fit the research question. A qualitative design made it possible to explore detailed personal experiences and contrasting viewpoints that would remain largely invisible if the work relied only on numbers.</w:t>
      </w:r>
      <w:bookmarkStart w:id="10" w:name="_Toc203606120"/>
    </w:p>
    <w:p w14:paraId="5625A96E" w14:textId="04FD1B92" w:rsidR="00530E16" w:rsidRPr="00D72B4A" w:rsidRDefault="004468F8" w:rsidP="00D72B4A">
      <w:pPr>
        <w:spacing w:line="360" w:lineRule="auto"/>
        <w:jc w:val="both"/>
        <w:rPr>
          <w:rFonts w:ascii="Arial" w:hAnsi="Arial" w:cs="Arial"/>
        </w:rPr>
      </w:pPr>
      <w:r w:rsidRPr="00A34265">
        <w:rPr>
          <w:rFonts w:ascii="Arial" w:hAnsi="Arial" w:cs="Arial"/>
          <w:b/>
          <w:bCs/>
          <w:color w:val="156082" w:themeColor="accent1"/>
          <w:sz w:val="32"/>
          <w:szCs w:val="32"/>
        </w:rPr>
        <w:t>Section 4: Conclusion</w:t>
      </w:r>
      <w:bookmarkEnd w:id="10"/>
      <w:r w:rsidR="0073348D" w:rsidRPr="00A34265">
        <w:rPr>
          <w:rFonts w:ascii="Arial" w:hAnsi="Arial" w:cs="Arial"/>
          <w:b/>
          <w:bCs/>
          <w:color w:val="156082" w:themeColor="accent1"/>
          <w:sz w:val="32"/>
          <w:szCs w:val="32"/>
        </w:rPr>
        <w:t xml:space="preserve">   </w:t>
      </w:r>
    </w:p>
    <w:p w14:paraId="239C9A2C" w14:textId="77777777" w:rsidR="0073348D" w:rsidRPr="00D72B4A" w:rsidRDefault="0073348D" w:rsidP="0073348D">
      <w:pPr>
        <w:spacing w:line="360" w:lineRule="auto"/>
        <w:jc w:val="both"/>
        <w:rPr>
          <w:rFonts w:ascii="Arial" w:eastAsia="Arial" w:hAnsi="Arial" w:cs="Arial"/>
          <w:sz w:val="22"/>
          <w:szCs w:val="22"/>
        </w:rPr>
      </w:pPr>
      <w:r w:rsidRPr="00D72B4A">
        <w:rPr>
          <w:rFonts w:ascii="Arial" w:eastAsia="Arial" w:hAnsi="Arial" w:cs="Arial"/>
          <w:sz w:val="22"/>
          <w:szCs w:val="22"/>
        </w:rPr>
        <w:t>This report explored the research paper by McDonald et al. (2023), which looked at school attendance difficulties experienced by primary school children throughout the COVID</w:t>
      </w:r>
      <w:r w:rsidRPr="00D72B4A">
        <w:rPr>
          <w:rFonts w:ascii="Cambria Math" w:eastAsia="Arial" w:hAnsi="Cambria Math" w:cs="Cambria Math"/>
          <w:sz w:val="22"/>
          <w:szCs w:val="22"/>
        </w:rPr>
        <w:t>‑</w:t>
      </w:r>
      <w:r w:rsidRPr="00D72B4A">
        <w:rPr>
          <w:rFonts w:ascii="Arial" w:eastAsia="Arial" w:hAnsi="Arial" w:cs="Arial"/>
          <w:sz w:val="22"/>
          <w:szCs w:val="22"/>
        </w:rPr>
        <w:t>19 pandemic. Section 1 introduced the work, its authors, the main topic and the different groups who took part. It also explained why these problems matter within UK health and social care — most importantly because they affect children’s wellbeing, family life and whether people can get the right help at the right time.</w:t>
      </w:r>
    </w:p>
    <w:p w14:paraId="4C369802" w14:textId="77777777" w:rsidR="0073348D" w:rsidRPr="00D72B4A" w:rsidRDefault="0073348D" w:rsidP="0073348D">
      <w:pPr>
        <w:spacing w:line="360" w:lineRule="auto"/>
        <w:jc w:val="both"/>
        <w:rPr>
          <w:rFonts w:ascii="Arial" w:eastAsia="Arial" w:hAnsi="Arial" w:cs="Arial"/>
          <w:sz w:val="22"/>
          <w:szCs w:val="22"/>
        </w:rPr>
      </w:pPr>
      <w:r w:rsidRPr="00D72B4A">
        <w:rPr>
          <w:rFonts w:ascii="Arial" w:eastAsia="Arial" w:hAnsi="Arial" w:cs="Arial"/>
          <w:sz w:val="22"/>
          <w:szCs w:val="22"/>
        </w:rPr>
        <w:t xml:space="preserve">Section 2 described what the study set out to learn and its three central questions. The team examined what leads to school attendance problems, what support was already in place and </w:t>
      </w:r>
      <w:r w:rsidRPr="00D72B4A">
        <w:rPr>
          <w:rFonts w:ascii="Arial" w:eastAsia="Arial" w:hAnsi="Arial" w:cs="Arial"/>
          <w:sz w:val="22"/>
          <w:szCs w:val="22"/>
        </w:rPr>
        <w:lastRenderedPageBreak/>
        <w:t>how well it worked, and what further help could make a real difference for children and their families.</w:t>
      </w:r>
    </w:p>
    <w:p w14:paraId="7159B004" w14:textId="77777777" w:rsidR="00D72B4A" w:rsidRPr="00D72B4A" w:rsidRDefault="0073348D" w:rsidP="00A34265">
      <w:pPr>
        <w:spacing w:line="360" w:lineRule="auto"/>
        <w:jc w:val="both"/>
        <w:rPr>
          <w:rFonts w:ascii="Arial" w:eastAsia="Arial" w:hAnsi="Arial" w:cs="Arial"/>
          <w:sz w:val="22"/>
          <w:szCs w:val="22"/>
          <w:lang w:val="uk-UA"/>
        </w:rPr>
      </w:pPr>
      <w:r w:rsidRPr="00D72B4A">
        <w:rPr>
          <w:rFonts w:ascii="Arial" w:eastAsia="Arial" w:hAnsi="Arial" w:cs="Arial"/>
          <w:sz w:val="22"/>
          <w:szCs w:val="22"/>
        </w:rPr>
        <w:t>Section 3 explained the methods used in the research. It outlined the differences between quantitative, qualitative and mixed</w:t>
      </w:r>
      <w:r w:rsidRPr="00D72B4A">
        <w:rPr>
          <w:rFonts w:ascii="Cambria Math" w:eastAsia="Arial" w:hAnsi="Cambria Math" w:cs="Cambria Math"/>
          <w:sz w:val="22"/>
          <w:szCs w:val="22"/>
        </w:rPr>
        <w:t>‑</w:t>
      </w:r>
      <w:r w:rsidRPr="00D72B4A">
        <w:rPr>
          <w:rFonts w:ascii="Arial" w:eastAsia="Arial" w:hAnsi="Arial" w:cs="Arial"/>
          <w:sz w:val="22"/>
          <w:szCs w:val="22"/>
        </w:rPr>
        <w:t>methods approaches, and showed that this study is mainly qualitative. It also described how the researchers gathered first</w:t>
      </w:r>
      <w:r w:rsidRPr="00D72B4A">
        <w:rPr>
          <w:rFonts w:ascii="Cambria Math" w:eastAsia="Arial" w:hAnsi="Cambria Math" w:cs="Cambria Math"/>
          <w:sz w:val="22"/>
          <w:szCs w:val="22"/>
        </w:rPr>
        <w:t>‑</w:t>
      </w:r>
      <w:r w:rsidRPr="00D72B4A">
        <w:rPr>
          <w:rFonts w:ascii="Arial" w:eastAsia="Arial" w:hAnsi="Arial" w:cs="Arial"/>
          <w:sz w:val="22"/>
          <w:szCs w:val="22"/>
        </w:rPr>
        <w:t>hand information through open surveys and interviews, then analysed it using thematic framework methods. The difference between information collected directly and information already published elsewhere was also clarified.</w:t>
      </w:r>
    </w:p>
    <w:p w14:paraId="26D4FBE1" w14:textId="046362E6" w:rsidR="009043E0" w:rsidRPr="00D72B4A" w:rsidRDefault="0073348D" w:rsidP="00A34265">
      <w:pPr>
        <w:spacing w:line="360" w:lineRule="auto"/>
        <w:jc w:val="both"/>
        <w:rPr>
          <w:rFonts w:ascii="Arial" w:eastAsia="Arial" w:hAnsi="Arial" w:cs="Arial"/>
        </w:rPr>
      </w:pPr>
      <w:r w:rsidRPr="00D72B4A">
        <w:rPr>
          <w:rFonts w:ascii="Arial" w:eastAsia="Arial" w:hAnsi="Arial" w:cs="Arial"/>
          <w:sz w:val="22"/>
          <w:szCs w:val="22"/>
        </w:rPr>
        <w:t>Working on this report has shown me why good research skills are so valuable. I have learned how to identify a study’s approach, see how information is gathered and understood, and tell the difference between new and existing evidence. These skills will support me throughout my studies. They will also be important in my future work — because anyone working in health and social care needs to read research carefully, understand what it means, and base their care on trustworthy information</w:t>
      </w:r>
      <w:r w:rsidRPr="0055379F">
        <w:rPr>
          <w:rFonts w:ascii="Arial" w:eastAsia="Arial" w:hAnsi="Arial" w:cs="Arial"/>
        </w:rPr>
        <w:t>.</w:t>
      </w:r>
      <w:r w:rsidR="00A34265">
        <w:rPr>
          <w:rFonts w:ascii="Arial" w:eastAsia="Arial" w:hAnsi="Arial" w:cs="Arial"/>
          <w:sz w:val="20"/>
          <w:szCs w:val="20"/>
          <w:lang w:val="uk-UA"/>
        </w:rPr>
        <w:br/>
      </w:r>
      <w:r w:rsidR="00D72B4A">
        <w:rPr>
          <w:rFonts w:ascii="Arial" w:eastAsia="Arial" w:hAnsi="Arial" w:cs="Arial"/>
          <w:b/>
          <w:bCs/>
          <w:color w:val="156082" w:themeColor="accent1"/>
          <w:sz w:val="32"/>
          <w:szCs w:val="32"/>
          <w:lang w:val="uk-UA"/>
        </w:rPr>
        <w:br/>
      </w:r>
      <w:r w:rsidR="00D72B4A">
        <w:rPr>
          <w:rFonts w:ascii="Arial" w:eastAsia="Arial" w:hAnsi="Arial" w:cs="Arial"/>
          <w:b/>
          <w:bCs/>
          <w:color w:val="156082" w:themeColor="accent1"/>
          <w:sz w:val="32"/>
          <w:szCs w:val="32"/>
          <w:lang w:val="uk-UA"/>
        </w:rPr>
        <w:br/>
      </w:r>
      <w:r w:rsidR="009043E0" w:rsidRPr="00A34265">
        <w:rPr>
          <w:rFonts w:ascii="Arial" w:eastAsia="Arial" w:hAnsi="Arial" w:cs="Arial"/>
          <w:b/>
          <w:bCs/>
          <w:color w:val="156082" w:themeColor="accent1"/>
          <w:sz w:val="32"/>
          <w:szCs w:val="32"/>
        </w:rPr>
        <w:t>References</w:t>
      </w:r>
    </w:p>
    <w:p w14:paraId="5EB7FD83" w14:textId="77777777" w:rsidR="009043E0" w:rsidRPr="00A34265" w:rsidRDefault="009043E0" w:rsidP="009043E0">
      <w:pPr>
        <w:spacing w:line="360" w:lineRule="auto"/>
        <w:jc w:val="both"/>
        <w:rPr>
          <w:rFonts w:ascii="Arial" w:eastAsia="Arial" w:hAnsi="Arial" w:cs="Arial"/>
          <w:sz w:val="20"/>
          <w:szCs w:val="20"/>
        </w:rPr>
      </w:pPr>
      <w:r w:rsidRPr="00A34265">
        <w:rPr>
          <w:rFonts w:ascii="Arial" w:eastAsia="Arial" w:hAnsi="Arial" w:cs="Arial"/>
          <w:sz w:val="20"/>
          <w:szCs w:val="20"/>
        </w:rPr>
        <w:t>Braun, V., Clarke, V., Boulton, E., Davey, L. and McEvoy, C. (2021) ‘The online survey as a qualitative research tool’, International Journal of Social Research Methodology, 24(6), pp. 641–654.</w:t>
      </w:r>
    </w:p>
    <w:p w14:paraId="42953D2A" w14:textId="77777777" w:rsidR="009043E0" w:rsidRPr="00A34265" w:rsidRDefault="009043E0" w:rsidP="009043E0">
      <w:pPr>
        <w:spacing w:line="360" w:lineRule="auto"/>
        <w:jc w:val="both"/>
        <w:rPr>
          <w:rFonts w:ascii="Arial" w:eastAsia="Arial" w:hAnsi="Arial" w:cs="Arial"/>
          <w:sz w:val="20"/>
          <w:szCs w:val="20"/>
        </w:rPr>
      </w:pPr>
      <w:r w:rsidRPr="00A34265">
        <w:rPr>
          <w:rFonts w:ascii="Arial" w:eastAsia="Arial" w:hAnsi="Arial" w:cs="Arial"/>
          <w:sz w:val="20"/>
          <w:szCs w:val="20"/>
        </w:rPr>
        <w:t xml:space="preserve">Creswell, J.W. and Creswell, J.D. (2018) Research Design: Qualitative, Quantitative, and Mixed Methods Approaches. 5th </w:t>
      </w:r>
      <w:proofErr w:type="spellStart"/>
      <w:r w:rsidRPr="00A34265">
        <w:rPr>
          <w:rFonts w:ascii="Arial" w:eastAsia="Arial" w:hAnsi="Arial" w:cs="Arial"/>
          <w:sz w:val="20"/>
          <w:szCs w:val="20"/>
        </w:rPr>
        <w:t>edn</w:t>
      </w:r>
      <w:proofErr w:type="spellEnd"/>
      <w:r w:rsidRPr="00A34265">
        <w:rPr>
          <w:rFonts w:ascii="Arial" w:eastAsia="Arial" w:hAnsi="Arial" w:cs="Arial"/>
          <w:sz w:val="20"/>
          <w:szCs w:val="20"/>
        </w:rPr>
        <w:t>. Thousand Oaks, CA: SAGE.</w:t>
      </w:r>
    </w:p>
    <w:p w14:paraId="68BC7926" w14:textId="44518753" w:rsidR="009043E0" w:rsidRPr="00A34265" w:rsidRDefault="009043E0" w:rsidP="009043E0">
      <w:pPr>
        <w:spacing w:line="360" w:lineRule="auto"/>
        <w:jc w:val="both"/>
        <w:rPr>
          <w:rFonts w:ascii="Arial" w:eastAsia="Arial" w:hAnsi="Arial" w:cs="Arial"/>
          <w:sz w:val="22"/>
          <w:szCs w:val="22"/>
        </w:rPr>
      </w:pPr>
      <w:r w:rsidRPr="00A34265">
        <w:rPr>
          <w:rFonts w:ascii="Arial" w:eastAsia="Arial" w:hAnsi="Arial" w:cs="Arial"/>
          <w:sz w:val="22"/>
          <w:szCs w:val="22"/>
        </w:rPr>
        <w:t>Gale, N.K., Heath, G., Cameron, E., Rashid, S. and Redwood, S. (2013) ‘Using the framework method for the analysis of qualitative data in multi-disciplinary health research’, BMC Medical Research Methodology, 13, article 117.</w:t>
      </w:r>
      <w:r w:rsidR="0055379F">
        <w:rPr>
          <w:rFonts w:ascii="Arial" w:eastAsia="Arial" w:hAnsi="Arial" w:cs="Arial"/>
          <w:sz w:val="22"/>
          <w:szCs w:val="22"/>
          <w:lang w:val="uk-UA"/>
        </w:rPr>
        <w:br/>
      </w:r>
      <w:r w:rsidRPr="00A34265">
        <w:rPr>
          <w:rFonts w:ascii="Arial" w:eastAsia="Arial" w:hAnsi="Arial" w:cs="Arial"/>
          <w:sz w:val="22"/>
          <w:szCs w:val="22"/>
        </w:rPr>
        <w:t>Johnston, M.P. (2014) ‘Secondary data analysis: A method of which the time has come’, Qualitative and Quantitative Methods in Libraries, 3, pp. 619–626.Johnson, R.B., Onwuegbuzie, A.J. and Turner, L.A. (2007) ‘Toward a definition of mixed methods research’, Journal of Mixed Methods Research, 1(2), pp. 112–133.</w:t>
      </w:r>
    </w:p>
    <w:p w14:paraId="0296760F" w14:textId="5C077244" w:rsidR="004468F8" w:rsidRPr="00A34265" w:rsidRDefault="009043E0" w:rsidP="009043E0">
      <w:pPr>
        <w:spacing w:line="360" w:lineRule="auto"/>
        <w:jc w:val="both"/>
        <w:rPr>
          <w:rFonts w:ascii="Arial" w:eastAsia="Arial" w:hAnsi="Arial" w:cs="Arial"/>
          <w:sz w:val="22"/>
          <w:szCs w:val="22"/>
        </w:rPr>
      </w:pPr>
      <w:r w:rsidRPr="00A34265">
        <w:rPr>
          <w:rFonts w:ascii="Arial" w:eastAsia="Arial" w:hAnsi="Arial" w:cs="Arial"/>
          <w:sz w:val="22"/>
          <w:szCs w:val="22"/>
        </w:rPr>
        <w:t>McDonald, B., Lester, K.J. and Michelson, D. (2023) ‘“She didn’t know how to go back”: School attendance problems in the context of the COVID-19 pandemic—A multiple stakeholder qualitative study with parents and professionals’, British Journal of Educational Psychology, 93(1), pp. 386–401.</w:t>
      </w:r>
    </w:p>
    <w:p w14:paraId="613BD4F8" w14:textId="77777777" w:rsidR="004468F8" w:rsidRPr="00A34265" w:rsidRDefault="004468F8">
      <w:pPr>
        <w:spacing w:line="360" w:lineRule="auto"/>
        <w:jc w:val="both"/>
        <w:rPr>
          <w:rFonts w:ascii="Arial" w:eastAsia="Arial" w:hAnsi="Arial" w:cs="Arial"/>
          <w:sz w:val="22"/>
          <w:szCs w:val="22"/>
        </w:rPr>
      </w:pPr>
    </w:p>
    <w:p w14:paraId="4F661ECA" w14:textId="77777777" w:rsidR="004468F8" w:rsidRPr="00A34265" w:rsidRDefault="004468F8">
      <w:pPr>
        <w:spacing w:line="360" w:lineRule="auto"/>
        <w:jc w:val="both"/>
        <w:rPr>
          <w:rFonts w:ascii="Arial" w:eastAsia="Arial" w:hAnsi="Arial" w:cs="Arial"/>
          <w:sz w:val="22"/>
          <w:szCs w:val="22"/>
        </w:rPr>
      </w:pPr>
    </w:p>
    <w:p w14:paraId="1BB7FD0F" w14:textId="77777777" w:rsidR="004468F8" w:rsidRPr="00A34265" w:rsidRDefault="004468F8">
      <w:pPr>
        <w:spacing w:line="360" w:lineRule="auto"/>
        <w:jc w:val="both"/>
        <w:rPr>
          <w:rFonts w:ascii="Arial" w:eastAsia="Arial" w:hAnsi="Arial" w:cs="Arial"/>
          <w:sz w:val="22"/>
          <w:szCs w:val="22"/>
        </w:rPr>
      </w:pPr>
    </w:p>
    <w:p w14:paraId="7C73DB79" w14:textId="77777777" w:rsidR="004468F8" w:rsidRPr="00A34265" w:rsidRDefault="004468F8">
      <w:pPr>
        <w:spacing w:line="360" w:lineRule="auto"/>
        <w:jc w:val="both"/>
        <w:rPr>
          <w:rFonts w:ascii="Arial" w:eastAsia="Arial" w:hAnsi="Arial" w:cs="Arial"/>
          <w:sz w:val="22"/>
          <w:szCs w:val="22"/>
        </w:rPr>
      </w:pPr>
    </w:p>
    <w:p w14:paraId="03B7A58D" w14:textId="77777777" w:rsidR="004468F8" w:rsidRPr="00A34265" w:rsidRDefault="004468F8">
      <w:pPr>
        <w:spacing w:line="360" w:lineRule="auto"/>
        <w:jc w:val="both"/>
        <w:rPr>
          <w:rFonts w:ascii="Arial" w:eastAsia="Arial" w:hAnsi="Arial" w:cs="Arial"/>
          <w:sz w:val="22"/>
          <w:szCs w:val="22"/>
        </w:rPr>
      </w:pPr>
    </w:p>
    <w:p w14:paraId="3756B79D" w14:textId="77777777" w:rsidR="004468F8" w:rsidRPr="00A34265" w:rsidRDefault="004468F8">
      <w:pPr>
        <w:spacing w:line="360" w:lineRule="auto"/>
        <w:jc w:val="both"/>
        <w:rPr>
          <w:rFonts w:ascii="Arial" w:eastAsia="Arial" w:hAnsi="Arial" w:cs="Arial"/>
          <w:sz w:val="22"/>
          <w:szCs w:val="22"/>
        </w:rPr>
      </w:pPr>
    </w:p>
    <w:p w14:paraId="14CECE04" w14:textId="77777777" w:rsidR="004468F8" w:rsidRPr="00A34265" w:rsidRDefault="004468F8">
      <w:pPr>
        <w:spacing w:line="360" w:lineRule="auto"/>
        <w:jc w:val="both"/>
        <w:rPr>
          <w:rFonts w:ascii="Arial" w:eastAsia="Arial" w:hAnsi="Arial" w:cs="Arial"/>
          <w:sz w:val="22"/>
          <w:szCs w:val="22"/>
        </w:rPr>
      </w:pPr>
    </w:p>
    <w:p w14:paraId="5CC229F8" w14:textId="77777777" w:rsidR="004468F8" w:rsidRPr="00A34265" w:rsidRDefault="004468F8">
      <w:pPr>
        <w:spacing w:line="360" w:lineRule="auto"/>
        <w:jc w:val="both"/>
        <w:rPr>
          <w:rFonts w:ascii="Arial" w:eastAsia="Arial" w:hAnsi="Arial" w:cs="Arial"/>
          <w:sz w:val="22"/>
          <w:szCs w:val="22"/>
        </w:rPr>
      </w:pPr>
    </w:p>
    <w:p w14:paraId="1FD109FA" w14:textId="77777777" w:rsidR="00530E16" w:rsidRPr="00A34265" w:rsidRDefault="00530E16">
      <w:pPr>
        <w:rPr>
          <w:rFonts w:ascii="Arial" w:eastAsia="Arial" w:hAnsi="Arial" w:cs="Arial"/>
        </w:rPr>
      </w:pPr>
    </w:p>
    <w:sectPr w:rsidR="00530E16" w:rsidRPr="00A34265"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7FBD6" w14:textId="77777777" w:rsidR="000B7008" w:rsidRDefault="000B7008" w:rsidP="002A1842">
      <w:pPr>
        <w:spacing w:after="0" w:line="240" w:lineRule="auto"/>
      </w:pPr>
      <w:r>
        <w:separator/>
      </w:r>
    </w:p>
  </w:endnote>
  <w:endnote w:type="continuationSeparator" w:id="0">
    <w:p w14:paraId="35A8FA51" w14:textId="77777777" w:rsidR="000B7008" w:rsidRDefault="000B700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663B1" w14:textId="77777777" w:rsidR="000B7008" w:rsidRDefault="000B7008" w:rsidP="002A1842">
      <w:pPr>
        <w:spacing w:after="0" w:line="240" w:lineRule="auto"/>
      </w:pPr>
      <w:r>
        <w:separator/>
      </w:r>
    </w:p>
  </w:footnote>
  <w:footnote w:type="continuationSeparator" w:id="0">
    <w:p w14:paraId="0FB6DE2B" w14:textId="77777777" w:rsidR="000B7008" w:rsidRDefault="000B700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6DF3"/>
    <w:rsid w:val="000B7008"/>
    <w:rsid w:val="00135F9E"/>
    <w:rsid w:val="00172AD1"/>
    <w:rsid w:val="001813E7"/>
    <w:rsid w:val="00186F62"/>
    <w:rsid w:val="001F45C3"/>
    <w:rsid w:val="00210D5A"/>
    <w:rsid w:val="002A1842"/>
    <w:rsid w:val="002A46BB"/>
    <w:rsid w:val="004107F6"/>
    <w:rsid w:val="004468F8"/>
    <w:rsid w:val="00516457"/>
    <w:rsid w:val="00530E16"/>
    <w:rsid w:val="0055379F"/>
    <w:rsid w:val="00695607"/>
    <w:rsid w:val="00722EFE"/>
    <w:rsid w:val="0073348D"/>
    <w:rsid w:val="007A2630"/>
    <w:rsid w:val="008B63C6"/>
    <w:rsid w:val="009043E0"/>
    <w:rsid w:val="0092733E"/>
    <w:rsid w:val="00946606"/>
    <w:rsid w:val="0099458F"/>
    <w:rsid w:val="00A34265"/>
    <w:rsid w:val="00A75B15"/>
    <w:rsid w:val="00AE06EA"/>
    <w:rsid w:val="00B42EB8"/>
    <w:rsid w:val="00C54A3A"/>
    <w:rsid w:val="00C87E2E"/>
    <w:rsid w:val="00CA603E"/>
    <w:rsid w:val="00CF54F6"/>
    <w:rsid w:val="00CF650B"/>
    <w:rsid w:val="00D32DEE"/>
    <w:rsid w:val="00D72B4A"/>
    <w:rsid w:val="00E10231"/>
    <w:rsid w:val="00EC4759"/>
    <w:rsid w:val="00EF541A"/>
    <w:rsid w:val="00F618F2"/>
    <w:rsid w:val="00FE32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3901B0E5-8A7F-440B-B5A3-907D5F472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2184</Words>
  <Characters>12431</Characters>
  <Application>Microsoft Office Word</Application>
  <DocSecurity>0</DocSecurity>
  <Lines>219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Marta Yarychkivska</cp:lastModifiedBy>
  <cp:revision>2</cp:revision>
  <dcterms:created xsi:type="dcterms:W3CDTF">2026-08-12T11:23:00Z</dcterms:created>
  <dcterms:modified xsi:type="dcterms:W3CDTF">2026-08-12T11:23:00Z</dcterms:modified>
</cp:coreProperties>
</file>