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57913C" wp14:paraId="1177419B" wp14:textId="26F983E4">
      <w:pPr>
        <w:bidi w:val="0"/>
        <w:spacing w:before="240" w:beforeAutospacing="off" w:after="240" w:afterAutospacing="off"/>
        <w:jc w:val="left"/>
      </w:pPr>
      <w:r w:rsidRPr="4257913C" w:rsidR="6F3CEB29">
        <w:rPr>
          <w:rFonts w:ascii="Aptos" w:hAnsi="Aptos" w:eastAsia="Aptos" w:cs="Aptos"/>
          <w:noProof w:val="0"/>
          <w:color w:val="000000" w:themeColor="text1" w:themeTint="FF" w:themeShade="FF"/>
          <w:sz w:val="24"/>
          <w:szCs w:val="24"/>
          <w:lang w:val="en-GB"/>
        </w:rPr>
        <w:t xml:space="preserve">Quality is commonly understood as the degree of excellence </w:t>
      </w:r>
      <w:r w:rsidRPr="4257913C" w:rsidR="6F3CEB29">
        <w:rPr>
          <w:rFonts w:ascii="Aptos" w:hAnsi="Aptos" w:eastAsia="Aptos" w:cs="Aptos"/>
          <w:noProof w:val="0"/>
          <w:color w:val="000000" w:themeColor="text1" w:themeTint="FF" w:themeShade="FF"/>
          <w:sz w:val="24"/>
          <w:szCs w:val="24"/>
          <w:lang w:val="en-GB"/>
        </w:rPr>
        <w:t>demonstrated</w:t>
      </w:r>
      <w:r w:rsidRPr="4257913C" w:rsidR="6F3CEB29">
        <w:rPr>
          <w:rFonts w:ascii="Aptos" w:hAnsi="Aptos" w:eastAsia="Aptos" w:cs="Aptos"/>
          <w:noProof w:val="0"/>
          <w:color w:val="000000" w:themeColor="text1" w:themeTint="FF" w:themeShade="FF"/>
          <w:sz w:val="24"/>
          <w:szCs w:val="24"/>
          <w:lang w:val="en-GB"/>
        </w:rPr>
        <w:t xml:space="preserve"> by a service, product, or process, and the extent to which it meets established standards or expectations. According to Harvey and Green (1993), quality can be conceptualised in multiple ways, including as exceptional, consistent, fit for purpose, or transformative. In addition, the International Organization for Standardization (ISO, 2015) defines quality as the ability of a set of inherent characteristics to fulfil requirements, highlighting its evaluative and measurable nature. </w:t>
      </w:r>
      <w:r w:rsidRPr="4257913C" w:rsidR="69B45E68">
        <w:rPr>
          <w:rFonts w:ascii="Aptos" w:hAnsi="Aptos" w:eastAsia="Aptos" w:cs="Aptos"/>
          <w:noProof w:val="0"/>
          <w:color w:val="000000" w:themeColor="text1" w:themeTint="FF" w:themeShade="FF"/>
          <w:sz w:val="24"/>
          <w:szCs w:val="24"/>
          <w:lang w:val="en-GB"/>
        </w:rPr>
        <w:t>researchers</w:t>
      </w:r>
      <w:r w:rsidRPr="4257913C" w:rsidR="6F3CEB29">
        <w:rPr>
          <w:rFonts w:ascii="Aptos" w:hAnsi="Aptos" w:eastAsia="Aptos" w:cs="Aptos"/>
          <w:noProof w:val="0"/>
          <w:color w:val="000000" w:themeColor="text1" w:themeTint="FF" w:themeShade="FF"/>
          <w:sz w:val="24"/>
          <w:szCs w:val="24"/>
          <w:lang w:val="en-GB"/>
        </w:rPr>
        <w:t xml:space="preserve"> often argue that quality is not a fixed attribute but a dynamic construct that depends on context, criteria, and continuous improvement (Sallis, 2014). This suggests that quality must be assessed through systematic reflection, evidence‑based judgement, and alignment with intended outcomes. Therefore, quality can be viewed as a multidimensional concept that captures how effectively something performs, how reliably it functions, and how much value it provides to those who experience it.</w:t>
      </w:r>
    </w:p>
    <w:p xmlns:wp14="http://schemas.microsoft.com/office/word/2010/wordml" w:rsidP="4257913C" wp14:paraId="636E065F" wp14:textId="1202AA4D">
      <w:pPr>
        <w:bidi w:val="0"/>
        <w:spacing w:before="240" w:beforeAutospacing="off" w:after="240" w:afterAutospacing="off"/>
        <w:jc w:val="left"/>
      </w:pPr>
      <w:r w:rsidRPr="4257913C" w:rsidR="6F3CEB29">
        <w:rPr>
          <w:rFonts w:ascii="Aptos" w:hAnsi="Aptos" w:eastAsia="Aptos" w:cs="Aptos"/>
          <w:noProof w:val="0"/>
          <w:color w:val="000000" w:themeColor="text1" w:themeTint="FF" w:themeShade="FF"/>
          <w:sz w:val="24"/>
          <w:szCs w:val="24"/>
          <w:lang w:val="en-GB"/>
        </w:rPr>
        <w:t>Moreover, quality childcare is defined as the provision of a safe, nurturing, and stimulating environment that supports children’s holistic development. It covers not only physical care but also the promotion of cognitive, social, and emotional growth through responsive interactions and structured learning opportunities (UNICEF, 2019). Research highlights that high‑quality childcare settings are characterised by well‑trained staff, low child‑to‑adult ratios, and developmentally appropriate practices that enhance early learning experiences (OECD, 2018). The Department for Education (2021) further emphasises the importance of safeguarding, inclusive practice, and strong partnerships with parents in ensuring positive outcomes for children. Within the context of childcare, quality therefore relates to the extent to which provision supports children’s wellbeing, learning, and development in a consistent and meaningful way. Quality childcare plays a crucial role in laying the foundation for lifelong learning and wellbeing, making it a central priority in early years education and policy.</w:t>
      </w:r>
    </w:p>
    <w:p xmlns:wp14="http://schemas.microsoft.com/office/word/2010/wordml" w:rsidP="4257913C" wp14:paraId="26E536B7" wp14:textId="52DF9A0F">
      <w:pPr>
        <w:bidi w:val="0"/>
        <w:spacing w:before="240" w:beforeAutospacing="off" w:after="240" w:afterAutospacing="off"/>
        <w:jc w:val="left"/>
      </w:pPr>
      <w:r w:rsidRPr="4257913C" w:rsidR="6F3CEB29">
        <w:rPr>
          <w:rFonts w:ascii="Aptos" w:hAnsi="Aptos" w:eastAsia="Aptos" w:cs="Aptos"/>
          <w:noProof w:val="0"/>
          <w:color w:val="000000" w:themeColor="text1" w:themeTint="FF" w:themeShade="FF"/>
          <w:sz w:val="24"/>
          <w:szCs w:val="24"/>
          <w:lang w:val="en-GB"/>
        </w:rPr>
        <w:t xml:space="preserve">Quality is also important because it influences how effectively a service achieves its intended purpose and the extent to which it produces positive and consistent outcomes. Harvey and Green (1993) describe quality as a concept linked to excellence, consistency, and fitness for purpose, showing that it is not a single, fixed idea. Within early childhood education, quality is especially significant because it directly shapes children’s learning, development, and overall wellbeing. Research from the OECD (2018) </w:t>
      </w:r>
      <w:r w:rsidRPr="4257913C" w:rsidR="6F3CEB29">
        <w:rPr>
          <w:rFonts w:ascii="Aptos" w:hAnsi="Aptos" w:eastAsia="Aptos" w:cs="Aptos"/>
          <w:noProof w:val="0"/>
          <w:color w:val="000000" w:themeColor="text1" w:themeTint="FF" w:themeShade="FF"/>
          <w:sz w:val="24"/>
          <w:szCs w:val="24"/>
          <w:lang w:val="en-GB"/>
        </w:rPr>
        <w:t>indicates</w:t>
      </w:r>
      <w:r w:rsidRPr="4257913C" w:rsidR="6F3CEB29">
        <w:rPr>
          <w:rFonts w:ascii="Aptos" w:hAnsi="Aptos" w:eastAsia="Aptos" w:cs="Aptos"/>
          <w:noProof w:val="0"/>
          <w:color w:val="000000" w:themeColor="text1" w:themeTint="FF" w:themeShade="FF"/>
          <w:sz w:val="24"/>
          <w:szCs w:val="24"/>
          <w:lang w:val="en-GB"/>
        </w:rPr>
        <w:t xml:space="preserve"> that children who attend high‑quality early years settings make stronger progress and are better prepared for school. UNICEF (2019) also notes that quality environments provide children with safety, emotional support, and </w:t>
      </w:r>
      <w:r w:rsidRPr="4257913C" w:rsidR="6F3CEB29">
        <w:rPr>
          <w:rFonts w:ascii="Aptos" w:hAnsi="Aptos" w:eastAsia="Aptos" w:cs="Aptos"/>
          <w:noProof w:val="0"/>
          <w:color w:val="000000" w:themeColor="text1" w:themeTint="FF" w:themeShade="FF"/>
          <w:sz w:val="24"/>
          <w:szCs w:val="24"/>
          <w:lang w:val="en-GB"/>
        </w:rPr>
        <w:t>appropriate stimulation</w:t>
      </w:r>
      <w:r w:rsidRPr="4257913C" w:rsidR="6F3CEB29">
        <w:rPr>
          <w:rFonts w:ascii="Aptos" w:hAnsi="Aptos" w:eastAsia="Aptos" w:cs="Aptos"/>
          <w:noProof w:val="0"/>
          <w:color w:val="000000" w:themeColor="text1" w:themeTint="FF" w:themeShade="FF"/>
          <w:sz w:val="24"/>
          <w:szCs w:val="24"/>
          <w:lang w:val="en-GB"/>
        </w:rPr>
        <w:t xml:space="preserve">, all of which are essential for healthy development. Long‑term studies such as the EPPE project (Sylva et al., 2010) </w:t>
      </w:r>
      <w:r w:rsidRPr="4257913C" w:rsidR="6F3CEB29">
        <w:rPr>
          <w:rFonts w:ascii="Aptos" w:hAnsi="Aptos" w:eastAsia="Aptos" w:cs="Aptos"/>
          <w:noProof w:val="0"/>
          <w:color w:val="000000" w:themeColor="text1" w:themeTint="FF" w:themeShade="FF"/>
          <w:sz w:val="24"/>
          <w:szCs w:val="24"/>
          <w:lang w:val="en-GB"/>
        </w:rPr>
        <w:t>demonstrate</w:t>
      </w:r>
      <w:r w:rsidRPr="4257913C" w:rsidR="6F3CEB29">
        <w:rPr>
          <w:rFonts w:ascii="Aptos" w:hAnsi="Aptos" w:eastAsia="Aptos" w:cs="Aptos"/>
          <w:noProof w:val="0"/>
          <w:color w:val="000000" w:themeColor="text1" w:themeTint="FF" w:themeShade="FF"/>
          <w:sz w:val="24"/>
          <w:szCs w:val="24"/>
          <w:lang w:val="en-GB"/>
        </w:rPr>
        <w:t xml:space="preserve"> that the benefits of high‑quality early education continue throughout later schooling. Siraj‑Blatchford et al. (2002) further highlight that effective adult–child interactions are a key feature of quality provision. International guidance, including the European Commission’s Quality Framework (2014), stresses that quality is vital for promoting fairness and supporting all children, particularly those who may be disadvantaged. Overall, quality is important because it ensures that children receive strong, meaningful support during a crucial stage of their development.</w:t>
      </w:r>
    </w:p>
    <w:p xmlns:wp14="http://schemas.microsoft.com/office/word/2010/wordml" w:rsidP="4257913C" wp14:paraId="7305349B" wp14:textId="300FF9C7">
      <w:pPr>
        <w:bidi w:val="0"/>
        <w:spacing w:before="240" w:beforeAutospacing="off" w:after="240" w:afterAutospacing="off"/>
        <w:jc w:val="left"/>
      </w:pPr>
      <w:r w:rsidRPr="4257913C" w:rsidR="00226C6C">
        <w:rPr>
          <w:rFonts w:ascii="Aptos" w:hAnsi="Aptos" w:eastAsia="Aptos" w:cs="Aptos"/>
          <w:noProof w:val="0"/>
          <w:color w:val="000000" w:themeColor="text1" w:themeTint="FF" w:themeShade="FF"/>
          <w:sz w:val="24"/>
          <w:szCs w:val="24"/>
          <w:lang w:val="en-GB"/>
        </w:rPr>
        <w:t xml:space="preserve">The importance of children accessing high‑quality care is well </w:t>
      </w:r>
      <w:r w:rsidRPr="4257913C" w:rsidR="00226C6C">
        <w:rPr>
          <w:rFonts w:ascii="Aptos" w:hAnsi="Aptos" w:eastAsia="Aptos" w:cs="Aptos"/>
          <w:noProof w:val="0"/>
          <w:color w:val="000000" w:themeColor="text1" w:themeTint="FF" w:themeShade="FF"/>
          <w:sz w:val="24"/>
          <w:szCs w:val="24"/>
          <w:lang w:val="en-GB"/>
        </w:rPr>
        <w:t>established</w:t>
      </w:r>
      <w:r w:rsidRPr="4257913C" w:rsidR="00226C6C">
        <w:rPr>
          <w:rFonts w:ascii="Aptos" w:hAnsi="Aptos" w:eastAsia="Aptos" w:cs="Aptos"/>
          <w:noProof w:val="0"/>
          <w:color w:val="000000" w:themeColor="text1" w:themeTint="FF" w:themeShade="FF"/>
          <w:sz w:val="24"/>
          <w:szCs w:val="24"/>
          <w:lang w:val="en-GB"/>
        </w:rPr>
        <w:t xml:space="preserve"> through a substantial body of research and long‑standing theoretical perspectives in early childhood education. Evidence from developmental psychology shows that the early years are a critical period in which the brain develops rapidly, making the quality of children’s experiences particularly influential. According to Berk (2013), high‑quality early environments support neural development, emotional security, and the foundations of later learning. Similarly, Bowlby’s attachment theory, as discussed by Bretherton (1992), highlights that consistent, responsive caregiving promotes secure attachment, which is linked to better social and emotional outcomes throughout childhood.</w:t>
      </w:r>
    </w:p>
    <w:p xmlns:wp14="http://schemas.microsoft.com/office/word/2010/wordml" w:rsidP="4257913C" wp14:paraId="646EDECE" wp14:textId="4ACB3BB6">
      <w:pPr>
        <w:bidi w:val="0"/>
        <w:spacing w:before="240" w:beforeAutospacing="off" w:after="240" w:afterAutospacing="off"/>
        <w:jc w:val="left"/>
      </w:pPr>
      <w:r w:rsidRPr="4257913C" w:rsidR="00226C6C">
        <w:rPr>
          <w:rFonts w:ascii="Aptos" w:hAnsi="Aptos" w:eastAsia="Aptos" w:cs="Aptos"/>
          <w:noProof w:val="0"/>
          <w:color w:val="000000" w:themeColor="text1" w:themeTint="FF" w:themeShade="FF"/>
          <w:sz w:val="24"/>
          <w:szCs w:val="24"/>
          <w:lang w:val="en-GB"/>
        </w:rPr>
        <w:t>Research in early education further demonstrates that high‑quality care leads to measurable improvements in children’s learning and development. Broadhead, Howard and Wood (2010) argue that rich play opportunities, skilled interactions, and well‑designed environments significantly enhance children’s cognitive and social growth. The EPPSE study (Sylva et al., 2014) also provides strong evidence that children who attend high‑quality early years settings achieve better academic outcomes and show improved self‑regulation and social skills as they progress through school. These findings indicate that quality care does not simply support children in the moment but has long‑term benefits that extend into later education.</w:t>
      </w:r>
    </w:p>
    <w:p xmlns:wp14="http://schemas.microsoft.com/office/word/2010/wordml" w:rsidP="4257913C" wp14:paraId="3346ECAE" wp14:textId="46D37733">
      <w:pPr>
        <w:bidi w:val="0"/>
        <w:spacing w:before="240" w:beforeAutospacing="off" w:after="240" w:afterAutospacing="off"/>
        <w:jc w:val="left"/>
      </w:pPr>
      <w:r w:rsidRPr="4257913C" w:rsidR="00226C6C">
        <w:rPr>
          <w:rFonts w:ascii="Aptos" w:hAnsi="Aptos" w:eastAsia="Aptos" w:cs="Aptos"/>
          <w:noProof w:val="0"/>
          <w:color w:val="000000" w:themeColor="text1" w:themeTint="FF" w:themeShade="FF"/>
          <w:sz w:val="24"/>
          <w:szCs w:val="24"/>
          <w:lang w:val="en-GB"/>
        </w:rPr>
        <w:t xml:space="preserve">High‑quality care is also known to reduce inequalities. Pascal and Bertram (2012) emphasise that children from disadvantaged backgrounds benefit particularly strongly from high‑quality provision, as it can help close developmental gaps before they widen. Penn (2011) similarly argues that quality early childhood services play a crucial role in promoting fairness, inclusion, and equal opportunities. Together, these perspectives show that access to high‑quality care is essential because it supports children’s holistic development, strengthens their future learning, and contributes to more </w:t>
      </w:r>
      <w:r w:rsidRPr="4257913C" w:rsidR="00226C6C">
        <w:rPr>
          <w:rFonts w:ascii="Aptos" w:hAnsi="Aptos" w:eastAsia="Aptos" w:cs="Aptos"/>
          <w:noProof w:val="0"/>
          <w:color w:val="000000" w:themeColor="text1" w:themeTint="FF" w:themeShade="FF"/>
          <w:sz w:val="24"/>
          <w:szCs w:val="24"/>
          <w:lang w:val="en-GB"/>
        </w:rPr>
        <w:t>equitable</w:t>
      </w:r>
      <w:r w:rsidRPr="4257913C" w:rsidR="00226C6C">
        <w:rPr>
          <w:rFonts w:ascii="Aptos" w:hAnsi="Aptos" w:eastAsia="Aptos" w:cs="Aptos"/>
          <w:noProof w:val="0"/>
          <w:color w:val="000000" w:themeColor="text1" w:themeTint="FF" w:themeShade="FF"/>
          <w:sz w:val="24"/>
          <w:szCs w:val="24"/>
          <w:lang w:val="en-GB"/>
        </w:rPr>
        <w:t xml:space="preserve"> outcomes across society.</w:t>
      </w:r>
    </w:p>
    <w:p xmlns:wp14="http://schemas.microsoft.com/office/word/2010/wordml" w:rsidP="4257913C" wp14:paraId="594A35A2" wp14:textId="37C49616">
      <w:pPr>
        <w:pStyle w:val="Normal"/>
        <w:bidi w:val="0"/>
        <w:spacing w:before="240" w:beforeAutospacing="off" w:after="240" w:afterAutospacing="off"/>
        <w:jc w:val="left"/>
      </w:pPr>
      <w:r w:rsidRPr="4257913C" w:rsidR="30DD7645">
        <w:rPr>
          <w:rFonts w:ascii="Aptos" w:hAnsi="Aptos" w:eastAsia="Aptos" w:cs="Aptos"/>
          <w:noProof w:val="0"/>
          <w:color w:val="000000" w:themeColor="text1" w:themeTint="FF" w:themeShade="FF"/>
          <w:sz w:val="24"/>
          <w:szCs w:val="24"/>
          <w:lang w:val="en-GB"/>
        </w:rPr>
        <w:t xml:space="preserve">Improving and expanding quality in early years settings requires practitioners to engage in thoughtful, ongoing reflection about the tools and methods used to understand children’s experiences. Because quality is a broad and multifaceted concept, it cannot be captured through a single measure. Moss and Dahlberg (2005) argue that quality is socially constructed and shaped by values, meaning that different tools reveal </w:t>
      </w:r>
      <w:r w:rsidRPr="4257913C" w:rsidR="30DD7645">
        <w:rPr>
          <w:rFonts w:ascii="Aptos" w:hAnsi="Aptos" w:eastAsia="Aptos" w:cs="Aptos"/>
          <w:noProof w:val="0"/>
          <w:color w:val="000000" w:themeColor="text1" w:themeTint="FF" w:themeShade="FF"/>
          <w:sz w:val="24"/>
          <w:szCs w:val="24"/>
          <w:lang w:val="en-GB"/>
        </w:rPr>
        <w:t>different aspects</w:t>
      </w:r>
      <w:r w:rsidRPr="4257913C" w:rsidR="30DD7645">
        <w:rPr>
          <w:rFonts w:ascii="Aptos" w:hAnsi="Aptos" w:eastAsia="Aptos" w:cs="Aptos"/>
          <w:noProof w:val="0"/>
          <w:color w:val="000000" w:themeColor="text1" w:themeTint="FF" w:themeShade="FF"/>
          <w:sz w:val="24"/>
          <w:szCs w:val="24"/>
          <w:lang w:val="en-GB"/>
        </w:rPr>
        <w:t xml:space="preserve"> of practice. This highlights the importance of drawing on multiple approaches to build a more reliable and meaningful picture of what is happening within a setting. Two methods that offer particularly valuable insights are Sustained Shared Thinking (SSTEW) and the Leuven Scales of Wellbeing and Involvement. Although they focus on different dimensions of children’s experiences, both methods contribute significantly to reflective practice and quality improvement.</w:t>
      </w:r>
    </w:p>
    <w:p xmlns:wp14="http://schemas.microsoft.com/office/word/2010/wordml" w:rsidP="4257913C" wp14:paraId="41426765" wp14:textId="6E2DBCB4">
      <w:pPr>
        <w:pStyle w:val="Normal"/>
        <w:bidi w:val="0"/>
        <w:spacing w:before="240" w:beforeAutospacing="off" w:after="240" w:afterAutospacing="off"/>
        <w:jc w:val="left"/>
      </w:pPr>
      <w:r w:rsidRPr="4257913C" w:rsidR="30DD7645">
        <w:rPr>
          <w:rFonts w:ascii="Aptos" w:hAnsi="Aptos" w:eastAsia="Aptos" w:cs="Aptos"/>
          <w:noProof w:val="0"/>
          <w:color w:val="000000" w:themeColor="text1" w:themeTint="FF" w:themeShade="FF"/>
          <w:sz w:val="24"/>
          <w:szCs w:val="24"/>
          <w:lang w:val="en-GB"/>
        </w:rPr>
        <w:t xml:space="preserve">Sustained Shared Thinking has long been recognised as a key indicator of high‑quality early years practice. Siraj‑Blatchford et al. (2002) describe SSTEW as an episode in which adults and children work together to clarify ideas, solve </w:t>
      </w:r>
      <w:r w:rsidRPr="4257913C" w:rsidR="30DD7645">
        <w:rPr>
          <w:rFonts w:ascii="Aptos" w:hAnsi="Aptos" w:eastAsia="Aptos" w:cs="Aptos"/>
          <w:noProof w:val="0"/>
          <w:color w:val="000000" w:themeColor="text1" w:themeTint="FF" w:themeShade="FF"/>
          <w:sz w:val="24"/>
          <w:szCs w:val="24"/>
          <w:lang w:val="en-GB"/>
        </w:rPr>
        <w:t>problems</w:t>
      </w:r>
      <w:r w:rsidRPr="4257913C" w:rsidR="30DD7645">
        <w:rPr>
          <w:rFonts w:ascii="Aptos" w:hAnsi="Aptos" w:eastAsia="Aptos" w:cs="Aptos"/>
          <w:noProof w:val="0"/>
          <w:color w:val="000000" w:themeColor="text1" w:themeTint="FF" w:themeShade="FF"/>
          <w:sz w:val="24"/>
          <w:szCs w:val="24"/>
          <w:lang w:val="en-GB"/>
        </w:rPr>
        <w:t xml:space="preserve"> or extend thinking through meaningful dialogue. This type of interaction supports children’s cognitive development, language </w:t>
      </w:r>
      <w:r w:rsidRPr="4257913C" w:rsidR="30DD7645">
        <w:rPr>
          <w:rFonts w:ascii="Aptos" w:hAnsi="Aptos" w:eastAsia="Aptos" w:cs="Aptos"/>
          <w:noProof w:val="0"/>
          <w:color w:val="000000" w:themeColor="text1" w:themeTint="FF" w:themeShade="FF"/>
          <w:sz w:val="24"/>
          <w:szCs w:val="24"/>
          <w:lang w:val="en-GB"/>
        </w:rPr>
        <w:t>skills</w:t>
      </w:r>
      <w:r w:rsidRPr="4257913C" w:rsidR="30DD7645">
        <w:rPr>
          <w:rFonts w:ascii="Aptos" w:hAnsi="Aptos" w:eastAsia="Aptos" w:cs="Aptos"/>
          <w:noProof w:val="0"/>
          <w:color w:val="000000" w:themeColor="text1" w:themeTint="FF" w:themeShade="FF"/>
          <w:sz w:val="24"/>
          <w:szCs w:val="24"/>
          <w:lang w:val="en-GB"/>
        </w:rPr>
        <w:t xml:space="preserve"> and confidence, as it encourages them to explore ideas more deeply and articulate their thoughts. The EPPE study (Sylva et al., 2010) </w:t>
      </w:r>
      <w:r w:rsidRPr="4257913C" w:rsidR="30DD7645">
        <w:rPr>
          <w:rFonts w:ascii="Aptos" w:hAnsi="Aptos" w:eastAsia="Aptos" w:cs="Aptos"/>
          <w:noProof w:val="0"/>
          <w:color w:val="000000" w:themeColor="text1" w:themeTint="FF" w:themeShade="FF"/>
          <w:sz w:val="24"/>
          <w:szCs w:val="24"/>
          <w:lang w:val="en-GB"/>
        </w:rPr>
        <w:t>identified</w:t>
      </w:r>
      <w:r w:rsidRPr="4257913C" w:rsidR="30DD7645">
        <w:rPr>
          <w:rFonts w:ascii="Aptos" w:hAnsi="Aptos" w:eastAsia="Aptos" w:cs="Aptos"/>
          <w:noProof w:val="0"/>
          <w:color w:val="000000" w:themeColor="text1" w:themeTint="FF" w:themeShade="FF"/>
          <w:sz w:val="24"/>
          <w:szCs w:val="24"/>
          <w:lang w:val="en-GB"/>
        </w:rPr>
        <w:t xml:space="preserve"> SSTEW as one of the strongest predictors of positive learning outcomes, </w:t>
      </w:r>
      <w:r w:rsidRPr="4257913C" w:rsidR="30DD7645">
        <w:rPr>
          <w:rFonts w:ascii="Aptos" w:hAnsi="Aptos" w:eastAsia="Aptos" w:cs="Aptos"/>
          <w:noProof w:val="0"/>
          <w:color w:val="000000" w:themeColor="text1" w:themeTint="FF" w:themeShade="FF"/>
          <w:sz w:val="24"/>
          <w:szCs w:val="24"/>
          <w:lang w:val="en-GB"/>
        </w:rPr>
        <w:t>demonstrating</w:t>
      </w:r>
      <w:r w:rsidRPr="4257913C" w:rsidR="30DD7645">
        <w:rPr>
          <w:rFonts w:ascii="Aptos" w:hAnsi="Aptos" w:eastAsia="Aptos" w:cs="Aptos"/>
          <w:noProof w:val="0"/>
          <w:color w:val="000000" w:themeColor="text1" w:themeTint="FF" w:themeShade="FF"/>
          <w:sz w:val="24"/>
          <w:szCs w:val="24"/>
          <w:lang w:val="en-GB"/>
        </w:rPr>
        <w:t xml:space="preserve"> its importance in shaping children’s progress. Observing SSTEW provides direct evidence of the quality of adult–child interactions, revealing how effectively practitioners listen, respond and scaffold learning. Such observations also offer insight into the emotional climate of the setting, as sensitive and responsive communication contributes to children’s sense of security and belonging (Bruce, 2015).</w:t>
      </w:r>
    </w:p>
    <w:p xmlns:wp14="http://schemas.microsoft.com/office/word/2010/wordml" w:rsidP="4257913C" wp14:paraId="10794A4F" wp14:textId="3BD20E87">
      <w:pPr>
        <w:bidi w:val="0"/>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4257913C" w:rsidR="600EFECD">
        <w:rPr>
          <w:rFonts w:ascii="Aptos" w:hAnsi="Aptos" w:eastAsia="Aptos" w:cs="Aptos"/>
          <w:noProof w:val="0"/>
          <w:color w:val="000000" w:themeColor="text1" w:themeTint="FF" w:themeShade="FF"/>
          <w:sz w:val="24"/>
          <w:szCs w:val="24"/>
          <w:lang w:val="en-GB"/>
        </w:rPr>
        <w:t xml:space="preserve">Reflecting on the use of SSTEW also highlights several limitations. The method relies heavily on skilled observation, and </w:t>
      </w:r>
      <w:r w:rsidRPr="4257913C" w:rsidR="600EFECD">
        <w:rPr>
          <w:rFonts w:ascii="Aptos" w:hAnsi="Aptos" w:eastAsia="Aptos" w:cs="Aptos"/>
          <w:noProof w:val="0"/>
          <w:color w:val="000000" w:themeColor="text1" w:themeTint="FF" w:themeShade="FF"/>
          <w:sz w:val="24"/>
          <w:szCs w:val="24"/>
          <w:lang w:val="en-GB"/>
        </w:rPr>
        <w:t>identifying</w:t>
      </w:r>
      <w:r w:rsidRPr="4257913C" w:rsidR="600EFECD">
        <w:rPr>
          <w:rFonts w:ascii="Aptos" w:hAnsi="Aptos" w:eastAsia="Aptos" w:cs="Aptos"/>
          <w:noProof w:val="0"/>
          <w:color w:val="000000" w:themeColor="text1" w:themeTint="FF" w:themeShade="FF"/>
          <w:sz w:val="24"/>
          <w:szCs w:val="24"/>
          <w:lang w:val="en-GB"/>
        </w:rPr>
        <w:t xml:space="preserve"> genuine SSTEW moments can be challenging in busy early years environments. MacNaughton, Rolfe and Siraj‑Blatchford (2010) note that observational methods are vulnerable to practitioner bias and the observer effect, where </w:t>
      </w:r>
      <w:r w:rsidRPr="4257913C" w:rsidR="1A261AA4">
        <w:rPr>
          <w:rFonts w:ascii="Aptos" w:hAnsi="Aptos" w:eastAsia="Aptos" w:cs="Aptos"/>
          <w:noProof w:val="0"/>
          <w:color w:val="000000" w:themeColor="text1" w:themeTint="FF" w:themeShade="FF"/>
          <w:sz w:val="24"/>
          <w:szCs w:val="24"/>
          <w:lang w:val="en-GB"/>
        </w:rPr>
        <w:t xml:space="preserve">practitioners </w:t>
      </w:r>
      <w:r w:rsidRPr="4257913C" w:rsidR="600EFECD">
        <w:rPr>
          <w:rFonts w:ascii="Aptos" w:hAnsi="Aptos" w:eastAsia="Aptos" w:cs="Aptos"/>
          <w:noProof w:val="0"/>
          <w:color w:val="000000" w:themeColor="text1" w:themeTint="FF" w:themeShade="FF"/>
          <w:sz w:val="24"/>
          <w:szCs w:val="24"/>
          <w:lang w:val="en-GB"/>
        </w:rPr>
        <w:t xml:space="preserve">may alter their behaviour when being watched. </w:t>
      </w:r>
      <w:r w:rsidRPr="4257913C" w:rsidR="2AF7726D">
        <w:rPr>
          <w:rFonts w:ascii="Aptos" w:hAnsi="Aptos" w:eastAsia="Aptos" w:cs="Aptos"/>
          <w:noProof w:val="0"/>
          <w:color w:val="000000" w:themeColor="text1" w:themeTint="FF" w:themeShade="FF"/>
          <w:sz w:val="24"/>
          <w:szCs w:val="24"/>
          <w:lang w:val="en-GB"/>
        </w:rPr>
        <w:t>SSTEW observations</w:t>
      </w:r>
      <w:r w:rsidRPr="4257913C" w:rsidR="600EFECD">
        <w:rPr>
          <w:rFonts w:ascii="Aptos" w:hAnsi="Aptos" w:eastAsia="Aptos" w:cs="Aptos"/>
          <w:noProof w:val="0"/>
          <w:color w:val="000000" w:themeColor="text1" w:themeTint="FF" w:themeShade="FF"/>
          <w:sz w:val="24"/>
          <w:szCs w:val="24"/>
          <w:lang w:val="en-GB"/>
        </w:rPr>
        <w:t xml:space="preserve"> also capture only </w:t>
      </w:r>
      <w:r w:rsidRPr="4257913C" w:rsidR="600EFECD">
        <w:rPr>
          <w:rFonts w:ascii="Aptos" w:hAnsi="Aptos" w:eastAsia="Aptos" w:cs="Aptos"/>
          <w:noProof w:val="0"/>
          <w:color w:val="000000" w:themeColor="text1" w:themeTint="FF" w:themeShade="FF"/>
          <w:sz w:val="24"/>
          <w:szCs w:val="24"/>
          <w:lang w:val="en-GB"/>
        </w:rPr>
        <w:t>a brief moment</w:t>
      </w:r>
      <w:r w:rsidRPr="4257913C" w:rsidR="600EFECD">
        <w:rPr>
          <w:rFonts w:ascii="Aptos" w:hAnsi="Aptos" w:eastAsia="Aptos" w:cs="Aptos"/>
          <w:noProof w:val="0"/>
          <w:color w:val="000000" w:themeColor="text1" w:themeTint="FF" w:themeShade="FF"/>
          <w:sz w:val="24"/>
          <w:szCs w:val="24"/>
          <w:lang w:val="en-GB"/>
        </w:rPr>
        <w:t xml:space="preserve"> in time and may not reflect the consistency of interactions across the day. Furthermore, SST</w:t>
      </w:r>
      <w:r w:rsidRPr="4257913C" w:rsidR="6495E38F">
        <w:rPr>
          <w:rFonts w:ascii="Aptos" w:hAnsi="Aptos" w:eastAsia="Aptos" w:cs="Aptos"/>
          <w:noProof w:val="0"/>
          <w:color w:val="000000" w:themeColor="text1" w:themeTint="FF" w:themeShade="FF"/>
          <w:sz w:val="24"/>
          <w:szCs w:val="24"/>
          <w:lang w:val="en-GB"/>
        </w:rPr>
        <w:t>EW</w:t>
      </w:r>
      <w:r w:rsidRPr="4257913C" w:rsidR="600EFECD">
        <w:rPr>
          <w:rFonts w:ascii="Aptos" w:hAnsi="Aptos" w:eastAsia="Aptos" w:cs="Aptos"/>
          <w:noProof w:val="0"/>
          <w:color w:val="000000" w:themeColor="text1" w:themeTint="FF" w:themeShade="FF"/>
          <w:sz w:val="24"/>
          <w:szCs w:val="24"/>
          <w:lang w:val="en-GB"/>
        </w:rPr>
        <w:t xml:space="preserve"> focuses primarily on cognitive and linguistic development, meaning it does not provide a full picture of children’s emotional wellbeing or engagement. These limitations suggest that while SST</w:t>
      </w:r>
      <w:r w:rsidRPr="4257913C" w:rsidR="0B29772D">
        <w:rPr>
          <w:rFonts w:ascii="Aptos" w:hAnsi="Aptos" w:eastAsia="Aptos" w:cs="Aptos"/>
          <w:noProof w:val="0"/>
          <w:color w:val="000000" w:themeColor="text1" w:themeTint="FF" w:themeShade="FF"/>
          <w:sz w:val="24"/>
          <w:szCs w:val="24"/>
          <w:lang w:val="en-GB"/>
        </w:rPr>
        <w:t>EW</w:t>
      </w:r>
      <w:r w:rsidRPr="4257913C" w:rsidR="600EFECD">
        <w:rPr>
          <w:rFonts w:ascii="Aptos" w:hAnsi="Aptos" w:eastAsia="Aptos" w:cs="Aptos"/>
          <w:noProof w:val="0"/>
          <w:color w:val="000000" w:themeColor="text1" w:themeTint="FF" w:themeShade="FF"/>
          <w:sz w:val="24"/>
          <w:szCs w:val="24"/>
          <w:lang w:val="en-GB"/>
        </w:rPr>
        <w:t xml:space="preserve"> is a valuable tool, it must be used alongside other methods to support a more comprehensive understanding of quality.</w:t>
      </w:r>
    </w:p>
    <w:p xmlns:wp14="http://schemas.microsoft.com/office/word/2010/wordml" w:rsidP="4257913C" wp14:paraId="27549EE1" wp14:textId="56CCEDC7">
      <w:pPr>
        <w:pStyle w:val="Normal"/>
        <w:bidi w:val="0"/>
        <w:spacing w:before="240" w:beforeAutospacing="off" w:after="240" w:afterAutospacing="off"/>
        <w:jc w:val="left"/>
      </w:pPr>
      <w:r w:rsidRPr="4257913C" w:rsidR="71C9F1B2">
        <w:rPr>
          <w:rFonts w:ascii="Aptos" w:hAnsi="Aptos" w:eastAsia="Aptos" w:cs="Aptos"/>
          <w:noProof w:val="0"/>
          <w:color w:val="000000" w:themeColor="text1" w:themeTint="FF" w:themeShade="FF"/>
          <w:sz w:val="24"/>
          <w:szCs w:val="24"/>
          <w:lang w:val="en-GB"/>
        </w:rPr>
        <w:t xml:space="preserve">The Leuven Scales of Wellbeing and Involvement, developed by Laevers (1994), offer a complementary perspective by focusing on children’s emotional experiences and the depth of their engagement. The Wellbeing Scale assesses how comfortable, </w:t>
      </w:r>
      <w:r w:rsidRPr="4257913C" w:rsidR="71C9F1B2">
        <w:rPr>
          <w:rFonts w:ascii="Aptos" w:hAnsi="Aptos" w:eastAsia="Aptos" w:cs="Aptos"/>
          <w:noProof w:val="0"/>
          <w:color w:val="000000" w:themeColor="text1" w:themeTint="FF" w:themeShade="FF"/>
          <w:sz w:val="24"/>
          <w:szCs w:val="24"/>
          <w:lang w:val="en-GB"/>
        </w:rPr>
        <w:t>confident</w:t>
      </w:r>
      <w:r w:rsidRPr="4257913C" w:rsidR="71C9F1B2">
        <w:rPr>
          <w:rFonts w:ascii="Aptos" w:hAnsi="Aptos" w:eastAsia="Aptos" w:cs="Aptos"/>
          <w:noProof w:val="0"/>
          <w:color w:val="000000" w:themeColor="text1" w:themeTint="FF" w:themeShade="FF"/>
          <w:sz w:val="24"/>
          <w:szCs w:val="24"/>
          <w:lang w:val="en-GB"/>
        </w:rPr>
        <w:t xml:space="preserve"> and emotionally secure a child appears, while the Involvement Scale measures the level of concentration, persistence and absorption shown during activities. </w:t>
      </w:r>
      <w:r w:rsidRPr="4257913C" w:rsidR="71C9F1B2">
        <w:rPr>
          <w:rFonts w:ascii="Aptos" w:hAnsi="Aptos" w:eastAsia="Aptos" w:cs="Aptos"/>
          <w:noProof w:val="0"/>
          <w:color w:val="000000" w:themeColor="text1" w:themeTint="FF" w:themeShade="FF"/>
          <w:sz w:val="24"/>
          <w:szCs w:val="24"/>
          <w:lang w:val="en-GB"/>
        </w:rPr>
        <w:t>High levels</w:t>
      </w:r>
      <w:r w:rsidRPr="4257913C" w:rsidR="71C9F1B2">
        <w:rPr>
          <w:rFonts w:ascii="Aptos" w:hAnsi="Aptos" w:eastAsia="Aptos" w:cs="Aptos"/>
          <w:noProof w:val="0"/>
          <w:color w:val="000000" w:themeColor="text1" w:themeTint="FF" w:themeShade="FF"/>
          <w:sz w:val="24"/>
          <w:szCs w:val="24"/>
          <w:lang w:val="en-GB"/>
        </w:rPr>
        <w:t xml:space="preserve"> of wellbeing and involvement are strongly associated with effective learning, </w:t>
      </w:r>
      <w:r w:rsidRPr="4257913C" w:rsidR="71C9F1B2">
        <w:rPr>
          <w:rFonts w:ascii="Aptos" w:hAnsi="Aptos" w:eastAsia="Aptos" w:cs="Aptos"/>
          <w:noProof w:val="0"/>
          <w:color w:val="000000" w:themeColor="text1" w:themeTint="FF" w:themeShade="FF"/>
          <w:sz w:val="24"/>
          <w:szCs w:val="24"/>
          <w:lang w:val="en-GB"/>
        </w:rPr>
        <w:t>resilience</w:t>
      </w:r>
      <w:r w:rsidRPr="4257913C" w:rsidR="71C9F1B2">
        <w:rPr>
          <w:rFonts w:ascii="Aptos" w:hAnsi="Aptos" w:eastAsia="Aptos" w:cs="Aptos"/>
          <w:noProof w:val="0"/>
          <w:color w:val="000000" w:themeColor="text1" w:themeTint="FF" w:themeShade="FF"/>
          <w:sz w:val="24"/>
          <w:szCs w:val="24"/>
          <w:lang w:val="en-GB"/>
        </w:rPr>
        <w:t xml:space="preserve"> and long‑term positive outcomes (Pascal &amp; Bertram, 2012). The Leuven Scales encourage practitioners to look beyond what children are doing and consider how they are experiencing the environment. This child‑centred approach is particularly valuable for </w:t>
      </w:r>
      <w:r w:rsidRPr="4257913C" w:rsidR="71C9F1B2">
        <w:rPr>
          <w:rFonts w:ascii="Aptos" w:hAnsi="Aptos" w:eastAsia="Aptos" w:cs="Aptos"/>
          <w:noProof w:val="0"/>
          <w:color w:val="000000" w:themeColor="text1" w:themeTint="FF" w:themeShade="FF"/>
          <w:sz w:val="24"/>
          <w:szCs w:val="24"/>
          <w:lang w:val="en-GB"/>
        </w:rPr>
        <w:t>identifying</w:t>
      </w:r>
      <w:r w:rsidRPr="4257913C" w:rsidR="71C9F1B2">
        <w:rPr>
          <w:rFonts w:ascii="Aptos" w:hAnsi="Aptos" w:eastAsia="Aptos" w:cs="Aptos"/>
          <w:noProof w:val="0"/>
          <w:color w:val="000000" w:themeColor="text1" w:themeTint="FF" w:themeShade="FF"/>
          <w:sz w:val="24"/>
          <w:szCs w:val="24"/>
          <w:lang w:val="en-GB"/>
        </w:rPr>
        <w:t xml:space="preserve"> children who may be unsettled, disengaged or in need of </w:t>
      </w:r>
      <w:r w:rsidRPr="4257913C" w:rsidR="71C9F1B2">
        <w:rPr>
          <w:rFonts w:ascii="Aptos" w:hAnsi="Aptos" w:eastAsia="Aptos" w:cs="Aptos"/>
          <w:noProof w:val="0"/>
          <w:color w:val="000000" w:themeColor="text1" w:themeTint="FF" w:themeShade="FF"/>
          <w:sz w:val="24"/>
          <w:szCs w:val="24"/>
          <w:lang w:val="en-GB"/>
        </w:rPr>
        <w:t>additional</w:t>
      </w:r>
      <w:r w:rsidRPr="4257913C" w:rsidR="71C9F1B2">
        <w:rPr>
          <w:rFonts w:ascii="Aptos" w:hAnsi="Aptos" w:eastAsia="Aptos" w:cs="Aptos"/>
          <w:noProof w:val="0"/>
          <w:color w:val="000000" w:themeColor="text1" w:themeTint="FF" w:themeShade="FF"/>
          <w:sz w:val="24"/>
          <w:szCs w:val="24"/>
          <w:lang w:val="en-GB"/>
        </w:rPr>
        <w:t xml:space="preserve"> support.</w:t>
      </w:r>
      <w:r w:rsidRPr="4257913C" w:rsidR="14D47E59">
        <w:rPr>
          <w:rFonts w:ascii="Aptos" w:hAnsi="Aptos" w:eastAsia="Aptos" w:cs="Aptos"/>
          <w:noProof w:val="0"/>
          <w:color w:val="000000" w:themeColor="text1" w:themeTint="FF" w:themeShade="FF"/>
          <w:sz w:val="24"/>
          <w:szCs w:val="24"/>
          <w:lang w:val="en-GB"/>
        </w:rPr>
        <w:t xml:space="preserve"> Furthermore, Reflective use of the Leuven Scales also reveals certain limitations. The method relies on practitioner judgement, which can vary depending on experience and training. Penn (2011) emphasises that subjective tools must be used cautiously, as different practitioners may interpret behaviours differently. The Leuven Scales also do not explain the underlying reasons for low wellbeing or involvement, meaning further investigation is often </w:t>
      </w:r>
      <w:r w:rsidRPr="4257913C" w:rsidR="14D47E59">
        <w:rPr>
          <w:rFonts w:ascii="Aptos" w:hAnsi="Aptos" w:eastAsia="Aptos" w:cs="Aptos"/>
          <w:noProof w:val="0"/>
          <w:color w:val="000000" w:themeColor="text1" w:themeTint="FF" w:themeShade="FF"/>
          <w:sz w:val="24"/>
          <w:szCs w:val="24"/>
          <w:lang w:val="en-GB"/>
        </w:rPr>
        <w:t>required</w:t>
      </w:r>
      <w:r w:rsidRPr="4257913C" w:rsidR="14D47E59">
        <w:rPr>
          <w:rFonts w:ascii="Aptos" w:hAnsi="Aptos" w:eastAsia="Aptos" w:cs="Aptos"/>
          <w:noProof w:val="0"/>
          <w:color w:val="000000" w:themeColor="text1" w:themeTint="FF" w:themeShade="FF"/>
          <w:sz w:val="24"/>
          <w:szCs w:val="24"/>
          <w:lang w:val="en-GB"/>
        </w:rPr>
        <w:t xml:space="preserve">. Additionally, the scales do not provide detailed information about the quality of teaching or adult–child interactions. Despite these limitations, the Leuven Scales </w:t>
      </w:r>
      <w:r w:rsidRPr="4257913C" w:rsidR="14D47E59">
        <w:rPr>
          <w:rFonts w:ascii="Aptos" w:hAnsi="Aptos" w:eastAsia="Aptos" w:cs="Aptos"/>
          <w:noProof w:val="0"/>
          <w:color w:val="000000" w:themeColor="text1" w:themeTint="FF" w:themeShade="FF"/>
          <w:sz w:val="24"/>
          <w:szCs w:val="24"/>
          <w:lang w:val="en-GB"/>
        </w:rPr>
        <w:t>remain</w:t>
      </w:r>
      <w:r w:rsidRPr="4257913C" w:rsidR="14D47E59">
        <w:rPr>
          <w:rFonts w:ascii="Aptos" w:hAnsi="Aptos" w:eastAsia="Aptos" w:cs="Aptos"/>
          <w:noProof w:val="0"/>
          <w:color w:val="000000" w:themeColor="text1" w:themeTint="FF" w:themeShade="FF"/>
          <w:sz w:val="24"/>
          <w:szCs w:val="24"/>
          <w:lang w:val="en-GB"/>
        </w:rPr>
        <w:t xml:space="preserve"> a valuable tool because they draw attention to children’s emotional states and engagement levels, which are essential foundations for learning.</w:t>
      </w:r>
    </w:p>
    <w:p xmlns:wp14="http://schemas.microsoft.com/office/word/2010/wordml" w:rsidP="4257913C" wp14:paraId="76BDDAF5" wp14:textId="3894DDF8">
      <w:pPr>
        <w:bidi w:val="0"/>
        <w:spacing w:before="240" w:beforeAutospacing="off" w:after="240" w:afterAutospacing="off"/>
        <w:jc w:val="left"/>
      </w:pPr>
      <w:r w:rsidRPr="4257913C" w:rsidR="479AF218">
        <w:rPr>
          <w:rFonts w:ascii="Aptos" w:hAnsi="Aptos" w:eastAsia="Aptos" w:cs="Aptos"/>
          <w:noProof w:val="0"/>
          <w:color w:val="000000" w:themeColor="text1" w:themeTint="FF" w:themeShade="FF"/>
          <w:sz w:val="24"/>
          <w:szCs w:val="24"/>
          <w:lang w:val="en-GB"/>
        </w:rPr>
        <w:t xml:space="preserve">When the two methods are considered together, it becomes clear that they focus on different but equally important aspects of quality. SSTEW provides insight into the quality of interactions and the effectiveness of teaching, while the Leuven Scales reveal how children feel and how deeply they are engaged. SSTEW is pedagogical and interaction‑focused, </w:t>
      </w:r>
      <w:r w:rsidRPr="4257913C" w:rsidR="479AF218">
        <w:rPr>
          <w:rFonts w:ascii="Aptos" w:hAnsi="Aptos" w:eastAsia="Aptos" w:cs="Aptos"/>
          <w:noProof w:val="0"/>
          <w:color w:val="000000" w:themeColor="text1" w:themeTint="FF" w:themeShade="FF"/>
          <w:sz w:val="24"/>
          <w:szCs w:val="24"/>
          <w:lang w:val="en-GB"/>
        </w:rPr>
        <w:t>whereas</w:t>
      </w:r>
      <w:r w:rsidRPr="4257913C" w:rsidR="479AF218">
        <w:rPr>
          <w:rFonts w:ascii="Aptos" w:hAnsi="Aptos" w:eastAsia="Aptos" w:cs="Aptos"/>
          <w:noProof w:val="0"/>
          <w:color w:val="000000" w:themeColor="text1" w:themeTint="FF" w:themeShade="FF"/>
          <w:sz w:val="24"/>
          <w:szCs w:val="24"/>
          <w:lang w:val="en-GB"/>
        </w:rPr>
        <w:t xml:space="preserve"> the Leuven Scales are experiential and child‑centred. Both methods have strengths and limitations, but together they offer a more balanced and holistic understanding of children’s experiences. This comparison reinforces the idea that high‑quality provision requires both strong adult–child interactions and a nurturing emotional environment.</w:t>
      </w:r>
    </w:p>
    <w:p xmlns:wp14="http://schemas.microsoft.com/office/word/2010/wordml" w:rsidP="4257913C" wp14:paraId="356D7E54" wp14:textId="1918A0BD">
      <w:pPr>
        <w:pStyle w:val="Normal"/>
        <w:bidi w:val="0"/>
        <w:spacing w:before="240" w:beforeAutospacing="off" w:after="240" w:afterAutospacing="off"/>
        <w:jc w:val="left"/>
      </w:pPr>
      <w:r w:rsidRPr="4257913C" w:rsidR="29409681">
        <w:rPr>
          <w:rFonts w:ascii="Aptos" w:hAnsi="Aptos" w:eastAsia="Aptos" w:cs="Aptos"/>
          <w:noProof w:val="0"/>
          <w:color w:val="000000" w:themeColor="text1" w:themeTint="FF" w:themeShade="FF"/>
          <w:sz w:val="24"/>
          <w:szCs w:val="24"/>
          <w:lang w:val="en-GB"/>
        </w:rPr>
        <w:t xml:space="preserve">Reflecting on the information needed to improve provision, it becomes </w:t>
      </w:r>
      <w:r w:rsidRPr="4257913C" w:rsidR="29409681">
        <w:rPr>
          <w:rFonts w:ascii="Aptos" w:hAnsi="Aptos" w:eastAsia="Aptos" w:cs="Aptos"/>
          <w:noProof w:val="0"/>
          <w:color w:val="000000" w:themeColor="text1" w:themeTint="FF" w:themeShade="FF"/>
          <w:sz w:val="24"/>
          <w:szCs w:val="24"/>
          <w:lang w:val="en-GB"/>
        </w:rPr>
        <w:t>evident</w:t>
      </w:r>
      <w:r w:rsidRPr="4257913C" w:rsidR="29409681">
        <w:rPr>
          <w:rFonts w:ascii="Aptos" w:hAnsi="Aptos" w:eastAsia="Aptos" w:cs="Aptos"/>
          <w:noProof w:val="0"/>
          <w:color w:val="000000" w:themeColor="text1" w:themeTint="FF" w:themeShade="FF"/>
          <w:sz w:val="24"/>
          <w:szCs w:val="24"/>
          <w:lang w:val="en-GB"/>
        </w:rPr>
        <w:t xml:space="preserve"> that settings require insight into children’s learning, emotional wellbeing, engagement, </w:t>
      </w:r>
      <w:r w:rsidRPr="4257913C" w:rsidR="29409681">
        <w:rPr>
          <w:rFonts w:ascii="Aptos" w:hAnsi="Aptos" w:eastAsia="Aptos" w:cs="Aptos"/>
          <w:noProof w:val="0"/>
          <w:color w:val="000000" w:themeColor="text1" w:themeTint="FF" w:themeShade="FF"/>
          <w:sz w:val="24"/>
          <w:szCs w:val="24"/>
          <w:lang w:val="en-GB"/>
        </w:rPr>
        <w:t>relationships</w:t>
      </w:r>
      <w:r w:rsidRPr="4257913C" w:rsidR="29409681">
        <w:rPr>
          <w:rFonts w:ascii="Aptos" w:hAnsi="Aptos" w:eastAsia="Aptos" w:cs="Aptos"/>
          <w:noProof w:val="0"/>
          <w:color w:val="000000" w:themeColor="text1" w:themeTint="FF" w:themeShade="FF"/>
          <w:sz w:val="24"/>
          <w:szCs w:val="24"/>
          <w:lang w:val="en-GB"/>
        </w:rPr>
        <w:t xml:space="preserve"> and the quality of adult practice. SSTEW provides detailed evidence about how adults extend children’s thinking, while the Leuven Scales offer insight into children’s emotional security and involvement. Together, these methods help practitioners understand whether children are both emotionally secure and actively learning</w:t>
      </w:r>
      <w:r w:rsidRPr="4257913C" w:rsidR="3181A2FF">
        <w:rPr>
          <w:rFonts w:ascii="Aptos" w:hAnsi="Aptos" w:eastAsia="Aptos" w:cs="Aptos"/>
          <w:noProof w:val="0"/>
          <w:color w:val="000000" w:themeColor="text1" w:themeTint="FF" w:themeShade="FF"/>
          <w:sz w:val="24"/>
          <w:szCs w:val="24"/>
          <w:lang w:val="en-GB"/>
        </w:rPr>
        <w:t xml:space="preserve"> </w:t>
      </w:r>
      <w:r w:rsidRPr="4257913C" w:rsidR="29409681">
        <w:rPr>
          <w:rFonts w:ascii="Aptos" w:hAnsi="Aptos" w:eastAsia="Aptos" w:cs="Aptos"/>
          <w:noProof w:val="0"/>
          <w:color w:val="000000" w:themeColor="text1" w:themeTint="FF" w:themeShade="FF"/>
          <w:sz w:val="24"/>
          <w:szCs w:val="24"/>
          <w:lang w:val="en-GB"/>
        </w:rPr>
        <w:t xml:space="preserve">two essential conditions for high‑quality early years practice. However, these tools do not provide information about staff wellbeing, leadership, safeguarding or long‑term developmental outcomes. This highlights the need for </w:t>
      </w:r>
      <w:r w:rsidRPr="4257913C" w:rsidR="29409681">
        <w:rPr>
          <w:rFonts w:ascii="Aptos" w:hAnsi="Aptos" w:eastAsia="Aptos" w:cs="Aptos"/>
          <w:noProof w:val="0"/>
          <w:color w:val="000000" w:themeColor="text1" w:themeTint="FF" w:themeShade="FF"/>
          <w:sz w:val="24"/>
          <w:szCs w:val="24"/>
          <w:lang w:val="en-GB"/>
        </w:rPr>
        <w:t>additional</w:t>
      </w:r>
      <w:r w:rsidRPr="4257913C" w:rsidR="29409681">
        <w:rPr>
          <w:rFonts w:ascii="Aptos" w:hAnsi="Aptos" w:eastAsia="Aptos" w:cs="Aptos"/>
          <w:noProof w:val="0"/>
          <w:color w:val="000000" w:themeColor="text1" w:themeTint="FF" w:themeShade="FF"/>
          <w:sz w:val="24"/>
          <w:szCs w:val="24"/>
          <w:lang w:val="en-GB"/>
        </w:rPr>
        <w:t xml:space="preserve"> methods, such as audits, </w:t>
      </w:r>
      <w:r w:rsidRPr="4257913C" w:rsidR="29409681">
        <w:rPr>
          <w:rFonts w:ascii="Aptos" w:hAnsi="Aptos" w:eastAsia="Aptos" w:cs="Aptos"/>
          <w:noProof w:val="0"/>
          <w:color w:val="000000" w:themeColor="text1" w:themeTint="FF" w:themeShade="FF"/>
          <w:sz w:val="24"/>
          <w:szCs w:val="24"/>
          <w:lang w:val="en-GB"/>
        </w:rPr>
        <w:t>assessments</w:t>
      </w:r>
      <w:r w:rsidRPr="4257913C" w:rsidR="29409681">
        <w:rPr>
          <w:rFonts w:ascii="Aptos" w:hAnsi="Aptos" w:eastAsia="Aptos" w:cs="Aptos"/>
          <w:noProof w:val="0"/>
          <w:color w:val="000000" w:themeColor="text1" w:themeTint="FF" w:themeShade="FF"/>
          <w:sz w:val="24"/>
          <w:szCs w:val="24"/>
          <w:lang w:val="en-GB"/>
        </w:rPr>
        <w:t xml:space="preserve"> and parental feedback, to build a complete picture of quality.</w:t>
      </w:r>
      <w:r w:rsidRPr="4257913C" w:rsidR="6576A9CB">
        <w:rPr>
          <w:rFonts w:ascii="Aptos" w:hAnsi="Aptos" w:eastAsia="Aptos" w:cs="Aptos"/>
          <w:noProof w:val="0"/>
          <w:color w:val="000000" w:themeColor="text1" w:themeTint="FF" w:themeShade="FF"/>
          <w:sz w:val="24"/>
          <w:szCs w:val="24"/>
          <w:lang w:val="en-GB"/>
        </w:rPr>
        <w:t xml:space="preserve"> </w:t>
      </w:r>
      <w:r w:rsidRPr="4257913C" w:rsidR="0B962AC6">
        <w:rPr>
          <w:rFonts w:ascii="Aptos" w:hAnsi="Aptos" w:eastAsia="Aptos" w:cs="Aptos"/>
          <w:noProof w:val="0"/>
          <w:color w:val="000000" w:themeColor="text1" w:themeTint="FF" w:themeShade="FF"/>
          <w:sz w:val="24"/>
          <w:szCs w:val="24"/>
          <w:lang w:val="en-GB"/>
        </w:rPr>
        <w:t xml:space="preserve"> </w:t>
      </w:r>
    </w:p>
    <w:p xmlns:wp14="http://schemas.microsoft.com/office/word/2010/wordml" w:rsidP="4257913C" wp14:paraId="53D4BEB5" wp14:textId="6CFD5F31">
      <w:pPr>
        <w:bidi w:val="0"/>
        <w:spacing w:before="240" w:beforeAutospacing="off" w:after="240" w:afterAutospacing="off"/>
        <w:jc w:val="left"/>
      </w:pPr>
      <w:r w:rsidRPr="416CF0D1" w:rsidR="0B962AC6">
        <w:rPr>
          <w:rFonts w:ascii="Aptos" w:hAnsi="Aptos" w:eastAsia="Aptos" w:cs="Aptos"/>
          <w:noProof w:val="0"/>
          <w:color w:val="000000" w:themeColor="text1" w:themeTint="FF" w:themeShade="FF"/>
          <w:sz w:val="24"/>
          <w:szCs w:val="24"/>
          <w:lang w:val="en-GB"/>
        </w:rPr>
        <w:t xml:space="preserve">The information gathered from </w:t>
      </w:r>
      <w:r w:rsidRPr="416CF0D1" w:rsidR="0B962AC6">
        <w:rPr>
          <w:rFonts w:ascii="Aptos" w:hAnsi="Aptos" w:eastAsia="Aptos" w:cs="Aptos"/>
          <w:noProof w:val="0"/>
          <w:color w:val="000000" w:themeColor="text1" w:themeTint="FF" w:themeShade="FF"/>
          <w:sz w:val="24"/>
          <w:szCs w:val="24"/>
          <w:lang w:val="en-GB"/>
        </w:rPr>
        <w:t>SSTEW</w:t>
      </w:r>
      <w:r w:rsidRPr="416CF0D1" w:rsidR="0B962AC6">
        <w:rPr>
          <w:rFonts w:ascii="Aptos" w:hAnsi="Aptos" w:eastAsia="Aptos" w:cs="Aptos"/>
          <w:noProof w:val="0"/>
          <w:color w:val="000000" w:themeColor="text1" w:themeTint="FF" w:themeShade="FF"/>
          <w:sz w:val="24"/>
          <w:szCs w:val="24"/>
          <w:lang w:val="en-GB"/>
        </w:rPr>
        <w:t xml:space="preserve"> and the Leuven Scales can be used in several ways to drive quality. It can inform staff training, highlight areas where the environment needs adaptation, support planning that is more responsive to children’s interests and ensure that emotional wellbeing is prioritised. Patterns in wellbeing and involvement can help practitioners </w:t>
      </w:r>
      <w:r w:rsidRPr="416CF0D1" w:rsidR="0B962AC6">
        <w:rPr>
          <w:rFonts w:ascii="Aptos" w:hAnsi="Aptos" w:eastAsia="Aptos" w:cs="Aptos"/>
          <w:noProof w:val="0"/>
          <w:color w:val="000000" w:themeColor="text1" w:themeTint="FF" w:themeShade="FF"/>
          <w:sz w:val="24"/>
          <w:szCs w:val="24"/>
          <w:lang w:val="en-GB"/>
        </w:rPr>
        <w:t>identify</w:t>
      </w:r>
      <w:r w:rsidRPr="416CF0D1" w:rsidR="0B962AC6">
        <w:rPr>
          <w:rFonts w:ascii="Aptos" w:hAnsi="Aptos" w:eastAsia="Aptos" w:cs="Aptos"/>
          <w:noProof w:val="0"/>
          <w:color w:val="000000" w:themeColor="text1" w:themeTint="FF" w:themeShade="FF"/>
          <w:sz w:val="24"/>
          <w:szCs w:val="24"/>
          <w:lang w:val="en-GB"/>
        </w:rPr>
        <w:t xml:space="preserve"> children who need </w:t>
      </w:r>
      <w:r w:rsidRPr="416CF0D1" w:rsidR="0B962AC6">
        <w:rPr>
          <w:rFonts w:ascii="Aptos" w:hAnsi="Aptos" w:eastAsia="Aptos" w:cs="Aptos"/>
          <w:noProof w:val="0"/>
          <w:color w:val="000000" w:themeColor="text1" w:themeTint="FF" w:themeShade="FF"/>
          <w:sz w:val="24"/>
          <w:szCs w:val="24"/>
          <w:lang w:val="en-GB"/>
        </w:rPr>
        <w:t>additional</w:t>
      </w:r>
      <w:r w:rsidRPr="416CF0D1" w:rsidR="0B962AC6">
        <w:rPr>
          <w:rFonts w:ascii="Aptos" w:hAnsi="Aptos" w:eastAsia="Aptos" w:cs="Aptos"/>
          <w:noProof w:val="0"/>
          <w:color w:val="000000" w:themeColor="text1" w:themeTint="FF" w:themeShade="FF"/>
          <w:sz w:val="24"/>
          <w:szCs w:val="24"/>
          <w:lang w:val="en-GB"/>
        </w:rPr>
        <w:t xml:space="preserve"> support, while reflections on SSTEW interactions can guide improvements in communication and teaching strategies. </w:t>
      </w:r>
      <w:r w:rsidRPr="416CF0D1" w:rsidR="0B962AC6">
        <w:rPr>
          <w:rFonts w:ascii="Aptos" w:hAnsi="Aptos" w:eastAsia="Aptos" w:cs="Aptos"/>
          <w:noProof w:val="0"/>
          <w:color w:val="000000" w:themeColor="text1" w:themeTint="FF" w:themeShade="FF"/>
          <w:sz w:val="24"/>
          <w:szCs w:val="24"/>
          <w:lang w:val="en-GB"/>
        </w:rPr>
        <w:t>Ultimately, these</w:t>
      </w:r>
      <w:r w:rsidRPr="416CF0D1" w:rsidR="0B962AC6">
        <w:rPr>
          <w:rFonts w:ascii="Aptos" w:hAnsi="Aptos" w:eastAsia="Aptos" w:cs="Aptos"/>
          <w:noProof w:val="0"/>
          <w:color w:val="000000" w:themeColor="text1" w:themeTint="FF" w:themeShade="FF"/>
          <w:sz w:val="24"/>
          <w:szCs w:val="24"/>
          <w:lang w:val="en-GB"/>
        </w:rPr>
        <w:t xml:space="preserve"> tools encourage reflective practice and evidence‑based decision‑making, helping settings create environments where children feel secure, </w:t>
      </w:r>
      <w:r w:rsidRPr="416CF0D1" w:rsidR="0B962AC6">
        <w:rPr>
          <w:rFonts w:ascii="Aptos" w:hAnsi="Aptos" w:eastAsia="Aptos" w:cs="Aptos"/>
          <w:noProof w:val="0"/>
          <w:color w:val="000000" w:themeColor="text1" w:themeTint="FF" w:themeShade="FF"/>
          <w:sz w:val="24"/>
          <w:szCs w:val="24"/>
          <w:lang w:val="en-GB"/>
        </w:rPr>
        <w:t>engaged</w:t>
      </w:r>
      <w:r w:rsidRPr="416CF0D1" w:rsidR="0B962AC6">
        <w:rPr>
          <w:rFonts w:ascii="Aptos" w:hAnsi="Aptos" w:eastAsia="Aptos" w:cs="Aptos"/>
          <w:noProof w:val="0"/>
          <w:color w:val="000000" w:themeColor="text1" w:themeTint="FF" w:themeShade="FF"/>
          <w:sz w:val="24"/>
          <w:szCs w:val="24"/>
          <w:lang w:val="en-GB"/>
        </w:rPr>
        <w:t xml:space="preserve"> and able to learn to their full potential. Through this reflective use of multiple methods, early years settings are better equipped to understand and enhance the quality of their provision.</w:t>
      </w:r>
    </w:p>
    <w:p xmlns:wp14="http://schemas.microsoft.com/office/word/2010/wordml" w:rsidP="416CF0D1" wp14:paraId="13336C23" wp14:textId="168EED89">
      <w:pPr>
        <w:bidi w:val="0"/>
        <w:spacing w:before="240" w:beforeAutospacing="off" w:after="240" w:afterAutospacing="off"/>
        <w:jc w:val="left"/>
      </w:pPr>
      <w:r w:rsidRPr="416CF0D1" w:rsidR="3A3E5F3C">
        <w:rPr>
          <w:rFonts w:ascii="Aptos" w:hAnsi="Aptos" w:eastAsia="Aptos" w:cs="Aptos"/>
          <w:noProof w:val="0"/>
          <w:color w:val="000000" w:themeColor="text1" w:themeTint="FF" w:themeShade="FF"/>
          <w:sz w:val="24"/>
          <w:szCs w:val="24"/>
          <w:lang w:val="en-GB"/>
        </w:rPr>
        <w:t xml:space="preserve">In conclusion, the use of multiple quality‑assurance methods is essential for gaining a meaningful and </w:t>
      </w:r>
      <w:r w:rsidRPr="416CF0D1" w:rsidR="3A3E5F3C">
        <w:rPr>
          <w:rFonts w:ascii="Aptos" w:hAnsi="Aptos" w:eastAsia="Aptos" w:cs="Aptos"/>
          <w:noProof w:val="0"/>
          <w:color w:val="000000" w:themeColor="text1" w:themeTint="FF" w:themeShade="FF"/>
          <w:sz w:val="24"/>
          <w:szCs w:val="24"/>
          <w:lang w:val="en-GB"/>
        </w:rPr>
        <w:t>accurate</w:t>
      </w:r>
      <w:r w:rsidRPr="416CF0D1" w:rsidR="3A3E5F3C">
        <w:rPr>
          <w:rFonts w:ascii="Aptos" w:hAnsi="Aptos" w:eastAsia="Aptos" w:cs="Aptos"/>
          <w:noProof w:val="0"/>
          <w:color w:val="000000" w:themeColor="text1" w:themeTint="FF" w:themeShade="FF"/>
          <w:sz w:val="24"/>
          <w:szCs w:val="24"/>
          <w:lang w:val="en-GB"/>
        </w:rPr>
        <w:t xml:space="preserve"> understanding of children’s experiences in early years settings. Because quality is shaped by context, values and interpretation, no single tool can capture its full complexity. Reflecting on the strengths and limitations of Sustained Shared Thinking and the Leuven Scales </w:t>
      </w:r>
      <w:r w:rsidRPr="416CF0D1" w:rsidR="3A3E5F3C">
        <w:rPr>
          <w:rFonts w:ascii="Aptos" w:hAnsi="Aptos" w:eastAsia="Aptos" w:cs="Aptos"/>
          <w:noProof w:val="0"/>
          <w:color w:val="000000" w:themeColor="text1" w:themeTint="FF" w:themeShade="FF"/>
          <w:sz w:val="24"/>
          <w:szCs w:val="24"/>
          <w:lang w:val="en-GB"/>
        </w:rPr>
        <w:t>demonstrates</w:t>
      </w:r>
      <w:r w:rsidRPr="416CF0D1" w:rsidR="3A3E5F3C">
        <w:rPr>
          <w:rFonts w:ascii="Aptos" w:hAnsi="Aptos" w:eastAsia="Aptos" w:cs="Aptos"/>
          <w:noProof w:val="0"/>
          <w:color w:val="000000" w:themeColor="text1" w:themeTint="FF" w:themeShade="FF"/>
          <w:sz w:val="24"/>
          <w:szCs w:val="24"/>
          <w:lang w:val="en-GB"/>
        </w:rPr>
        <w:t xml:space="preserve"> how each method contributes differently to the overall picture of quality. SSTEW highlights the depth and effectiveness of adult–child interactions, revealing how learning is supported through dialogue, shared problem‑solving and sensitive communication. The Leuven Scales, in contrast, draw attention to children’s emotional wellbeing and levels of involvement, offering insight into how secure, </w:t>
      </w:r>
      <w:r w:rsidRPr="416CF0D1" w:rsidR="3A3E5F3C">
        <w:rPr>
          <w:rFonts w:ascii="Aptos" w:hAnsi="Aptos" w:eastAsia="Aptos" w:cs="Aptos"/>
          <w:noProof w:val="0"/>
          <w:color w:val="000000" w:themeColor="text1" w:themeTint="FF" w:themeShade="FF"/>
          <w:sz w:val="24"/>
          <w:szCs w:val="24"/>
          <w:lang w:val="en-GB"/>
        </w:rPr>
        <w:t>confident</w:t>
      </w:r>
      <w:r w:rsidRPr="416CF0D1" w:rsidR="3A3E5F3C">
        <w:rPr>
          <w:rFonts w:ascii="Aptos" w:hAnsi="Aptos" w:eastAsia="Aptos" w:cs="Aptos"/>
          <w:noProof w:val="0"/>
          <w:color w:val="000000" w:themeColor="text1" w:themeTint="FF" w:themeShade="FF"/>
          <w:sz w:val="24"/>
          <w:szCs w:val="24"/>
          <w:lang w:val="en-GB"/>
        </w:rPr>
        <w:t xml:space="preserve"> and engaged they feel within the environment. When these methods are used together, they provide a more balanced and holistic understanding of children’s learning and development.</w:t>
      </w:r>
    </w:p>
    <w:p xmlns:wp14="http://schemas.microsoft.com/office/word/2010/wordml" w:rsidP="416CF0D1" wp14:paraId="5B47E5EC" wp14:textId="3DB8A575">
      <w:pPr>
        <w:bidi w:val="0"/>
        <w:spacing w:before="240" w:beforeAutospacing="off" w:after="240" w:afterAutospacing="off"/>
        <w:jc w:val="left"/>
      </w:pPr>
      <w:r w:rsidRPr="416CF0D1" w:rsidR="3A3E5F3C">
        <w:rPr>
          <w:rFonts w:ascii="Aptos" w:hAnsi="Aptos" w:eastAsia="Aptos" w:cs="Aptos"/>
          <w:noProof w:val="0"/>
          <w:color w:val="000000" w:themeColor="text1" w:themeTint="FF" w:themeShade="FF"/>
          <w:sz w:val="24"/>
          <w:szCs w:val="24"/>
          <w:lang w:val="en-GB"/>
        </w:rPr>
        <w:t xml:space="preserve">This reflective approach also shows that both tools have limitations and cannot stand alone. SSTEW captures only a moment in time and focuses primarily on cognitive and linguistic development, while the Leuven Scales rely on practitioner interpretation and do not explain the underlying causes of low wellbeing or involvement. Recognising these limitations reinforces the need for a broader, multi‑method approach to quality assurance, incorporating </w:t>
      </w:r>
      <w:r w:rsidRPr="416CF0D1" w:rsidR="3A3E5F3C">
        <w:rPr>
          <w:rFonts w:ascii="Aptos" w:hAnsi="Aptos" w:eastAsia="Aptos" w:cs="Aptos"/>
          <w:noProof w:val="0"/>
          <w:color w:val="000000" w:themeColor="text1" w:themeTint="FF" w:themeShade="FF"/>
          <w:sz w:val="24"/>
          <w:szCs w:val="24"/>
          <w:lang w:val="en-GB"/>
        </w:rPr>
        <w:t>additional</w:t>
      </w:r>
      <w:r w:rsidRPr="416CF0D1" w:rsidR="3A3E5F3C">
        <w:rPr>
          <w:rFonts w:ascii="Aptos" w:hAnsi="Aptos" w:eastAsia="Aptos" w:cs="Aptos"/>
          <w:noProof w:val="0"/>
          <w:color w:val="000000" w:themeColor="text1" w:themeTint="FF" w:themeShade="FF"/>
          <w:sz w:val="24"/>
          <w:szCs w:val="24"/>
          <w:lang w:val="en-GB"/>
        </w:rPr>
        <w:t xml:space="preserve"> evidence such as parental feedback, staff reflection, environmental </w:t>
      </w:r>
      <w:r w:rsidRPr="416CF0D1" w:rsidR="3A3E5F3C">
        <w:rPr>
          <w:rFonts w:ascii="Aptos" w:hAnsi="Aptos" w:eastAsia="Aptos" w:cs="Aptos"/>
          <w:noProof w:val="0"/>
          <w:color w:val="000000" w:themeColor="text1" w:themeTint="FF" w:themeShade="FF"/>
          <w:sz w:val="24"/>
          <w:szCs w:val="24"/>
          <w:lang w:val="en-GB"/>
        </w:rPr>
        <w:t>audits</w:t>
      </w:r>
      <w:r w:rsidRPr="416CF0D1" w:rsidR="3A3E5F3C">
        <w:rPr>
          <w:rFonts w:ascii="Aptos" w:hAnsi="Aptos" w:eastAsia="Aptos" w:cs="Aptos"/>
          <w:noProof w:val="0"/>
          <w:color w:val="000000" w:themeColor="text1" w:themeTint="FF" w:themeShade="FF"/>
          <w:sz w:val="24"/>
          <w:szCs w:val="24"/>
          <w:lang w:val="en-GB"/>
        </w:rPr>
        <w:t xml:space="preserve"> and assessment data. By drawing on a range of tools, practitioners are better equipped to </w:t>
      </w:r>
      <w:r w:rsidRPr="416CF0D1" w:rsidR="3A3E5F3C">
        <w:rPr>
          <w:rFonts w:ascii="Aptos" w:hAnsi="Aptos" w:eastAsia="Aptos" w:cs="Aptos"/>
          <w:noProof w:val="0"/>
          <w:color w:val="000000" w:themeColor="text1" w:themeTint="FF" w:themeShade="FF"/>
          <w:sz w:val="24"/>
          <w:szCs w:val="24"/>
          <w:lang w:val="en-GB"/>
        </w:rPr>
        <w:t>identify</w:t>
      </w:r>
      <w:r w:rsidRPr="416CF0D1" w:rsidR="3A3E5F3C">
        <w:rPr>
          <w:rFonts w:ascii="Aptos" w:hAnsi="Aptos" w:eastAsia="Aptos" w:cs="Aptos"/>
          <w:noProof w:val="0"/>
          <w:color w:val="000000" w:themeColor="text1" w:themeTint="FF" w:themeShade="FF"/>
          <w:sz w:val="24"/>
          <w:szCs w:val="24"/>
          <w:lang w:val="en-GB"/>
        </w:rPr>
        <w:t xml:space="preserve"> strengths, address areas for improvement and ensure that provision </w:t>
      </w:r>
      <w:r w:rsidRPr="416CF0D1" w:rsidR="3A3E5F3C">
        <w:rPr>
          <w:rFonts w:ascii="Aptos" w:hAnsi="Aptos" w:eastAsia="Aptos" w:cs="Aptos"/>
          <w:noProof w:val="0"/>
          <w:color w:val="000000" w:themeColor="text1" w:themeTint="FF" w:themeShade="FF"/>
          <w:sz w:val="24"/>
          <w:szCs w:val="24"/>
          <w:lang w:val="en-GB"/>
        </w:rPr>
        <w:t>remains</w:t>
      </w:r>
      <w:r w:rsidRPr="416CF0D1" w:rsidR="3A3E5F3C">
        <w:rPr>
          <w:rFonts w:ascii="Aptos" w:hAnsi="Aptos" w:eastAsia="Aptos" w:cs="Aptos"/>
          <w:noProof w:val="0"/>
          <w:color w:val="000000" w:themeColor="text1" w:themeTint="FF" w:themeShade="FF"/>
          <w:sz w:val="24"/>
          <w:szCs w:val="24"/>
          <w:lang w:val="en-GB"/>
        </w:rPr>
        <w:t xml:space="preserve"> responsive to children’s needs.</w:t>
      </w:r>
    </w:p>
    <w:p xmlns:wp14="http://schemas.microsoft.com/office/word/2010/wordml" w:rsidP="416CF0D1" wp14:paraId="2013F58F" wp14:textId="1AF16C85">
      <w:pPr>
        <w:bidi w:val="0"/>
        <w:spacing w:before="240" w:beforeAutospacing="off" w:after="240" w:afterAutospacing="off"/>
        <w:jc w:val="left"/>
      </w:pPr>
      <w:r w:rsidRPr="416CF0D1" w:rsidR="3A3E5F3C">
        <w:rPr>
          <w:rFonts w:ascii="Aptos" w:hAnsi="Aptos" w:eastAsia="Aptos" w:cs="Aptos"/>
          <w:noProof w:val="0"/>
          <w:color w:val="000000" w:themeColor="text1" w:themeTint="FF" w:themeShade="FF"/>
          <w:sz w:val="24"/>
          <w:szCs w:val="24"/>
          <w:lang w:val="en-GB"/>
        </w:rPr>
        <w:t>Ultimately, the</w:t>
      </w:r>
      <w:r w:rsidRPr="416CF0D1" w:rsidR="3A3E5F3C">
        <w:rPr>
          <w:rFonts w:ascii="Aptos" w:hAnsi="Aptos" w:eastAsia="Aptos" w:cs="Aptos"/>
          <w:noProof w:val="0"/>
          <w:color w:val="000000" w:themeColor="text1" w:themeTint="FF" w:themeShade="FF"/>
          <w:sz w:val="24"/>
          <w:szCs w:val="24"/>
          <w:lang w:val="en-GB"/>
        </w:rPr>
        <w:t xml:space="preserve"> combined use of SSTEW and the Leuven Scales </w:t>
      </w:r>
      <w:r w:rsidRPr="416CF0D1" w:rsidR="3A3E5F3C">
        <w:rPr>
          <w:rFonts w:ascii="Aptos" w:hAnsi="Aptos" w:eastAsia="Aptos" w:cs="Aptos"/>
          <w:noProof w:val="0"/>
          <w:color w:val="000000" w:themeColor="text1" w:themeTint="FF" w:themeShade="FF"/>
          <w:sz w:val="24"/>
          <w:szCs w:val="24"/>
          <w:lang w:val="en-GB"/>
        </w:rPr>
        <w:t>supports</w:t>
      </w:r>
      <w:r w:rsidRPr="416CF0D1" w:rsidR="3A3E5F3C">
        <w:rPr>
          <w:rFonts w:ascii="Aptos" w:hAnsi="Aptos" w:eastAsia="Aptos" w:cs="Aptos"/>
          <w:noProof w:val="0"/>
          <w:color w:val="000000" w:themeColor="text1" w:themeTint="FF" w:themeShade="FF"/>
          <w:sz w:val="24"/>
          <w:szCs w:val="24"/>
          <w:lang w:val="en-GB"/>
        </w:rPr>
        <w:t xml:space="preserve"> a culture of reflective practice, encouraging practitioners to think critically about their interactions, the emotional climate of the setting and the quality of learning experiences offered. This reflective, evidence‑informed approach drives continuous improvement and helps create environments in which children feel secure, </w:t>
      </w:r>
      <w:r w:rsidRPr="416CF0D1" w:rsidR="3A3E5F3C">
        <w:rPr>
          <w:rFonts w:ascii="Aptos" w:hAnsi="Aptos" w:eastAsia="Aptos" w:cs="Aptos"/>
          <w:noProof w:val="0"/>
          <w:color w:val="000000" w:themeColor="text1" w:themeTint="FF" w:themeShade="FF"/>
          <w:sz w:val="24"/>
          <w:szCs w:val="24"/>
          <w:lang w:val="en-GB"/>
        </w:rPr>
        <w:t>engaged</w:t>
      </w:r>
      <w:r w:rsidRPr="416CF0D1" w:rsidR="3A3E5F3C">
        <w:rPr>
          <w:rFonts w:ascii="Aptos" w:hAnsi="Aptos" w:eastAsia="Aptos" w:cs="Aptos"/>
          <w:noProof w:val="0"/>
          <w:color w:val="000000" w:themeColor="text1" w:themeTint="FF" w:themeShade="FF"/>
          <w:sz w:val="24"/>
          <w:szCs w:val="24"/>
          <w:lang w:val="en-GB"/>
        </w:rPr>
        <w:t xml:space="preserve"> and able to thrive. Through thoughtful use of these methods, early years settings can strengthen the quality of their provision and ensure that children receive the rich, nurturing and stimulating experiences they need during this crucial stage of development.</w:t>
      </w:r>
    </w:p>
    <w:p xmlns:wp14="http://schemas.microsoft.com/office/word/2010/wordml" w:rsidP="416CF0D1" wp14:paraId="252153B7" wp14:textId="1F2323E4">
      <w:pPr>
        <w:bidi w:val="0"/>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xmlns:wp14="http://schemas.microsoft.com/office/word/2010/wordml" w:rsidP="416CF0D1" wp14:paraId="637BE742" wp14:textId="4D5EF31C">
      <w:pPr>
        <w:bidi w:val="0"/>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416CF0D1" w:rsidR="77E30664">
        <w:rPr>
          <w:rFonts w:ascii="Aptos" w:hAnsi="Aptos" w:eastAsia="Aptos" w:cs="Aptos"/>
          <w:noProof w:val="0"/>
          <w:color w:val="000000" w:themeColor="text1" w:themeTint="FF" w:themeShade="FF"/>
          <w:sz w:val="24"/>
          <w:szCs w:val="24"/>
          <w:lang w:val="en-GB"/>
        </w:rPr>
        <w:t>Reference list:</w:t>
      </w:r>
    </w:p>
    <w:p xmlns:wp14="http://schemas.microsoft.com/office/word/2010/wordml" w:rsidP="416CF0D1" wp14:paraId="4849C6F0" wp14:textId="7FAD960F">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Berk, L.E. (2013) </w:t>
      </w:r>
      <w:r w:rsidRPr="416CF0D1" w:rsidR="77E30664">
        <w:rPr>
          <w:rFonts w:ascii="Aptos" w:hAnsi="Aptos" w:eastAsia="Aptos" w:cs="Aptos"/>
          <w:i w:val="1"/>
          <w:iCs w:val="1"/>
          <w:noProof w:val="0"/>
          <w:color w:val="000000" w:themeColor="text1" w:themeTint="FF" w:themeShade="FF"/>
          <w:sz w:val="24"/>
          <w:szCs w:val="24"/>
          <w:lang w:val="en-GB"/>
        </w:rPr>
        <w:t>Child Development</w:t>
      </w:r>
      <w:r w:rsidRPr="416CF0D1" w:rsidR="77E30664">
        <w:rPr>
          <w:rFonts w:ascii="Aptos" w:hAnsi="Aptos" w:eastAsia="Aptos" w:cs="Aptos"/>
          <w:noProof w:val="0"/>
          <w:color w:val="000000" w:themeColor="text1" w:themeTint="FF" w:themeShade="FF"/>
          <w:sz w:val="24"/>
          <w:szCs w:val="24"/>
          <w:lang w:val="en-GB"/>
        </w:rPr>
        <w:t>. 9th edn. Pearson.</w:t>
      </w:r>
    </w:p>
    <w:p xmlns:wp14="http://schemas.microsoft.com/office/word/2010/wordml" w:rsidP="416CF0D1" wp14:paraId="2C72D1BD" wp14:textId="5842F90E">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Bretherton, I. (1992) ‘The origins of attachment theory: John Bowlby and Mary Ainsworth’, in Parke, R. and Ladd, G. (eds.) </w:t>
      </w:r>
      <w:r w:rsidRPr="416CF0D1" w:rsidR="77E30664">
        <w:rPr>
          <w:rFonts w:ascii="Aptos" w:hAnsi="Aptos" w:eastAsia="Aptos" w:cs="Aptos"/>
          <w:i w:val="1"/>
          <w:iCs w:val="1"/>
          <w:noProof w:val="0"/>
          <w:color w:val="000000" w:themeColor="text1" w:themeTint="FF" w:themeShade="FF"/>
          <w:sz w:val="24"/>
          <w:szCs w:val="24"/>
          <w:lang w:val="en-GB"/>
        </w:rPr>
        <w:t>Family–Peer Relationships: Modes of Linkage</w:t>
      </w:r>
      <w:r w:rsidRPr="416CF0D1" w:rsidR="77E30664">
        <w:rPr>
          <w:rFonts w:ascii="Aptos" w:hAnsi="Aptos" w:eastAsia="Aptos" w:cs="Aptos"/>
          <w:noProof w:val="0"/>
          <w:color w:val="000000" w:themeColor="text1" w:themeTint="FF" w:themeShade="FF"/>
          <w:sz w:val="24"/>
          <w:szCs w:val="24"/>
          <w:lang w:val="en-GB"/>
        </w:rPr>
        <w:t>. Hillsdale, NJ: Lawrence Erlbaum, pp. 3–35.</w:t>
      </w:r>
    </w:p>
    <w:p xmlns:wp14="http://schemas.microsoft.com/office/word/2010/wordml" w:rsidP="416CF0D1" wp14:paraId="5956F865" wp14:textId="69E278F8">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Broadhead, P., Howard, J. and Wood, E. (2010) </w:t>
      </w:r>
      <w:r w:rsidRPr="416CF0D1" w:rsidR="77E30664">
        <w:rPr>
          <w:rFonts w:ascii="Aptos" w:hAnsi="Aptos" w:eastAsia="Aptos" w:cs="Aptos"/>
          <w:i w:val="1"/>
          <w:iCs w:val="1"/>
          <w:noProof w:val="0"/>
          <w:color w:val="000000" w:themeColor="text1" w:themeTint="FF" w:themeShade="FF"/>
          <w:sz w:val="24"/>
          <w:szCs w:val="24"/>
          <w:lang w:val="en-GB"/>
        </w:rPr>
        <w:t>Play and Learning in the Early Years</w:t>
      </w:r>
      <w:r w:rsidRPr="416CF0D1" w:rsidR="77E30664">
        <w:rPr>
          <w:rFonts w:ascii="Aptos" w:hAnsi="Aptos" w:eastAsia="Aptos" w:cs="Aptos"/>
          <w:noProof w:val="0"/>
          <w:color w:val="000000" w:themeColor="text1" w:themeTint="FF" w:themeShade="FF"/>
          <w:sz w:val="24"/>
          <w:szCs w:val="24"/>
          <w:lang w:val="en-GB"/>
        </w:rPr>
        <w:t>. London: SAGE.</w:t>
      </w:r>
    </w:p>
    <w:p xmlns:wp14="http://schemas.microsoft.com/office/word/2010/wordml" w:rsidP="416CF0D1" wp14:paraId="1CCA9904" wp14:textId="5281AD45">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Bruce, T. (2015) </w:t>
      </w:r>
      <w:r w:rsidRPr="416CF0D1" w:rsidR="77E30664">
        <w:rPr>
          <w:rFonts w:ascii="Aptos" w:hAnsi="Aptos" w:eastAsia="Aptos" w:cs="Aptos"/>
          <w:i w:val="1"/>
          <w:iCs w:val="1"/>
          <w:noProof w:val="0"/>
          <w:color w:val="000000" w:themeColor="text1" w:themeTint="FF" w:themeShade="FF"/>
          <w:sz w:val="24"/>
          <w:szCs w:val="24"/>
          <w:lang w:val="en-GB"/>
        </w:rPr>
        <w:t>Early Childhood Education</w:t>
      </w:r>
      <w:r w:rsidRPr="416CF0D1" w:rsidR="77E30664">
        <w:rPr>
          <w:rFonts w:ascii="Aptos" w:hAnsi="Aptos" w:eastAsia="Aptos" w:cs="Aptos"/>
          <w:noProof w:val="0"/>
          <w:color w:val="000000" w:themeColor="text1" w:themeTint="FF" w:themeShade="FF"/>
          <w:sz w:val="24"/>
          <w:szCs w:val="24"/>
          <w:lang w:val="en-GB"/>
        </w:rPr>
        <w:t>. 5th edn. London: Hodder Education.</w:t>
      </w:r>
    </w:p>
    <w:p xmlns:wp14="http://schemas.microsoft.com/office/word/2010/wordml" w:rsidP="416CF0D1" wp14:paraId="5F296F62" wp14:textId="55B9A7D3">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Department for Education (DfE) (2021) </w:t>
      </w:r>
      <w:r w:rsidRPr="416CF0D1" w:rsidR="77E30664">
        <w:rPr>
          <w:rFonts w:ascii="Aptos" w:hAnsi="Aptos" w:eastAsia="Aptos" w:cs="Aptos"/>
          <w:i w:val="1"/>
          <w:iCs w:val="1"/>
          <w:noProof w:val="0"/>
          <w:color w:val="000000" w:themeColor="text1" w:themeTint="FF" w:themeShade="FF"/>
          <w:sz w:val="24"/>
          <w:szCs w:val="24"/>
          <w:lang w:val="en-GB"/>
        </w:rPr>
        <w:t>Statutory Framework for the Early Years Foundation Stage</w:t>
      </w:r>
      <w:r w:rsidRPr="416CF0D1" w:rsidR="77E30664">
        <w:rPr>
          <w:rFonts w:ascii="Aptos" w:hAnsi="Aptos" w:eastAsia="Aptos" w:cs="Aptos"/>
          <w:noProof w:val="0"/>
          <w:color w:val="000000" w:themeColor="text1" w:themeTint="FF" w:themeShade="FF"/>
          <w:sz w:val="24"/>
          <w:szCs w:val="24"/>
          <w:lang w:val="en-GB"/>
        </w:rPr>
        <w:t xml:space="preserve">. Available at: </w:t>
      </w:r>
      <w:hyperlink r:id="R066f6d5cf64c49e5">
        <w:r w:rsidRPr="416CF0D1" w:rsidR="77E30664">
          <w:rPr>
            <w:rStyle w:val="Hyperlink"/>
            <w:rFonts w:ascii="Aptos" w:hAnsi="Aptos" w:eastAsia="Aptos" w:cs="Aptos"/>
            <w:noProof w:val="0"/>
            <w:sz w:val="24"/>
            <w:szCs w:val="24"/>
            <w:lang w:val="en-GB"/>
          </w:rPr>
          <w:t>https://www.gov.uk/government/publications/early-years-foundation-stage-framework--2</w:t>
        </w:r>
      </w:hyperlink>
      <w:r w:rsidRPr="416CF0D1" w:rsidR="77E30664">
        <w:rPr>
          <w:rFonts w:ascii="Aptos" w:hAnsi="Aptos" w:eastAsia="Aptos" w:cs="Aptos"/>
          <w:noProof w:val="0"/>
          <w:color w:val="000000" w:themeColor="text1" w:themeTint="FF" w:themeShade="FF"/>
          <w:sz w:val="24"/>
          <w:szCs w:val="24"/>
          <w:lang w:val="en-GB"/>
        </w:rPr>
        <w:t xml:space="preserve"> (Accessed: 4 April 2026).</w:t>
      </w:r>
    </w:p>
    <w:p xmlns:wp14="http://schemas.microsoft.com/office/word/2010/wordml" w:rsidP="416CF0D1" wp14:paraId="44F0EEED" wp14:textId="44D83CC8">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European Commission (2014) </w:t>
      </w:r>
      <w:r w:rsidRPr="416CF0D1" w:rsidR="77E30664">
        <w:rPr>
          <w:rFonts w:ascii="Aptos" w:hAnsi="Aptos" w:eastAsia="Aptos" w:cs="Aptos"/>
          <w:i w:val="1"/>
          <w:iCs w:val="1"/>
          <w:noProof w:val="0"/>
          <w:color w:val="000000" w:themeColor="text1" w:themeTint="FF" w:themeShade="FF"/>
          <w:sz w:val="24"/>
          <w:szCs w:val="24"/>
          <w:lang w:val="en-GB"/>
        </w:rPr>
        <w:t>Proposal for Key Principles of a Quality Framework for Early Childhood Education and Care</w:t>
      </w:r>
      <w:r w:rsidRPr="416CF0D1" w:rsidR="77E30664">
        <w:rPr>
          <w:rFonts w:ascii="Aptos" w:hAnsi="Aptos" w:eastAsia="Aptos" w:cs="Aptos"/>
          <w:noProof w:val="0"/>
          <w:color w:val="000000" w:themeColor="text1" w:themeTint="FF" w:themeShade="FF"/>
          <w:sz w:val="24"/>
          <w:szCs w:val="24"/>
          <w:lang w:val="en-GB"/>
        </w:rPr>
        <w:t xml:space="preserve">. Available at: </w:t>
      </w:r>
      <w:hyperlink r:id="R0e9f0ae37c0447c6">
        <w:r w:rsidRPr="416CF0D1" w:rsidR="77E30664">
          <w:rPr>
            <w:rStyle w:val="Hyperlink"/>
            <w:rFonts w:ascii="Aptos" w:hAnsi="Aptos" w:eastAsia="Aptos" w:cs="Aptos"/>
            <w:noProof w:val="0"/>
            <w:sz w:val="24"/>
            <w:szCs w:val="24"/>
            <w:lang w:val="en-GB"/>
          </w:rPr>
          <w:t>https://ec.europa.eu/assets/eac/education/policy/strategic-framework/archive/documents/ecec-quality-framework_en.pdf</w:t>
        </w:r>
      </w:hyperlink>
      <w:r w:rsidRPr="416CF0D1" w:rsidR="77E30664">
        <w:rPr>
          <w:rFonts w:ascii="Aptos" w:hAnsi="Aptos" w:eastAsia="Aptos" w:cs="Aptos"/>
          <w:noProof w:val="0"/>
          <w:color w:val="000000" w:themeColor="text1" w:themeTint="FF" w:themeShade="FF"/>
          <w:sz w:val="24"/>
          <w:szCs w:val="24"/>
          <w:lang w:val="en-GB"/>
        </w:rPr>
        <w:t xml:space="preserve"> (Accessed: 4 April 2026).</w:t>
      </w:r>
    </w:p>
    <w:p xmlns:wp14="http://schemas.microsoft.com/office/word/2010/wordml" w:rsidP="416CF0D1" wp14:paraId="4ABD220A" wp14:textId="35086CA0">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Harvey, L. and Green, D. (1993) ‘Defining quality’, </w:t>
      </w:r>
      <w:r w:rsidRPr="416CF0D1" w:rsidR="77E30664">
        <w:rPr>
          <w:rFonts w:ascii="Aptos" w:hAnsi="Aptos" w:eastAsia="Aptos" w:cs="Aptos"/>
          <w:i w:val="1"/>
          <w:iCs w:val="1"/>
          <w:noProof w:val="0"/>
          <w:color w:val="000000" w:themeColor="text1" w:themeTint="FF" w:themeShade="FF"/>
          <w:sz w:val="24"/>
          <w:szCs w:val="24"/>
          <w:lang w:val="en-GB"/>
        </w:rPr>
        <w:t>Assessment and Evaluation in Higher Education</w:t>
      </w:r>
      <w:r w:rsidRPr="416CF0D1" w:rsidR="77E30664">
        <w:rPr>
          <w:rFonts w:ascii="Aptos" w:hAnsi="Aptos" w:eastAsia="Aptos" w:cs="Aptos"/>
          <w:noProof w:val="0"/>
          <w:color w:val="000000" w:themeColor="text1" w:themeTint="FF" w:themeShade="FF"/>
          <w:sz w:val="24"/>
          <w:szCs w:val="24"/>
          <w:lang w:val="en-GB"/>
        </w:rPr>
        <w:t>, 18(1), pp. 9–34.</w:t>
      </w:r>
    </w:p>
    <w:p xmlns:wp14="http://schemas.microsoft.com/office/word/2010/wordml" w:rsidP="416CF0D1" wp14:paraId="5A966537" wp14:textId="2B5CB3C0">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International Organization for Standardization (ISO) (2015) </w:t>
      </w:r>
      <w:r w:rsidRPr="416CF0D1" w:rsidR="77E30664">
        <w:rPr>
          <w:rFonts w:ascii="Aptos" w:hAnsi="Aptos" w:eastAsia="Aptos" w:cs="Aptos"/>
          <w:i w:val="1"/>
          <w:iCs w:val="1"/>
          <w:noProof w:val="0"/>
          <w:color w:val="000000" w:themeColor="text1" w:themeTint="FF" w:themeShade="FF"/>
          <w:sz w:val="24"/>
          <w:szCs w:val="24"/>
          <w:lang w:val="en-GB"/>
        </w:rPr>
        <w:t>ISO 9000:2015 Quality Management Systems – Fundamentals and Vocabulary</w:t>
      </w:r>
      <w:r w:rsidRPr="416CF0D1" w:rsidR="77E30664">
        <w:rPr>
          <w:rFonts w:ascii="Aptos" w:hAnsi="Aptos" w:eastAsia="Aptos" w:cs="Aptos"/>
          <w:noProof w:val="0"/>
          <w:color w:val="000000" w:themeColor="text1" w:themeTint="FF" w:themeShade="FF"/>
          <w:sz w:val="24"/>
          <w:szCs w:val="24"/>
          <w:lang w:val="en-GB"/>
        </w:rPr>
        <w:t xml:space="preserve">. Available at: </w:t>
      </w:r>
      <w:hyperlink r:id="R90bb96f5c7b34ee2">
        <w:r w:rsidRPr="416CF0D1" w:rsidR="77E30664">
          <w:rPr>
            <w:rStyle w:val="Hyperlink"/>
            <w:rFonts w:ascii="Aptos" w:hAnsi="Aptos" w:eastAsia="Aptos" w:cs="Aptos"/>
            <w:noProof w:val="0"/>
            <w:sz w:val="24"/>
            <w:szCs w:val="24"/>
            <w:lang w:val="en-GB"/>
          </w:rPr>
          <w:t>https://www.iso.org/standard/45481.html</w:t>
        </w:r>
      </w:hyperlink>
      <w:r w:rsidRPr="416CF0D1" w:rsidR="77E30664">
        <w:rPr>
          <w:rFonts w:ascii="Aptos" w:hAnsi="Aptos" w:eastAsia="Aptos" w:cs="Aptos"/>
          <w:noProof w:val="0"/>
          <w:color w:val="000000" w:themeColor="text1" w:themeTint="FF" w:themeShade="FF"/>
          <w:sz w:val="24"/>
          <w:szCs w:val="24"/>
          <w:lang w:val="en-GB"/>
        </w:rPr>
        <w:t xml:space="preserve"> (Accessed: 4 April 2026).</w:t>
      </w:r>
    </w:p>
    <w:p xmlns:wp14="http://schemas.microsoft.com/office/word/2010/wordml" w:rsidP="416CF0D1" wp14:paraId="2B3B95DB" wp14:textId="27965A17">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Laevers, F. (1994) </w:t>
      </w:r>
      <w:r w:rsidRPr="416CF0D1" w:rsidR="77E30664">
        <w:rPr>
          <w:rFonts w:ascii="Aptos" w:hAnsi="Aptos" w:eastAsia="Aptos" w:cs="Aptos"/>
          <w:i w:val="1"/>
          <w:iCs w:val="1"/>
          <w:noProof w:val="0"/>
          <w:color w:val="000000" w:themeColor="text1" w:themeTint="FF" w:themeShade="FF"/>
          <w:sz w:val="24"/>
          <w:szCs w:val="24"/>
          <w:lang w:val="en-GB"/>
        </w:rPr>
        <w:t>The Leuven Involvement Scale for Young Children (LIS-YC)</w:t>
      </w:r>
      <w:r w:rsidRPr="416CF0D1" w:rsidR="77E30664">
        <w:rPr>
          <w:rFonts w:ascii="Aptos" w:hAnsi="Aptos" w:eastAsia="Aptos" w:cs="Aptos"/>
          <w:noProof w:val="0"/>
          <w:color w:val="000000" w:themeColor="text1" w:themeTint="FF" w:themeShade="FF"/>
          <w:sz w:val="24"/>
          <w:szCs w:val="24"/>
          <w:lang w:val="en-GB"/>
        </w:rPr>
        <w:t>. Leuven: Leuven University Press.</w:t>
      </w:r>
    </w:p>
    <w:p xmlns:wp14="http://schemas.microsoft.com/office/word/2010/wordml" w:rsidP="416CF0D1" wp14:paraId="3D78C15C" wp14:textId="231E7CEC">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MacNaughton, G., Rolfe, S.A. and Siraj‑Blatchford, I. (2010) </w:t>
      </w:r>
      <w:r w:rsidRPr="416CF0D1" w:rsidR="77E30664">
        <w:rPr>
          <w:rFonts w:ascii="Aptos" w:hAnsi="Aptos" w:eastAsia="Aptos" w:cs="Aptos"/>
          <w:i w:val="1"/>
          <w:iCs w:val="1"/>
          <w:noProof w:val="0"/>
          <w:color w:val="000000" w:themeColor="text1" w:themeTint="FF" w:themeShade="FF"/>
          <w:sz w:val="24"/>
          <w:szCs w:val="24"/>
          <w:lang w:val="en-GB"/>
        </w:rPr>
        <w:t>Doing Early Childhood Research: International Perspectives on Theory and Practice</w:t>
      </w:r>
      <w:r w:rsidRPr="416CF0D1" w:rsidR="77E30664">
        <w:rPr>
          <w:rFonts w:ascii="Aptos" w:hAnsi="Aptos" w:eastAsia="Aptos" w:cs="Aptos"/>
          <w:noProof w:val="0"/>
          <w:color w:val="000000" w:themeColor="text1" w:themeTint="FF" w:themeShade="FF"/>
          <w:sz w:val="24"/>
          <w:szCs w:val="24"/>
          <w:lang w:val="en-GB"/>
        </w:rPr>
        <w:t>. 2nd edn. Maidenhead: Open University Press.</w:t>
      </w:r>
    </w:p>
    <w:p xmlns:wp14="http://schemas.microsoft.com/office/word/2010/wordml" w:rsidP="416CF0D1" wp14:paraId="2439A6E2" wp14:textId="61FB4D50">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Moss, P. and Dahlberg, G. (2005) ‘Beyond quality in early childhood education and care – languages of evaluation’, </w:t>
      </w:r>
      <w:r w:rsidRPr="416CF0D1" w:rsidR="77E30664">
        <w:rPr>
          <w:rFonts w:ascii="Aptos" w:hAnsi="Aptos" w:eastAsia="Aptos" w:cs="Aptos"/>
          <w:i w:val="1"/>
          <w:iCs w:val="1"/>
          <w:noProof w:val="0"/>
          <w:color w:val="000000" w:themeColor="text1" w:themeTint="FF" w:themeShade="FF"/>
          <w:sz w:val="24"/>
          <w:szCs w:val="24"/>
          <w:lang w:val="en-GB"/>
        </w:rPr>
        <w:t>New Zealand Journal of Teachers’ Work</w:t>
      </w:r>
      <w:r w:rsidRPr="416CF0D1" w:rsidR="77E30664">
        <w:rPr>
          <w:rFonts w:ascii="Aptos" w:hAnsi="Aptos" w:eastAsia="Aptos" w:cs="Aptos"/>
          <w:noProof w:val="0"/>
          <w:color w:val="000000" w:themeColor="text1" w:themeTint="FF" w:themeShade="FF"/>
          <w:sz w:val="24"/>
          <w:szCs w:val="24"/>
          <w:lang w:val="en-GB"/>
        </w:rPr>
        <w:t>, 2(1), pp. 3–12.</w:t>
      </w:r>
    </w:p>
    <w:p xmlns:wp14="http://schemas.microsoft.com/office/word/2010/wordml" w:rsidP="416CF0D1" wp14:paraId="0D2ACE40" wp14:textId="47F99AB9">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OECD (2018) </w:t>
      </w:r>
      <w:r w:rsidRPr="416CF0D1" w:rsidR="77E30664">
        <w:rPr>
          <w:rFonts w:ascii="Aptos" w:hAnsi="Aptos" w:eastAsia="Aptos" w:cs="Aptos"/>
          <w:i w:val="1"/>
          <w:iCs w:val="1"/>
          <w:noProof w:val="0"/>
          <w:color w:val="000000" w:themeColor="text1" w:themeTint="FF" w:themeShade="FF"/>
          <w:sz w:val="24"/>
          <w:szCs w:val="24"/>
          <w:lang w:val="en-GB"/>
        </w:rPr>
        <w:t>Engaging Young Children: Lessons from Research about Quality in Early Childhood Education and Care</w:t>
      </w:r>
      <w:r w:rsidRPr="416CF0D1" w:rsidR="77E30664">
        <w:rPr>
          <w:rFonts w:ascii="Aptos" w:hAnsi="Aptos" w:eastAsia="Aptos" w:cs="Aptos"/>
          <w:noProof w:val="0"/>
          <w:color w:val="000000" w:themeColor="text1" w:themeTint="FF" w:themeShade="FF"/>
          <w:sz w:val="24"/>
          <w:szCs w:val="24"/>
          <w:lang w:val="en-GB"/>
        </w:rPr>
        <w:t xml:space="preserve">. Available at: </w:t>
      </w:r>
      <w:hyperlink r:id="Rfef0f4ea854f4064">
        <w:r w:rsidRPr="416CF0D1" w:rsidR="77E30664">
          <w:rPr>
            <w:rStyle w:val="Hyperlink"/>
            <w:rFonts w:ascii="Aptos" w:hAnsi="Aptos" w:eastAsia="Aptos" w:cs="Aptos"/>
            <w:noProof w:val="0"/>
            <w:sz w:val="24"/>
            <w:szCs w:val="24"/>
            <w:lang w:val="en-GB"/>
          </w:rPr>
          <w:t>https://www.oecd.org/education/engaging-young-children-9789264085145-en.htm</w:t>
        </w:r>
      </w:hyperlink>
      <w:r w:rsidRPr="416CF0D1" w:rsidR="77E30664">
        <w:rPr>
          <w:rFonts w:ascii="Aptos" w:hAnsi="Aptos" w:eastAsia="Aptos" w:cs="Aptos"/>
          <w:noProof w:val="0"/>
          <w:color w:val="000000" w:themeColor="text1" w:themeTint="FF" w:themeShade="FF"/>
          <w:sz w:val="24"/>
          <w:szCs w:val="24"/>
          <w:lang w:val="en-GB"/>
        </w:rPr>
        <w:t xml:space="preserve"> (Accessed: 4 April 2026).</w:t>
      </w:r>
    </w:p>
    <w:p xmlns:wp14="http://schemas.microsoft.com/office/word/2010/wordml" w:rsidP="416CF0D1" wp14:paraId="28C7DFF6" wp14:textId="287D7BAE">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Pascal, C. and Bertram, T. (2012) </w:t>
      </w:r>
      <w:r w:rsidRPr="416CF0D1" w:rsidR="77E30664">
        <w:rPr>
          <w:rFonts w:ascii="Aptos" w:hAnsi="Aptos" w:eastAsia="Aptos" w:cs="Aptos"/>
          <w:i w:val="1"/>
          <w:iCs w:val="1"/>
          <w:noProof w:val="0"/>
          <w:color w:val="000000" w:themeColor="text1" w:themeTint="FF" w:themeShade="FF"/>
          <w:sz w:val="24"/>
          <w:szCs w:val="24"/>
          <w:lang w:val="en-GB"/>
        </w:rPr>
        <w:t>The Baby Effective Early Learning Programme</w:t>
      </w:r>
      <w:r w:rsidRPr="416CF0D1" w:rsidR="77E30664">
        <w:rPr>
          <w:rFonts w:ascii="Aptos" w:hAnsi="Aptos" w:eastAsia="Aptos" w:cs="Aptos"/>
          <w:noProof w:val="0"/>
          <w:color w:val="000000" w:themeColor="text1" w:themeTint="FF" w:themeShade="FF"/>
          <w:sz w:val="24"/>
          <w:szCs w:val="24"/>
          <w:lang w:val="en-GB"/>
        </w:rPr>
        <w:t>. Birmingham: Amber Publications.</w:t>
      </w:r>
    </w:p>
    <w:p xmlns:wp14="http://schemas.microsoft.com/office/word/2010/wordml" w:rsidP="416CF0D1" wp14:paraId="7C840245" wp14:textId="33B5FBFC">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Pascal, C. and Bertram, T. (2012) ‘Praxis, ethics and power: Developing practitioner research’, </w:t>
      </w:r>
      <w:r w:rsidRPr="416CF0D1" w:rsidR="77E30664">
        <w:rPr>
          <w:rFonts w:ascii="Aptos" w:hAnsi="Aptos" w:eastAsia="Aptos" w:cs="Aptos"/>
          <w:i w:val="1"/>
          <w:iCs w:val="1"/>
          <w:noProof w:val="0"/>
          <w:color w:val="000000" w:themeColor="text1" w:themeTint="FF" w:themeShade="FF"/>
          <w:sz w:val="24"/>
          <w:szCs w:val="24"/>
          <w:lang w:val="en-GB"/>
        </w:rPr>
        <w:t>European Early Childhood Education Research Journal</w:t>
      </w:r>
      <w:r w:rsidRPr="416CF0D1" w:rsidR="77E30664">
        <w:rPr>
          <w:rFonts w:ascii="Aptos" w:hAnsi="Aptos" w:eastAsia="Aptos" w:cs="Aptos"/>
          <w:noProof w:val="0"/>
          <w:color w:val="000000" w:themeColor="text1" w:themeTint="FF" w:themeShade="FF"/>
          <w:sz w:val="24"/>
          <w:szCs w:val="24"/>
          <w:lang w:val="en-GB"/>
        </w:rPr>
        <w:t>, 20(4), pp. 477–492.</w:t>
      </w:r>
    </w:p>
    <w:p xmlns:wp14="http://schemas.microsoft.com/office/word/2010/wordml" w:rsidP="416CF0D1" wp14:paraId="13B71F4A" wp14:textId="4255DBED">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Penn, H. (2011) </w:t>
      </w:r>
      <w:r w:rsidRPr="416CF0D1" w:rsidR="77E30664">
        <w:rPr>
          <w:rFonts w:ascii="Aptos" w:hAnsi="Aptos" w:eastAsia="Aptos" w:cs="Aptos"/>
          <w:i w:val="1"/>
          <w:iCs w:val="1"/>
          <w:noProof w:val="0"/>
          <w:color w:val="000000" w:themeColor="text1" w:themeTint="FF" w:themeShade="FF"/>
          <w:sz w:val="24"/>
          <w:szCs w:val="24"/>
          <w:lang w:val="en-GB"/>
        </w:rPr>
        <w:t>Quality in Early Childhood Services: An International Perspective</w:t>
      </w:r>
      <w:r w:rsidRPr="416CF0D1" w:rsidR="77E30664">
        <w:rPr>
          <w:rFonts w:ascii="Aptos" w:hAnsi="Aptos" w:eastAsia="Aptos" w:cs="Aptos"/>
          <w:noProof w:val="0"/>
          <w:color w:val="000000" w:themeColor="text1" w:themeTint="FF" w:themeShade="FF"/>
          <w:sz w:val="24"/>
          <w:szCs w:val="24"/>
          <w:lang w:val="en-GB"/>
        </w:rPr>
        <w:t>. Maidenhead: Open University Press.</w:t>
      </w:r>
    </w:p>
    <w:p xmlns:wp14="http://schemas.microsoft.com/office/word/2010/wordml" w:rsidP="416CF0D1" wp14:paraId="017E3B40" wp14:textId="04C51774">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Sallis, E. (2014) </w:t>
      </w:r>
      <w:r w:rsidRPr="416CF0D1" w:rsidR="77E30664">
        <w:rPr>
          <w:rFonts w:ascii="Aptos" w:hAnsi="Aptos" w:eastAsia="Aptos" w:cs="Aptos"/>
          <w:i w:val="1"/>
          <w:iCs w:val="1"/>
          <w:noProof w:val="0"/>
          <w:color w:val="000000" w:themeColor="text1" w:themeTint="FF" w:themeShade="FF"/>
          <w:sz w:val="24"/>
          <w:szCs w:val="24"/>
          <w:lang w:val="en-GB"/>
        </w:rPr>
        <w:t>Total Quality Management in Education</w:t>
      </w:r>
      <w:r w:rsidRPr="416CF0D1" w:rsidR="77E30664">
        <w:rPr>
          <w:rFonts w:ascii="Aptos" w:hAnsi="Aptos" w:eastAsia="Aptos" w:cs="Aptos"/>
          <w:noProof w:val="0"/>
          <w:color w:val="000000" w:themeColor="text1" w:themeTint="FF" w:themeShade="FF"/>
          <w:sz w:val="24"/>
          <w:szCs w:val="24"/>
          <w:lang w:val="en-GB"/>
        </w:rPr>
        <w:t>. 4th edn. London: Routledge.</w:t>
      </w:r>
    </w:p>
    <w:p xmlns:wp14="http://schemas.microsoft.com/office/word/2010/wordml" w:rsidP="416CF0D1" wp14:paraId="1C282966" wp14:textId="7DBDE76C">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Siraj‑Blatchford, I., Sylva, K., Muttock, S., Gilden, R. and Bell, D. (2002) </w:t>
      </w:r>
      <w:r w:rsidRPr="416CF0D1" w:rsidR="77E30664">
        <w:rPr>
          <w:rFonts w:ascii="Aptos" w:hAnsi="Aptos" w:eastAsia="Aptos" w:cs="Aptos"/>
          <w:i w:val="1"/>
          <w:iCs w:val="1"/>
          <w:noProof w:val="0"/>
          <w:color w:val="000000" w:themeColor="text1" w:themeTint="FF" w:themeShade="FF"/>
          <w:sz w:val="24"/>
          <w:szCs w:val="24"/>
          <w:lang w:val="en-GB"/>
        </w:rPr>
        <w:t>Researching Effective Pedagogy in the Early Years (REPEY)</w:t>
      </w:r>
      <w:r w:rsidRPr="416CF0D1" w:rsidR="77E30664">
        <w:rPr>
          <w:rFonts w:ascii="Aptos" w:hAnsi="Aptos" w:eastAsia="Aptos" w:cs="Aptos"/>
          <w:noProof w:val="0"/>
          <w:color w:val="000000" w:themeColor="text1" w:themeTint="FF" w:themeShade="FF"/>
          <w:sz w:val="24"/>
          <w:szCs w:val="24"/>
          <w:lang w:val="en-GB"/>
        </w:rPr>
        <w:t xml:space="preserve">. Available at: </w:t>
      </w:r>
      <w:hyperlink r:id="Rb5eb5e81d9d14fe6">
        <w:r w:rsidRPr="416CF0D1" w:rsidR="77E30664">
          <w:rPr>
            <w:rStyle w:val="Hyperlink"/>
            <w:rFonts w:ascii="Aptos" w:hAnsi="Aptos" w:eastAsia="Aptos" w:cs="Aptos"/>
            <w:noProof w:val="0"/>
            <w:sz w:val="24"/>
            <w:szCs w:val="24"/>
            <w:lang w:val="en-GB"/>
          </w:rPr>
          <w:t>https://dera.ioe.ac.uk/4659/</w:t>
        </w:r>
      </w:hyperlink>
      <w:r w:rsidRPr="416CF0D1" w:rsidR="77E30664">
        <w:rPr>
          <w:rFonts w:ascii="Aptos" w:hAnsi="Aptos" w:eastAsia="Aptos" w:cs="Aptos"/>
          <w:noProof w:val="0"/>
          <w:color w:val="000000" w:themeColor="text1" w:themeTint="FF" w:themeShade="FF"/>
          <w:sz w:val="24"/>
          <w:szCs w:val="24"/>
          <w:lang w:val="en-GB"/>
        </w:rPr>
        <w:t xml:space="preserve"> (Accessed: 4 April 2026).</w:t>
      </w:r>
    </w:p>
    <w:p xmlns:wp14="http://schemas.microsoft.com/office/word/2010/wordml" w:rsidP="416CF0D1" wp14:paraId="794A38A4" wp14:textId="4E0A4CB8">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Sylva, K., Melhuish, E., Sammons, P., Siraj, I. and Taggart, B. (2010) </w:t>
      </w:r>
      <w:r w:rsidRPr="416CF0D1" w:rsidR="77E30664">
        <w:rPr>
          <w:rFonts w:ascii="Aptos" w:hAnsi="Aptos" w:eastAsia="Aptos" w:cs="Aptos"/>
          <w:i w:val="1"/>
          <w:iCs w:val="1"/>
          <w:noProof w:val="0"/>
          <w:color w:val="000000" w:themeColor="text1" w:themeTint="FF" w:themeShade="FF"/>
          <w:sz w:val="24"/>
          <w:szCs w:val="24"/>
          <w:lang w:val="en-GB"/>
        </w:rPr>
        <w:t>Early Childhood Matters: Evidence from the Effective Pre‑School and Primary Education Project</w:t>
      </w:r>
      <w:r w:rsidRPr="416CF0D1" w:rsidR="77E30664">
        <w:rPr>
          <w:rFonts w:ascii="Aptos" w:hAnsi="Aptos" w:eastAsia="Aptos" w:cs="Aptos"/>
          <w:noProof w:val="0"/>
          <w:color w:val="000000" w:themeColor="text1" w:themeTint="FF" w:themeShade="FF"/>
          <w:sz w:val="24"/>
          <w:szCs w:val="24"/>
          <w:lang w:val="en-GB"/>
        </w:rPr>
        <w:t>. London: Routledge.</w:t>
      </w:r>
    </w:p>
    <w:p xmlns:wp14="http://schemas.microsoft.com/office/word/2010/wordml" w:rsidP="416CF0D1" wp14:paraId="4F86CB4E" wp14:textId="51C1796B">
      <w:pPr>
        <w:bidi w:val="0"/>
        <w:spacing w:before="240" w:beforeAutospacing="off" w:after="240" w:afterAutospacing="off"/>
        <w:jc w:val="left"/>
      </w:pPr>
      <w:r w:rsidRPr="416CF0D1" w:rsidR="77E30664">
        <w:rPr>
          <w:rFonts w:ascii="Aptos" w:hAnsi="Aptos" w:eastAsia="Aptos" w:cs="Aptos"/>
          <w:noProof w:val="0"/>
          <w:color w:val="000000" w:themeColor="text1" w:themeTint="FF" w:themeShade="FF"/>
          <w:sz w:val="24"/>
          <w:szCs w:val="24"/>
          <w:lang w:val="en-GB"/>
        </w:rPr>
        <w:t xml:space="preserve">UNICEF (2019) </w:t>
      </w:r>
      <w:r w:rsidRPr="416CF0D1" w:rsidR="77E30664">
        <w:rPr>
          <w:rFonts w:ascii="Aptos" w:hAnsi="Aptos" w:eastAsia="Aptos" w:cs="Aptos"/>
          <w:i w:val="1"/>
          <w:iCs w:val="1"/>
          <w:noProof w:val="0"/>
          <w:color w:val="000000" w:themeColor="text1" w:themeTint="FF" w:themeShade="FF"/>
          <w:sz w:val="24"/>
          <w:szCs w:val="24"/>
          <w:lang w:val="en-GB"/>
        </w:rPr>
        <w:t>A World Ready to Learn: Prioritizing Quality Early Childhood Education</w:t>
      </w:r>
      <w:r w:rsidRPr="416CF0D1" w:rsidR="77E30664">
        <w:rPr>
          <w:rFonts w:ascii="Aptos" w:hAnsi="Aptos" w:eastAsia="Aptos" w:cs="Aptos"/>
          <w:noProof w:val="0"/>
          <w:color w:val="000000" w:themeColor="text1" w:themeTint="FF" w:themeShade="FF"/>
          <w:sz w:val="24"/>
          <w:szCs w:val="24"/>
          <w:lang w:val="en-GB"/>
        </w:rPr>
        <w:t xml:space="preserve">. Available at: </w:t>
      </w:r>
      <w:hyperlink r:id="R59cc021b63e440af">
        <w:r w:rsidRPr="416CF0D1" w:rsidR="77E30664">
          <w:rPr>
            <w:rStyle w:val="Hyperlink"/>
            <w:rFonts w:ascii="Aptos" w:hAnsi="Aptos" w:eastAsia="Aptos" w:cs="Aptos"/>
            <w:noProof w:val="0"/>
            <w:sz w:val="24"/>
            <w:szCs w:val="24"/>
            <w:lang w:val="en-GB"/>
          </w:rPr>
          <w:t>https://www.unicef.org/reports/world-ready-to-learn-2019</w:t>
        </w:r>
      </w:hyperlink>
      <w:r w:rsidRPr="416CF0D1" w:rsidR="77E30664">
        <w:rPr>
          <w:rFonts w:ascii="Aptos" w:hAnsi="Aptos" w:eastAsia="Aptos" w:cs="Aptos"/>
          <w:noProof w:val="0"/>
          <w:color w:val="000000" w:themeColor="text1" w:themeTint="FF" w:themeShade="FF"/>
          <w:sz w:val="24"/>
          <w:szCs w:val="24"/>
          <w:lang w:val="en-GB"/>
        </w:rPr>
        <w:t xml:space="preserve"> (Accessed: 4 April 2026).</w:t>
      </w:r>
    </w:p>
    <w:p xmlns:wp14="http://schemas.microsoft.com/office/word/2010/wordml" w:rsidP="416CF0D1" wp14:paraId="6EC0EAE6" wp14:textId="49A4C775">
      <w:pPr>
        <w:bidi w:val="0"/>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xmlns:wp14="http://schemas.microsoft.com/office/word/2010/wordml" w:rsidP="4257913C" wp14:paraId="3F405EF3" wp14:textId="6EC762F9">
      <w:pPr>
        <w:pStyle w:val="Normal"/>
        <w:bidi w:val="0"/>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xmlns:wp14="http://schemas.microsoft.com/office/word/2010/wordml" w:rsidP="4257913C" wp14:paraId="39A86497" wp14:textId="146EC338">
      <w:pPr>
        <w:pStyle w:val="Normal"/>
        <w:bidi w:val="0"/>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xmlns:wp14="http://schemas.microsoft.com/office/word/2010/wordml" w:rsidP="4257913C" wp14:paraId="0F8F64F5" wp14:textId="5DC9953D">
      <w:pPr>
        <w:pStyle w:val="Normal"/>
        <w:bidi w:val="0"/>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xmlns:wp14="http://schemas.microsoft.com/office/word/2010/wordml" w:rsidP="4257913C" wp14:paraId="4EB4D2E1" wp14:textId="1056D396">
      <w:pPr>
        <w:pStyle w:val="Normal"/>
        <w:suppressLineNumbers w:val="0"/>
        <w:bidi w:val="0"/>
        <w:spacing w:before="240" w:beforeAutospacing="off" w:after="240" w:afterAutospacing="off" w:line="279" w:lineRule="auto"/>
        <w:ind w:left="0" w:right="0"/>
        <w:jc w:val="left"/>
        <w:rPr>
          <w:rFonts w:ascii="Aptos" w:hAnsi="Aptos" w:eastAsia="Aptos" w:cs="Aptos"/>
          <w:noProof w:val="0"/>
          <w:color w:val="000000" w:themeColor="text1" w:themeTint="FF" w:themeShade="FF"/>
          <w:sz w:val="24"/>
          <w:szCs w:val="24"/>
          <w:lang w:val="en-GB"/>
        </w:rPr>
      </w:pPr>
    </w:p>
    <w:p xmlns:wp14="http://schemas.microsoft.com/office/word/2010/wordml" w:rsidP="4257913C" wp14:paraId="7967355F" wp14:textId="00B0BA06">
      <w:pPr>
        <w:pStyle w:val="Normal"/>
        <w:suppressLineNumbers w:val="0"/>
        <w:bidi w:val="0"/>
        <w:spacing w:before="240" w:beforeAutospacing="off" w:after="240" w:afterAutospacing="off" w:line="279" w:lineRule="auto"/>
        <w:ind w:left="0" w:right="0"/>
        <w:jc w:val="left"/>
      </w:pPr>
      <w:r w:rsidR="20382AC3">
        <w:drawing>
          <wp:inline xmlns:wp14="http://schemas.microsoft.com/office/word/2010/wordprocessingDrawing" wp14:editId="51C2C7DE" wp14:anchorId="37E356B4">
            <wp:extent cx="9525" cy="9525"/>
            <wp:effectExtent l="0" t="0" r="0" b="0"/>
            <wp:docPr id="6653267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5326791" name="Picture 665326791"/>
                    <pic:cNvPicPr/>
                  </pic:nvPicPr>
                  <pic:blipFill>
                    <a:blip xmlns:r="http://schemas.openxmlformats.org/officeDocument/2006/relationships" r:embed="rId1573264996">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xmlns:wp14="http://schemas.microsoft.com/office/word/2010/wordml" w:rsidP="4257913C" wp14:paraId="616FF8B8" wp14:textId="069BAD72">
      <w:pPr>
        <w:bidi w:val="0"/>
        <w:spacing w:before="0" w:beforeAutospacing="off" w:after="0" w:afterAutospacing="off"/>
        <w:jc w:val="left"/>
      </w:pPr>
      <w:r w:rsidR="20382AC3">
        <w:drawing>
          <wp:inline xmlns:wp14="http://schemas.microsoft.com/office/word/2010/wordprocessingDrawing" wp14:editId="6ED3C208" wp14:anchorId="2A54EC89">
            <wp:extent cx="9525" cy="9525"/>
            <wp:effectExtent l="0" t="0" r="0" b="0"/>
            <wp:docPr id="10555868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5586839" name="Picture 1055586839"/>
                    <pic:cNvPicPr/>
                  </pic:nvPicPr>
                  <pic:blipFill>
                    <a:blip xmlns:r="http://schemas.openxmlformats.org/officeDocument/2006/relationships" r:embed="rId1523638592">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xmlns:wp14="http://schemas.microsoft.com/office/word/2010/wordml" w:rsidP="4257913C" wp14:paraId="505AB0C2" wp14:textId="23B52CE7">
      <w:pPr>
        <w:pStyle w:val="Normal"/>
        <w:suppressLineNumbers w:val="0"/>
        <w:bidi w:val="0"/>
        <w:spacing w:before="240" w:beforeAutospacing="off" w:after="240" w:afterAutospacing="off" w:line="279" w:lineRule="auto"/>
        <w:ind w:left="0" w:right="0"/>
        <w:jc w:val="left"/>
        <w:rPr>
          <w:rFonts w:ascii="Aptos" w:hAnsi="Aptos" w:eastAsia="Aptos" w:cs="Aptos"/>
          <w:noProof w:val="0"/>
          <w:color w:val="000000" w:themeColor="text1" w:themeTint="FF" w:themeShade="FF"/>
          <w:sz w:val="24"/>
          <w:szCs w:val="24"/>
          <w:lang w:val="en-GB"/>
        </w:rPr>
      </w:pPr>
    </w:p>
    <w:p xmlns:wp14="http://schemas.microsoft.com/office/word/2010/wordml" wp14:paraId="5E5787A5" wp14:textId="1EEF26A9"/>
    <w:sectPr>
      <w:pgSz w:w="11906" w:h="16838" w:orient="portrait"/>
      <w:pgMar w:top="1440" w:right="1440" w:bottom="1440" w:left="1440" w:header="720" w:footer="720" w:gutter="0"/>
      <w:cols w:space="720"/>
      <w:docGrid w:linePitch="360"/>
      <w:headerReference w:type="default" r:id="R7e472a4e73e84992"/>
      <w:footerReference w:type="default" r:id="R9bb4d3ffce664b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57913C" w:rsidTr="4257913C" w14:paraId="395EF636">
      <w:trPr>
        <w:trHeight w:val="300"/>
      </w:trPr>
      <w:tc>
        <w:tcPr>
          <w:tcW w:w="3005" w:type="dxa"/>
          <w:tcMar/>
        </w:tcPr>
        <w:p w:rsidR="4257913C" w:rsidP="4257913C" w:rsidRDefault="4257913C" w14:paraId="6C8B6AA8" w14:textId="4E8A54CC">
          <w:pPr>
            <w:pStyle w:val="Header"/>
            <w:bidi w:val="0"/>
            <w:ind w:left="-115"/>
            <w:jc w:val="left"/>
          </w:pPr>
        </w:p>
      </w:tc>
      <w:tc>
        <w:tcPr>
          <w:tcW w:w="3005" w:type="dxa"/>
          <w:tcMar/>
        </w:tcPr>
        <w:p w:rsidR="4257913C" w:rsidP="4257913C" w:rsidRDefault="4257913C" w14:paraId="451F9948" w14:textId="204477AA">
          <w:pPr>
            <w:pStyle w:val="Header"/>
            <w:bidi w:val="0"/>
            <w:jc w:val="center"/>
          </w:pPr>
        </w:p>
      </w:tc>
      <w:tc>
        <w:tcPr>
          <w:tcW w:w="3005" w:type="dxa"/>
          <w:tcMar/>
        </w:tcPr>
        <w:p w:rsidR="4257913C" w:rsidP="4257913C" w:rsidRDefault="4257913C" w14:paraId="713D62AC" w14:textId="3FAC730D">
          <w:pPr>
            <w:pStyle w:val="Header"/>
            <w:bidi w:val="0"/>
            <w:ind w:right="-115"/>
            <w:jc w:val="right"/>
          </w:pPr>
        </w:p>
      </w:tc>
    </w:tr>
  </w:tbl>
  <w:p w:rsidR="4257913C" w:rsidP="4257913C" w:rsidRDefault="4257913C" w14:paraId="42E5460C" w14:textId="37C4E8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57913C" w:rsidTr="416CF0D1" w14:paraId="378DB302">
      <w:trPr>
        <w:trHeight w:val="300"/>
      </w:trPr>
      <w:tc>
        <w:tcPr>
          <w:tcW w:w="3005" w:type="dxa"/>
          <w:tcMar/>
        </w:tcPr>
        <w:p w:rsidR="4257913C" w:rsidP="4257913C" w:rsidRDefault="4257913C" w14:paraId="685AD9DB" w14:textId="656A95F4">
          <w:pPr>
            <w:pStyle w:val="Header"/>
            <w:bidi w:val="0"/>
            <w:ind w:left="-115"/>
            <w:jc w:val="left"/>
          </w:pPr>
          <w:r w:rsidR="4257913C">
            <w:rPr/>
            <w:t>2405438</w:t>
          </w:r>
        </w:p>
      </w:tc>
      <w:tc>
        <w:tcPr>
          <w:tcW w:w="3005" w:type="dxa"/>
          <w:tcMar/>
        </w:tcPr>
        <w:p w:rsidR="4257913C" w:rsidP="4257913C" w:rsidRDefault="4257913C" w14:paraId="391EA374" w14:textId="4254AA31">
          <w:pPr>
            <w:pStyle w:val="Header"/>
            <w:bidi w:val="0"/>
            <w:jc w:val="center"/>
          </w:pPr>
          <w:r w:rsidR="4257913C">
            <w:rPr/>
            <w:t>ECEY6011</w:t>
          </w:r>
        </w:p>
      </w:tc>
      <w:tc>
        <w:tcPr>
          <w:tcW w:w="3005" w:type="dxa"/>
          <w:tcMar/>
        </w:tcPr>
        <w:p w:rsidR="4257913C" w:rsidP="4257913C" w:rsidRDefault="4257913C" w14:paraId="57324428" w14:textId="5A7E7096">
          <w:pPr>
            <w:pStyle w:val="Header"/>
            <w:bidi w:val="0"/>
            <w:ind w:right="-115"/>
            <w:jc w:val="right"/>
          </w:pPr>
          <w:r w:rsidR="416CF0D1">
            <w:rPr/>
            <w:t xml:space="preserve">Word Count:  </w:t>
          </w:r>
          <w:r w:rsidR="416CF0D1">
            <w:rPr/>
            <w:t>2,060</w:t>
          </w:r>
          <w:r w:rsidR="416CF0D1">
            <w:rPr/>
            <w:t xml:space="preserve">  </w:t>
          </w:r>
        </w:p>
      </w:tc>
    </w:tr>
  </w:tbl>
  <w:p w:rsidR="4257913C" w:rsidP="4257913C" w:rsidRDefault="4257913C" w14:paraId="31162EDB" w14:textId="2E694F0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03766A"/>
    <w:rsid w:val="00226C6C"/>
    <w:rsid w:val="05504AB2"/>
    <w:rsid w:val="0A00F38C"/>
    <w:rsid w:val="0B29772D"/>
    <w:rsid w:val="0B718E7E"/>
    <w:rsid w:val="0B962AC6"/>
    <w:rsid w:val="14D47E59"/>
    <w:rsid w:val="1A261AA4"/>
    <w:rsid w:val="1C5B3BFD"/>
    <w:rsid w:val="1D6EE21B"/>
    <w:rsid w:val="20382AC3"/>
    <w:rsid w:val="27D9EB7D"/>
    <w:rsid w:val="2829FE63"/>
    <w:rsid w:val="29409681"/>
    <w:rsid w:val="2A5A45F3"/>
    <w:rsid w:val="2AF7726D"/>
    <w:rsid w:val="2B42725D"/>
    <w:rsid w:val="2B81AFA2"/>
    <w:rsid w:val="2DE7463B"/>
    <w:rsid w:val="30DD7645"/>
    <w:rsid w:val="3181A2FF"/>
    <w:rsid w:val="33AB3ADF"/>
    <w:rsid w:val="389062BC"/>
    <w:rsid w:val="3A3E5F3C"/>
    <w:rsid w:val="3ADB56A9"/>
    <w:rsid w:val="3C6042CA"/>
    <w:rsid w:val="3DB9E23B"/>
    <w:rsid w:val="407CC199"/>
    <w:rsid w:val="416CF0D1"/>
    <w:rsid w:val="4257913C"/>
    <w:rsid w:val="429C8657"/>
    <w:rsid w:val="479AF218"/>
    <w:rsid w:val="4BC1BE7B"/>
    <w:rsid w:val="4C16B533"/>
    <w:rsid w:val="51716FA5"/>
    <w:rsid w:val="5DA95783"/>
    <w:rsid w:val="600EFECD"/>
    <w:rsid w:val="6403766A"/>
    <w:rsid w:val="6495E38F"/>
    <w:rsid w:val="6576A9CB"/>
    <w:rsid w:val="6647A651"/>
    <w:rsid w:val="69B45E68"/>
    <w:rsid w:val="6F3CEB29"/>
    <w:rsid w:val="71C9F1B2"/>
    <w:rsid w:val="7651C09B"/>
    <w:rsid w:val="77E30664"/>
    <w:rsid w:val="7D0D3654"/>
    <w:rsid w:val="7D830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3766A"/>
  <w15:chartTrackingRefBased/>
  <w15:docId w15:val="{BC9A745A-DF00-42AC-A360-F36E3DF2CB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257913C"/>
    <w:pPr>
      <w:tabs>
        <w:tab w:val="center" w:leader="none" w:pos="4680"/>
        <w:tab w:val="right" w:leader="none" w:pos="9360"/>
      </w:tabs>
      <w:spacing w:after="0" w:line="240" w:lineRule="auto"/>
    </w:pPr>
  </w:style>
  <w:style w:type="paragraph" w:styleId="Footer">
    <w:uiPriority w:val="99"/>
    <w:name w:val="footer"/>
    <w:basedOn w:val="Normal"/>
    <w:unhideWhenUsed/>
    <w:rsid w:val="4257913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16CF0D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gif" Id="rId1573264996" /><Relationship Type="http://schemas.openxmlformats.org/officeDocument/2006/relationships/image" Target="/media/image2.gif" Id="rId1523638592" /><Relationship Type="http://schemas.openxmlformats.org/officeDocument/2006/relationships/header" Target="/word/header.xml" Id="R7e472a4e73e84992" /><Relationship Type="http://schemas.openxmlformats.org/officeDocument/2006/relationships/footer" Target="/word/footer.xml" Id="R9bb4d3ffce664b02" /><Relationship Type="http://schemas.openxmlformats.org/officeDocument/2006/relationships/hyperlink" Target="https://www.gov.uk/government/publications/early-years-foundation-stage-framework--2" TargetMode="External" Id="R066f6d5cf64c49e5" /><Relationship Type="http://schemas.openxmlformats.org/officeDocument/2006/relationships/hyperlink" Target="https://ec.europa.eu/assets/eac/education/policy/strategic-framework/archive/documents/ecec-quality-framework_en.pdf" TargetMode="External" Id="R0e9f0ae37c0447c6" /><Relationship Type="http://schemas.openxmlformats.org/officeDocument/2006/relationships/hyperlink" Target="https://www.iso.org/standard/45481.html" TargetMode="External" Id="R90bb96f5c7b34ee2" /><Relationship Type="http://schemas.openxmlformats.org/officeDocument/2006/relationships/hyperlink" Target="https://www.oecd.org/education/engaging-young-children-9789264085145-en.htm" TargetMode="External" Id="Rfef0f4ea854f4064" /><Relationship Type="http://schemas.openxmlformats.org/officeDocument/2006/relationships/hyperlink" Target="https://dera.ioe.ac.uk/4659/" TargetMode="External" Id="Rb5eb5e81d9d14fe6" /><Relationship Type="http://schemas.openxmlformats.org/officeDocument/2006/relationships/hyperlink" Target="https://www.unicef.org/reports/world-ready-to-learn-2019" TargetMode="External" Id="R59cc021b63e440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Pitt (2405438)</dc:creator>
  <keywords/>
  <dc:description/>
  <lastModifiedBy>Lucy Pitt (2405438)</lastModifiedBy>
  <revision>3</revision>
  <dcterms:created xsi:type="dcterms:W3CDTF">2026-04-04T08:58:41.3100069Z</dcterms:created>
  <dcterms:modified xsi:type="dcterms:W3CDTF">2026-04-04T14:40:50.1657627Z</dcterms:modified>
</coreProperties>
</file>