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584D56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43F0E">
              <w:rPr>
                <w:rFonts w:ascii="Times New Roman" w:hAnsi="Times New Roman" w:cs="Times New Roman"/>
                <w:b/>
                <w:color w:val="auto"/>
                <w:sz w:val="48"/>
              </w:rPr>
              <w:t xml:space="preserve">Abbie Watkins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5C04AF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43F0E">
              <w:t xml:space="preserve"> </w:t>
            </w:r>
            <w:hyperlink r:id="rId11" w:history="1">
              <w:r w:rsidR="00343F0E" w:rsidRPr="0070569C">
                <w:rPr>
                  <w:rStyle w:val="Hyperlink"/>
                  <w:rFonts w:ascii="Times New Roman" w:hAnsi="Times New Roman" w:cs="Times New Roman"/>
                  <w:b/>
                  <w:sz w:val="48"/>
                </w:rPr>
                <w:t>2116720@student.uwtsd.ac.uk</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402C126" w14:textId="6CD123D1" w:rsidR="00343F0E" w:rsidRPr="005D3F07" w:rsidRDefault="00343F0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2116720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4B720131" w14:textId="3F45B839" w:rsidR="0047615E" w:rsidRDefault="00B240A1" w:rsidP="00FF7EBB">
            <w:pPr>
              <w:jc w:val="both"/>
              <w:rPr>
                <w:sz w:val="24"/>
                <w:szCs w:val="24"/>
              </w:rPr>
            </w:pPr>
            <w:r w:rsidRPr="00B240A1">
              <w:rPr>
                <w:sz w:val="24"/>
                <w:szCs w:val="24"/>
              </w:rPr>
              <w:t>Although I work with children, I must understand adult safeguarding, as Welsh law provides the legal framework guiding social work practice (Thompson, 20215).</w:t>
            </w:r>
            <w:r>
              <w:rPr>
                <w:sz w:val="24"/>
                <w:szCs w:val="24"/>
              </w:rPr>
              <w:t xml:space="preserve"> </w:t>
            </w:r>
            <w:r w:rsidR="00A134FB">
              <w:rPr>
                <w:sz w:val="24"/>
                <w:szCs w:val="24"/>
              </w:rPr>
              <w:t xml:space="preserve">Part 7 of </w:t>
            </w:r>
            <w:r w:rsidR="007A606A">
              <w:rPr>
                <w:sz w:val="24"/>
                <w:szCs w:val="24"/>
              </w:rPr>
              <w:t>the Social</w:t>
            </w:r>
            <w:r w:rsidR="00125670">
              <w:rPr>
                <w:sz w:val="24"/>
                <w:szCs w:val="24"/>
              </w:rPr>
              <w:t xml:space="preserve"> Services and Well-being (Wales) Act 2014 </w:t>
            </w:r>
            <w:r w:rsidR="00EA07AC">
              <w:rPr>
                <w:sz w:val="24"/>
                <w:szCs w:val="24"/>
              </w:rPr>
              <w:t xml:space="preserve">(SSWBA) </w:t>
            </w:r>
            <w:r w:rsidR="00125670">
              <w:rPr>
                <w:sz w:val="24"/>
                <w:szCs w:val="24"/>
              </w:rPr>
              <w:t>places a duty on Local Authorities to protect adults and children from abuse and neglec</w:t>
            </w:r>
            <w:r w:rsidR="009A19B0">
              <w:rPr>
                <w:sz w:val="24"/>
                <w:szCs w:val="24"/>
              </w:rPr>
              <w:t>t (Welsh Government</w:t>
            </w:r>
            <w:r w:rsidR="00125670">
              <w:rPr>
                <w:sz w:val="24"/>
                <w:szCs w:val="24"/>
              </w:rPr>
              <w:t>, 2014).</w:t>
            </w:r>
            <w:r w:rsidR="00EA07AC">
              <w:rPr>
                <w:sz w:val="24"/>
                <w:szCs w:val="24"/>
              </w:rPr>
              <w:t xml:space="preserve"> </w:t>
            </w:r>
            <w:r w:rsidR="00EA07AC" w:rsidRPr="00EA07AC">
              <w:rPr>
                <w:sz w:val="24"/>
                <w:szCs w:val="24"/>
              </w:rPr>
              <w:t>The SSWBA 14</w:t>
            </w:r>
            <w:r w:rsidR="00EA07AC">
              <w:rPr>
                <w:b/>
                <w:bCs/>
                <w:sz w:val="24"/>
                <w:szCs w:val="24"/>
              </w:rPr>
              <w:t xml:space="preserve"> </w:t>
            </w:r>
            <w:r w:rsidR="00EA07AC" w:rsidRPr="00EA07AC">
              <w:rPr>
                <w:sz w:val="24"/>
                <w:szCs w:val="24"/>
              </w:rPr>
              <w:t>replaced previous legislation in Wales and sets out a distinct legal framework for adult safeguarding. In contrast,</w:t>
            </w:r>
            <w:r w:rsidR="00EA07AC">
              <w:rPr>
                <w:sz w:val="24"/>
                <w:szCs w:val="24"/>
              </w:rPr>
              <w:t xml:space="preserve"> England</w:t>
            </w:r>
            <w:r w:rsidR="00EA07AC" w:rsidRPr="00EA07AC">
              <w:rPr>
                <w:sz w:val="24"/>
                <w:szCs w:val="24"/>
              </w:rPr>
              <w:t xml:space="preserve"> continues to use the Care Act 2014, highlighting differences in devolved law between the two nations.</w:t>
            </w:r>
            <w:r w:rsidR="0047615E">
              <w:rPr>
                <w:sz w:val="24"/>
                <w:szCs w:val="24"/>
              </w:rPr>
              <w:t xml:space="preserve"> </w:t>
            </w:r>
            <w:r w:rsidR="0047615E" w:rsidRPr="0047615E">
              <w:rPr>
                <w:sz w:val="24"/>
                <w:szCs w:val="24"/>
              </w:rPr>
              <w:t>The Human Rights Act 1998 has influenced the development of the</w:t>
            </w:r>
            <w:r w:rsidR="0047615E">
              <w:rPr>
                <w:sz w:val="24"/>
                <w:szCs w:val="24"/>
              </w:rPr>
              <w:t xml:space="preserve"> SSWBA 14 as </w:t>
            </w:r>
            <w:r w:rsidR="0047615E" w:rsidRPr="0047615E">
              <w:rPr>
                <w:sz w:val="24"/>
                <w:szCs w:val="24"/>
              </w:rPr>
              <w:t>both focus on safeguarding and promoting individuals' rights, particularly for vulnerable adults and those with care needs.</w:t>
            </w:r>
          </w:p>
          <w:p w14:paraId="67885901" w14:textId="77777777" w:rsidR="00EA07AC" w:rsidRDefault="00EA07AC" w:rsidP="00FF7EBB">
            <w:pPr>
              <w:jc w:val="both"/>
              <w:rPr>
                <w:sz w:val="24"/>
                <w:szCs w:val="24"/>
              </w:rPr>
            </w:pPr>
          </w:p>
          <w:p w14:paraId="33A220F4" w14:textId="22439614" w:rsidR="00960EA0" w:rsidRDefault="00B240A1" w:rsidP="00FF7EBB">
            <w:pPr>
              <w:jc w:val="both"/>
              <w:rPr>
                <w:sz w:val="24"/>
                <w:szCs w:val="24"/>
              </w:rPr>
            </w:pPr>
            <w:r>
              <w:rPr>
                <w:sz w:val="24"/>
                <w:szCs w:val="24"/>
              </w:rPr>
              <w:t>An adult at risk is defined as someone who is experiencing or is at risk of abuse or neglect, has care and support needs and because of those needs, is unable to protect themselves</w:t>
            </w:r>
            <w:r w:rsidR="00A134FB">
              <w:rPr>
                <w:sz w:val="24"/>
                <w:szCs w:val="24"/>
              </w:rPr>
              <w:t xml:space="preserve"> (Safeguarding Wales, 2025).</w:t>
            </w:r>
            <w:r w:rsidR="001B5E10">
              <w:rPr>
                <w:sz w:val="24"/>
                <w:szCs w:val="24"/>
              </w:rPr>
              <w:t xml:space="preserve"> </w:t>
            </w:r>
            <w:r w:rsidR="001B5E10" w:rsidRPr="001B5E10">
              <w:rPr>
                <w:sz w:val="24"/>
                <w:szCs w:val="24"/>
              </w:rPr>
              <w:t>Abuse and neglect can include physical, sexual, emotional, financial, self-neglect, domestic abuse, and modern slavery (Welsh Government, 2018). Indicators may be physical (e.g. bruises, untreated injuries) or emotional (e.g. withdrawal, low self-esteem) (Safeguarding Wales, 2023).</w:t>
            </w:r>
            <w:r w:rsidR="00960EA0">
              <w:rPr>
                <w:sz w:val="24"/>
                <w:szCs w:val="24"/>
              </w:rPr>
              <w:t xml:space="preserve"> </w:t>
            </w:r>
          </w:p>
          <w:p w14:paraId="6F19A4D8" w14:textId="77777777" w:rsidR="00567E46" w:rsidRDefault="00567E46" w:rsidP="00FF7EBB">
            <w:pPr>
              <w:jc w:val="both"/>
              <w:rPr>
                <w:sz w:val="24"/>
                <w:szCs w:val="24"/>
              </w:rPr>
            </w:pPr>
          </w:p>
          <w:p w14:paraId="383F2B19" w14:textId="160B7C2C" w:rsidR="00567E46" w:rsidRDefault="00567E46" w:rsidP="00FF7EBB">
            <w:pPr>
              <w:jc w:val="both"/>
              <w:rPr>
                <w:sz w:val="24"/>
                <w:szCs w:val="24"/>
              </w:rPr>
            </w:pPr>
            <w:r w:rsidRPr="00567E46">
              <w:rPr>
                <w:sz w:val="24"/>
                <w:szCs w:val="24"/>
              </w:rPr>
              <w:t>Section 128 of the SSWBA places a duty on all relevant partners to report an adult at risk (Safeguarding Wales, 2025). Local Authorities are then required to make enquiries if there is reasonable cause to suspect an adult is at risk of harm. While the SSWBA does not specify a statutory timeframe, practice guidance stresses that these enquiries should be prompt. The possible outcomes of Section 126 enquiries include: immediate protection, the adult not being at risk but having care and support needs, the adult being at risk and requiring protective action, or no risk and no unmet care and support needs (SSWBA, 2014). A core principle of the Act is determining the adult's preferred outcomes for the safeguarding intervention. This requires a person-centred, multi-agency approach, reflecting the fundamental values of the SSWBA 2014: enabling voice and control, prevention, wellbeing, and co-production (Social Care Wales, 2017).</w:t>
            </w:r>
          </w:p>
          <w:p w14:paraId="7AF25C60" w14:textId="77777777" w:rsidR="00EC32EA" w:rsidRDefault="00EC32EA" w:rsidP="00FF7EBB">
            <w:pPr>
              <w:jc w:val="both"/>
              <w:rPr>
                <w:sz w:val="24"/>
                <w:szCs w:val="24"/>
              </w:rPr>
            </w:pPr>
          </w:p>
          <w:p w14:paraId="600FD7B0" w14:textId="5D772779" w:rsidR="004F2237" w:rsidRPr="004F2237" w:rsidRDefault="004F2237" w:rsidP="00EC32EA">
            <w:pPr>
              <w:jc w:val="both"/>
              <w:rPr>
                <w:sz w:val="24"/>
                <w:szCs w:val="24"/>
              </w:rPr>
            </w:pPr>
            <w:r w:rsidRPr="004F2237">
              <w:rPr>
                <w:sz w:val="24"/>
                <w:szCs w:val="24"/>
              </w:rPr>
              <w:lastRenderedPageBreak/>
              <w:t xml:space="preserve">There are several national and local policies and procedures that </w:t>
            </w:r>
            <w:r>
              <w:rPr>
                <w:sz w:val="24"/>
                <w:szCs w:val="24"/>
              </w:rPr>
              <w:t xml:space="preserve">support and </w:t>
            </w:r>
            <w:r w:rsidRPr="004F2237">
              <w:rPr>
                <w:sz w:val="24"/>
                <w:szCs w:val="24"/>
              </w:rPr>
              <w:t>guide practitioners in protecting adults</w:t>
            </w:r>
            <w:r>
              <w:rPr>
                <w:sz w:val="24"/>
                <w:szCs w:val="24"/>
              </w:rPr>
              <w:t xml:space="preserve">. </w:t>
            </w:r>
            <w:r w:rsidRPr="004F2237">
              <w:rPr>
                <w:sz w:val="24"/>
                <w:szCs w:val="24"/>
              </w:rPr>
              <w:t>For example, the XX Safeguarding Board has policies such as the Modern-Day Slavery Referral &amp; Human Trafficking Pathway, Financial Abuse Guidance, and Lived Experience of the Adult Guidance</w:t>
            </w:r>
            <w:r>
              <w:rPr>
                <w:sz w:val="24"/>
                <w:szCs w:val="24"/>
              </w:rPr>
              <w:t xml:space="preserve"> </w:t>
            </w:r>
            <w:r w:rsidRPr="004F2237">
              <w:rPr>
                <w:sz w:val="24"/>
                <w:szCs w:val="24"/>
              </w:rPr>
              <w:t>(XXXX Safeguarding Board, 2024).</w:t>
            </w:r>
            <w:r>
              <w:rPr>
                <w:sz w:val="24"/>
                <w:szCs w:val="24"/>
              </w:rPr>
              <w:t xml:space="preserve"> </w:t>
            </w:r>
            <w:r w:rsidRPr="004F2237">
              <w:rPr>
                <w:sz w:val="24"/>
                <w:szCs w:val="24"/>
              </w:rPr>
              <w:t>Additionally, within my Local Authority, there are guidelines such as the X</w:t>
            </w:r>
            <w:r w:rsidR="004637A7">
              <w:rPr>
                <w:sz w:val="24"/>
                <w:szCs w:val="24"/>
              </w:rPr>
              <w:t>X</w:t>
            </w:r>
            <w:r w:rsidRPr="004F2237">
              <w:rPr>
                <w:sz w:val="24"/>
                <w:szCs w:val="24"/>
              </w:rPr>
              <w:t xml:space="preserve"> Adult at Risk Threshold Guidance and </w:t>
            </w:r>
            <w:r>
              <w:rPr>
                <w:sz w:val="24"/>
                <w:szCs w:val="24"/>
              </w:rPr>
              <w:t>X</w:t>
            </w:r>
            <w:r w:rsidR="004637A7">
              <w:rPr>
                <w:sz w:val="24"/>
                <w:szCs w:val="24"/>
              </w:rPr>
              <w:t>X</w:t>
            </w:r>
            <w:r>
              <w:rPr>
                <w:sz w:val="24"/>
                <w:szCs w:val="24"/>
              </w:rPr>
              <w:t xml:space="preserve"> </w:t>
            </w:r>
            <w:r w:rsidRPr="004F2237">
              <w:rPr>
                <w:sz w:val="24"/>
                <w:szCs w:val="24"/>
              </w:rPr>
              <w:t>Deprivation of Liberty Safeguards Guidance.</w:t>
            </w:r>
            <w:r>
              <w:rPr>
                <w:sz w:val="24"/>
                <w:szCs w:val="24"/>
              </w:rPr>
              <w:t xml:space="preserve"> These policies and procedures are </w:t>
            </w:r>
            <w:r w:rsidR="009B24B1">
              <w:rPr>
                <w:sz w:val="24"/>
                <w:szCs w:val="24"/>
              </w:rPr>
              <w:t xml:space="preserve">created </w:t>
            </w:r>
            <w:r>
              <w:rPr>
                <w:sz w:val="24"/>
                <w:szCs w:val="24"/>
              </w:rPr>
              <w:t>based on effective practice</w:t>
            </w:r>
            <w:r w:rsidRPr="004F2237">
              <w:rPr>
                <w:sz w:val="24"/>
                <w:szCs w:val="24"/>
              </w:rPr>
              <w:t>.</w:t>
            </w:r>
          </w:p>
          <w:p w14:paraId="48C8C2C7" w14:textId="77777777" w:rsidR="00567E46" w:rsidRDefault="00567E46" w:rsidP="00FF7EBB">
            <w:pPr>
              <w:jc w:val="both"/>
              <w:rPr>
                <w:sz w:val="24"/>
                <w:szCs w:val="24"/>
              </w:rPr>
            </w:pPr>
          </w:p>
          <w:p w14:paraId="60D8C669" w14:textId="27DDAF0C" w:rsidR="00FC0334" w:rsidRDefault="00E85E83" w:rsidP="00FF7EBB">
            <w:pPr>
              <w:jc w:val="both"/>
              <w:rPr>
                <w:sz w:val="24"/>
                <w:szCs w:val="24"/>
              </w:rPr>
            </w:pPr>
            <w:r w:rsidRPr="00E85E83">
              <w:rPr>
                <w:sz w:val="24"/>
                <w:szCs w:val="24"/>
              </w:rPr>
              <w:t>In adult safeguarding, consent is required from adults, a principle rooted in autonomy. An assessment can only be conducted</w:t>
            </w:r>
            <w:r w:rsidR="009D2B85">
              <w:rPr>
                <w:sz w:val="24"/>
                <w:szCs w:val="24"/>
              </w:rPr>
              <w:t xml:space="preserve"> without consent</w:t>
            </w:r>
            <w:r w:rsidRPr="00E85E83">
              <w:rPr>
                <w:sz w:val="24"/>
                <w:szCs w:val="24"/>
              </w:rPr>
              <w:t xml:space="preserve"> if it is determined that an adult lacks the capacity to make decisions. While this may cause discomfort for practitioners, adults retain the right to make what others may perceive as unwise choices (Smith, 2021).</w:t>
            </w:r>
            <w:r>
              <w:rPr>
                <w:sz w:val="24"/>
                <w:szCs w:val="24"/>
              </w:rPr>
              <w:t xml:space="preserve"> </w:t>
            </w:r>
            <w:r w:rsidR="009B24B1">
              <w:rPr>
                <w:sz w:val="24"/>
                <w:szCs w:val="24"/>
              </w:rPr>
              <w:t xml:space="preserve">The Mental Health Act 2005 </w:t>
            </w:r>
            <w:r w:rsidR="009B24B1" w:rsidRPr="009B24B1">
              <w:rPr>
                <w:sz w:val="24"/>
                <w:szCs w:val="24"/>
              </w:rPr>
              <w:t>provides a framework for making decisions on behalf of adults who may lack the capacity to make decisions for themselves. It is guided by five key principles: presuming capacity, respecting the right to make unwise decisions, providing necessary support, acting in the person’s best interests, and ensuring decisions are the least restrictive of their rights and freedoms</w:t>
            </w:r>
            <w:r w:rsidR="009B24B1">
              <w:rPr>
                <w:sz w:val="24"/>
                <w:szCs w:val="24"/>
              </w:rPr>
              <w:t>.</w:t>
            </w:r>
          </w:p>
          <w:p w14:paraId="392B4BE4" w14:textId="77777777" w:rsidR="009B24B1" w:rsidRDefault="009B24B1" w:rsidP="00FF7EBB">
            <w:pPr>
              <w:jc w:val="both"/>
              <w:rPr>
                <w:sz w:val="24"/>
                <w:szCs w:val="24"/>
              </w:rPr>
            </w:pPr>
          </w:p>
          <w:p w14:paraId="41FC6224" w14:textId="7C8E01C1" w:rsidR="009B24B1" w:rsidRDefault="009B24B1" w:rsidP="00FF7EBB">
            <w:pPr>
              <w:jc w:val="both"/>
              <w:rPr>
                <w:sz w:val="24"/>
                <w:szCs w:val="24"/>
              </w:rPr>
            </w:pPr>
            <w:r>
              <w:rPr>
                <w:sz w:val="24"/>
                <w:szCs w:val="24"/>
              </w:rPr>
              <w:t>Word Count – 538.</w:t>
            </w: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795C6051" w14:textId="0A20D7AE" w:rsidR="00FC0334" w:rsidRDefault="00FC0334" w:rsidP="00FC0334">
            <w:pPr>
              <w:jc w:val="both"/>
              <w:rPr>
                <w:sz w:val="24"/>
                <w:szCs w:val="24"/>
              </w:rPr>
            </w:pPr>
          </w:p>
          <w:p w14:paraId="57A8D1A4" w14:textId="04D18E97" w:rsidR="009E65D8" w:rsidRDefault="009E65D8" w:rsidP="001B2BE2">
            <w:pPr>
              <w:pStyle w:val="ListParagraph"/>
              <w:numPr>
                <w:ilvl w:val="0"/>
                <w:numId w:val="5"/>
              </w:numPr>
              <w:jc w:val="both"/>
              <w:rPr>
                <w:sz w:val="24"/>
                <w:szCs w:val="24"/>
              </w:rPr>
            </w:pPr>
            <w:r w:rsidRPr="001B2BE2">
              <w:rPr>
                <w:sz w:val="24"/>
                <w:szCs w:val="24"/>
              </w:rPr>
              <w:t>The SSWBA 2014 repealed certain sections of the Children Act 1989 in Wales, but other parts of the Children Act still apply when assessing risk of significant harm. As a result, practitioners must be familiar with both pieces of legislation and know when to apply each one (Williams, 2014).</w:t>
            </w:r>
            <w:r w:rsidR="00DF1759">
              <w:rPr>
                <w:sz w:val="24"/>
                <w:szCs w:val="24"/>
              </w:rPr>
              <w:t xml:space="preserve"> Whereas in adults SSWBA14 replaced all other legislation. </w:t>
            </w:r>
          </w:p>
          <w:p w14:paraId="491CA25B" w14:textId="77777777" w:rsidR="006E46CA" w:rsidRDefault="006E46CA" w:rsidP="006E46CA">
            <w:pPr>
              <w:pStyle w:val="ListParagraph"/>
              <w:jc w:val="both"/>
              <w:rPr>
                <w:sz w:val="24"/>
                <w:szCs w:val="24"/>
              </w:rPr>
            </w:pPr>
          </w:p>
          <w:p w14:paraId="78498342" w14:textId="2DAFB0C4" w:rsidR="001B2BE2" w:rsidRDefault="001B2BE2" w:rsidP="001B2BE2">
            <w:pPr>
              <w:pStyle w:val="ListParagraph"/>
              <w:numPr>
                <w:ilvl w:val="0"/>
                <w:numId w:val="5"/>
              </w:numPr>
              <w:jc w:val="both"/>
              <w:rPr>
                <w:sz w:val="24"/>
                <w:szCs w:val="24"/>
              </w:rPr>
            </w:pPr>
            <w:r w:rsidRPr="001B2BE2">
              <w:rPr>
                <w:sz w:val="24"/>
                <w:szCs w:val="24"/>
              </w:rPr>
              <w:t xml:space="preserve">When the correct legal procedures are followed, a child can be removed from their home if there is evidence of immediate harm (CA 89, SSWBA 14). In contrast, adults cannot be removed from their home, but practitioners can apply for an Adult Protection and Support Order under S127 of the SSWBA 2014, which allows them to enter the property and speak privately with an adult at risk, </w:t>
            </w:r>
            <w:r>
              <w:rPr>
                <w:sz w:val="24"/>
                <w:szCs w:val="24"/>
              </w:rPr>
              <w:t xml:space="preserve">but the adult cannot be removed. </w:t>
            </w:r>
          </w:p>
          <w:p w14:paraId="4920C030" w14:textId="77777777" w:rsidR="006E46CA" w:rsidRPr="006E46CA" w:rsidRDefault="006E46CA" w:rsidP="006E46CA">
            <w:pPr>
              <w:jc w:val="both"/>
              <w:rPr>
                <w:sz w:val="24"/>
                <w:szCs w:val="24"/>
              </w:rPr>
            </w:pPr>
          </w:p>
          <w:p w14:paraId="1F52587A" w14:textId="1E606598" w:rsidR="001B2BE2" w:rsidRDefault="006E46CA" w:rsidP="001B2BE2">
            <w:pPr>
              <w:pStyle w:val="ListParagraph"/>
              <w:numPr>
                <w:ilvl w:val="0"/>
                <w:numId w:val="5"/>
              </w:numPr>
              <w:jc w:val="both"/>
              <w:rPr>
                <w:sz w:val="24"/>
                <w:szCs w:val="24"/>
              </w:rPr>
            </w:pPr>
            <w:r>
              <w:rPr>
                <w:sz w:val="24"/>
                <w:szCs w:val="24"/>
              </w:rPr>
              <w:t xml:space="preserve">Unlike with adults you do not need consent if there are concerns that children are at risk of significant harm. Although consent is not needed it is imperative to capture the voice of the child during these enquires to ensure children centred practice (Morris and Gibbons, 2014). </w:t>
            </w:r>
            <w:r w:rsidR="001A0A84" w:rsidRPr="001A0A84">
              <w:t xml:space="preserve"> </w:t>
            </w:r>
            <w:r w:rsidR="001A0A84" w:rsidRPr="001A0A84">
              <w:rPr>
                <w:sz w:val="24"/>
                <w:szCs w:val="24"/>
              </w:rPr>
              <w:t xml:space="preserve">Practitioners need to consider both the child’s age and their level of understanding when determining whether a child has the capacity to make decisions, </w:t>
            </w:r>
            <w:r w:rsidR="001A0A84" w:rsidRPr="001A0A84">
              <w:rPr>
                <w:sz w:val="24"/>
                <w:szCs w:val="24"/>
              </w:rPr>
              <w:lastRenderedPageBreak/>
              <w:t>particularly regarding their own welfare. This is known as Gillick competence (Smyth, 2010).</w:t>
            </w:r>
          </w:p>
          <w:p w14:paraId="2A698E5B" w14:textId="77777777" w:rsidR="001A0A84" w:rsidRPr="001A0A84" w:rsidRDefault="001A0A84" w:rsidP="001A0A84">
            <w:pPr>
              <w:pStyle w:val="ListParagraph"/>
              <w:rPr>
                <w:sz w:val="24"/>
                <w:szCs w:val="24"/>
              </w:rPr>
            </w:pPr>
          </w:p>
          <w:p w14:paraId="6879C246" w14:textId="24E5BE23" w:rsidR="00DF1759" w:rsidRDefault="00DF1759" w:rsidP="005525C6">
            <w:pPr>
              <w:pStyle w:val="ListParagraph"/>
              <w:numPr>
                <w:ilvl w:val="0"/>
                <w:numId w:val="5"/>
              </w:numPr>
              <w:jc w:val="both"/>
              <w:rPr>
                <w:sz w:val="24"/>
                <w:szCs w:val="24"/>
              </w:rPr>
            </w:pPr>
            <w:r>
              <w:rPr>
                <w:sz w:val="24"/>
                <w:szCs w:val="24"/>
              </w:rPr>
              <w:t xml:space="preserve">Generally, adults can care for themselves, whereas children are dependent on their caregivers to keep them safe. When dealing with child safeguarding </w:t>
            </w:r>
            <w:r w:rsidR="005525C6">
              <w:rPr>
                <w:sz w:val="24"/>
                <w:szCs w:val="24"/>
              </w:rPr>
              <w:t xml:space="preserve">a fundamental concept is parental responsibility which are the rights and responsibilities of parents or legal guardians regarding the care and protection of their children (CA 89). Practitioners will need to have a clear understanding of </w:t>
            </w:r>
            <w:r w:rsidR="00643927">
              <w:rPr>
                <w:sz w:val="24"/>
                <w:szCs w:val="24"/>
              </w:rPr>
              <w:t xml:space="preserve">parental responsibility as this will influence their </w:t>
            </w:r>
            <w:r w:rsidR="005525C6">
              <w:rPr>
                <w:sz w:val="24"/>
                <w:szCs w:val="24"/>
              </w:rPr>
              <w:t xml:space="preserve">decision making especially in situations where a child is at risk of harm. </w:t>
            </w:r>
          </w:p>
          <w:p w14:paraId="296514CF" w14:textId="77777777" w:rsidR="00643927" w:rsidRPr="00643927" w:rsidRDefault="00643927" w:rsidP="00643927">
            <w:pPr>
              <w:pStyle w:val="ListParagraph"/>
              <w:rPr>
                <w:sz w:val="24"/>
                <w:szCs w:val="24"/>
              </w:rPr>
            </w:pPr>
          </w:p>
          <w:p w14:paraId="746387FE" w14:textId="101F1CB8" w:rsidR="00643927" w:rsidRDefault="000F75A0" w:rsidP="005525C6">
            <w:pPr>
              <w:pStyle w:val="ListParagraph"/>
              <w:numPr>
                <w:ilvl w:val="0"/>
                <w:numId w:val="5"/>
              </w:numPr>
              <w:jc w:val="both"/>
              <w:rPr>
                <w:sz w:val="24"/>
                <w:szCs w:val="24"/>
              </w:rPr>
            </w:pPr>
            <w:r>
              <w:rPr>
                <w:sz w:val="24"/>
                <w:szCs w:val="24"/>
              </w:rPr>
              <w:t xml:space="preserve">As discussed above there are no specific timescales when enquiring if adults are at risk. However, there </w:t>
            </w:r>
            <w:r w:rsidR="00F905D8">
              <w:rPr>
                <w:sz w:val="24"/>
                <w:szCs w:val="24"/>
              </w:rPr>
              <w:t xml:space="preserve">are clear timescales for when actions need to be completed when assessing if a child is a risk of significant harm. </w:t>
            </w:r>
            <w:r w:rsidR="00B43314">
              <w:rPr>
                <w:sz w:val="24"/>
                <w:szCs w:val="24"/>
              </w:rPr>
              <w:t xml:space="preserve">The </w:t>
            </w:r>
            <w:r w:rsidR="008D765B">
              <w:rPr>
                <w:sz w:val="24"/>
                <w:szCs w:val="24"/>
              </w:rPr>
              <w:t xml:space="preserve">Wales Safeguarding Procedures (Safeguarding Wales, 2025) provide timescales for when actions need to be completed. For example, a S47 enquiry that assesses if children are at risk of significant harm needs to be concluded within 10 working days. </w:t>
            </w:r>
          </w:p>
          <w:p w14:paraId="6B696990" w14:textId="77777777" w:rsidR="000F75A0" w:rsidRPr="000F75A0" w:rsidRDefault="000F75A0" w:rsidP="000F75A0">
            <w:pPr>
              <w:pStyle w:val="ListParagraph"/>
              <w:rPr>
                <w:sz w:val="24"/>
                <w:szCs w:val="24"/>
              </w:rPr>
            </w:pPr>
          </w:p>
          <w:p w14:paraId="1AA3081F" w14:textId="77777777" w:rsidR="00FC0334" w:rsidRDefault="00FC0334" w:rsidP="00FC0334">
            <w:pPr>
              <w:jc w:val="both"/>
              <w:rPr>
                <w:sz w:val="24"/>
                <w:szCs w:val="24"/>
              </w:rPr>
            </w:pPr>
          </w:p>
          <w:p w14:paraId="7B7B4827" w14:textId="4AC74D2A" w:rsidR="00FC0334" w:rsidRDefault="004637A7" w:rsidP="00FC0334">
            <w:pPr>
              <w:jc w:val="both"/>
              <w:rPr>
                <w:sz w:val="24"/>
                <w:szCs w:val="24"/>
              </w:rPr>
            </w:pPr>
            <w:r>
              <w:rPr>
                <w:sz w:val="24"/>
                <w:szCs w:val="24"/>
              </w:rPr>
              <w:t>Word Count: 3</w:t>
            </w:r>
            <w:r w:rsidR="000D6A89">
              <w:rPr>
                <w:sz w:val="24"/>
                <w:szCs w:val="24"/>
              </w:rPr>
              <w:t>69.</w:t>
            </w: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44A1D0" w14:textId="77777777" w:rsidR="004B6599" w:rsidRDefault="004B6599">
      <w:r>
        <w:separator/>
      </w:r>
    </w:p>
  </w:endnote>
  <w:endnote w:type="continuationSeparator" w:id="0">
    <w:p w14:paraId="2E1E127C" w14:textId="77777777" w:rsidR="004B6599" w:rsidRDefault="004B65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1FD12E" w14:textId="77777777" w:rsidR="004B6599" w:rsidRDefault="004B6599">
      <w:r>
        <w:separator/>
      </w:r>
    </w:p>
  </w:footnote>
  <w:footnote w:type="continuationSeparator" w:id="0">
    <w:p w14:paraId="69094F0C" w14:textId="77777777" w:rsidR="004B6599" w:rsidRDefault="004B65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267F39"/>
    <w:multiLevelType w:val="hybridMultilevel"/>
    <w:tmpl w:val="E09A2A9E"/>
    <w:lvl w:ilvl="0" w:tplc="499416A2">
      <w:start w:val="1"/>
      <w:numFmt w:val="bullet"/>
      <w:lvlText w:val="•"/>
      <w:lvlJc w:val="left"/>
      <w:pPr>
        <w:tabs>
          <w:tab w:val="num" w:pos="720"/>
        </w:tabs>
        <w:ind w:left="720" w:hanging="360"/>
      </w:pPr>
      <w:rPr>
        <w:rFonts w:ascii="Arial" w:hAnsi="Arial" w:hint="default"/>
      </w:rPr>
    </w:lvl>
    <w:lvl w:ilvl="1" w:tplc="C2D2ADEA" w:tentative="1">
      <w:start w:val="1"/>
      <w:numFmt w:val="bullet"/>
      <w:lvlText w:val="•"/>
      <w:lvlJc w:val="left"/>
      <w:pPr>
        <w:tabs>
          <w:tab w:val="num" w:pos="1440"/>
        </w:tabs>
        <w:ind w:left="1440" w:hanging="360"/>
      </w:pPr>
      <w:rPr>
        <w:rFonts w:ascii="Arial" w:hAnsi="Arial" w:hint="default"/>
      </w:rPr>
    </w:lvl>
    <w:lvl w:ilvl="2" w:tplc="67500992" w:tentative="1">
      <w:start w:val="1"/>
      <w:numFmt w:val="bullet"/>
      <w:lvlText w:val="•"/>
      <w:lvlJc w:val="left"/>
      <w:pPr>
        <w:tabs>
          <w:tab w:val="num" w:pos="2160"/>
        </w:tabs>
        <w:ind w:left="2160" w:hanging="360"/>
      </w:pPr>
      <w:rPr>
        <w:rFonts w:ascii="Arial" w:hAnsi="Arial" w:hint="default"/>
      </w:rPr>
    </w:lvl>
    <w:lvl w:ilvl="3" w:tplc="A6F6B3A2" w:tentative="1">
      <w:start w:val="1"/>
      <w:numFmt w:val="bullet"/>
      <w:lvlText w:val="•"/>
      <w:lvlJc w:val="left"/>
      <w:pPr>
        <w:tabs>
          <w:tab w:val="num" w:pos="2880"/>
        </w:tabs>
        <w:ind w:left="2880" w:hanging="360"/>
      </w:pPr>
      <w:rPr>
        <w:rFonts w:ascii="Arial" w:hAnsi="Arial" w:hint="default"/>
      </w:rPr>
    </w:lvl>
    <w:lvl w:ilvl="4" w:tplc="DCBCAA4A" w:tentative="1">
      <w:start w:val="1"/>
      <w:numFmt w:val="bullet"/>
      <w:lvlText w:val="•"/>
      <w:lvlJc w:val="left"/>
      <w:pPr>
        <w:tabs>
          <w:tab w:val="num" w:pos="3600"/>
        </w:tabs>
        <w:ind w:left="3600" w:hanging="360"/>
      </w:pPr>
      <w:rPr>
        <w:rFonts w:ascii="Arial" w:hAnsi="Arial" w:hint="default"/>
      </w:rPr>
    </w:lvl>
    <w:lvl w:ilvl="5" w:tplc="7564EF18" w:tentative="1">
      <w:start w:val="1"/>
      <w:numFmt w:val="bullet"/>
      <w:lvlText w:val="•"/>
      <w:lvlJc w:val="left"/>
      <w:pPr>
        <w:tabs>
          <w:tab w:val="num" w:pos="4320"/>
        </w:tabs>
        <w:ind w:left="4320" w:hanging="360"/>
      </w:pPr>
      <w:rPr>
        <w:rFonts w:ascii="Arial" w:hAnsi="Arial" w:hint="default"/>
      </w:rPr>
    </w:lvl>
    <w:lvl w:ilvl="6" w:tplc="0F105070" w:tentative="1">
      <w:start w:val="1"/>
      <w:numFmt w:val="bullet"/>
      <w:lvlText w:val="•"/>
      <w:lvlJc w:val="left"/>
      <w:pPr>
        <w:tabs>
          <w:tab w:val="num" w:pos="5040"/>
        </w:tabs>
        <w:ind w:left="5040" w:hanging="360"/>
      </w:pPr>
      <w:rPr>
        <w:rFonts w:ascii="Arial" w:hAnsi="Arial" w:hint="default"/>
      </w:rPr>
    </w:lvl>
    <w:lvl w:ilvl="7" w:tplc="4BE63E64" w:tentative="1">
      <w:start w:val="1"/>
      <w:numFmt w:val="bullet"/>
      <w:lvlText w:val="•"/>
      <w:lvlJc w:val="left"/>
      <w:pPr>
        <w:tabs>
          <w:tab w:val="num" w:pos="5760"/>
        </w:tabs>
        <w:ind w:left="5760" w:hanging="360"/>
      </w:pPr>
      <w:rPr>
        <w:rFonts w:ascii="Arial" w:hAnsi="Arial" w:hint="default"/>
      </w:rPr>
    </w:lvl>
    <w:lvl w:ilvl="8" w:tplc="D82C958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D276E6F"/>
    <w:multiLevelType w:val="multilevel"/>
    <w:tmpl w:val="C994CA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2074530"/>
    <w:multiLevelType w:val="multilevel"/>
    <w:tmpl w:val="E884A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8EA5516"/>
    <w:multiLevelType w:val="multilevel"/>
    <w:tmpl w:val="C7405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3A1B3A"/>
    <w:multiLevelType w:val="hybridMultilevel"/>
    <w:tmpl w:val="5B24C7A4"/>
    <w:lvl w:ilvl="0" w:tplc="5D7E4080">
      <w:start w:val="1"/>
      <w:numFmt w:val="bullet"/>
      <w:lvlText w:val="•"/>
      <w:lvlJc w:val="left"/>
      <w:pPr>
        <w:tabs>
          <w:tab w:val="num" w:pos="720"/>
        </w:tabs>
        <w:ind w:left="720" w:hanging="360"/>
      </w:pPr>
      <w:rPr>
        <w:rFonts w:ascii="Arial" w:hAnsi="Arial" w:hint="default"/>
      </w:rPr>
    </w:lvl>
    <w:lvl w:ilvl="1" w:tplc="E2C2EB44" w:tentative="1">
      <w:start w:val="1"/>
      <w:numFmt w:val="bullet"/>
      <w:lvlText w:val="•"/>
      <w:lvlJc w:val="left"/>
      <w:pPr>
        <w:tabs>
          <w:tab w:val="num" w:pos="1440"/>
        </w:tabs>
        <w:ind w:left="1440" w:hanging="360"/>
      </w:pPr>
      <w:rPr>
        <w:rFonts w:ascii="Arial" w:hAnsi="Arial" w:hint="default"/>
      </w:rPr>
    </w:lvl>
    <w:lvl w:ilvl="2" w:tplc="571E8FB0" w:tentative="1">
      <w:start w:val="1"/>
      <w:numFmt w:val="bullet"/>
      <w:lvlText w:val="•"/>
      <w:lvlJc w:val="left"/>
      <w:pPr>
        <w:tabs>
          <w:tab w:val="num" w:pos="2160"/>
        </w:tabs>
        <w:ind w:left="2160" w:hanging="360"/>
      </w:pPr>
      <w:rPr>
        <w:rFonts w:ascii="Arial" w:hAnsi="Arial" w:hint="default"/>
      </w:rPr>
    </w:lvl>
    <w:lvl w:ilvl="3" w:tplc="BC3E4AFC" w:tentative="1">
      <w:start w:val="1"/>
      <w:numFmt w:val="bullet"/>
      <w:lvlText w:val="•"/>
      <w:lvlJc w:val="left"/>
      <w:pPr>
        <w:tabs>
          <w:tab w:val="num" w:pos="2880"/>
        </w:tabs>
        <w:ind w:left="2880" w:hanging="360"/>
      </w:pPr>
      <w:rPr>
        <w:rFonts w:ascii="Arial" w:hAnsi="Arial" w:hint="default"/>
      </w:rPr>
    </w:lvl>
    <w:lvl w:ilvl="4" w:tplc="130AB900" w:tentative="1">
      <w:start w:val="1"/>
      <w:numFmt w:val="bullet"/>
      <w:lvlText w:val="•"/>
      <w:lvlJc w:val="left"/>
      <w:pPr>
        <w:tabs>
          <w:tab w:val="num" w:pos="3600"/>
        </w:tabs>
        <w:ind w:left="3600" w:hanging="360"/>
      </w:pPr>
      <w:rPr>
        <w:rFonts w:ascii="Arial" w:hAnsi="Arial" w:hint="default"/>
      </w:rPr>
    </w:lvl>
    <w:lvl w:ilvl="5" w:tplc="E1A29D52" w:tentative="1">
      <w:start w:val="1"/>
      <w:numFmt w:val="bullet"/>
      <w:lvlText w:val="•"/>
      <w:lvlJc w:val="left"/>
      <w:pPr>
        <w:tabs>
          <w:tab w:val="num" w:pos="4320"/>
        </w:tabs>
        <w:ind w:left="4320" w:hanging="360"/>
      </w:pPr>
      <w:rPr>
        <w:rFonts w:ascii="Arial" w:hAnsi="Arial" w:hint="default"/>
      </w:rPr>
    </w:lvl>
    <w:lvl w:ilvl="6" w:tplc="E51034E2" w:tentative="1">
      <w:start w:val="1"/>
      <w:numFmt w:val="bullet"/>
      <w:lvlText w:val="•"/>
      <w:lvlJc w:val="left"/>
      <w:pPr>
        <w:tabs>
          <w:tab w:val="num" w:pos="5040"/>
        </w:tabs>
        <w:ind w:left="5040" w:hanging="360"/>
      </w:pPr>
      <w:rPr>
        <w:rFonts w:ascii="Arial" w:hAnsi="Arial" w:hint="default"/>
      </w:rPr>
    </w:lvl>
    <w:lvl w:ilvl="7" w:tplc="09F2E8AC" w:tentative="1">
      <w:start w:val="1"/>
      <w:numFmt w:val="bullet"/>
      <w:lvlText w:val="•"/>
      <w:lvlJc w:val="left"/>
      <w:pPr>
        <w:tabs>
          <w:tab w:val="num" w:pos="5760"/>
        </w:tabs>
        <w:ind w:left="5760" w:hanging="360"/>
      </w:pPr>
      <w:rPr>
        <w:rFonts w:ascii="Arial" w:hAnsi="Arial" w:hint="default"/>
      </w:rPr>
    </w:lvl>
    <w:lvl w:ilvl="8" w:tplc="8CBA205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0DD4499"/>
    <w:multiLevelType w:val="hybridMultilevel"/>
    <w:tmpl w:val="BABC6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6388768">
    <w:abstractNumId w:val="0"/>
  </w:num>
  <w:num w:numId="2" w16cid:durableId="2075816128">
    <w:abstractNumId w:val="4"/>
  </w:num>
  <w:num w:numId="3" w16cid:durableId="376008027">
    <w:abstractNumId w:val="3"/>
  </w:num>
  <w:num w:numId="4" w16cid:durableId="2043941609">
    <w:abstractNumId w:val="1"/>
  </w:num>
  <w:num w:numId="5" w16cid:durableId="1736125264">
    <w:abstractNumId w:val="5"/>
  </w:num>
  <w:num w:numId="6" w16cid:durableId="2069300745">
    <w:abstractNumId w:val="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151"/>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D6A89"/>
    <w:rsid w:val="000E0D51"/>
    <w:rsid w:val="000E26B0"/>
    <w:rsid w:val="000E37C2"/>
    <w:rsid w:val="000E38C3"/>
    <w:rsid w:val="000F1599"/>
    <w:rsid w:val="000F1769"/>
    <w:rsid w:val="000F1A97"/>
    <w:rsid w:val="000F42AE"/>
    <w:rsid w:val="000F6196"/>
    <w:rsid w:val="000F6BC3"/>
    <w:rsid w:val="000F75A0"/>
    <w:rsid w:val="0010312C"/>
    <w:rsid w:val="00105026"/>
    <w:rsid w:val="0010662B"/>
    <w:rsid w:val="00106DC7"/>
    <w:rsid w:val="00112391"/>
    <w:rsid w:val="00114F52"/>
    <w:rsid w:val="00125670"/>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0A84"/>
    <w:rsid w:val="001A59BB"/>
    <w:rsid w:val="001A607E"/>
    <w:rsid w:val="001A6A51"/>
    <w:rsid w:val="001A79C4"/>
    <w:rsid w:val="001B2BE2"/>
    <w:rsid w:val="001B331A"/>
    <w:rsid w:val="001B5E10"/>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3F0E"/>
    <w:rsid w:val="00354B6D"/>
    <w:rsid w:val="00355210"/>
    <w:rsid w:val="00355CFD"/>
    <w:rsid w:val="00365DF9"/>
    <w:rsid w:val="0037066E"/>
    <w:rsid w:val="00372DB4"/>
    <w:rsid w:val="00373A36"/>
    <w:rsid w:val="0037419E"/>
    <w:rsid w:val="00375AF5"/>
    <w:rsid w:val="003761BD"/>
    <w:rsid w:val="00376200"/>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7A7"/>
    <w:rsid w:val="00463B55"/>
    <w:rsid w:val="00465947"/>
    <w:rsid w:val="004667B1"/>
    <w:rsid w:val="00467F66"/>
    <w:rsid w:val="00470461"/>
    <w:rsid w:val="00470BB1"/>
    <w:rsid w:val="00473153"/>
    <w:rsid w:val="0047350F"/>
    <w:rsid w:val="004743AF"/>
    <w:rsid w:val="0047615E"/>
    <w:rsid w:val="00482C17"/>
    <w:rsid w:val="00484CE3"/>
    <w:rsid w:val="004911B4"/>
    <w:rsid w:val="0049196A"/>
    <w:rsid w:val="004923DA"/>
    <w:rsid w:val="00492EEB"/>
    <w:rsid w:val="00493434"/>
    <w:rsid w:val="0049374F"/>
    <w:rsid w:val="004968E2"/>
    <w:rsid w:val="004A2A49"/>
    <w:rsid w:val="004A5A64"/>
    <w:rsid w:val="004B5553"/>
    <w:rsid w:val="004B600B"/>
    <w:rsid w:val="004B6599"/>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237"/>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25C6"/>
    <w:rsid w:val="00557D77"/>
    <w:rsid w:val="00562EAA"/>
    <w:rsid w:val="00563B58"/>
    <w:rsid w:val="005640C4"/>
    <w:rsid w:val="0056684C"/>
    <w:rsid w:val="00567E46"/>
    <w:rsid w:val="00574A0C"/>
    <w:rsid w:val="0057780F"/>
    <w:rsid w:val="00581E0A"/>
    <w:rsid w:val="00586D89"/>
    <w:rsid w:val="005877C8"/>
    <w:rsid w:val="00587923"/>
    <w:rsid w:val="00594F9F"/>
    <w:rsid w:val="005A1B4C"/>
    <w:rsid w:val="005A545C"/>
    <w:rsid w:val="005B271A"/>
    <w:rsid w:val="005B3A2D"/>
    <w:rsid w:val="005C1567"/>
    <w:rsid w:val="005C23E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269C3"/>
    <w:rsid w:val="006326D1"/>
    <w:rsid w:val="00632E0A"/>
    <w:rsid w:val="00633165"/>
    <w:rsid w:val="00643927"/>
    <w:rsid w:val="006447DE"/>
    <w:rsid w:val="00644889"/>
    <w:rsid w:val="0065276E"/>
    <w:rsid w:val="00654329"/>
    <w:rsid w:val="00654CEC"/>
    <w:rsid w:val="00655507"/>
    <w:rsid w:val="006579FD"/>
    <w:rsid w:val="006635E3"/>
    <w:rsid w:val="006669F3"/>
    <w:rsid w:val="006712A7"/>
    <w:rsid w:val="00672CED"/>
    <w:rsid w:val="00674FC2"/>
    <w:rsid w:val="00676E35"/>
    <w:rsid w:val="0067783F"/>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6CA"/>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0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3A01"/>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0B0A"/>
    <w:rsid w:val="008C14C7"/>
    <w:rsid w:val="008C2FFB"/>
    <w:rsid w:val="008C633F"/>
    <w:rsid w:val="008C6EEA"/>
    <w:rsid w:val="008C7770"/>
    <w:rsid w:val="008C79C7"/>
    <w:rsid w:val="008D03B0"/>
    <w:rsid w:val="008D2150"/>
    <w:rsid w:val="008D5813"/>
    <w:rsid w:val="008D5999"/>
    <w:rsid w:val="008D634E"/>
    <w:rsid w:val="008D765B"/>
    <w:rsid w:val="008D778A"/>
    <w:rsid w:val="008D78C9"/>
    <w:rsid w:val="008E3195"/>
    <w:rsid w:val="008E5A35"/>
    <w:rsid w:val="008F127E"/>
    <w:rsid w:val="008F32D9"/>
    <w:rsid w:val="00902A65"/>
    <w:rsid w:val="00903932"/>
    <w:rsid w:val="00904847"/>
    <w:rsid w:val="009079BD"/>
    <w:rsid w:val="00912BD9"/>
    <w:rsid w:val="00916FB2"/>
    <w:rsid w:val="00920E5B"/>
    <w:rsid w:val="00926436"/>
    <w:rsid w:val="00926C53"/>
    <w:rsid w:val="0093018C"/>
    <w:rsid w:val="0094495F"/>
    <w:rsid w:val="009544C0"/>
    <w:rsid w:val="00954FA4"/>
    <w:rsid w:val="00956AE9"/>
    <w:rsid w:val="00960EA0"/>
    <w:rsid w:val="00964CC6"/>
    <w:rsid w:val="00967BFA"/>
    <w:rsid w:val="0098262C"/>
    <w:rsid w:val="0098427C"/>
    <w:rsid w:val="00986B43"/>
    <w:rsid w:val="00986C0B"/>
    <w:rsid w:val="00986D46"/>
    <w:rsid w:val="00991FDA"/>
    <w:rsid w:val="00992ACA"/>
    <w:rsid w:val="009A19B0"/>
    <w:rsid w:val="009A5F3B"/>
    <w:rsid w:val="009A5F79"/>
    <w:rsid w:val="009A6F87"/>
    <w:rsid w:val="009B0B61"/>
    <w:rsid w:val="009B24B1"/>
    <w:rsid w:val="009B28C0"/>
    <w:rsid w:val="009B3178"/>
    <w:rsid w:val="009B3E46"/>
    <w:rsid w:val="009B7136"/>
    <w:rsid w:val="009C337F"/>
    <w:rsid w:val="009C53E7"/>
    <w:rsid w:val="009C6092"/>
    <w:rsid w:val="009C7342"/>
    <w:rsid w:val="009D2B85"/>
    <w:rsid w:val="009D4365"/>
    <w:rsid w:val="009D477B"/>
    <w:rsid w:val="009D4E3B"/>
    <w:rsid w:val="009D59C2"/>
    <w:rsid w:val="009D7BC9"/>
    <w:rsid w:val="009E122F"/>
    <w:rsid w:val="009E1982"/>
    <w:rsid w:val="009E4D2C"/>
    <w:rsid w:val="009E65D8"/>
    <w:rsid w:val="009F0978"/>
    <w:rsid w:val="009F3AEC"/>
    <w:rsid w:val="009F6801"/>
    <w:rsid w:val="00A00081"/>
    <w:rsid w:val="00A06422"/>
    <w:rsid w:val="00A10D56"/>
    <w:rsid w:val="00A12AAE"/>
    <w:rsid w:val="00A12F22"/>
    <w:rsid w:val="00A134FB"/>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0A1"/>
    <w:rsid w:val="00B24344"/>
    <w:rsid w:val="00B26769"/>
    <w:rsid w:val="00B2754B"/>
    <w:rsid w:val="00B31C91"/>
    <w:rsid w:val="00B34A18"/>
    <w:rsid w:val="00B3747F"/>
    <w:rsid w:val="00B42E76"/>
    <w:rsid w:val="00B43194"/>
    <w:rsid w:val="00B4331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00D0"/>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46FF"/>
    <w:rsid w:val="00DA5682"/>
    <w:rsid w:val="00DA5860"/>
    <w:rsid w:val="00DA5C0C"/>
    <w:rsid w:val="00DB2767"/>
    <w:rsid w:val="00DC1B10"/>
    <w:rsid w:val="00DC2924"/>
    <w:rsid w:val="00DC4729"/>
    <w:rsid w:val="00DD31C5"/>
    <w:rsid w:val="00DD5020"/>
    <w:rsid w:val="00DD63BE"/>
    <w:rsid w:val="00DE4296"/>
    <w:rsid w:val="00DF1759"/>
    <w:rsid w:val="00DF2469"/>
    <w:rsid w:val="00DF7899"/>
    <w:rsid w:val="00E0524C"/>
    <w:rsid w:val="00E15751"/>
    <w:rsid w:val="00E17160"/>
    <w:rsid w:val="00E17D41"/>
    <w:rsid w:val="00E231D1"/>
    <w:rsid w:val="00E3288D"/>
    <w:rsid w:val="00E34A6C"/>
    <w:rsid w:val="00E35112"/>
    <w:rsid w:val="00E35BEC"/>
    <w:rsid w:val="00E41A6A"/>
    <w:rsid w:val="00E50821"/>
    <w:rsid w:val="00E51F91"/>
    <w:rsid w:val="00E5498A"/>
    <w:rsid w:val="00E559CE"/>
    <w:rsid w:val="00E60F42"/>
    <w:rsid w:val="00E64BC4"/>
    <w:rsid w:val="00E6746C"/>
    <w:rsid w:val="00E7086E"/>
    <w:rsid w:val="00E71248"/>
    <w:rsid w:val="00E73C41"/>
    <w:rsid w:val="00E75911"/>
    <w:rsid w:val="00E7598F"/>
    <w:rsid w:val="00E76F60"/>
    <w:rsid w:val="00E812B5"/>
    <w:rsid w:val="00E83D90"/>
    <w:rsid w:val="00E83F91"/>
    <w:rsid w:val="00E85E83"/>
    <w:rsid w:val="00E86299"/>
    <w:rsid w:val="00E9107A"/>
    <w:rsid w:val="00E91F62"/>
    <w:rsid w:val="00E929FD"/>
    <w:rsid w:val="00E93240"/>
    <w:rsid w:val="00E9479B"/>
    <w:rsid w:val="00E94E22"/>
    <w:rsid w:val="00E95F08"/>
    <w:rsid w:val="00E97171"/>
    <w:rsid w:val="00EA07AC"/>
    <w:rsid w:val="00EA4D48"/>
    <w:rsid w:val="00EA7ADF"/>
    <w:rsid w:val="00EB2173"/>
    <w:rsid w:val="00EB62E6"/>
    <w:rsid w:val="00EB695F"/>
    <w:rsid w:val="00EC32EA"/>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05D8"/>
    <w:rsid w:val="00F927A1"/>
    <w:rsid w:val="00F92E4D"/>
    <w:rsid w:val="00F95D08"/>
    <w:rsid w:val="00FA0497"/>
    <w:rsid w:val="00FA23BD"/>
    <w:rsid w:val="00FA3764"/>
    <w:rsid w:val="00FA41C7"/>
    <w:rsid w:val="00FA4A79"/>
    <w:rsid w:val="00FA56ED"/>
    <w:rsid w:val="00FB05DD"/>
    <w:rsid w:val="00FB0F7C"/>
    <w:rsid w:val="00FB24EA"/>
    <w:rsid w:val="00FB5FA6"/>
    <w:rsid w:val="00FB6C1A"/>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125670"/>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A19B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3Char">
    <w:name w:val="Heading 3 Char"/>
    <w:basedOn w:val="DefaultParagraphFont"/>
    <w:link w:val="Heading3"/>
    <w:uiPriority w:val="9"/>
    <w:semiHidden/>
    <w:rsid w:val="0012567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A19B0"/>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1B2B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660950">
      <w:bodyDiv w:val="1"/>
      <w:marLeft w:val="0"/>
      <w:marRight w:val="0"/>
      <w:marTop w:val="0"/>
      <w:marBottom w:val="0"/>
      <w:divBdr>
        <w:top w:val="none" w:sz="0" w:space="0" w:color="auto"/>
        <w:left w:val="none" w:sz="0" w:space="0" w:color="auto"/>
        <w:bottom w:val="none" w:sz="0" w:space="0" w:color="auto"/>
        <w:right w:val="none" w:sz="0" w:space="0" w:color="auto"/>
      </w:divBdr>
      <w:divsChild>
        <w:div w:id="677999160">
          <w:marLeft w:val="274"/>
          <w:marRight w:val="0"/>
          <w:marTop w:val="150"/>
          <w:marBottom w:val="0"/>
          <w:divBdr>
            <w:top w:val="none" w:sz="0" w:space="0" w:color="auto"/>
            <w:left w:val="none" w:sz="0" w:space="0" w:color="auto"/>
            <w:bottom w:val="none" w:sz="0" w:space="0" w:color="auto"/>
            <w:right w:val="none" w:sz="0" w:space="0" w:color="auto"/>
          </w:divBdr>
        </w:div>
      </w:divsChild>
    </w:div>
    <w:div w:id="25914381">
      <w:bodyDiv w:val="1"/>
      <w:marLeft w:val="0"/>
      <w:marRight w:val="0"/>
      <w:marTop w:val="0"/>
      <w:marBottom w:val="0"/>
      <w:divBdr>
        <w:top w:val="none" w:sz="0" w:space="0" w:color="auto"/>
        <w:left w:val="none" w:sz="0" w:space="0" w:color="auto"/>
        <w:bottom w:val="none" w:sz="0" w:space="0" w:color="auto"/>
        <w:right w:val="none" w:sz="0" w:space="0" w:color="auto"/>
      </w:divBdr>
    </w:div>
    <w:div w:id="58016342">
      <w:bodyDiv w:val="1"/>
      <w:marLeft w:val="0"/>
      <w:marRight w:val="0"/>
      <w:marTop w:val="0"/>
      <w:marBottom w:val="0"/>
      <w:divBdr>
        <w:top w:val="none" w:sz="0" w:space="0" w:color="auto"/>
        <w:left w:val="none" w:sz="0" w:space="0" w:color="auto"/>
        <w:bottom w:val="none" w:sz="0" w:space="0" w:color="auto"/>
        <w:right w:val="none" w:sz="0" w:space="0" w:color="auto"/>
      </w:divBdr>
    </w:div>
    <w:div w:id="81339664">
      <w:bodyDiv w:val="1"/>
      <w:marLeft w:val="0"/>
      <w:marRight w:val="0"/>
      <w:marTop w:val="0"/>
      <w:marBottom w:val="0"/>
      <w:divBdr>
        <w:top w:val="none" w:sz="0" w:space="0" w:color="auto"/>
        <w:left w:val="none" w:sz="0" w:space="0" w:color="auto"/>
        <w:bottom w:val="none" w:sz="0" w:space="0" w:color="auto"/>
        <w:right w:val="none" w:sz="0" w:space="0" w:color="auto"/>
      </w:divBdr>
    </w:div>
    <w:div w:id="155653997">
      <w:bodyDiv w:val="1"/>
      <w:marLeft w:val="0"/>
      <w:marRight w:val="0"/>
      <w:marTop w:val="0"/>
      <w:marBottom w:val="0"/>
      <w:divBdr>
        <w:top w:val="none" w:sz="0" w:space="0" w:color="auto"/>
        <w:left w:val="none" w:sz="0" w:space="0" w:color="auto"/>
        <w:bottom w:val="none" w:sz="0" w:space="0" w:color="auto"/>
        <w:right w:val="none" w:sz="0" w:space="0" w:color="auto"/>
      </w:divBdr>
      <w:divsChild>
        <w:div w:id="311646110">
          <w:marLeft w:val="274"/>
          <w:marRight w:val="0"/>
          <w:marTop w:val="150"/>
          <w:marBottom w:val="0"/>
          <w:divBdr>
            <w:top w:val="none" w:sz="0" w:space="0" w:color="auto"/>
            <w:left w:val="none" w:sz="0" w:space="0" w:color="auto"/>
            <w:bottom w:val="none" w:sz="0" w:space="0" w:color="auto"/>
            <w:right w:val="none" w:sz="0" w:space="0" w:color="auto"/>
          </w:divBdr>
        </w:div>
        <w:div w:id="1468544320">
          <w:marLeft w:val="274"/>
          <w:marRight w:val="0"/>
          <w:marTop w:val="150"/>
          <w:marBottom w:val="0"/>
          <w:divBdr>
            <w:top w:val="none" w:sz="0" w:space="0" w:color="auto"/>
            <w:left w:val="none" w:sz="0" w:space="0" w:color="auto"/>
            <w:bottom w:val="none" w:sz="0" w:space="0" w:color="auto"/>
            <w:right w:val="none" w:sz="0" w:space="0" w:color="auto"/>
          </w:divBdr>
        </w:div>
        <w:div w:id="1452475586">
          <w:marLeft w:val="274"/>
          <w:marRight w:val="0"/>
          <w:marTop w:val="150"/>
          <w:marBottom w:val="0"/>
          <w:divBdr>
            <w:top w:val="none" w:sz="0" w:space="0" w:color="auto"/>
            <w:left w:val="none" w:sz="0" w:space="0" w:color="auto"/>
            <w:bottom w:val="none" w:sz="0" w:space="0" w:color="auto"/>
            <w:right w:val="none" w:sz="0" w:space="0" w:color="auto"/>
          </w:divBdr>
        </w:div>
        <w:div w:id="1766412350">
          <w:marLeft w:val="274"/>
          <w:marRight w:val="0"/>
          <w:marTop w:val="150"/>
          <w:marBottom w:val="0"/>
          <w:divBdr>
            <w:top w:val="none" w:sz="0" w:space="0" w:color="auto"/>
            <w:left w:val="none" w:sz="0" w:space="0" w:color="auto"/>
            <w:bottom w:val="none" w:sz="0" w:space="0" w:color="auto"/>
            <w:right w:val="none" w:sz="0" w:space="0" w:color="auto"/>
          </w:divBdr>
        </w:div>
        <w:div w:id="1428573336">
          <w:marLeft w:val="274"/>
          <w:marRight w:val="0"/>
          <w:marTop w:val="150"/>
          <w:marBottom w:val="0"/>
          <w:divBdr>
            <w:top w:val="none" w:sz="0" w:space="0" w:color="auto"/>
            <w:left w:val="none" w:sz="0" w:space="0" w:color="auto"/>
            <w:bottom w:val="none" w:sz="0" w:space="0" w:color="auto"/>
            <w:right w:val="none" w:sz="0" w:space="0" w:color="auto"/>
          </w:divBdr>
        </w:div>
      </w:divsChild>
    </w:div>
    <w:div w:id="234432928">
      <w:bodyDiv w:val="1"/>
      <w:marLeft w:val="0"/>
      <w:marRight w:val="0"/>
      <w:marTop w:val="0"/>
      <w:marBottom w:val="0"/>
      <w:divBdr>
        <w:top w:val="none" w:sz="0" w:space="0" w:color="auto"/>
        <w:left w:val="none" w:sz="0" w:space="0" w:color="auto"/>
        <w:bottom w:val="none" w:sz="0" w:space="0" w:color="auto"/>
        <w:right w:val="none" w:sz="0" w:space="0" w:color="auto"/>
      </w:divBdr>
      <w:divsChild>
        <w:div w:id="1403691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52469449">
      <w:bodyDiv w:val="1"/>
      <w:marLeft w:val="0"/>
      <w:marRight w:val="0"/>
      <w:marTop w:val="0"/>
      <w:marBottom w:val="0"/>
      <w:divBdr>
        <w:top w:val="none" w:sz="0" w:space="0" w:color="auto"/>
        <w:left w:val="none" w:sz="0" w:space="0" w:color="auto"/>
        <w:bottom w:val="none" w:sz="0" w:space="0" w:color="auto"/>
        <w:right w:val="none" w:sz="0" w:space="0" w:color="auto"/>
      </w:divBdr>
    </w:div>
    <w:div w:id="414321714">
      <w:bodyDiv w:val="1"/>
      <w:marLeft w:val="0"/>
      <w:marRight w:val="0"/>
      <w:marTop w:val="0"/>
      <w:marBottom w:val="0"/>
      <w:divBdr>
        <w:top w:val="none" w:sz="0" w:space="0" w:color="auto"/>
        <w:left w:val="none" w:sz="0" w:space="0" w:color="auto"/>
        <w:bottom w:val="none" w:sz="0" w:space="0" w:color="auto"/>
        <w:right w:val="none" w:sz="0" w:space="0" w:color="auto"/>
      </w:divBdr>
    </w:div>
    <w:div w:id="439959121">
      <w:bodyDiv w:val="1"/>
      <w:marLeft w:val="0"/>
      <w:marRight w:val="0"/>
      <w:marTop w:val="0"/>
      <w:marBottom w:val="0"/>
      <w:divBdr>
        <w:top w:val="none" w:sz="0" w:space="0" w:color="auto"/>
        <w:left w:val="none" w:sz="0" w:space="0" w:color="auto"/>
        <w:bottom w:val="none" w:sz="0" w:space="0" w:color="auto"/>
        <w:right w:val="none" w:sz="0" w:space="0" w:color="auto"/>
      </w:divBdr>
    </w:div>
    <w:div w:id="449277053">
      <w:bodyDiv w:val="1"/>
      <w:marLeft w:val="0"/>
      <w:marRight w:val="0"/>
      <w:marTop w:val="0"/>
      <w:marBottom w:val="0"/>
      <w:divBdr>
        <w:top w:val="none" w:sz="0" w:space="0" w:color="auto"/>
        <w:left w:val="none" w:sz="0" w:space="0" w:color="auto"/>
        <w:bottom w:val="none" w:sz="0" w:space="0" w:color="auto"/>
        <w:right w:val="none" w:sz="0" w:space="0" w:color="auto"/>
      </w:divBdr>
    </w:div>
    <w:div w:id="455224928">
      <w:bodyDiv w:val="1"/>
      <w:marLeft w:val="0"/>
      <w:marRight w:val="0"/>
      <w:marTop w:val="0"/>
      <w:marBottom w:val="0"/>
      <w:divBdr>
        <w:top w:val="none" w:sz="0" w:space="0" w:color="auto"/>
        <w:left w:val="none" w:sz="0" w:space="0" w:color="auto"/>
        <w:bottom w:val="none" w:sz="0" w:space="0" w:color="auto"/>
        <w:right w:val="none" w:sz="0" w:space="0" w:color="auto"/>
      </w:divBdr>
    </w:div>
    <w:div w:id="467937360">
      <w:bodyDiv w:val="1"/>
      <w:marLeft w:val="0"/>
      <w:marRight w:val="0"/>
      <w:marTop w:val="0"/>
      <w:marBottom w:val="0"/>
      <w:divBdr>
        <w:top w:val="none" w:sz="0" w:space="0" w:color="auto"/>
        <w:left w:val="none" w:sz="0" w:space="0" w:color="auto"/>
        <w:bottom w:val="none" w:sz="0" w:space="0" w:color="auto"/>
        <w:right w:val="none" w:sz="0" w:space="0" w:color="auto"/>
      </w:divBdr>
    </w:div>
    <w:div w:id="558132517">
      <w:bodyDiv w:val="1"/>
      <w:marLeft w:val="0"/>
      <w:marRight w:val="0"/>
      <w:marTop w:val="0"/>
      <w:marBottom w:val="0"/>
      <w:divBdr>
        <w:top w:val="none" w:sz="0" w:space="0" w:color="auto"/>
        <w:left w:val="none" w:sz="0" w:space="0" w:color="auto"/>
        <w:bottom w:val="none" w:sz="0" w:space="0" w:color="auto"/>
        <w:right w:val="none" w:sz="0" w:space="0" w:color="auto"/>
      </w:divBdr>
      <w:divsChild>
        <w:div w:id="17900839">
          <w:marLeft w:val="0"/>
          <w:marRight w:val="0"/>
          <w:marTop w:val="0"/>
          <w:marBottom w:val="0"/>
          <w:divBdr>
            <w:top w:val="none" w:sz="0" w:space="0" w:color="auto"/>
            <w:left w:val="none" w:sz="0" w:space="0" w:color="auto"/>
            <w:bottom w:val="none" w:sz="0" w:space="0" w:color="auto"/>
            <w:right w:val="none" w:sz="0" w:space="0" w:color="auto"/>
          </w:divBdr>
          <w:divsChild>
            <w:div w:id="174226110">
              <w:marLeft w:val="0"/>
              <w:marRight w:val="0"/>
              <w:marTop w:val="0"/>
              <w:marBottom w:val="0"/>
              <w:divBdr>
                <w:top w:val="none" w:sz="0" w:space="0" w:color="auto"/>
                <w:left w:val="none" w:sz="0" w:space="0" w:color="auto"/>
                <w:bottom w:val="none" w:sz="0" w:space="0" w:color="auto"/>
                <w:right w:val="none" w:sz="0" w:space="0" w:color="auto"/>
              </w:divBdr>
              <w:divsChild>
                <w:div w:id="902177491">
                  <w:marLeft w:val="0"/>
                  <w:marRight w:val="0"/>
                  <w:marTop w:val="0"/>
                  <w:marBottom w:val="0"/>
                  <w:divBdr>
                    <w:top w:val="none" w:sz="0" w:space="0" w:color="auto"/>
                    <w:left w:val="none" w:sz="0" w:space="0" w:color="auto"/>
                    <w:bottom w:val="none" w:sz="0" w:space="0" w:color="auto"/>
                    <w:right w:val="none" w:sz="0" w:space="0" w:color="auto"/>
                  </w:divBdr>
                  <w:divsChild>
                    <w:div w:id="575751975">
                      <w:marLeft w:val="0"/>
                      <w:marRight w:val="0"/>
                      <w:marTop w:val="0"/>
                      <w:marBottom w:val="0"/>
                      <w:divBdr>
                        <w:top w:val="none" w:sz="0" w:space="0" w:color="auto"/>
                        <w:left w:val="none" w:sz="0" w:space="0" w:color="auto"/>
                        <w:bottom w:val="none" w:sz="0" w:space="0" w:color="auto"/>
                        <w:right w:val="none" w:sz="0" w:space="0" w:color="auto"/>
                      </w:divBdr>
                      <w:divsChild>
                        <w:div w:id="2008365928">
                          <w:marLeft w:val="0"/>
                          <w:marRight w:val="0"/>
                          <w:marTop w:val="0"/>
                          <w:marBottom w:val="0"/>
                          <w:divBdr>
                            <w:top w:val="none" w:sz="0" w:space="0" w:color="auto"/>
                            <w:left w:val="none" w:sz="0" w:space="0" w:color="auto"/>
                            <w:bottom w:val="none" w:sz="0" w:space="0" w:color="auto"/>
                            <w:right w:val="none" w:sz="0" w:space="0" w:color="auto"/>
                          </w:divBdr>
                          <w:divsChild>
                            <w:div w:id="197352057">
                              <w:marLeft w:val="0"/>
                              <w:marRight w:val="0"/>
                              <w:marTop w:val="0"/>
                              <w:marBottom w:val="0"/>
                              <w:divBdr>
                                <w:top w:val="none" w:sz="0" w:space="0" w:color="auto"/>
                                <w:left w:val="none" w:sz="0" w:space="0" w:color="auto"/>
                                <w:bottom w:val="none" w:sz="0" w:space="0" w:color="auto"/>
                                <w:right w:val="none" w:sz="0" w:space="0" w:color="auto"/>
                              </w:divBdr>
                              <w:divsChild>
                                <w:div w:id="1339582315">
                                  <w:marLeft w:val="0"/>
                                  <w:marRight w:val="0"/>
                                  <w:marTop w:val="0"/>
                                  <w:marBottom w:val="0"/>
                                  <w:divBdr>
                                    <w:top w:val="none" w:sz="0" w:space="0" w:color="auto"/>
                                    <w:left w:val="none" w:sz="0" w:space="0" w:color="auto"/>
                                    <w:bottom w:val="none" w:sz="0" w:space="0" w:color="auto"/>
                                    <w:right w:val="none" w:sz="0" w:space="0" w:color="auto"/>
                                  </w:divBdr>
                                  <w:divsChild>
                                    <w:div w:id="1070544922">
                                      <w:marLeft w:val="0"/>
                                      <w:marRight w:val="0"/>
                                      <w:marTop w:val="0"/>
                                      <w:marBottom w:val="0"/>
                                      <w:divBdr>
                                        <w:top w:val="none" w:sz="0" w:space="0" w:color="auto"/>
                                        <w:left w:val="none" w:sz="0" w:space="0" w:color="auto"/>
                                        <w:bottom w:val="none" w:sz="0" w:space="0" w:color="auto"/>
                                        <w:right w:val="none" w:sz="0" w:space="0" w:color="auto"/>
                                      </w:divBdr>
                                      <w:divsChild>
                                        <w:div w:id="922227918">
                                          <w:marLeft w:val="0"/>
                                          <w:marRight w:val="0"/>
                                          <w:marTop w:val="0"/>
                                          <w:marBottom w:val="0"/>
                                          <w:divBdr>
                                            <w:top w:val="none" w:sz="0" w:space="0" w:color="auto"/>
                                            <w:left w:val="none" w:sz="0" w:space="0" w:color="auto"/>
                                            <w:bottom w:val="none" w:sz="0" w:space="0" w:color="auto"/>
                                            <w:right w:val="none" w:sz="0" w:space="0" w:color="auto"/>
                                          </w:divBdr>
                                          <w:divsChild>
                                            <w:div w:id="510484468">
                                              <w:marLeft w:val="0"/>
                                              <w:marRight w:val="0"/>
                                              <w:marTop w:val="0"/>
                                              <w:marBottom w:val="0"/>
                                              <w:divBdr>
                                                <w:top w:val="none" w:sz="0" w:space="0" w:color="auto"/>
                                                <w:left w:val="none" w:sz="0" w:space="0" w:color="auto"/>
                                                <w:bottom w:val="none" w:sz="0" w:space="0" w:color="auto"/>
                                                <w:right w:val="none" w:sz="0" w:space="0" w:color="auto"/>
                                              </w:divBdr>
                                            </w:div>
                                          </w:divsChild>
                                        </w:div>
                                        <w:div w:id="360402587">
                                          <w:marLeft w:val="0"/>
                                          <w:marRight w:val="0"/>
                                          <w:marTop w:val="0"/>
                                          <w:marBottom w:val="0"/>
                                          <w:divBdr>
                                            <w:top w:val="none" w:sz="0" w:space="0" w:color="auto"/>
                                            <w:left w:val="none" w:sz="0" w:space="0" w:color="auto"/>
                                            <w:bottom w:val="none" w:sz="0" w:space="0" w:color="auto"/>
                                            <w:right w:val="none" w:sz="0" w:space="0" w:color="auto"/>
                                          </w:divBdr>
                                          <w:divsChild>
                                            <w:div w:id="662778695">
                                              <w:marLeft w:val="0"/>
                                              <w:marRight w:val="0"/>
                                              <w:marTop w:val="0"/>
                                              <w:marBottom w:val="0"/>
                                              <w:divBdr>
                                                <w:top w:val="none" w:sz="0" w:space="0" w:color="auto"/>
                                                <w:left w:val="none" w:sz="0" w:space="0" w:color="auto"/>
                                                <w:bottom w:val="none" w:sz="0" w:space="0" w:color="auto"/>
                                                <w:right w:val="none" w:sz="0" w:space="0" w:color="auto"/>
                                              </w:divBdr>
                                              <w:divsChild>
                                                <w:div w:id="299648366">
                                                  <w:marLeft w:val="0"/>
                                                  <w:marRight w:val="0"/>
                                                  <w:marTop w:val="0"/>
                                                  <w:marBottom w:val="0"/>
                                                  <w:divBdr>
                                                    <w:top w:val="none" w:sz="0" w:space="0" w:color="auto"/>
                                                    <w:left w:val="none" w:sz="0" w:space="0" w:color="auto"/>
                                                    <w:bottom w:val="none" w:sz="0" w:space="0" w:color="auto"/>
                                                    <w:right w:val="none" w:sz="0" w:space="0" w:color="auto"/>
                                                  </w:divBdr>
                                                  <w:divsChild>
                                                    <w:div w:id="459735718">
                                                      <w:marLeft w:val="0"/>
                                                      <w:marRight w:val="0"/>
                                                      <w:marTop w:val="0"/>
                                                      <w:marBottom w:val="0"/>
                                                      <w:divBdr>
                                                        <w:top w:val="none" w:sz="0" w:space="0" w:color="auto"/>
                                                        <w:left w:val="none" w:sz="0" w:space="0" w:color="auto"/>
                                                        <w:bottom w:val="none" w:sz="0" w:space="0" w:color="auto"/>
                                                        <w:right w:val="none" w:sz="0" w:space="0" w:color="auto"/>
                                                      </w:divBdr>
                                                      <w:divsChild>
                                                        <w:div w:id="1397507518">
                                                          <w:marLeft w:val="0"/>
                                                          <w:marRight w:val="0"/>
                                                          <w:marTop w:val="0"/>
                                                          <w:marBottom w:val="0"/>
                                                          <w:divBdr>
                                                            <w:top w:val="none" w:sz="0" w:space="0" w:color="auto"/>
                                                            <w:left w:val="none" w:sz="0" w:space="0" w:color="auto"/>
                                                            <w:bottom w:val="none" w:sz="0" w:space="0" w:color="auto"/>
                                                            <w:right w:val="none" w:sz="0" w:space="0" w:color="auto"/>
                                                          </w:divBdr>
                                                          <w:divsChild>
                                                            <w:div w:id="71296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4479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19967585">
          <w:marLeft w:val="0"/>
          <w:marRight w:val="0"/>
          <w:marTop w:val="0"/>
          <w:marBottom w:val="0"/>
          <w:divBdr>
            <w:top w:val="none" w:sz="0" w:space="0" w:color="auto"/>
            <w:left w:val="none" w:sz="0" w:space="0" w:color="auto"/>
            <w:bottom w:val="none" w:sz="0" w:space="0" w:color="auto"/>
            <w:right w:val="none" w:sz="0" w:space="0" w:color="auto"/>
          </w:divBdr>
          <w:divsChild>
            <w:div w:id="1863083552">
              <w:marLeft w:val="0"/>
              <w:marRight w:val="0"/>
              <w:marTop w:val="0"/>
              <w:marBottom w:val="0"/>
              <w:divBdr>
                <w:top w:val="none" w:sz="0" w:space="0" w:color="auto"/>
                <w:left w:val="none" w:sz="0" w:space="0" w:color="auto"/>
                <w:bottom w:val="none" w:sz="0" w:space="0" w:color="auto"/>
                <w:right w:val="none" w:sz="0" w:space="0" w:color="auto"/>
              </w:divBdr>
              <w:divsChild>
                <w:div w:id="742289599">
                  <w:marLeft w:val="0"/>
                  <w:marRight w:val="0"/>
                  <w:marTop w:val="0"/>
                  <w:marBottom w:val="0"/>
                  <w:divBdr>
                    <w:top w:val="none" w:sz="0" w:space="0" w:color="auto"/>
                    <w:left w:val="none" w:sz="0" w:space="0" w:color="auto"/>
                    <w:bottom w:val="none" w:sz="0" w:space="0" w:color="auto"/>
                    <w:right w:val="none" w:sz="0" w:space="0" w:color="auto"/>
                  </w:divBdr>
                  <w:divsChild>
                    <w:div w:id="409549235">
                      <w:marLeft w:val="0"/>
                      <w:marRight w:val="0"/>
                      <w:marTop w:val="0"/>
                      <w:marBottom w:val="0"/>
                      <w:divBdr>
                        <w:top w:val="none" w:sz="0" w:space="0" w:color="auto"/>
                        <w:left w:val="none" w:sz="0" w:space="0" w:color="auto"/>
                        <w:bottom w:val="none" w:sz="0" w:space="0" w:color="auto"/>
                        <w:right w:val="none" w:sz="0" w:space="0" w:color="auto"/>
                      </w:divBdr>
                      <w:divsChild>
                        <w:div w:id="1523130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8057723">
      <w:bodyDiv w:val="1"/>
      <w:marLeft w:val="0"/>
      <w:marRight w:val="0"/>
      <w:marTop w:val="0"/>
      <w:marBottom w:val="0"/>
      <w:divBdr>
        <w:top w:val="none" w:sz="0" w:space="0" w:color="auto"/>
        <w:left w:val="none" w:sz="0" w:space="0" w:color="auto"/>
        <w:bottom w:val="none" w:sz="0" w:space="0" w:color="auto"/>
        <w:right w:val="none" w:sz="0" w:space="0" w:color="auto"/>
      </w:divBdr>
      <w:divsChild>
        <w:div w:id="32554843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75179262">
      <w:bodyDiv w:val="1"/>
      <w:marLeft w:val="0"/>
      <w:marRight w:val="0"/>
      <w:marTop w:val="0"/>
      <w:marBottom w:val="0"/>
      <w:divBdr>
        <w:top w:val="none" w:sz="0" w:space="0" w:color="auto"/>
        <w:left w:val="none" w:sz="0" w:space="0" w:color="auto"/>
        <w:bottom w:val="none" w:sz="0" w:space="0" w:color="auto"/>
        <w:right w:val="none" w:sz="0" w:space="0" w:color="auto"/>
      </w:divBdr>
      <w:divsChild>
        <w:div w:id="1129711487">
          <w:marLeft w:val="0"/>
          <w:marRight w:val="0"/>
          <w:marTop w:val="0"/>
          <w:marBottom w:val="0"/>
          <w:divBdr>
            <w:top w:val="none" w:sz="0" w:space="0" w:color="auto"/>
            <w:left w:val="none" w:sz="0" w:space="0" w:color="auto"/>
            <w:bottom w:val="none" w:sz="0" w:space="0" w:color="auto"/>
            <w:right w:val="none" w:sz="0" w:space="0" w:color="auto"/>
          </w:divBdr>
          <w:divsChild>
            <w:div w:id="2023581461">
              <w:marLeft w:val="0"/>
              <w:marRight w:val="0"/>
              <w:marTop w:val="0"/>
              <w:marBottom w:val="0"/>
              <w:divBdr>
                <w:top w:val="none" w:sz="0" w:space="0" w:color="auto"/>
                <w:left w:val="none" w:sz="0" w:space="0" w:color="auto"/>
                <w:bottom w:val="none" w:sz="0" w:space="0" w:color="auto"/>
                <w:right w:val="none" w:sz="0" w:space="0" w:color="auto"/>
              </w:divBdr>
              <w:divsChild>
                <w:div w:id="1097560705">
                  <w:marLeft w:val="0"/>
                  <w:marRight w:val="0"/>
                  <w:marTop w:val="0"/>
                  <w:marBottom w:val="0"/>
                  <w:divBdr>
                    <w:top w:val="none" w:sz="0" w:space="0" w:color="auto"/>
                    <w:left w:val="none" w:sz="0" w:space="0" w:color="auto"/>
                    <w:bottom w:val="none" w:sz="0" w:space="0" w:color="auto"/>
                    <w:right w:val="none" w:sz="0" w:space="0" w:color="auto"/>
                  </w:divBdr>
                  <w:divsChild>
                    <w:div w:id="617376220">
                      <w:marLeft w:val="0"/>
                      <w:marRight w:val="0"/>
                      <w:marTop w:val="0"/>
                      <w:marBottom w:val="0"/>
                      <w:divBdr>
                        <w:top w:val="none" w:sz="0" w:space="0" w:color="auto"/>
                        <w:left w:val="none" w:sz="0" w:space="0" w:color="auto"/>
                        <w:bottom w:val="none" w:sz="0" w:space="0" w:color="auto"/>
                        <w:right w:val="none" w:sz="0" w:space="0" w:color="auto"/>
                      </w:divBdr>
                      <w:divsChild>
                        <w:div w:id="774137314">
                          <w:marLeft w:val="0"/>
                          <w:marRight w:val="0"/>
                          <w:marTop w:val="0"/>
                          <w:marBottom w:val="0"/>
                          <w:divBdr>
                            <w:top w:val="none" w:sz="0" w:space="0" w:color="auto"/>
                            <w:left w:val="none" w:sz="0" w:space="0" w:color="auto"/>
                            <w:bottom w:val="none" w:sz="0" w:space="0" w:color="auto"/>
                            <w:right w:val="none" w:sz="0" w:space="0" w:color="auto"/>
                          </w:divBdr>
                          <w:divsChild>
                            <w:div w:id="1758676631">
                              <w:marLeft w:val="0"/>
                              <w:marRight w:val="0"/>
                              <w:marTop w:val="0"/>
                              <w:marBottom w:val="0"/>
                              <w:divBdr>
                                <w:top w:val="none" w:sz="0" w:space="0" w:color="auto"/>
                                <w:left w:val="none" w:sz="0" w:space="0" w:color="auto"/>
                                <w:bottom w:val="none" w:sz="0" w:space="0" w:color="auto"/>
                                <w:right w:val="none" w:sz="0" w:space="0" w:color="auto"/>
                              </w:divBdr>
                              <w:divsChild>
                                <w:div w:id="851381088">
                                  <w:marLeft w:val="0"/>
                                  <w:marRight w:val="0"/>
                                  <w:marTop w:val="0"/>
                                  <w:marBottom w:val="0"/>
                                  <w:divBdr>
                                    <w:top w:val="none" w:sz="0" w:space="0" w:color="auto"/>
                                    <w:left w:val="none" w:sz="0" w:space="0" w:color="auto"/>
                                    <w:bottom w:val="none" w:sz="0" w:space="0" w:color="auto"/>
                                    <w:right w:val="none" w:sz="0" w:space="0" w:color="auto"/>
                                  </w:divBdr>
                                  <w:divsChild>
                                    <w:div w:id="4095593">
                                      <w:marLeft w:val="0"/>
                                      <w:marRight w:val="0"/>
                                      <w:marTop w:val="0"/>
                                      <w:marBottom w:val="0"/>
                                      <w:divBdr>
                                        <w:top w:val="none" w:sz="0" w:space="0" w:color="auto"/>
                                        <w:left w:val="none" w:sz="0" w:space="0" w:color="auto"/>
                                        <w:bottom w:val="none" w:sz="0" w:space="0" w:color="auto"/>
                                        <w:right w:val="none" w:sz="0" w:space="0" w:color="auto"/>
                                      </w:divBdr>
                                      <w:divsChild>
                                        <w:div w:id="822700925">
                                          <w:marLeft w:val="0"/>
                                          <w:marRight w:val="0"/>
                                          <w:marTop w:val="0"/>
                                          <w:marBottom w:val="0"/>
                                          <w:divBdr>
                                            <w:top w:val="none" w:sz="0" w:space="0" w:color="auto"/>
                                            <w:left w:val="none" w:sz="0" w:space="0" w:color="auto"/>
                                            <w:bottom w:val="none" w:sz="0" w:space="0" w:color="auto"/>
                                            <w:right w:val="none" w:sz="0" w:space="0" w:color="auto"/>
                                          </w:divBdr>
                                          <w:divsChild>
                                            <w:div w:id="1285423135">
                                              <w:marLeft w:val="0"/>
                                              <w:marRight w:val="0"/>
                                              <w:marTop w:val="0"/>
                                              <w:marBottom w:val="0"/>
                                              <w:divBdr>
                                                <w:top w:val="none" w:sz="0" w:space="0" w:color="auto"/>
                                                <w:left w:val="none" w:sz="0" w:space="0" w:color="auto"/>
                                                <w:bottom w:val="none" w:sz="0" w:space="0" w:color="auto"/>
                                                <w:right w:val="none" w:sz="0" w:space="0" w:color="auto"/>
                                              </w:divBdr>
                                            </w:div>
                                          </w:divsChild>
                                        </w:div>
                                        <w:div w:id="1379283378">
                                          <w:marLeft w:val="0"/>
                                          <w:marRight w:val="0"/>
                                          <w:marTop w:val="0"/>
                                          <w:marBottom w:val="0"/>
                                          <w:divBdr>
                                            <w:top w:val="none" w:sz="0" w:space="0" w:color="auto"/>
                                            <w:left w:val="none" w:sz="0" w:space="0" w:color="auto"/>
                                            <w:bottom w:val="none" w:sz="0" w:space="0" w:color="auto"/>
                                            <w:right w:val="none" w:sz="0" w:space="0" w:color="auto"/>
                                          </w:divBdr>
                                          <w:divsChild>
                                            <w:div w:id="182474770">
                                              <w:marLeft w:val="0"/>
                                              <w:marRight w:val="0"/>
                                              <w:marTop w:val="0"/>
                                              <w:marBottom w:val="0"/>
                                              <w:divBdr>
                                                <w:top w:val="none" w:sz="0" w:space="0" w:color="auto"/>
                                                <w:left w:val="none" w:sz="0" w:space="0" w:color="auto"/>
                                                <w:bottom w:val="none" w:sz="0" w:space="0" w:color="auto"/>
                                                <w:right w:val="none" w:sz="0" w:space="0" w:color="auto"/>
                                              </w:divBdr>
                                              <w:divsChild>
                                                <w:div w:id="1032266765">
                                                  <w:marLeft w:val="0"/>
                                                  <w:marRight w:val="0"/>
                                                  <w:marTop w:val="0"/>
                                                  <w:marBottom w:val="0"/>
                                                  <w:divBdr>
                                                    <w:top w:val="none" w:sz="0" w:space="0" w:color="auto"/>
                                                    <w:left w:val="none" w:sz="0" w:space="0" w:color="auto"/>
                                                    <w:bottom w:val="none" w:sz="0" w:space="0" w:color="auto"/>
                                                    <w:right w:val="none" w:sz="0" w:space="0" w:color="auto"/>
                                                  </w:divBdr>
                                                  <w:divsChild>
                                                    <w:div w:id="1589774044">
                                                      <w:marLeft w:val="0"/>
                                                      <w:marRight w:val="0"/>
                                                      <w:marTop w:val="0"/>
                                                      <w:marBottom w:val="0"/>
                                                      <w:divBdr>
                                                        <w:top w:val="none" w:sz="0" w:space="0" w:color="auto"/>
                                                        <w:left w:val="none" w:sz="0" w:space="0" w:color="auto"/>
                                                        <w:bottom w:val="none" w:sz="0" w:space="0" w:color="auto"/>
                                                        <w:right w:val="none" w:sz="0" w:space="0" w:color="auto"/>
                                                      </w:divBdr>
                                                      <w:divsChild>
                                                        <w:div w:id="1447967527">
                                                          <w:marLeft w:val="0"/>
                                                          <w:marRight w:val="0"/>
                                                          <w:marTop w:val="0"/>
                                                          <w:marBottom w:val="0"/>
                                                          <w:divBdr>
                                                            <w:top w:val="none" w:sz="0" w:space="0" w:color="auto"/>
                                                            <w:left w:val="none" w:sz="0" w:space="0" w:color="auto"/>
                                                            <w:bottom w:val="none" w:sz="0" w:space="0" w:color="auto"/>
                                                            <w:right w:val="none" w:sz="0" w:space="0" w:color="auto"/>
                                                          </w:divBdr>
                                                          <w:divsChild>
                                                            <w:div w:id="1191843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3530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4356343">
          <w:marLeft w:val="0"/>
          <w:marRight w:val="0"/>
          <w:marTop w:val="0"/>
          <w:marBottom w:val="0"/>
          <w:divBdr>
            <w:top w:val="none" w:sz="0" w:space="0" w:color="auto"/>
            <w:left w:val="none" w:sz="0" w:space="0" w:color="auto"/>
            <w:bottom w:val="none" w:sz="0" w:space="0" w:color="auto"/>
            <w:right w:val="none" w:sz="0" w:space="0" w:color="auto"/>
          </w:divBdr>
          <w:divsChild>
            <w:div w:id="758529101">
              <w:marLeft w:val="0"/>
              <w:marRight w:val="0"/>
              <w:marTop w:val="0"/>
              <w:marBottom w:val="0"/>
              <w:divBdr>
                <w:top w:val="none" w:sz="0" w:space="0" w:color="auto"/>
                <w:left w:val="none" w:sz="0" w:space="0" w:color="auto"/>
                <w:bottom w:val="none" w:sz="0" w:space="0" w:color="auto"/>
                <w:right w:val="none" w:sz="0" w:space="0" w:color="auto"/>
              </w:divBdr>
              <w:divsChild>
                <w:div w:id="385033009">
                  <w:marLeft w:val="0"/>
                  <w:marRight w:val="0"/>
                  <w:marTop w:val="0"/>
                  <w:marBottom w:val="0"/>
                  <w:divBdr>
                    <w:top w:val="none" w:sz="0" w:space="0" w:color="auto"/>
                    <w:left w:val="none" w:sz="0" w:space="0" w:color="auto"/>
                    <w:bottom w:val="none" w:sz="0" w:space="0" w:color="auto"/>
                    <w:right w:val="none" w:sz="0" w:space="0" w:color="auto"/>
                  </w:divBdr>
                  <w:divsChild>
                    <w:div w:id="1201894539">
                      <w:marLeft w:val="0"/>
                      <w:marRight w:val="0"/>
                      <w:marTop w:val="0"/>
                      <w:marBottom w:val="0"/>
                      <w:divBdr>
                        <w:top w:val="none" w:sz="0" w:space="0" w:color="auto"/>
                        <w:left w:val="none" w:sz="0" w:space="0" w:color="auto"/>
                        <w:bottom w:val="none" w:sz="0" w:space="0" w:color="auto"/>
                        <w:right w:val="none" w:sz="0" w:space="0" w:color="auto"/>
                      </w:divBdr>
                      <w:divsChild>
                        <w:div w:id="598879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1697724">
      <w:bodyDiv w:val="1"/>
      <w:marLeft w:val="0"/>
      <w:marRight w:val="0"/>
      <w:marTop w:val="0"/>
      <w:marBottom w:val="0"/>
      <w:divBdr>
        <w:top w:val="none" w:sz="0" w:space="0" w:color="auto"/>
        <w:left w:val="none" w:sz="0" w:space="0" w:color="auto"/>
        <w:bottom w:val="none" w:sz="0" w:space="0" w:color="auto"/>
        <w:right w:val="none" w:sz="0" w:space="0" w:color="auto"/>
      </w:divBdr>
      <w:divsChild>
        <w:div w:id="5276408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72107844">
      <w:bodyDiv w:val="1"/>
      <w:marLeft w:val="0"/>
      <w:marRight w:val="0"/>
      <w:marTop w:val="0"/>
      <w:marBottom w:val="0"/>
      <w:divBdr>
        <w:top w:val="none" w:sz="0" w:space="0" w:color="auto"/>
        <w:left w:val="none" w:sz="0" w:space="0" w:color="auto"/>
        <w:bottom w:val="none" w:sz="0" w:space="0" w:color="auto"/>
        <w:right w:val="none" w:sz="0" w:space="0" w:color="auto"/>
      </w:divBdr>
      <w:divsChild>
        <w:div w:id="174452374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72901942">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1020014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63245871">
      <w:bodyDiv w:val="1"/>
      <w:marLeft w:val="0"/>
      <w:marRight w:val="0"/>
      <w:marTop w:val="0"/>
      <w:marBottom w:val="0"/>
      <w:divBdr>
        <w:top w:val="none" w:sz="0" w:space="0" w:color="auto"/>
        <w:left w:val="none" w:sz="0" w:space="0" w:color="auto"/>
        <w:bottom w:val="none" w:sz="0" w:space="0" w:color="auto"/>
        <w:right w:val="none" w:sz="0" w:space="0" w:color="auto"/>
      </w:divBdr>
      <w:divsChild>
        <w:div w:id="1773931823">
          <w:marLeft w:val="274"/>
          <w:marRight w:val="0"/>
          <w:marTop w:val="150"/>
          <w:marBottom w:val="0"/>
          <w:divBdr>
            <w:top w:val="none" w:sz="0" w:space="0" w:color="auto"/>
            <w:left w:val="none" w:sz="0" w:space="0" w:color="auto"/>
            <w:bottom w:val="none" w:sz="0" w:space="0" w:color="auto"/>
            <w:right w:val="none" w:sz="0" w:space="0" w:color="auto"/>
          </w:divBdr>
        </w:div>
      </w:divsChild>
    </w:div>
    <w:div w:id="1363483798">
      <w:bodyDiv w:val="1"/>
      <w:marLeft w:val="0"/>
      <w:marRight w:val="0"/>
      <w:marTop w:val="0"/>
      <w:marBottom w:val="0"/>
      <w:divBdr>
        <w:top w:val="none" w:sz="0" w:space="0" w:color="auto"/>
        <w:left w:val="none" w:sz="0" w:space="0" w:color="auto"/>
        <w:bottom w:val="none" w:sz="0" w:space="0" w:color="auto"/>
        <w:right w:val="none" w:sz="0" w:space="0" w:color="auto"/>
      </w:divBdr>
    </w:div>
    <w:div w:id="1513108034">
      <w:bodyDiv w:val="1"/>
      <w:marLeft w:val="0"/>
      <w:marRight w:val="0"/>
      <w:marTop w:val="0"/>
      <w:marBottom w:val="0"/>
      <w:divBdr>
        <w:top w:val="none" w:sz="0" w:space="0" w:color="auto"/>
        <w:left w:val="none" w:sz="0" w:space="0" w:color="auto"/>
        <w:bottom w:val="none" w:sz="0" w:space="0" w:color="auto"/>
        <w:right w:val="none" w:sz="0" w:space="0" w:color="auto"/>
      </w:divBdr>
      <w:divsChild>
        <w:div w:id="15628604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26014964">
      <w:bodyDiv w:val="1"/>
      <w:marLeft w:val="0"/>
      <w:marRight w:val="0"/>
      <w:marTop w:val="0"/>
      <w:marBottom w:val="0"/>
      <w:divBdr>
        <w:top w:val="none" w:sz="0" w:space="0" w:color="auto"/>
        <w:left w:val="none" w:sz="0" w:space="0" w:color="auto"/>
        <w:bottom w:val="none" w:sz="0" w:space="0" w:color="auto"/>
        <w:right w:val="none" w:sz="0" w:space="0" w:color="auto"/>
      </w:divBdr>
    </w:div>
    <w:div w:id="1536845491">
      <w:bodyDiv w:val="1"/>
      <w:marLeft w:val="0"/>
      <w:marRight w:val="0"/>
      <w:marTop w:val="0"/>
      <w:marBottom w:val="0"/>
      <w:divBdr>
        <w:top w:val="none" w:sz="0" w:space="0" w:color="auto"/>
        <w:left w:val="none" w:sz="0" w:space="0" w:color="auto"/>
        <w:bottom w:val="none" w:sz="0" w:space="0" w:color="auto"/>
        <w:right w:val="none" w:sz="0" w:space="0" w:color="auto"/>
      </w:divBdr>
      <w:divsChild>
        <w:div w:id="483281792">
          <w:marLeft w:val="274"/>
          <w:marRight w:val="0"/>
          <w:marTop w:val="150"/>
          <w:marBottom w:val="0"/>
          <w:divBdr>
            <w:top w:val="none" w:sz="0" w:space="0" w:color="auto"/>
            <w:left w:val="none" w:sz="0" w:space="0" w:color="auto"/>
            <w:bottom w:val="none" w:sz="0" w:space="0" w:color="auto"/>
            <w:right w:val="none" w:sz="0" w:space="0" w:color="auto"/>
          </w:divBdr>
        </w:div>
        <w:div w:id="1102920129">
          <w:marLeft w:val="274"/>
          <w:marRight w:val="0"/>
          <w:marTop w:val="150"/>
          <w:marBottom w:val="0"/>
          <w:divBdr>
            <w:top w:val="none" w:sz="0" w:space="0" w:color="auto"/>
            <w:left w:val="none" w:sz="0" w:space="0" w:color="auto"/>
            <w:bottom w:val="none" w:sz="0" w:space="0" w:color="auto"/>
            <w:right w:val="none" w:sz="0" w:space="0" w:color="auto"/>
          </w:divBdr>
        </w:div>
        <w:div w:id="1451127823">
          <w:marLeft w:val="274"/>
          <w:marRight w:val="0"/>
          <w:marTop w:val="150"/>
          <w:marBottom w:val="0"/>
          <w:divBdr>
            <w:top w:val="none" w:sz="0" w:space="0" w:color="auto"/>
            <w:left w:val="none" w:sz="0" w:space="0" w:color="auto"/>
            <w:bottom w:val="none" w:sz="0" w:space="0" w:color="auto"/>
            <w:right w:val="none" w:sz="0" w:space="0" w:color="auto"/>
          </w:divBdr>
        </w:div>
        <w:div w:id="2088569309">
          <w:marLeft w:val="274"/>
          <w:marRight w:val="0"/>
          <w:marTop w:val="150"/>
          <w:marBottom w:val="0"/>
          <w:divBdr>
            <w:top w:val="none" w:sz="0" w:space="0" w:color="auto"/>
            <w:left w:val="none" w:sz="0" w:space="0" w:color="auto"/>
            <w:bottom w:val="none" w:sz="0" w:space="0" w:color="auto"/>
            <w:right w:val="none" w:sz="0" w:space="0" w:color="auto"/>
          </w:divBdr>
        </w:div>
      </w:divsChild>
    </w:div>
    <w:div w:id="1702322805">
      <w:bodyDiv w:val="1"/>
      <w:marLeft w:val="0"/>
      <w:marRight w:val="0"/>
      <w:marTop w:val="0"/>
      <w:marBottom w:val="0"/>
      <w:divBdr>
        <w:top w:val="none" w:sz="0" w:space="0" w:color="auto"/>
        <w:left w:val="none" w:sz="0" w:space="0" w:color="auto"/>
        <w:bottom w:val="none" w:sz="0" w:space="0" w:color="auto"/>
        <w:right w:val="none" w:sz="0" w:space="0" w:color="auto"/>
      </w:divBdr>
    </w:div>
    <w:div w:id="1748116762">
      <w:bodyDiv w:val="1"/>
      <w:marLeft w:val="0"/>
      <w:marRight w:val="0"/>
      <w:marTop w:val="0"/>
      <w:marBottom w:val="0"/>
      <w:divBdr>
        <w:top w:val="none" w:sz="0" w:space="0" w:color="auto"/>
        <w:left w:val="none" w:sz="0" w:space="0" w:color="auto"/>
        <w:bottom w:val="none" w:sz="0" w:space="0" w:color="auto"/>
        <w:right w:val="none" w:sz="0" w:space="0" w:color="auto"/>
      </w:divBdr>
      <w:divsChild>
        <w:div w:id="1430345078">
          <w:marLeft w:val="274"/>
          <w:marRight w:val="0"/>
          <w:marTop w:val="150"/>
          <w:marBottom w:val="0"/>
          <w:divBdr>
            <w:top w:val="none" w:sz="0" w:space="0" w:color="auto"/>
            <w:left w:val="none" w:sz="0" w:space="0" w:color="auto"/>
            <w:bottom w:val="none" w:sz="0" w:space="0" w:color="auto"/>
            <w:right w:val="none" w:sz="0" w:space="0" w:color="auto"/>
          </w:divBdr>
        </w:div>
        <w:div w:id="1887519862">
          <w:marLeft w:val="274"/>
          <w:marRight w:val="0"/>
          <w:marTop w:val="150"/>
          <w:marBottom w:val="0"/>
          <w:divBdr>
            <w:top w:val="none" w:sz="0" w:space="0" w:color="auto"/>
            <w:left w:val="none" w:sz="0" w:space="0" w:color="auto"/>
            <w:bottom w:val="none" w:sz="0" w:space="0" w:color="auto"/>
            <w:right w:val="none" w:sz="0" w:space="0" w:color="auto"/>
          </w:divBdr>
        </w:div>
        <w:div w:id="1024399900">
          <w:marLeft w:val="274"/>
          <w:marRight w:val="0"/>
          <w:marTop w:val="150"/>
          <w:marBottom w:val="0"/>
          <w:divBdr>
            <w:top w:val="none" w:sz="0" w:space="0" w:color="auto"/>
            <w:left w:val="none" w:sz="0" w:space="0" w:color="auto"/>
            <w:bottom w:val="none" w:sz="0" w:space="0" w:color="auto"/>
            <w:right w:val="none" w:sz="0" w:space="0" w:color="auto"/>
          </w:divBdr>
        </w:div>
        <w:div w:id="44377560">
          <w:marLeft w:val="274"/>
          <w:marRight w:val="0"/>
          <w:marTop w:val="150"/>
          <w:marBottom w:val="0"/>
          <w:divBdr>
            <w:top w:val="none" w:sz="0" w:space="0" w:color="auto"/>
            <w:left w:val="none" w:sz="0" w:space="0" w:color="auto"/>
            <w:bottom w:val="none" w:sz="0" w:space="0" w:color="auto"/>
            <w:right w:val="none" w:sz="0" w:space="0" w:color="auto"/>
          </w:divBdr>
        </w:div>
      </w:divsChild>
    </w:div>
    <w:div w:id="1755122781">
      <w:bodyDiv w:val="1"/>
      <w:marLeft w:val="0"/>
      <w:marRight w:val="0"/>
      <w:marTop w:val="0"/>
      <w:marBottom w:val="0"/>
      <w:divBdr>
        <w:top w:val="none" w:sz="0" w:space="0" w:color="auto"/>
        <w:left w:val="none" w:sz="0" w:space="0" w:color="auto"/>
        <w:bottom w:val="none" w:sz="0" w:space="0" w:color="auto"/>
        <w:right w:val="none" w:sz="0" w:space="0" w:color="auto"/>
      </w:divBdr>
    </w:div>
    <w:div w:id="1810242857">
      <w:bodyDiv w:val="1"/>
      <w:marLeft w:val="0"/>
      <w:marRight w:val="0"/>
      <w:marTop w:val="0"/>
      <w:marBottom w:val="0"/>
      <w:divBdr>
        <w:top w:val="none" w:sz="0" w:space="0" w:color="auto"/>
        <w:left w:val="none" w:sz="0" w:space="0" w:color="auto"/>
        <w:bottom w:val="none" w:sz="0" w:space="0" w:color="auto"/>
        <w:right w:val="none" w:sz="0" w:space="0" w:color="auto"/>
      </w:divBdr>
      <w:divsChild>
        <w:div w:id="40888825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39618936">
      <w:bodyDiv w:val="1"/>
      <w:marLeft w:val="0"/>
      <w:marRight w:val="0"/>
      <w:marTop w:val="0"/>
      <w:marBottom w:val="0"/>
      <w:divBdr>
        <w:top w:val="none" w:sz="0" w:space="0" w:color="auto"/>
        <w:left w:val="none" w:sz="0" w:space="0" w:color="auto"/>
        <w:bottom w:val="none" w:sz="0" w:space="0" w:color="auto"/>
        <w:right w:val="none" w:sz="0" w:space="0" w:color="auto"/>
      </w:divBdr>
    </w:div>
    <w:div w:id="1864827383">
      <w:bodyDiv w:val="1"/>
      <w:marLeft w:val="0"/>
      <w:marRight w:val="0"/>
      <w:marTop w:val="0"/>
      <w:marBottom w:val="0"/>
      <w:divBdr>
        <w:top w:val="none" w:sz="0" w:space="0" w:color="auto"/>
        <w:left w:val="none" w:sz="0" w:space="0" w:color="auto"/>
        <w:bottom w:val="none" w:sz="0" w:space="0" w:color="auto"/>
        <w:right w:val="none" w:sz="0" w:space="0" w:color="auto"/>
      </w:divBdr>
      <w:divsChild>
        <w:div w:id="90880517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95047282">
      <w:bodyDiv w:val="1"/>
      <w:marLeft w:val="0"/>
      <w:marRight w:val="0"/>
      <w:marTop w:val="0"/>
      <w:marBottom w:val="0"/>
      <w:divBdr>
        <w:top w:val="none" w:sz="0" w:space="0" w:color="auto"/>
        <w:left w:val="none" w:sz="0" w:space="0" w:color="auto"/>
        <w:bottom w:val="none" w:sz="0" w:space="0" w:color="auto"/>
        <w:right w:val="none" w:sz="0" w:space="0" w:color="auto"/>
      </w:divBdr>
    </w:div>
    <w:div w:id="1935431363">
      <w:bodyDiv w:val="1"/>
      <w:marLeft w:val="0"/>
      <w:marRight w:val="0"/>
      <w:marTop w:val="0"/>
      <w:marBottom w:val="0"/>
      <w:divBdr>
        <w:top w:val="none" w:sz="0" w:space="0" w:color="auto"/>
        <w:left w:val="none" w:sz="0" w:space="0" w:color="auto"/>
        <w:bottom w:val="none" w:sz="0" w:space="0" w:color="auto"/>
        <w:right w:val="none" w:sz="0" w:space="0" w:color="auto"/>
      </w:divBdr>
    </w:div>
    <w:div w:id="1997956092">
      <w:bodyDiv w:val="1"/>
      <w:marLeft w:val="0"/>
      <w:marRight w:val="0"/>
      <w:marTop w:val="0"/>
      <w:marBottom w:val="0"/>
      <w:divBdr>
        <w:top w:val="none" w:sz="0" w:space="0" w:color="auto"/>
        <w:left w:val="none" w:sz="0" w:space="0" w:color="auto"/>
        <w:bottom w:val="none" w:sz="0" w:space="0" w:color="auto"/>
        <w:right w:val="none" w:sz="0" w:space="0" w:color="auto"/>
      </w:divBdr>
      <w:divsChild>
        <w:div w:id="155669463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4427958">
      <w:bodyDiv w:val="1"/>
      <w:marLeft w:val="0"/>
      <w:marRight w:val="0"/>
      <w:marTop w:val="0"/>
      <w:marBottom w:val="0"/>
      <w:divBdr>
        <w:top w:val="none" w:sz="0" w:space="0" w:color="auto"/>
        <w:left w:val="none" w:sz="0" w:space="0" w:color="auto"/>
        <w:bottom w:val="none" w:sz="0" w:space="0" w:color="auto"/>
        <w:right w:val="none" w:sz="0" w:space="0" w:color="auto"/>
      </w:divBdr>
    </w:div>
    <w:div w:id="2105686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116720@student.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4</Pages>
  <Words>1081</Words>
  <Characters>6166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Abbie Watkins</cp:lastModifiedBy>
  <cp:revision>5</cp:revision>
  <cp:lastPrinted>2020-02-11T19:20:00Z</cp:lastPrinted>
  <dcterms:created xsi:type="dcterms:W3CDTF">2025-10-06T17:15:00Z</dcterms:created>
  <dcterms:modified xsi:type="dcterms:W3CDTF">2025-10-06T17:36:00Z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