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6B90D72F"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r w:rsidR="003B7A54">
        <w:t xml:space="preserve"> </w:t>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953FB2">
        <w:tc>
          <w:tcPr>
            <w:tcW w:w="10910" w:type="dxa"/>
            <w:shd w:val="clear" w:color="auto" w:fill="auto"/>
          </w:tcPr>
          <w:p w14:paraId="02F8EE88" w14:textId="3BE3391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3FB2">
              <w:rPr>
                <w:rFonts w:ascii="Times New Roman" w:hAnsi="Times New Roman" w:cs="Times New Roman"/>
                <w:b/>
                <w:color w:val="auto"/>
                <w:sz w:val="48"/>
              </w:rPr>
              <w:t>Seren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BBF0B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3FB2">
              <w:rPr>
                <w:rFonts w:ascii="Times New Roman" w:hAnsi="Times New Roman" w:cs="Times New Roman"/>
                <w:b/>
                <w:color w:val="auto"/>
                <w:sz w:val="48"/>
              </w:rPr>
              <w:t xml:space="preserve"> seren.edwards@yahoo.co.uk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650D1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3FB2">
              <w:rPr>
                <w:rFonts w:ascii="Times New Roman" w:hAnsi="Times New Roman" w:cs="Times New Roman"/>
                <w:b/>
                <w:color w:val="auto"/>
                <w:sz w:val="48"/>
              </w:rPr>
              <w:t xml:space="preserve"> 2223707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953FB2" w:rsidRDefault="000A584A">
            <w:pPr>
              <w:jc w:val="both"/>
              <w:rPr>
                <w:b/>
                <w:sz w:val="24"/>
                <w:szCs w:val="24"/>
              </w:rPr>
            </w:pPr>
            <w:r w:rsidRPr="00953FB2">
              <w:rPr>
                <w:b/>
                <w:sz w:val="24"/>
                <w:szCs w:val="24"/>
              </w:rPr>
              <w:t xml:space="preserve">Complete a critically reflective case study </w:t>
            </w:r>
            <w:r w:rsidR="00D0503D" w:rsidRPr="00953FB2">
              <w:rPr>
                <w:b/>
                <w:sz w:val="24"/>
                <w:szCs w:val="24"/>
              </w:rPr>
              <w:t>based</w:t>
            </w:r>
            <w:r w:rsidRPr="00953FB2">
              <w:rPr>
                <w:b/>
                <w:sz w:val="24"/>
                <w:szCs w:val="24"/>
              </w:rPr>
              <w:t xml:space="preserve"> on</w:t>
            </w:r>
            <w:r w:rsidR="00696A88" w:rsidRPr="00953FB2">
              <w:rPr>
                <w:b/>
                <w:sz w:val="24"/>
                <w:szCs w:val="24"/>
              </w:rPr>
              <w:t xml:space="preserve"> </w:t>
            </w:r>
            <w:r w:rsidR="00411EF7" w:rsidRPr="00953FB2">
              <w:rPr>
                <w:b/>
                <w:sz w:val="24"/>
                <w:szCs w:val="24"/>
              </w:rPr>
              <w:t>an assessment</w:t>
            </w:r>
            <w:r w:rsidR="007F312E" w:rsidRPr="00953FB2">
              <w:rPr>
                <w:b/>
                <w:sz w:val="24"/>
                <w:szCs w:val="24"/>
              </w:rPr>
              <w:t xml:space="preserve"> </w:t>
            </w:r>
            <w:r w:rsidR="007C5ABE" w:rsidRPr="00953FB2">
              <w:rPr>
                <w:b/>
                <w:sz w:val="24"/>
                <w:szCs w:val="24"/>
              </w:rPr>
              <w:t xml:space="preserve">that you have </w:t>
            </w:r>
            <w:r w:rsidRPr="00953FB2">
              <w:rPr>
                <w:b/>
                <w:sz w:val="24"/>
                <w:szCs w:val="24"/>
              </w:rPr>
              <w:t xml:space="preserve">undertaken with </w:t>
            </w:r>
            <w:r w:rsidR="00D0503D" w:rsidRPr="00953FB2">
              <w:rPr>
                <w:b/>
                <w:sz w:val="24"/>
                <w:szCs w:val="24"/>
              </w:rPr>
              <w:t>others,</w:t>
            </w:r>
            <w:r w:rsidR="00D0503D" w:rsidRPr="00953FB2">
              <w:rPr>
                <w:b/>
                <w:bCs/>
                <w:sz w:val="24"/>
                <w:szCs w:val="24"/>
              </w:rPr>
              <w:t xml:space="preserve"> </w:t>
            </w:r>
            <w:r w:rsidR="00D0503D" w:rsidRPr="00953FB2">
              <w:rPr>
                <w:b/>
                <w:sz w:val="24"/>
                <w:szCs w:val="24"/>
              </w:rPr>
              <w:t>in</w:t>
            </w:r>
            <w:r w:rsidR="0002440E" w:rsidRPr="00953FB2">
              <w:rPr>
                <w:b/>
                <w:sz w:val="24"/>
                <w:szCs w:val="24"/>
              </w:rPr>
              <w:t xml:space="preserve"> your own area of work</w:t>
            </w:r>
            <w:r w:rsidR="00D0503D" w:rsidRPr="00953FB2">
              <w:rPr>
                <w:b/>
                <w:sz w:val="24"/>
                <w:szCs w:val="24"/>
              </w:rPr>
              <w:t xml:space="preserve">, </w:t>
            </w:r>
            <w:r w:rsidR="00587923" w:rsidRPr="00953FB2">
              <w:rPr>
                <w:b/>
                <w:sz w:val="24"/>
                <w:szCs w:val="24"/>
              </w:rPr>
              <w:t>c</w:t>
            </w:r>
            <w:r w:rsidR="008B28E7" w:rsidRPr="00953FB2">
              <w:rPr>
                <w:b/>
                <w:sz w:val="24"/>
                <w:szCs w:val="24"/>
              </w:rPr>
              <w:t>oncerning the safeguarding of either an adult or a child</w:t>
            </w:r>
            <w:r w:rsidRPr="00953FB2">
              <w:rPr>
                <w:b/>
                <w:sz w:val="24"/>
                <w:szCs w:val="24"/>
              </w:rPr>
              <w:t xml:space="preserve">. </w:t>
            </w:r>
            <w:r w:rsidR="00216563" w:rsidRPr="00953FB2">
              <w:rPr>
                <w:b/>
                <w:sz w:val="24"/>
                <w:szCs w:val="24"/>
              </w:rPr>
              <w:t xml:space="preserve">You must demonstrate how </w:t>
            </w:r>
            <w:r w:rsidR="00F34C86" w:rsidRPr="00953FB2">
              <w:rPr>
                <w:b/>
                <w:sz w:val="24"/>
                <w:szCs w:val="24"/>
              </w:rPr>
              <w:t xml:space="preserve">the case relates to or could relate to safeguarding </w:t>
            </w:r>
            <w:r w:rsidR="00216563" w:rsidRPr="00953FB2">
              <w:rPr>
                <w:b/>
                <w:sz w:val="24"/>
                <w:szCs w:val="24"/>
              </w:rPr>
              <w:t>legislation, policies</w:t>
            </w:r>
            <w:r w:rsidR="00F34C86" w:rsidRPr="00953FB2">
              <w:rPr>
                <w:b/>
                <w:sz w:val="24"/>
                <w:szCs w:val="24"/>
              </w:rPr>
              <w:t>, strategies and procedures</w:t>
            </w:r>
            <w:r w:rsidR="7AAB400D" w:rsidRPr="00953FB2">
              <w:rPr>
                <w:b/>
                <w:sz w:val="24"/>
                <w:szCs w:val="24"/>
              </w:rPr>
              <w:t xml:space="preserve"> </w:t>
            </w:r>
            <w:r w:rsidR="623F2A43" w:rsidRPr="00953FB2">
              <w:rPr>
                <w:b/>
                <w:sz w:val="24"/>
                <w:szCs w:val="24"/>
              </w:rPr>
              <w:t>(</w:t>
            </w:r>
            <w:r w:rsidR="7AAB400D" w:rsidRPr="00953FB2">
              <w:rPr>
                <w:b/>
                <w:sz w:val="24"/>
                <w:szCs w:val="24"/>
              </w:rPr>
              <w:t>i</w:t>
            </w:r>
            <w:r w:rsidR="623F2A43" w:rsidRPr="00953FB2">
              <w:rPr>
                <w:b/>
                <w:sz w:val="24"/>
                <w:szCs w:val="24"/>
              </w:rPr>
              <w:t xml:space="preserve">ncluding </w:t>
            </w:r>
            <w:r w:rsidR="322513AD" w:rsidRPr="00953FB2">
              <w:rPr>
                <w:b/>
                <w:sz w:val="24"/>
                <w:szCs w:val="24"/>
              </w:rPr>
              <w:t>d</w:t>
            </w:r>
            <w:r w:rsidR="7E97696C" w:rsidRPr="00953FB2">
              <w:rPr>
                <w:b/>
                <w:sz w:val="24"/>
                <w:szCs w:val="24"/>
              </w:rPr>
              <w:t xml:space="preserve">emonstrating an understanding of </w:t>
            </w:r>
            <w:r w:rsidR="623F2A43" w:rsidRPr="00953FB2">
              <w:rPr>
                <w:b/>
                <w:sz w:val="24"/>
                <w:szCs w:val="24"/>
              </w:rPr>
              <w:t>the</w:t>
            </w:r>
            <w:r w:rsidR="350F702B" w:rsidRPr="00953FB2">
              <w:rPr>
                <w:b/>
                <w:sz w:val="24"/>
                <w:szCs w:val="24"/>
              </w:rPr>
              <w:t xml:space="preserve"> </w:t>
            </w:r>
            <w:r w:rsidR="3B2446CA" w:rsidRPr="00953FB2">
              <w:rPr>
                <w:rFonts w:eastAsia="Arial"/>
                <w:b/>
                <w:color w:val="000000" w:themeColor="text1"/>
                <w:sz w:val="24"/>
                <w:szCs w:val="24"/>
              </w:rPr>
              <w:t xml:space="preserve">interface </w:t>
            </w:r>
            <w:r w:rsidR="534A9052" w:rsidRPr="00953FB2">
              <w:rPr>
                <w:rFonts w:eastAsia="Arial"/>
                <w:b/>
                <w:color w:val="000000" w:themeColor="text1"/>
                <w:sz w:val="24"/>
                <w:szCs w:val="24"/>
              </w:rPr>
              <w:t>between social services provision in Wales with the United Kingdom, the European Union</w:t>
            </w:r>
            <w:r w:rsidR="007A628F" w:rsidRPr="00953FB2">
              <w:rPr>
                <w:rFonts w:eastAsia="Arial"/>
                <w:b/>
                <w:color w:val="000000" w:themeColor="text1"/>
                <w:sz w:val="24"/>
                <w:szCs w:val="24"/>
              </w:rPr>
              <w:t xml:space="preserve"> (EU)</w:t>
            </w:r>
            <w:r w:rsidR="534A9052" w:rsidRPr="00953FB2">
              <w:rPr>
                <w:rFonts w:eastAsia="Arial"/>
                <w:b/>
                <w:color w:val="000000" w:themeColor="text1"/>
                <w:sz w:val="24"/>
                <w:szCs w:val="24"/>
              </w:rPr>
              <w:t xml:space="preserve"> and outside the EU</w:t>
            </w:r>
            <w:r w:rsidR="623F2A43" w:rsidRPr="00953FB2">
              <w:rPr>
                <w:rFonts w:eastAsia="Arial"/>
                <w:b/>
                <w:color w:val="000000" w:themeColor="text1"/>
                <w:sz w:val="24"/>
                <w:szCs w:val="24"/>
              </w:rPr>
              <w:t>)</w:t>
            </w:r>
            <w:r w:rsidR="00411EF7" w:rsidRPr="00953FB2">
              <w:rPr>
                <w:b/>
                <w:sz w:val="24"/>
                <w:szCs w:val="24"/>
              </w:rPr>
              <w:t>.</w:t>
            </w:r>
            <w:r w:rsidR="00354B6D" w:rsidRPr="00953FB2">
              <w:rPr>
                <w:b/>
                <w:sz w:val="24"/>
                <w:szCs w:val="24"/>
              </w:rPr>
              <w:t xml:space="preserve"> </w:t>
            </w:r>
            <w:r w:rsidR="102A3950" w:rsidRPr="00953FB2">
              <w:rPr>
                <w:b/>
                <w:sz w:val="24"/>
                <w:szCs w:val="24"/>
              </w:rPr>
              <w:t>You</w:t>
            </w:r>
            <w:r w:rsidR="00354B6D" w:rsidRPr="00953FB2">
              <w:rPr>
                <w:b/>
                <w:sz w:val="24"/>
                <w:szCs w:val="24"/>
              </w:rPr>
              <w:t xml:space="preserve"> must</w:t>
            </w:r>
            <w:r w:rsidR="00411EF7" w:rsidRPr="00953FB2">
              <w:rPr>
                <w:b/>
                <w:sz w:val="24"/>
                <w:szCs w:val="24"/>
              </w:rPr>
              <w:t xml:space="preserve"> </w:t>
            </w:r>
            <w:r w:rsidR="00354B6D" w:rsidRPr="00953FB2">
              <w:rPr>
                <w:b/>
                <w:sz w:val="24"/>
                <w:szCs w:val="24"/>
              </w:rPr>
              <w:t>demonstrate your understanding of</w:t>
            </w:r>
            <w:r w:rsidR="00F34C86" w:rsidRPr="00953FB2">
              <w:rPr>
                <w:b/>
                <w:sz w:val="24"/>
                <w:szCs w:val="24"/>
              </w:rPr>
              <w:t xml:space="preserve"> </w:t>
            </w:r>
            <w:r w:rsidR="00411EF7" w:rsidRPr="00953FB2">
              <w:rPr>
                <w:b/>
                <w:sz w:val="24"/>
                <w:szCs w:val="24"/>
              </w:rPr>
              <w:t xml:space="preserve">the </w:t>
            </w:r>
            <w:r w:rsidR="00216563" w:rsidRPr="00953FB2">
              <w:rPr>
                <w:b/>
                <w:sz w:val="24"/>
                <w:szCs w:val="24"/>
              </w:rPr>
              <w:t xml:space="preserve">integration of </w:t>
            </w:r>
            <w:r w:rsidR="6A854C79" w:rsidRPr="00953FB2">
              <w:rPr>
                <w:b/>
                <w:sz w:val="24"/>
                <w:szCs w:val="24"/>
              </w:rPr>
              <w:t>analysis in asses</w:t>
            </w:r>
            <w:r w:rsidR="0F77E214" w:rsidRPr="00953FB2">
              <w:rPr>
                <w:b/>
                <w:sz w:val="24"/>
                <w:szCs w:val="24"/>
              </w:rPr>
              <w:t>sment, collabo</w:t>
            </w:r>
            <w:r w:rsidR="6A854C79" w:rsidRPr="00953FB2">
              <w:rPr>
                <w:b/>
                <w:sz w:val="24"/>
                <w:szCs w:val="24"/>
              </w:rPr>
              <w:t>rative work</w:t>
            </w:r>
            <w:r w:rsidR="0F77E214" w:rsidRPr="00953FB2">
              <w:rPr>
                <w:b/>
                <w:sz w:val="24"/>
                <w:szCs w:val="24"/>
              </w:rPr>
              <w:t>ing</w:t>
            </w:r>
            <w:r w:rsidR="6A854C79" w:rsidRPr="00953FB2">
              <w:rPr>
                <w:b/>
                <w:sz w:val="24"/>
                <w:szCs w:val="24"/>
              </w:rPr>
              <w:t xml:space="preserve"> a</w:t>
            </w:r>
            <w:r w:rsidR="0F77E214" w:rsidRPr="00953FB2">
              <w:rPr>
                <w:b/>
                <w:sz w:val="24"/>
                <w:szCs w:val="24"/>
              </w:rPr>
              <w:t xml:space="preserve">nd </w:t>
            </w:r>
            <w:r w:rsidR="6A854C79" w:rsidRPr="00953FB2">
              <w:rPr>
                <w:b/>
                <w:sz w:val="24"/>
                <w:szCs w:val="24"/>
              </w:rPr>
              <w:t>professional</w:t>
            </w:r>
            <w:r w:rsidR="00F34C86" w:rsidRPr="00953FB2">
              <w:rPr>
                <w:b/>
                <w:sz w:val="24"/>
                <w:szCs w:val="24"/>
              </w:rPr>
              <w:t xml:space="preserve"> </w:t>
            </w:r>
            <w:r w:rsidR="00216563" w:rsidRPr="00953FB2">
              <w:rPr>
                <w:b/>
                <w:sz w:val="24"/>
                <w:szCs w:val="24"/>
              </w:rPr>
              <w:t>judgements</w:t>
            </w:r>
            <w:r w:rsidR="0F77E214" w:rsidRPr="00953FB2">
              <w:rPr>
                <w:b/>
                <w:sz w:val="24"/>
                <w:szCs w:val="24"/>
              </w:rPr>
              <w:t xml:space="preserve"> in increasingly complex situations </w:t>
            </w:r>
            <w:r w:rsidR="00E5498A" w:rsidRPr="00953FB2">
              <w:rPr>
                <w:b/>
                <w:sz w:val="24"/>
                <w:szCs w:val="24"/>
              </w:rPr>
              <w:t>and</w:t>
            </w:r>
            <w:r w:rsidR="1D6670C0" w:rsidRPr="00953FB2">
              <w:rPr>
                <w:b/>
                <w:sz w:val="24"/>
                <w:szCs w:val="24"/>
              </w:rPr>
              <w:t xml:space="preserve"> </w:t>
            </w:r>
            <w:r w:rsidR="39C47EB7" w:rsidRPr="00953FB2">
              <w:rPr>
                <w:b/>
                <w:sz w:val="24"/>
                <w:szCs w:val="24"/>
              </w:rPr>
              <w:t>the</w:t>
            </w:r>
            <w:r w:rsidR="25F327FB" w:rsidRPr="00953FB2">
              <w:rPr>
                <w:b/>
                <w:sz w:val="24"/>
                <w:szCs w:val="24"/>
              </w:rPr>
              <w:t xml:space="preserve"> </w:t>
            </w:r>
            <w:r w:rsidR="00F34C86" w:rsidRPr="00953FB2">
              <w:rPr>
                <w:b/>
                <w:sz w:val="24"/>
                <w:szCs w:val="24"/>
              </w:rPr>
              <w:t>use of social work theories</w:t>
            </w:r>
            <w:r w:rsidR="756EEE2D" w:rsidRPr="00953FB2">
              <w:rPr>
                <w:b/>
                <w:sz w:val="24"/>
                <w:szCs w:val="24"/>
              </w:rPr>
              <w:t>.</w:t>
            </w:r>
            <w:r w:rsidR="00216563" w:rsidRPr="00953FB2">
              <w:rPr>
                <w:b/>
                <w:sz w:val="24"/>
                <w:szCs w:val="24"/>
              </w:rPr>
              <w:t xml:space="preserve"> </w:t>
            </w:r>
            <w:r w:rsidR="756EEE2D" w:rsidRPr="00953FB2">
              <w:rPr>
                <w:b/>
                <w:sz w:val="24"/>
                <w:szCs w:val="24"/>
              </w:rPr>
              <w:t>You</w:t>
            </w:r>
            <w:r w:rsidR="00216563" w:rsidRPr="00953FB2">
              <w:rPr>
                <w:b/>
                <w:sz w:val="24"/>
                <w:szCs w:val="24"/>
              </w:rPr>
              <w:t xml:space="preserve"> </w:t>
            </w:r>
            <w:r w:rsidR="00E5498A" w:rsidRPr="00953FB2">
              <w:rPr>
                <w:b/>
                <w:sz w:val="24"/>
                <w:szCs w:val="24"/>
              </w:rPr>
              <w:t xml:space="preserve">must </w:t>
            </w:r>
            <w:r w:rsidR="00F030D4" w:rsidRPr="00953FB2">
              <w:rPr>
                <w:b/>
                <w:sz w:val="24"/>
                <w:szCs w:val="24"/>
              </w:rPr>
              <w:t>refer to</w:t>
            </w:r>
            <w:r w:rsidR="00216563" w:rsidRPr="00953FB2">
              <w:rPr>
                <w:b/>
                <w:sz w:val="24"/>
                <w:szCs w:val="24"/>
              </w:rPr>
              <w:t xml:space="preserve"> </w:t>
            </w:r>
            <w:r w:rsidR="00F34C86" w:rsidRPr="00953FB2">
              <w:rPr>
                <w:b/>
                <w:sz w:val="24"/>
                <w:szCs w:val="24"/>
              </w:rPr>
              <w:t>the specific dimensions of working in Wales</w:t>
            </w:r>
            <w:r w:rsidR="00411EF7" w:rsidRPr="00953FB2">
              <w:rPr>
                <w:b/>
                <w:sz w:val="24"/>
                <w:szCs w:val="24"/>
              </w:rPr>
              <w:t xml:space="preserve">. </w:t>
            </w:r>
          </w:p>
          <w:p w14:paraId="2F8A7CA5" w14:textId="6EDC9DFB" w:rsidR="008D5999" w:rsidRPr="00953FB2" w:rsidRDefault="008D5999" w:rsidP="00064063">
            <w:pPr>
              <w:jc w:val="both"/>
              <w:rPr>
                <w:b/>
                <w:sz w:val="24"/>
                <w:szCs w:val="24"/>
              </w:rPr>
            </w:pPr>
          </w:p>
          <w:p w14:paraId="20A5906F" w14:textId="77777777" w:rsidR="008D5999" w:rsidRPr="00953FB2" w:rsidRDefault="008D5999" w:rsidP="00064063">
            <w:pPr>
              <w:jc w:val="both"/>
              <w:rPr>
                <w:b/>
                <w:sz w:val="24"/>
                <w:szCs w:val="24"/>
              </w:rPr>
            </w:pPr>
          </w:p>
          <w:p w14:paraId="51AF4546" w14:textId="476CB9AF" w:rsidR="00D3203C" w:rsidRPr="00953FB2" w:rsidRDefault="00045C40" w:rsidP="00FF7EBB">
            <w:pPr>
              <w:jc w:val="both"/>
              <w:rPr>
                <w:b/>
                <w:i/>
                <w:sz w:val="24"/>
                <w:szCs w:val="24"/>
              </w:rPr>
            </w:pPr>
            <w:r w:rsidRPr="00953FB2">
              <w:rPr>
                <w:b/>
                <w:i/>
                <w:sz w:val="24"/>
                <w:szCs w:val="24"/>
              </w:rPr>
              <w:t xml:space="preserve">4000 </w:t>
            </w:r>
            <w:r w:rsidR="008B28E7" w:rsidRPr="00953FB2">
              <w:rPr>
                <w:b/>
                <w:i/>
                <w:sz w:val="24"/>
                <w:szCs w:val="24"/>
              </w:rPr>
              <w:t>words</w:t>
            </w:r>
            <w:r w:rsidR="008B28E7" w:rsidRPr="00953FB2">
              <w:rPr>
                <w:b/>
                <w:sz w:val="24"/>
                <w:szCs w:val="24"/>
              </w:rPr>
              <w:t xml:space="preserve"> </w:t>
            </w:r>
            <w:r w:rsidR="008B28E7" w:rsidRPr="00953FB2">
              <w:rPr>
                <w:b/>
                <w:i/>
                <w:sz w:val="24"/>
                <w:szCs w:val="24"/>
              </w:rPr>
              <w:t>(+/- 10%: include your actual word count at the end of each section)</w:t>
            </w:r>
            <w:r w:rsidR="007A628F" w:rsidRPr="00953FB2">
              <w:rPr>
                <w:b/>
                <w:i/>
                <w:sz w:val="24"/>
                <w:szCs w:val="24"/>
              </w:rPr>
              <w:t>.</w:t>
            </w:r>
          </w:p>
          <w:p w14:paraId="701D8D4D" w14:textId="38C2B218" w:rsidR="00D3203C" w:rsidRDefault="00D3203C" w:rsidP="00FF7EBB">
            <w:pPr>
              <w:jc w:val="both"/>
              <w:rPr>
                <w:i/>
                <w:sz w:val="24"/>
                <w:szCs w:val="24"/>
              </w:rPr>
            </w:pPr>
          </w:p>
          <w:p w14:paraId="4C1CCC97" w14:textId="233A6472" w:rsidR="00953FB2" w:rsidRPr="00CB73F0" w:rsidRDefault="00953FB2" w:rsidP="00953FB2">
            <w:pPr>
              <w:spacing w:line="360" w:lineRule="auto"/>
              <w:jc w:val="both"/>
              <w:rPr>
                <w:sz w:val="24"/>
              </w:rPr>
            </w:pPr>
            <w:r w:rsidRPr="00CB73F0">
              <w:rPr>
                <w:sz w:val="24"/>
              </w:rPr>
              <w:t xml:space="preserve">The following case study examines safeguarding concerns for a male child who was at risk of emotional harm and neglect from his mother. </w:t>
            </w:r>
          </w:p>
          <w:p w14:paraId="07E18D55" w14:textId="5300EBFA" w:rsidR="00953FB2" w:rsidRPr="00CB73F0" w:rsidRDefault="00953FB2" w:rsidP="00953FB2">
            <w:pPr>
              <w:spacing w:line="360" w:lineRule="auto"/>
              <w:jc w:val="both"/>
              <w:rPr>
                <w:sz w:val="24"/>
              </w:rPr>
            </w:pPr>
            <w:r w:rsidRPr="00CB73F0">
              <w:rPr>
                <w:sz w:val="24"/>
              </w:rPr>
              <w:t>The child will be referred to throughout this case study as 1. When 1 became known to Social Services, he was residing with his mother in a Welsh town. The individual has a diagnosed</w:t>
            </w:r>
            <w:r w:rsidR="003B7A54">
              <w:rPr>
                <w:sz w:val="24"/>
              </w:rPr>
              <w:t xml:space="preserve"> learning </w:t>
            </w:r>
            <w:r w:rsidRPr="00CB73F0">
              <w:rPr>
                <w:sz w:val="24"/>
              </w:rPr>
              <w:t>disability with complex needs and behaviours</w:t>
            </w:r>
            <w:r w:rsidR="003B7A54">
              <w:rPr>
                <w:sz w:val="24"/>
              </w:rPr>
              <w:t>, his behaviours can be extreme physical aggression towards those caring him and also property around him</w:t>
            </w:r>
            <w:r w:rsidRPr="00CB73F0">
              <w:rPr>
                <w:sz w:val="24"/>
              </w:rPr>
              <w:t>.</w:t>
            </w:r>
            <w:r w:rsidR="003B7A54">
              <w:rPr>
                <w:sz w:val="24"/>
              </w:rPr>
              <w:t xml:space="preserve"> The child’s disability affects his learning and engagement and his ability to carry out everyday tasks, the child also has little to no perception of danger.</w:t>
            </w:r>
            <w:r w:rsidRPr="00CB73F0">
              <w:rPr>
                <w:sz w:val="24"/>
              </w:rPr>
              <w:t xml:space="preserve"> The individual does have some communication difficulties but his preferred language when communicating is English. </w:t>
            </w:r>
            <w:r w:rsidR="003B7A54">
              <w:rPr>
                <w:sz w:val="24"/>
              </w:rPr>
              <w:t xml:space="preserve">The individual also has enhanced sensory needs, he uses his sense of smell and touch to explore the majority of objects, he has a tendency to sniff and put objects in his mouth so requires constant supervision. </w:t>
            </w:r>
            <w:r w:rsidRPr="00CB73F0">
              <w:rPr>
                <w:sz w:val="24"/>
              </w:rPr>
              <w:t xml:space="preserve">The individuals who have been involved with the following case study will be referred to as listed below: </w:t>
            </w:r>
          </w:p>
          <w:p w14:paraId="72F7AC80" w14:textId="77777777" w:rsidR="00953FB2" w:rsidRPr="00CB73F0" w:rsidRDefault="00953FB2" w:rsidP="00953FB2">
            <w:pPr>
              <w:spacing w:line="360" w:lineRule="auto"/>
              <w:jc w:val="both"/>
              <w:rPr>
                <w:sz w:val="24"/>
              </w:rPr>
            </w:pPr>
            <w:r w:rsidRPr="00CB73F0">
              <w:rPr>
                <w:sz w:val="24"/>
              </w:rPr>
              <w:t xml:space="preserve">1 = the individual </w:t>
            </w:r>
          </w:p>
          <w:p w14:paraId="22A1944D" w14:textId="48F847A0" w:rsidR="00953FB2" w:rsidRDefault="00953FB2" w:rsidP="00953FB2">
            <w:pPr>
              <w:spacing w:line="360" w:lineRule="auto"/>
              <w:jc w:val="both"/>
              <w:rPr>
                <w:sz w:val="24"/>
              </w:rPr>
            </w:pPr>
            <w:r w:rsidRPr="00CB73F0">
              <w:rPr>
                <w:sz w:val="24"/>
              </w:rPr>
              <w:lastRenderedPageBreak/>
              <w:t>2 = his mother</w:t>
            </w:r>
          </w:p>
          <w:p w14:paraId="77E09119" w14:textId="3FC32C9A" w:rsidR="003B7A54" w:rsidRDefault="003B7A54" w:rsidP="00953FB2">
            <w:pPr>
              <w:spacing w:line="360" w:lineRule="auto"/>
              <w:jc w:val="both"/>
              <w:rPr>
                <w:sz w:val="24"/>
              </w:rPr>
            </w:pPr>
          </w:p>
          <w:p w14:paraId="3D92E4B1" w14:textId="13093BFC" w:rsidR="003B7A54" w:rsidRPr="00CB73F0" w:rsidRDefault="003B7A54" w:rsidP="00953FB2">
            <w:pPr>
              <w:spacing w:line="360" w:lineRule="auto"/>
              <w:jc w:val="both"/>
              <w:rPr>
                <w:sz w:val="24"/>
              </w:rPr>
            </w:pPr>
            <w:r>
              <w:rPr>
                <w:sz w:val="24"/>
              </w:rPr>
              <w:t xml:space="preserve">This case has been used as a safeguarding case study due to 1 making a disclosure to his school and support staff in a respite centre that his mother had physically harmed him, this was then sent to the Local Authority as a Child Protection Referral. </w:t>
            </w:r>
          </w:p>
          <w:p w14:paraId="2BC313BC" w14:textId="77777777" w:rsidR="00953FB2" w:rsidRPr="00CB73F0" w:rsidRDefault="00953FB2" w:rsidP="00953FB2">
            <w:pPr>
              <w:spacing w:line="360" w:lineRule="auto"/>
              <w:jc w:val="both"/>
              <w:rPr>
                <w:sz w:val="24"/>
              </w:rPr>
            </w:pPr>
          </w:p>
          <w:p w14:paraId="75D8CAE4" w14:textId="1F9E0F2F" w:rsidR="00953FB2" w:rsidRPr="00CB73F0" w:rsidRDefault="003B7A54" w:rsidP="00953FB2">
            <w:pPr>
              <w:spacing w:line="360" w:lineRule="auto"/>
              <w:jc w:val="both"/>
              <w:rPr>
                <w:sz w:val="24"/>
              </w:rPr>
            </w:pPr>
            <w:r>
              <w:rPr>
                <w:sz w:val="24"/>
              </w:rPr>
              <w:t>Prior to any safeguarding concerns,</w:t>
            </w:r>
            <w:r w:rsidR="00377D6E">
              <w:rPr>
                <w:sz w:val="24"/>
              </w:rPr>
              <w:t xml:space="preserve"> 1 was transferred from another team as he had been opened to social services for an assessment as per the Part 3 of the Social Services and Well-being (Wales) Act (2014),</w:t>
            </w:r>
            <w:r>
              <w:rPr>
                <w:sz w:val="24"/>
              </w:rPr>
              <w:t xml:space="preserve"> </w:t>
            </w:r>
            <w:r w:rsidR="00377D6E">
              <w:rPr>
                <w:sz w:val="24"/>
              </w:rPr>
              <w:t>t</w:t>
            </w:r>
            <w:r w:rsidR="00953FB2" w:rsidRPr="00CB73F0">
              <w:rPr>
                <w:sz w:val="24"/>
              </w:rPr>
              <w:t xml:space="preserve">he family had been referred to Social Services on many occasions over previous years due to 2 struggling to care for 1. </w:t>
            </w:r>
            <w:r w:rsidR="00377D6E">
              <w:rPr>
                <w:sz w:val="24"/>
              </w:rPr>
              <w:t xml:space="preserve">1 had been transferred to a different team due to his complex disability. </w:t>
            </w:r>
            <w:r w:rsidR="00953FB2" w:rsidRPr="00CB73F0">
              <w:rPr>
                <w:sz w:val="24"/>
              </w:rPr>
              <w:t>The Munro Review (2011) found that early help from professionals will reduce the risk of significant harm on the child in the future. However, upon allocation of 1, it was identified that 2 was experiencing high levels of crisis due the strain of her caring role as she was not receiving any support. It is important to highlight that 1 was attending school every day and had excellent attendance, the crisis had arose during the summer holidays. Action for Children (2023) recognise that caring for a child with disabilities can be extremely difficult and therefore shows the importance of care and support to safeguard both the parent and child. 2 had also lost her mother who was a huge support network to both her and 1, she would support her with her caring role. Systems theory highlights the strain that can be placed on an individual when they experience a change in their support networks, this could have be</w:t>
            </w:r>
            <w:r w:rsidR="00086F4B">
              <w:rPr>
                <w:sz w:val="24"/>
              </w:rPr>
              <w:t>en</w:t>
            </w:r>
            <w:r w:rsidR="00953FB2" w:rsidRPr="00CB73F0">
              <w:rPr>
                <w:sz w:val="24"/>
              </w:rPr>
              <w:t xml:space="preserve"> an impacting factor on 2’s ability to cope with her caring role and 1’s complex needs (Maclean and Harrison, 2015). </w:t>
            </w:r>
          </w:p>
          <w:p w14:paraId="18EC847E" w14:textId="77777777" w:rsidR="00953FB2" w:rsidRPr="00CB73F0" w:rsidRDefault="00953FB2" w:rsidP="00953FB2">
            <w:pPr>
              <w:spacing w:line="360" w:lineRule="auto"/>
              <w:jc w:val="both"/>
              <w:rPr>
                <w:sz w:val="24"/>
              </w:rPr>
            </w:pPr>
          </w:p>
          <w:p w14:paraId="44A38C65" w14:textId="1BEFDCF4" w:rsidR="00953FB2" w:rsidRPr="00CB73F0" w:rsidRDefault="00953FB2" w:rsidP="00953FB2">
            <w:pPr>
              <w:spacing w:line="360" w:lineRule="auto"/>
              <w:jc w:val="both"/>
              <w:rPr>
                <w:sz w:val="24"/>
              </w:rPr>
            </w:pPr>
            <w:r w:rsidRPr="00CB73F0">
              <w:rPr>
                <w:sz w:val="24"/>
              </w:rPr>
              <w:t xml:space="preserve">Legislation referring to meeting the care and support needs of children is contained </w:t>
            </w:r>
            <w:r w:rsidR="00086F4B">
              <w:rPr>
                <w:sz w:val="24"/>
              </w:rPr>
              <w:t>with</w:t>
            </w:r>
            <w:r w:rsidRPr="00CB73F0">
              <w:rPr>
                <w:sz w:val="24"/>
              </w:rPr>
              <w:t xml:space="preserve">in Part 4 of the Social Services and Well-being (Wales) Act 2014. Under Section 37 </w:t>
            </w:r>
            <w:r w:rsidR="00377D6E">
              <w:rPr>
                <w:sz w:val="24"/>
              </w:rPr>
              <w:t xml:space="preserve">of the Social Services and Well-being (Wales) Act (2014) </w:t>
            </w:r>
            <w:r w:rsidRPr="00CB73F0">
              <w:rPr>
                <w:sz w:val="24"/>
              </w:rPr>
              <w:t xml:space="preserve">it states that the Local Authority have a duty to meet the care and support needs of a child if they are within the Local Authority area and meet the eligibility criteria or are at risk of abuse or neglect. It was identified through the assessment process that 1 met the eligibility criteria for care and support due to his disability. As 2 was experiencing high levels of crisis, emergency respite was provided to 1 for six consecutive nights at the Local Authorities respite centre. Prior to this a Direct Payment had been trialled </w:t>
            </w:r>
            <w:r w:rsidRPr="00CB73F0">
              <w:rPr>
                <w:sz w:val="24"/>
              </w:rPr>
              <w:lastRenderedPageBreak/>
              <w:t xml:space="preserve">but was unsuccessful due to the behaviours of 1. When 1 returned back to the care of 2, intense respite was provided for 1 every 48 hours. Welch </w:t>
            </w:r>
            <w:r w:rsidRPr="00CB73F0">
              <w:rPr>
                <w:i/>
                <w:sz w:val="24"/>
              </w:rPr>
              <w:t xml:space="preserve">et al. </w:t>
            </w:r>
            <w:r w:rsidRPr="00CB73F0">
              <w:rPr>
                <w:sz w:val="24"/>
              </w:rPr>
              <w:t xml:space="preserve">(2012) found that respite promotes the wellbeing of caregivers. Also, respite can support children with disabilities to develop skills that will improve their independence and wellbeing (Welch </w:t>
            </w:r>
            <w:r w:rsidRPr="00CB73F0">
              <w:rPr>
                <w:i/>
                <w:sz w:val="24"/>
              </w:rPr>
              <w:t xml:space="preserve">et al. </w:t>
            </w:r>
            <w:r w:rsidRPr="00CB73F0">
              <w:rPr>
                <w:sz w:val="24"/>
              </w:rPr>
              <w:t xml:space="preserve">2013). Intense respite continued for 4 weeks, within this time 2 was sporadic in her position to care for 1 and could not decide whether she wanted him to be accommodated. A Family Group Meeting was offered to 2 to identify if any family members or friends could provide support to her and 1. Family Group Meetings are not a legal requirement but they have been found to support and safeguard families where children are at risk of harm (TGP Cymru, 2023). This was declined by 2. </w:t>
            </w:r>
          </w:p>
          <w:p w14:paraId="514DE87D" w14:textId="77777777" w:rsidR="00953FB2" w:rsidRPr="00CB73F0" w:rsidRDefault="00953FB2" w:rsidP="00953FB2">
            <w:pPr>
              <w:spacing w:line="360" w:lineRule="auto"/>
              <w:jc w:val="both"/>
              <w:rPr>
                <w:sz w:val="24"/>
              </w:rPr>
            </w:pPr>
          </w:p>
          <w:p w14:paraId="34DCEF88" w14:textId="1265726A" w:rsidR="00953FB2" w:rsidRPr="00CB73F0" w:rsidRDefault="003B7A54" w:rsidP="00953FB2">
            <w:pPr>
              <w:spacing w:line="360" w:lineRule="auto"/>
              <w:jc w:val="both"/>
              <w:rPr>
                <w:color w:val="FF0000"/>
                <w:sz w:val="24"/>
              </w:rPr>
            </w:pPr>
            <w:r>
              <w:rPr>
                <w:sz w:val="24"/>
              </w:rPr>
              <w:t xml:space="preserve">As stated at the beginning, a Child Protection Referral was made in relation to 1 disclosing in school and to the respite centre staff that his mother had physically harmed him. </w:t>
            </w:r>
            <w:r w:rsidR="00953FB2" w:rsidRPr="00CB73F0">
              <w:rPr>
                <w:sz w:val="24"/>
              </w:rPr>
              <w:t>Section 2 of the Wal</w:t>
            </w:r>
            <w:r w:rsidR="00377D6E">
              <w:rPr>
                <w:sz w:val="24"/>
              </w:rPr>
              <w:t>es Safeguarding Procedures (2019</w:t>
            </w:r>
            <w:r w:rsidR="00953FB2" w:rsidRPr="00CB73F0">
              <w:rPr>
                <w:sz w:val="24"/>
              </w:rPr>
              <w:t xml:space="preserve">) states that any person who suspects a child is likely to suffer any form of harm has a responsibility to report this to Social Services or the Police. The referral in relation to 1 was made by a practitioner in his school and one in the respite centre. These two practitioners fulfilled their mandatory duty of care under Section 130 of the Social Services and Well-being Wales (2014) act by reporting their concern that 1 was at risk of experiencing abuse and harm. It is identified that preventing harm is a very difficult activity, The Wales Safeguarding Board (2023) highlight how Social Services and the Police rely on other professionals to gather and report information in relation to children at risk of significant harm (National Independent Safeguarding Board Wales, 2023). Lord Laming’s report (2003) finds that there was a lack of communication, record keeping and joint working between professionals which caused further harm to Victoria Climbie. The inquiry highlights the importance and recommendation of joint working when protecting </w:t>
            </w:r>
            <w:r w:rsidR="00377D6E">
              <w:rPr>
                <w:sz w:val="24"/>
              </w:rPr>
              <w:t xml:space="preserve">a child from significant harm and this is still as important today. </w:t>
            </w:r>
          </w:p>
          <w:p w14:paraId="1ADE125E" w14:textId="14326526" w:rsidR="00953FB2" w:rsidRPr="00CB73F0" w:rsidRDefault="00953FB2" w:rsidP="00953FB2">
            <w:pPr>
              <w:spacing w:line="360" w:lineRule="auto"/>
              <w:jc w:val="both"/>
              <w:rPr>
                <w:sz w:val="24"/>
              </w:rPr>
            </w:pPr>
            <w:r w:rsidRPr="00CB73F0">
              <w:rPr>
                <w:sz w:val="24"/>
              </w:rPr>
              <w:t>A request for a Strategy Discussion was made by Social Services and held that day. A strategy discussion is a meeting between Police, Social Care and other professionals working with the child. This is to decide whether there will be a child protection investigation in relation to the risk of harm to the child (</w:t>
            </w:r>
            <w:r w:rsidR="003B7A54">
              <w:rPr>
                <w:sz w:val="24"/>
              </w:rPr>
              <w:t>Social Services and Well-being (Wales) Act (2014) – Part 7</w:t>
            </w:r>
            <w:r w:rsidRPr="00CB73F0">
              <w:rPr>
                <w:sz w:val="24"/>
              </w:rPr>
              <w:t xml:space="preserve">). The discussion will also decide who will take lead on the investigation or whether this will be done </w:t>
            </w:r>
            <w:r w:rsidRPr="00CB73F0">
              <w:rPr>
                <w:sz w:val="24"/>
              </w:rPr>
              <w:lastRenderedPageBreak/>
              <w:t>jointly between Police and Social Care (</w:t>
            </w:r>
            <w:r w:rsidR="00377D6E">
              <w:rPr>
                <w:sz w:val="24"/>
              </w:rPr>
              <w:t>Wales Safeguarding Procedures, 2019</w:t>
            </w:r>
            <w:r w:rsidRPr="00CB73F0">
              <w:rPr>
                <w:sz w:val="24"/>
              </w:rPr>
              <w:t xml:space="preserve">).  Serious Case Reviews have found that strategy discussions should have been used but were not always arranged or requested by practitioners which then led to a lack of information sharing. It has been highlighted within Serious Case Reviews that strategy discussions are used to decide how you will gather the information needed for an investigation and that the information gathering does not need to take place before a strategy discussion is requested (Social Care Institute for Excellence, 2016). The strategy discussions can take place virtually, face-to-face or over the phone, depending on how quickly the strategy needs to take place. </w:t>
            </w:r>
          </w:p>
          <w:p w14:paraId="54737172" w14:textId="20B2C991" w:rsidR="00953FB2" w:rsidRPr="00CB73F0" w:rsidRDefault="00953FB2" w:rsidP="00953FB2">
            <w:pPr>
              <w:spacing w:line="360" w:lineRule="auto"/>
              <w:jc w:val="both"/>
              <w:rPr>
                <w:sz w:val="24"/>
              </w:rPr>
            </w:pPr>
            <w:r w:rsidRPr="00CB73F0">
              <w:rPr>
                <w:sz w:val="24"/>
              </w:rPr>
              <w:t>It was decided that this would be a joint investigation with the Police and a Section 47 commenced. The Children Act (1989), Part 5, Section 47 states that the Local Authority have a duty to investigate any child who they suspect has suffered or is likely to suffer significant harm. The investigation has to be completed and signed off by a manager within 15 working days. A joint visit to 1 in school was undertaken by the social worker and an on duty police officer. 1 disclosed during the visit that 2 had physically harmed him and that he did not want to return home. The police decided that they would be inviting 2 in for a voluntary interview as there had not been any recorded injuries or evidence of harm on 1. The police would be interviewing 2 to establish whether there was any reason to instigate criminal proceedings (Working Together to Safeguard Children,</w:t>
            </w:r>
            <w:r w:rsidR="00377D6E">
              <w:rPr>
                <w:sz w:val="24"/>
              </w:rPr>
              <w:t xml:space="preserve"> 2015</w:t>
            </w:r>
            <w:r w:rsidRPr="00CB73F0">
              <w:rPr>
                <w:sz w:val="24"/>
              </w:rPr>
              <w:t>). In line with legislation from the Wal</w:t>
            </w:r>
            <w:r w:rsidR="00377D6E">
              <w:rPr>
                <w:sz w:val="24"/>
              </w:rPr>
              <w:t>es Safeguarding Procedures (2019</w:t>
            </w:r>
            <w:r w:rsidRPr="00CB73F0">
              <w:rPr>
                <w:sz w:val="24"/>
              </w:rPr>
              <w:t xml:space="preserve">), 2 was informed that the Social Worker and Police would be visiting 1 jointly due to the referral received (Social Care Wales, 2023. </w:t>
            </w:r>
            <w:r w:rsidRPr="00CB73F0">
              <w:rPr>
                <w:i/>
                <w:sz w:val="24"/>
              </w:rPr>
              <w:t>b</w:t>
            </w:r>
            <w:r w:rsidRPr="00CB73F0">
              <w:rPr>
                <w:sz w:val="24"/>
              </w:rPr>
              <w:t xml:space="preserve">). 2 was aware of the referral but then stated that she would not be returning home to care for 1 at the end of the school day and would like him to be accommodated. The Police concluded ‘No Further Action’ on their investigation as 2 did not disclose to harming 1 and there was not any evident of physical harm. The Social Care investigation was concluded that 1 is at risk of further harm. There are five forms harm, these include physical, emotional, sexual and financial abuse and also neglect (Social Care Wales, 2023). 1 was likely to continue experiencing emotional abuse due to 2’s inconsistent approach of wanting to care for him and also neglect as 2 no longer wanted to care for 1 and did not leave any clothes or medication. However, as 2 had signed a Section 76 under the Social Services and Well-being (Wales) Act (2014) for 1 to be voluntarily accommodated, this did not proceed to an Initial Child Protection Conference. </w:t>
            </w:r>
          </w:p>
          <w:p w14:paraId="6BD3FF53" w14:textId="2B3B8E13" w:rsidR="00953FB2" w:rsidRPr="00CB73F0" w:rsidRDefault="00953FB2" w:rsidP="00953FB2">
            <w:pPr>
              <w:spacing w:line="360" w:lineRule="auto"/>
              <w:jc w:val="both"/>
              <w:rPr>
                <w:sz w:val="24"/>
              </w:rPr>
            </w:pPr>
            <w:r w:rsidRPr="00CB73F0">
              <w:rPr>
                <w:sz w:val="24"/>
              </w:rPr>
              <w:lastRenderedPageBreak/>
              <w:t xml:space="preserve">The Social Services and Well-being (Wales) Act (2014), Part 6, Section 76 talks about the voluntary accommodation of children. ‘2’ chose that she could no longer care for ‘1’ due to the complexities of his needs and the strain on her caring role and mental well-being. ‘2’ left the Local Authority area to avoid caring for ‘1’ and did not return for a matter of days, ‘1’ was placed at the Local Authorities respite centre as an emergency placement. As a result of this, 1 met the eligibility criteria for Section 76 (1) as 1 had been abandoned as 2 had left the local area and stated that she did not want to care for 1 anymore. A Section 76 agreement is a voluntary agreement between the Local Authority and the parent who has parental responsibility for the child to be placed with a foster carer or in a residential setting whilst further assessments and investigations are undertaken (Cardiff University, 2022). ‘1’ became a Looked After Child once 2 had </w:t>
            </w:r>
            <w:r w:rsidR="00086F4B">
              <w:rPr>
                <w:sz w:val="24"/>
              </w:rPr>
              <w:t xml:space="preserve">signed </w:t>
            </w:r>
            <w:r w:rsidRPr="00CB73F0">
              <w:rPr>
                <w:sz w:val="24"/>
              </w:rPr>
              <w:t xml:space="preserve">the Section 76, this means that he was accommodated by the Local Authority but that parental responsibility still remained with his mother (Law Wales, 2021). Children becoming Looked After on a voluntary basis has been viewed as a form of support for the family to safeguard both the children and parents while interventions for the family are explored and trialled (McGhee </w:t>
            </w:r>
            <w:r w:rsidRPr="00CB73F0">
              <w:rPr>
                <w:i/>
                <w:sz w:val="24"/>
              </w:rPr>
              <w:t xml:space="preserve">et al. </w:t>
            </w:r>
            <w:r w:rsidRPr="00CB73F0">
              <w:rPr>
                <w:sz w:val="24"/>
              </w:rPr>
              <w:t xml:space="preserve">2018). The Social Care plan was for 1 to be accommodated while work was undertaken with 2 in relation to supporting her caring role, her mental well-being and supporting 1’s behaviours with hope for reunification at home. However, 2 was still expressing that she felt she could not care for 1 or keep him safe and did not want him to return to her care, due to this a period of Public Law Outline (PLO) commenced. </w:t>
            </w:r>
          </w:p>
          <w:p w14:paraId="3EF6F5FC" w14:textId="0BE17C9C" w:rsidR="00953FB2" w:rsidRPr="00CB73F0" w:rsidRDefault="00953FB2" w:rsidP="00953FB2">
            <w:pPr>
              <w:spacing w:line="360" w:lineRule="auto"/>
              <w:jc w:val="both"/>
              <w:rPr>
                <w:sz w:val="24"/>
              </w:rPr>
            </w:pPr>
            <w:r w:rsidRPr="00CB73F0">
              <w:rPr>
                <w:sz w:val="24"/>
              </w:rPr>
              <w:t xml:space="preserve">Public Law Outline (PLO) is a pre-proceedings framework that sets out to the court and the family what the concerns are of the Local Authority and how they plan on supporting the family with interventions for improvements to reduce the likelihood of meeting threshold for care proceedings (Family Rights Group, 2023 </w:t>
            </w:r>
            <w:r w:rsidRPr="00CB73F0">
              <w:rPr>
                <w:i/>
                <w:sz w:val="24"/>
              </w:rPr>
              <w:t>b.</w:t>
            </w:r>
            <w:r w:rsidRPr="00CB73F0">
              <w:rPr>
                <w:sz w:val="24"/>
              </w:rPr>
              <w:t>). Within the Children Act 1989 – schedule 2 it states that local authorities must take reasonable steps to reduce the need of care proceedings for care or supervision orders if it is safe to do so (Carr and Goosey, 2019). It was decided within a legal planning meeting that we would commence a period of PLO as ‘1’ was safe in accommodation on a Section 76. This would also give the Local Authority opportunity to work with ‘2’ and health professionals in relation to improving her mental well-being and also finding strategies to support 1’s complex behaviours.</w:t>
            </w:r>
            <w:r w:rsidR="009B2807">
              <w:rPr>
                <w:sz w:val="24"/>
              </w:rPr>
              <w:t xml:space="preserve"> My role within the PLO process was the main case holding social worker, this meant that I was responsible for </w:t>
            </w:r>
            <w:r w:rsidR="009B2807">
              <w:rPr>
                <w:sz w:val="24"/>
              </w:rPr>
              <w:lastRenderedPageBreak/>
              <w:t>gathering any evidence needed, assessing whether PLO was supporting the family to progress and ensuring that I find the support needed for improvements.</w:t>
            </w:r>
            <w:r w:rsidRPr="00CB73F0">
              <w:rPr>
                <w:sz w:val="24"/>
              </w:rPr>
              <w:t xml:space="preserve"> Broadhurst and Holt (2010) have suggested the importance of co-ordinated approaches and multi-agency working during the pre-proceedings process, this will allow any vital assessments to be completed before any case is brought to court. The PLO process in relation to 1 included assessments from health colleagues in relation to 1’s behaviours and also in relation to 2’s mental well-being and how this could be affecting her coping strategies when caring for 1. There was also referrals to third party organisations that would support 2 in understanding 1’s complex needs and how to manage these. Some of these included referrals to different groups for parents who h</w:t>
            </w:r>
            <w:r w:rsidR="005972EB">
              <w:rPr>
                <w:sz w:val="24"/>
              </w:rPr>
              <w:t>ave children with complex needs. Gr</w:t>
            </w:r>
            <w:r w:rsidRPr="00CB73F0">
              <w:rPr>
                <w:sz w:val="24"/>
              </w:rPr>
              <w:t xml:space="preserve">oup work theory suggests that attending a group can be a key aspect of empowerment for a parent and can build their confidence by listening to lived experiences (Maclean and Harrison, 2015). However, despite this intervention, 2 still stated that she did not want to care for 1 at home. </w:t>
            </w:r>
          </w:p>
          <w:p w14:paraId="23478E81" w14:textId="21953EDA" w:rsidR="00953FB2" w:rsidRPr="00CB73F0" w:rsidRDefault="00953FB2" w:rsidP="00953FB2">
            <w:pPr>
              <w:spacing w:line="360" w:lineRule="auto"/>
              <w:jc w:val="both"/>
              <w:rPr>
                <w:sz w:val="24"/>
              </w:rPr>
            </w:pPr>
            <w:r w:rsidRPr="00CB73F0">
              <w:rPr>
                <w:sz w:val="24"/>
              </w:rPr>
              <w:t xml:space="preserve">Section 31 of the Children’s Act 1989 states that threshold when making an application to court for a care or supervision order. There are two stages when meeting threshold for court, stage one relates to the court agreeing that significant harm has already taken place and that there is risk of this happening in the future and/or the child is beyond parental control (Phillimore, 2014). 1 met threshold for stage one as he had suffered emotional harm and neglect due to his mother’s inconsistencies and 2 also felt that he was still beyond parental control despite interventions provided throughout the PLO process. Stage two relates to the court application needing to be in child’s best interests and must regard their wishes and feelings and how a court order may affect other aspects of their life (Crampton, 2022). The Maria Colwell Inquiry in 1974 found that there was a lack of Maria’s voice throughout the court proceedings which resulted in her being returned to the care of her stepfather and later killed. It was felt that this could have been avoided if Maria was represented throughout care proceedings and her voice listened to (Scott, 1975). As part of the Criminal Justice and Court Services Act 2000, the Children and Family Court Advisory and Support Service (CAFCASS) was formed. The role of CAFCASS is to provide a ‘guardian’ throughout care proceedings that will safeguard the welfare of the children, ensure the child’s voice is represented throughout the process and also ensure that any plans made by the Local Authority are in the best interests of the child (Carr and Goosey, 2019 </w:t>
            </w:r>
            <w:r w:rsidRPr="00CB73F0">
              <w:rPr>
                <w:i/>
                <w:sz w:val="24"/>
              </w:rPr>
              <w:t>b.</w:t>
            </w:r>
            <w:r w:rsidRPr="00CB73F0">
              <w:rPr>
                <w:sz w:val="24"/>
              </w:rPr>
              <w:t xml:space="preserve">). The Guardian is appointed to make </w:t>
            </w:r>
            <w:r w:rsidRPr="00CB73F0">
              <w:rPr>
                <w:sz w:val="24"/>
              </w:rPr>
              <w:lastRenderedPageBreak/>
              <w:t xml:space="preserve">their own assessment of the child’s current circumstances by gathering information from the local authority and parents, the guardian can scrutinise the plans of the Local Authority and provide their own recommendations of how the plan would meet the best interests of the child (CAFCASS, 2023). </w:t>
            </w:r>
            <w:r w:rsidR="009B2807">
              <w:rPr>
                <w:sz w:val="24"/>
              </w:rPr>
              <w:t xml:space="preserve">Having a Guardian allocated ensures that 1 has his right to freedom of expression fulfilled as he will be able to express his views and asks questions in a way that suits his needs and development (United Nations Convention Rights of the Child, 1989). </w:t>
            </w:r>
            <w:r w:rsidRPr="00CB73F0">
              <w:rPr>
                <w:sz w:val="24"/>
              </w:rPr>
              <w:t>1 was allocated a guardian throughout care proceedings, they met with 1 on many occasions and also spoke with the social worker and 2.</w:t>
            </w:r>
            <w:r w:rsidR="009B2807">
              <w:rPr>
                <w:sz w:val="24"/>
              </w:rPr>
              <w:t xml:space="preserve"> This has ensured that I have promoted 1’s voice and control over his care and support (Social Care Wales, 2017).</w:t>
            </w:r>
            <w:r w:rsidRPr="00CB73F0">
              <w:rPr>
                <w:sz w:val="24"/>
              </w:rPr>
              <w:t xml:space="preserve"> However, due to 1’s complex needs, he does not have the understanding of care </w:t>
            </w:r>
            <w:r w:rsidR="005972EB">
              <w:rPr>
                <w:sz w:val="24"/>
              </w:rPr>
              <w:t>proceedings or</w:t>
            </w:r>
            <w:r w:rsidRPr="00CB73F0">
              <w:rPr>
                <w:sz w:val="24"/>
              </w:rPr>
              <w:t xml:space="preserve"> what his care plan would mean for his future. This was a potential barrier for his voice to be represented as it was unclear as to which parts he did and did not understand. </w:t>
            </w:r>
          </w:p>
          <w:p w14:paraId="0B32A90F" w14:textId="4F93C03F" w:rsidR="00953FB2" w:rsidRPr="00CB73F0" w:rsidRDefault="00953FB2" w:rsidP="00953FB2">
            <w:pPr>
              <w:spacing w:line="360" w:lineRule="auto"/>
              <w:jc w:val="both"/>
              <w:rPr>
                <w:sz w:val="24"/>
              </w:rPr>
            </w:pPr>
            <w:r w:rsidRPr="00CB73F0">
              <w:rPr>
                <w:sz w:val="24"/>
              </w:rPr>
              <w:t xml:space="preserve">An Interim Care Order was granted in respect of 1 to allow the Local Authority to share Parental Responsibility with 2 while further assessments took place. It was instructed by the court that a parenting assessment needed to be completed and also a placement to be found before the final hearing, this has to be completed within 26 weeks. A Parenting Assessment is a tool used by social workers to assess the knowledge that the parent has about their child’s needs and </w:t>
            </w:r>
            <w:r w:rsidR="009B2807">
              <w:rPr>
                <w:sz w:val="24"/>
              </w:rPr>
              <w:t>their parenting capacity, to ensure the child is</w:t>
            </w:r>
            <w:r w:rsidRPr="00CB73F0">
              <w:rPr>
                <w:sz w:val="24"/>
              </w:rPr>
              <w:t xml:space="preserve"> safeguarded (Watson, 2020). It was identified by the judge that the parenting assessment of 2 would need to be specific around 1’s complex needs and disability. It was evident throughout the parenting assessment that 2 was able to meet 1’s basic needs but due to his complex behaviours there was lack of emotional attachment between them both which was resulting in him becoming emotionally harmed. 2 was displaying ambivalent attachments </w:t>
            </w:r>
            <w:r w:rsidR="005972EB">
              <w:rPr>
                <w:sz w:val="24"/>
              </w:rPr>
              <w:t>as</w:t>
            </w:r>
            <w:r w:rsidRPr="00CB73F0">
              <w:rPr>
                <w:sz w:val="24"/>
              </w:rPr>
              <w:t xml:space="preserve"> her</w:t>
            </w:r>
            <w:r w:rsidR="005972EB">
              <w:rPr>
                <w:sz w:val="24"/>
              </w:rPr>
              <w:t xml:space="preserve"> usual</w:t>
            </w:r>
            <w:r w:rsidRPr="00CB73F0">
              <w:rPr>
                <w:sz w:val="24"/>
              </w:rPr>
              <w:t xml:space="preserve"> attachment would be unpredictable and she would often not show any emotion towards 1 but on other occasions would show an abundance of emotion (Howe, 2001). As a result of this 1’s tactile behaviours were increasing towards those supporting him in the home as he wanted to experience this consistent attachment but was aware that he was not receiving this from 2 (Fearon and Roisman, 2017). </w:t>
            </w:r>
            <w:r w:rsidR="00CD7F2D">
              <w:rPr>
                <w:sz w:val="24"/>
              </w:rPr>
              <w:t xml:space="preserve">As a professional, 2’s ambivalent displays of affection towards 1 would occasionally cause frustration for me as I could see how much 1 wanted the affection from 2 and how this would increase his behaviours. I managed this by having open and honest </w:t>
            </w:r>
            <w:r w:rsidR="00CD7F2D">
              <w:rPr>
                <w:sz w:val="24"/>
              </w:rPr>
              <w:lastRenderedPageBreak/>
              <w:t>conversations with 2 and ensuring that she knew the importance of keeping a consistent approach of affection with 1.</w:t>
            </w:r>
          </w:p>
          <w:p w14:paraId="318C4EC9" w14:textId="77777777" w:rsidR="00953FB2" w:rsidRPr="00CB73F0" w:rsidRDefault="00953FB2" w:rsidP="00953FB2">
            <w:pPr>
              <w:spacing w:line="360" w:lineRule="auto"/>
              <w:jc w:val="both"/>
              <w:rPr>
                <w:sz w:val="24"/>
              </w:rPr>
            </w:pPr>
          </w:p>
          <w:p w14:paraId="6EB7408B" w14:textId="3D422B96" w:rsidR="00953FB2" w:rsidRPr="00CB73F0" w:rsidRDefault="00953FB2" w:rsidP="00953FB2">
            <w:pPr>
              <w:spacing w:line="360" w:lineRule="auto"/>
              <w:jc w:val="both"/>
              <w:rPr>
                <w:sz w:val="24"/>
              </w:rPr>
            </w:pPr>
            <w:r w:rsidRPr="00CB73F0">
              <w:rPr>
                <w:sz w:val="24"/>
              </w:rPr>
              <w:t xml:space="preserve">As 2 still did not want to care for 1 within the home due to his complex behaviours and the parenting assessment found that 2 could not meet 1’s complex needs, a full care order was granted under Section 31 of Children Act 1989. The Local Authority and the court found it necessary for the Local Authority to share parental responsibility with 2 to ensure </w:t>
            </w:r>
            <w:r w:rsidR="005972EB">
              <w:rPr>
                <w:sz w:val="24"/>
              </w:rPr>
              <w:t xml:space="preserve">that 1’s well-being was promoted </w:t>
            </w:r>
            <w:r w:rsidRPr="00CB73F0">
              <w:rPr>
                <w:sz w:val="24"/>
              </w:rPr>
              <w:t xml:space="preserve">and his needs were met consistently within a stable home environment (Citizens Advice, 2021). Part 6 of the Social Services and Well-being (Wales) Act (2014) states that the Local Authority have a duty to secure a suitable and sufficient placement for Looked after Children in Wales. Due to the complexities of 1’s needs and not having the resources within Wales to meet his needs in a residential setting, we had to place 1 out of the local authority area and into England. The Care Planning, Placement and Case Review (Wales) Regulations (2015) are also in place for children living in Wales to ensure that their placement and care plan is also reviewed to ensure it continues to be safe and is meeting the child’s needs. </w:t>
            </w:r>
            <w:r w:rsidR="00CD7F2D">
              <w:rPr>
                <w:sz w:val="24"/>
              </w:rPr>
              <w:t xml:space="preserve">By following this process of care planning and reviewing it ensured that I provided 1 with his right to a sufficient standard of living (United Convention Rights of the Child, 1989). I found that it was vital to work with health colleagues to ensure any placement found for 1 was in a safe location with sufficient safety features due to his escalated and complex behaviours. </w:t>
            </w:r>
          </w:p>
          <w:p w14:paraId="0734184C" w14:textId="77777777" w:rsidR="00953FB2" w:rsidRPr="00CB73F0" w:rsidRDefault="00953FB2" w:rsidP="00953FB2">
            <w:pPr>
              <w:spacing w:line="360" w:lineRule="auto"/>
              <w:jc w:val="both"/>
              <w:rPr>
                <w:sz w:val="24"/>
              </w:rPr>
            </w:pPr>
          </w:p>
          <w:p w14:paraId="7494E290" w14:textId="6E2D8689" w:rsidR="00953FB2" w:rsidRPr="00CB73F0" w:rsidRDefault="00953FB2" w:rsidP="00953FB2">
            <w:pPr>
              <w:spacing w:line="360" w:lineRule="auto"/>
              <w:jc w:val="both"/>
              <w:rPr>
                <w:sz w:val="24"/>
              </w:rPr>
            </w:pPr>
            <w:r w:rsidRPr="00CB73F0">
              <w:rPr>
                <w:sz w:val="24"/>
              </w:rPr>
              <w:t xml:space="preserve">Due to the residential setting being in England, they are inspected by a different body to Wales, this is called Ofsted. Following the Welsh legislation, Care Planning, Placement and Case Review (Wales) Regulations (2015), the Local Authority completed intensive checks prior to 1 moving into the new residential setting in England. This included reading their inspection report and ensuring that the property was safe </w:t>
            </w:r>
            <w:r w:rsidR="005972EB">
              <w:rPr>
                <w:sz w:val="24"/>
              </w:rPr>
              <w:t xml:space="preserve">for </w:t>
            </w:r>
            <w:r w:rsidRPr="00CB73F0">
              <w:rPr>
                <w:sz w:val="24"/>
              </w:rPr>
              <w:t xml:space="preserve">the individual. There was also a joint visit with health colleagues to ensure the setting was safe and secure (Child Law Advice Service, 2023). The Social Services and Well-being (Wales) Act (2014) – Section 6 also states that the Local Authority must have regard the child’s family life and keeping them close to family, their education and also ensuring that their voice is heard and outcomes met through the placement. Due to 1’s complex behaviours it was always paramount that we would find a </w:t>
            </w:r>
            <w:r w:rsidRPr="00CB73F0">
              <w:rPr>
                <w:sz w:val="24"/>
              </w:rPr>
              <w:lastRenderedPageBreak/>
              <w:t xml:space="preserve">placement that had an education establishment attached to ensure that he was provided with consistency in approaches and strategies to managing his behaviours. 1 had also experienced a very unsettling time and did not have much stability between the emergency placement and his previous school, this was confusing for him and found to be increasing his behaviours. Scott (2009) has found that providing a consistent environment with predictably and stability for children with additional needs can support their sensory needs and reduce anxieties and behaviours. Distance was also considered when finding a placement for 1 as the Local Authority wanted to keep his consistent contact routine with 2. Even though 1 was placed out of county and over the border in England, this was only a drive under an hour away from his mother with accessible public transport. Children with autism can find transition hard and this can sometimes become a trigger for their anxiety and behaviours to increase (Marsh </w:t>
            </w:r>
            <w:r w:rsidRPr="00CB73F0">
              <w:rPr>
                <w:i/>
                <w:sz w:val="24"/>
              </w:rPr>
              <w:t xml:space="preserve">et al. </w:t>
            </w:r>
            <w:r w:rsidRPr="00CB73F0">
              <w:rPr>
                <w:sz w:val="24"/>
              </w:rPr>
              <w:t xml:space="preserve">2017). This was considered when planning the transition for 1, it was important that he had an understanding that he was moving and that he was aware of where he was moving to. 1 visited the new home and started to express that he wanted to sleep there straight away, 1 was very excited to move. </w:t>
            </w:r>
          </w:p>
          <w:p w14:paraId="0EC4AF0B" w14:textId="77777777" w:rsidR="00953FB2" w:rsidRPr="00CB73F0" w:rsidRDefault="00953FB2" w:rsidP="00953FB2">
            <w:pPr>
              <w:spacing w:line="360" w:lineRule="auto"/>
              <w:jc w:val="both"/>
              <w:rPr>
                <w:sz w:val="24"/>
              </w:rPr>
            </w:pPr>
          </w:p>
          <w:p w14:paraId="2A7BEEDF" w14:textId="66BC92E3" w:rsidR="00953FB2" w:rsidRPr="00CB73F0" w:rsidRDefault="00953FB2" w:rsidP="00953FB2">
            <w:pPr>
              <w:spacing w:line="360" w:lineRule="auto"/>
              <w:jc w:val="both"/>
              <w:rPr>
                <w:sz w:val="24"/>
              </w:rPr>
            </w:pPr>
            <w:r w:rsidRPr="00CB73F0">
              <w:rPr>
                <w:sz w:val="24"/>
              </w:rPr>
              <w:t xml:space="preserve">As 1 was moving to a residential setting there would be certain Deprivations on his Liberty to ensure that he was safe and the risk of harm was reduced due to his complex behaviours. A Deprivation of Liberty Order (DoLS) is made to ensure that an individual is not at risk of harm by restricting parts of their freedom, this order has to be approved by the Court (Social Care Wales, 2023). It is rare for a child to be subject to a DoLS and this is usually needed if a child requires a high level of supervision, care and occasionally physical input to ensure they do not harm themselves or anybody else (Care Inspectorate Wales, 2023). A DoLs order will only allow authorised restrictions to be used by a care home provider if absolutely necessary to keep the child or those around them safe, it does not mean that the restrictions can be used all of the time (Ofsted, 2023). Due to the complexities of 1’s behaviours, he required support from 2 staff during all hours of the day, he also required a member of staff to hold his hand when in the community due to not having an understanding of danger and also physical restraint to be used when necessary. This was granted by the Court as this is over the amount of support a typical child at his age would require. However, it is argued by Dykes and Wheeler (2017) that these restrictions may prevent practitioners from hearing the voice of the individual </w:t>
            </w:r>
            <w:r w:rsidRPr="00CB73F0">
              <w:rPr>
                <w:sz w:val="24"/>
              </w:rPr>
              <w:lastRenderedPageBreak/>
              <w:t xml:space="preserve">and that the restrictions will be seen as a power from practitioners to use when not needed which may cause greater harm to the individual. Once the restrictions for 1 had been authorised by the Court, the Guardian for the child asked for the order to include an instruction that the placement send all incident reports to the Local Authority within 12 hours of the incident so that the Local Authority can review whether the restrictions were being used correctly. </w:t>
            </w:r>
            <w:r w:rsidR="00CD7F2D">
              <w:rPr>
                <w:sz w:val="24"/>
              </w:rPr>
              <w:t xml:space="preserve">By having applying for a DOL order for 1, I was ensuring that his right to be safe from harm was being met (United Convention Rights of the Child, 1989) and also that 1’s behaviours did not harm him or those supporting him (Social Care Wales, 2017). </w:t>
            </w:r>
          </w:p>
          <w:p w14:paraId="6F87AB7D" w14:textId="77777777" w:rsidR="00953FB2" w:rsidRPr="00CB73F0" w:rsidRDefault="00953FB2" w:rsidP="00953FB2">
            <w:pPr>
              <w:spacing w:line="360" w:lineRule="auto"/>
              <w:jc w:val="both"/>
              <w:rPr>
                <w:sz w:val="24"/>
              </w:rPr>
            </w:pPr>
          </w:p>
          <w:p w14:paraId="42CAC961" w14:textId="16E0E9E2" w:rsidR="00953FB2" w:rsidRPr="00CB73F0" w:rsidRDefault="00953FB2" w:rsidP="00953FB2">
            <w:pPr>
              <w:spacing w:line="360" w:lineRule="auto"/>
              <w:jc w:val="both"/>
              <w:rPr>
                <w:sz w:val="24"/>
              </w:rPr>
            </w:pPr>
            <w:r w:rsidRPr="00CB73F0">
              <w:rPr>
                <w:sz w:val="24"/>
              </w:rPr>
              <w:t xml:space="preserve">As this case study is brought to an end, I feel that I have been able to demonstrate my understanding of the legislation and procedures involved with ensuring that children are safeguarded adequately and how I put this into practice. I have also demonstrated the different aspects to consider when safeguarding a child and the factors that may arise throughout the process. I have explored the constraints and barriers that social workers can face when trying to safeguard children and the ways that processes, legislation and law have been developed and improved over many years to reduce the barriers to ensure children are safe. In the case of 1, my role was to support him to ensure he was in a stable environment where his needs are being consistently </w:t>
            </w:r>
            <w:r w:rsidR="005276F6">
              <w:rPr>
                <w:sz w:val="24"/>
              </w:rPr>
              <w:t xml:space="preserve">met </w:t>
            </w:r>
            <w:r w:rsidRPr="00CB73F0">
              <w:rPr>
                <w:sz w:val="24"/>
              </w:rPr>
              <w:t>by those that have the correct training and understanding. It was also important that throughout the process of doing that, his voice and wishes were listened to</w:t>
            </w:r>
            <w:r w:rsidR="005276F6">
              <w:rPr>
                <w:sz w:val="24"/>
              </w:rPr>
              <w:t>, to</w:t>
            </w:r>
            <w:r w:rsidRPr="00CB73F0">
              <w:rPr>
                <w:sz w:val="24"/>
              </w:rPr>
              <w:t xml:space="preserve"> enable him to have control over his own life. This case study evidenced that 1 was being emotionally harmed and neglected by his mother as she was unable to cope and manage his complex needs due to his diagnosis. This affected the emotional warmth and attachment that 2 had with her son and there is evidence that their relationship broke down as a result of his complex needs.  On reflection, from the areas of safeguarding explored within this case study including 1 requiring a specialist p</w:t>
            </w:r>
            <w:r>
              <w:rPr>
                <w:sz w:val="24"/>
              </w:rPr>
              <w:t>lacement and also needing a DoLS</w:t>
            </w:r>
            <w:r w:rsidRPr="00CB73F0">
              <w:rPr>
                <w:sz w:val="24"/>
              </w:rPr>
              <w:t xml:space="preserve"> order to keep him and others safe. It would have been very difficult for 2 to meet his complex needs within the home, especially as a single parent. It is evident that even though there has been a relationship breakdown between 1 and 2 and also concerns in relation to 2’s inconsistencies with parenting, 2 has worked very well in collaboration with the Local Authority to ensure that 1’s needs are met, his well-being is promoted and he is safeguarded from risk of future harm. </w:t>
            </w:r>
          </w:p>
          <w:p w14:paraId="789C6886" w14:textId="77777777" w:rsidR="00953FB2" w:rsidRPr="00CB73F0" w:rsidRDefault="00953FB2" w:rsidP="00953FB2">
            <w:pPr>
              <w:spacing w:line="360" w:lineRule="auto"/>
              <w:jc w:val="both"/>
              <w:rPr>
                <w:sz w:val="24"/>
              </w:rPr>
            </w:pPr>
          </w:p>
          <w:p w14:paraId="47F21B6A" w14:textId="6C55614B" w:rsidR="007A628F" w:rsidRPr="00953FB2" w:rsidRDefault="00377D6E" w:rsidP="00953FB2">
            <w:pPr>
              <w:spacing w:line="360" w:lineRule="auto"/>
              <w:jc w:val="both"/>
              <w:rPr>
                <w:sz w:val="24"/>
              </w:rPr>
            </w:pPr>
            <w:r>
              <w:rPr>
                <w:sz w:val="24"/>
              </w:rPr>
              <w:lastRenderedPageBreak/>
              <w:t>Word Count – 4,278</w:t>
            </w:r>
          </w:p>
        </w:tc>
      </w:tr>
    </w:tbl>
    <w:p w14:paraId="1B4186EF" w14:textId="77777777" w:rsidR="00D3442D" w:rsidRDefault="00D3442D" w:rsidP="00D3442D">
      <w:pPr>
        <w:jc w:val="both"/>
        <w:rPr>
          <w:sz w:val="24"/>
          <w:szCs w:val="24"/>
        </w:rPr>
      </w:pPr>
    </w:p>
    <w:p w14:paraId="3BE23FA3" w14:textId="25184653" w:rsidR="00DD31C5" w:rsidRPr="002D20C8" w:rsidRDefault="002D20C8" w:rsidP="002D20C8">
      <w:pPr>
        <w:jc w:val="both"/>
        <w:rPr>
          <w:b/>
          <w:sz w:val="24"/>
          <w:szCs w:val="24"/>
          <w:u w:val="single"/>
        </w:rPr>
      </w:pPr>
      <w:r>
        <w:rPr>
          <w:b/>
          <w:sz w:val="24"/>
          <w:szCs w:val="24"/>
          <w:u w:val="single"/>
        </w:rPr>
        <w:t>References</w:t>
      </w:r>
      <w:bookmarkStart w:id="0" w:name="_GoBack"/>
      <w:bookmarkEnd w:id="0"/>
    </w:p>
    <w:p w14:paraId="7C476C5F" w14:textId="77777777" w:rsidR="002D20C8" w:rsidRDefault="002D20C8" w:rsidP="002D20C8">
      <w:pPr>
        <w:jc w:val="both"/>
        <w:rPr>
          <w:b/>
          <w:sz w:val="24"/>
          <w:szCs w:val="24"/>
        </w:rPr>
      </w:pPr>
    </w:p>
    <w:p w14:paraId="5AE65856" w14:textId="19BF189C" w:rsidR="00377D6E" w:rsidRDefault="00377D6E" w:rsidP="003B29BC">
      <w:pPr>
        <w:rPr>
          <w:sz w:val="24"/>
          <w:szCs w:val="24"/>
        </w:rPr>
      </w:pPr>
      <w:r w:rsidRPr="009B2807">
        <w:rPr>
          <w:sz w:val="24"/>
          <w:szCs w:val="24"/>
        </w:rPr>
        <w:t>Social Care Wales (2017),</w:t>
      </w:r>
      <w:r w:rsidRPr="009B2807">
        <w:rPr>
          <w:i/>
          <w:sz w:val="24"/>
          <w:szCs w:val="24"/>
        </w:rPr>
        <w:t xml:space="preserve"> Code of Professional Practice for Social Care. </w:t>
      </w:r>
      <w:r w:rsidRPr="009B2807">
        <w:rPr>
          <w:sz w:val="24"/>
          <w:szCs w:val="24"/>
        </w:rPr>
        <w:t xml:space="preserve">Available from: </w:t>
      </w:r>
      <w:hyperlink r:id="rId11" w:history="1">
        <w:r w:rsidRPr="009B2807">
          <w:rPr>
            <w:rStyle w:val="Hyperlink"/>
            <w:sz w:val="24"/>
            <w:szCs w:val="24"/>
          </w:rPr>
          <w:t>untitled (socialcare.wales)</w:t>
        </w:r>
      </w:hyperlink>
      <w:r w:rsidRPr="009B2807">
        <w:rPr>
          <w:sz w:val="24"/>
          <w:szCs w:val="24"/>
        </w:rPr>
        <w:t xml:space="preserve"> [Electronically Accessed: 06/07/2024]</w:t>
      </w:r>
    </w:p>
    <w:p w14:paraId="531FCE2B" w14:textId="77777777" w:rsidR="00377D6E" w:rsidRDefault="00377D6E" w:rsidP="003B29BC">
      <w:pPr>
        <w:rPr>
          <w:sz w:val="24"/>
          <w:szCs w:val="24"/>
        </w:rPr>
      </w:pPr>
    </w:p>
    <w:p w14:paraId="51D7D23A" w14:textId="3C7CF643" w:rsidR="00377D6E" w:rsidRDefault="00377D6E" w:rsidP="003B29BC">
      <w:pPr>
        <w:rPr>
          <w:sz w:val="24"/>
          <w:szCs w:val="24"/>
        </w:rPr>
      </w:pPr>
      <w:r w:rsidRPr="00377D6E">
        <w:rPr>
          <w:color w:val="auto"/>
          <w:sz w:val="24"/>
          <w:szCs w:val="24"/>
        </w:rPr>
        <w:t xml:space="preserve">Social Services and Well-being (Wales) Act (2014) – Part 3. Available from: </w:t>
      </w:r>
      <w:hyperlink r:id="rId12" w:history="1">
        <w:r w:rsidRPr="00377D6E">
          <w:rPr>
            <w:rStyle w:val="Hyperlink"/>
            <w:sz w:val="24"/>
            <w:szCs w:val="24"/>
          </w:rPr>
          <w:t>Social Services and Well-being (Wales) Act 2014 (legislation.gov.uk)</w:t>
        </w:r>
      </w:hyperlink>
      <w:r w:rsidRPr="00377D6E">
        <w:rPr>
          <w:sz w:val="24"/>
          <w:szCs w:val="24"/>
        </w:rPr>
        <w:t xml:space="preserve"> [Electronically Accessed: 22/07/2024].</w:t>
      </w:r>
    </w:p>
    <w:p w14:paraId="2100348B" w14:textId="77777777" w:rsidR="00377D6E" w:rsidRPr="00377D6E" w:rsidRDefault="00377D6E" w:rsidP="003B29BC">
      <w:pPr>
        <w:rPr>
          <w:color w:val="auto"/>
          <w:sz w:val="24"/>
          <w:szCs w:val="24"/>
        </w:rPr>
      </w:pPr>
    </w:p>
    <w:p w14:paraId="5FA8E5FE" w14:textId="32687988" w:rsidR="00377D6E" w:rsidRDefault="00377D6E" w:rsidP="003B29BC">
      <w:pPr>
        <w:rPr>
          <w:sz w:val="24"/>
          <w:szCs w:val="24"/>
        </w:rPr>
      </w:pPr>
      <w:r w:rsidRPr="009B2807">
        <w:rPr>
          <w:color w:val="auto"/>
          <w:sz w:val="24"/>
          <w:szCs w:val="24"/>
        </w:rPr>
        <w:t xml:space="preserve">UNICEF (1989), </w:t>
      </w:r>
      <w:r w:rsidRPr="009B2807">
        <w:rPr>
          <w:i/>
          <w:color w:val="auto"/>
          <w:sz w:val="24"/>
          <w:szCs w:val="24"/>
        </w:rPr>
        <w:t xml:space="preserve">The United Nations Convention Rights of the Child 1989 – Article 13. </w:t>
      </w:r>
      <w:r w:rsidRPr="009B2807">
        <w:rPr>
          <w:color w:val="auto"/>
          <w:sz w:val="24"/>
          <w:szCs w:val="24"/>
        </w:rPr>
        <w:t xml:space="preserve">Available from: </w:t>
      </w:r>
      <w:hyperlink r:id="rId13" w:history="1">
        <w:r w:rsidRPr="009B2807">
          <w:rPr>
            <w:rStyle w:val="Hyperlink"/>
            <w:sz w:val="24"/>
            <w:szCs w:val="24"/>
          </w:rPr>
          <w:t>Layout 1 (unicef.org.uk)</w:t>
        </w:r>
      </w:hyperlink>
      <w:r w:rsidRPr="009B2807">
        <w:rPr>
          <w:sz w:val="24"/>
          <w:szCs w:val="24"/>
        </w:rPr>
        <w:t xml:space="preserve"> [Electronically Accessed: 06/07/2024]</w:t>
      </w:r>
    </w:p>
    <w:p w14:paraId="6D0B2946" w14:textId="77777777" w:rsidR="00377D6E" w:rsidRDefault="00377D6E" w:rsidP="003B29BC">
      <w:pPr>
        <w:rPr>
          <w:sz w:val="24"/>
          <w:szCs w:val="24"/>
        </w:rPr>
      </w:pPr>
    </w:p>
    <w:p w14:paraId="6D8C22D4" w14:textId="2BF375E6" w:rsidR="00377D6E" w:rsidRDefault="00377D6E" w:rsidP="00CD7F2D">
      <w:pPr>
        <w:rPr>
          <w:sz w:val="24"/>
          <w:szCs w:val="24"/>
        </w:rPr>
      </w:pPr>
      <w:r w:rsidRPr="009B2807">
        <w:rPr>
          <w:color w:val="auto"/>
          <w:sz w:val="24"/>
          <w:szCs w:val="24"/>
        </w:rPr>
        <w:t xml:space="preserve">UNICEF (1989), </w:t>
      </w:r>
      <w:r w:rsidRPr="009B2807">
        <w:rPr>
          <w:i/>
          <w:color w:val="auto"/>
          <w:sz w:val="24"/>
          <w:szCs w:val="24"/>
        </w:rPr>
        <w:t xml:space="preserve">The United Nations Convention Rights of the Child 1989 – Article </w:t>
      </w:r>
      <w:r>
        <w:rPr>
          <w:i/>
          <w:color w:val="auto"/>
          <w:sz w:val="24"/>
          <w:szCs w:val="24"/>
        </w:rPr>
        <w:t>27</w:t>
      </w:r>
      <w:r w:rsidRPr="009B2807">
        <w:rPr>
          <w:i/>
          <w:color w:val="auto"/>
          <w:sz w:val="24"/>
          <w:szCs w:val="24"/>
        </w:rPr>
        <w:t xml:space="preserve">. </w:t>
      </w:r>
      <w:r w:rsidRPr="009B2807">
        <w:rPr>
          <w:color w:val="auto"/>
          <w:sz w:val="24"/>
          <w:szCs w:val="24"/>
        </w:rPr>
        <w:t xml:space="preserve">Available from: </w:t>
      </w:r>
      <w:hyperlink r:id="rId14" w:history="1">
        <w:r w:rsidRPr="009B2807">
          <w:rPr>
            <w:rStyle w:val="Hyperlink"/>
            <w:sz w:val="24"/>
            <w:szCs w:val="24"/>
          </w:rPr>
          <w:t>Layout 1 (unicef.org.uk)</w:t>
        </w:r>
      </w:hyperlink>
      <w:r w:rsidRPr="009B2807">
        <w:rPr>
          <w:sz w:val="24"/>
          <w:szCs w:val="24"/>
        </w:rPr>
        <w:t xml:space="preserve"> [Electronically Accessed: 06/07/2024]</w:t>
      </w:r>
    </w:p>
    <w:p w14:paraId="35FEB83F" w14:textId="77777777" w:rsidR="00377D6E" w:rsidRDefault="00377D6E" w:rsidP="00CD7F2D">
      <w:pPr>
        <w:rPr>
          <w:sz w:val="24"/>
          <w:szCs w:val="24"/>
        </w:rPr>
      </w:pPr>
    </w:p>
    <w:p w14:paraId="34210BE3" w14:textId="77777777" w:rsidR="00377D6E" w:rsidRDefault="00377D6E" w:rsidP="00CD7F2D">
      <w:pPr>
        <w:rPr>
          <w:sz w:val="24"/>
          <w:szCs w:val="24"/>
        </w:rPr>
      </w:pPr>
      <w:r w:rsidRPr="009B2807">
        <w:rPr>
          <w:color w:val="auto"/>
          <w:sz w:val="24"/>
          <w:szCs w:val="24"/>
        </w:rPr>
        <w:t xml:space="preserve">UNICEF (1989), </w:t>
      </w:r>
      <w:r w:rsidRPr="009B2807">
        <w:rPr>
          <w:i/>
          <w:color w:val="auto"/>
          <w:sz w:val="24"/>
          <w:szCs w:val="24"/>
        </w:rPr>
        <w:t xml:space="preserve">The United Nations Convention Rights of the Child 1989 – Article </w:t>
      </w:r>
      <w:r>
        <w:rPr>
          <w:i/>
          <w:color w:val="auto"/>
          <w:sz w:val="24"/>
          <w:szCs w:val="24"/>
        </w:rPr>
        <w:t>19</w:t>
      </w:r>
      <w:r w:rsidRPr="009B2807">
        <w:rPr>
          <w:i/>
          <w:color w:val="auto"/>
          <w:sz w:val="24"/>
          <w:szCs w:val="24"/>
        </w:rPr>
        <w:t xml:space="preserve">. </w:t>
      </w:r>
      <w:r w:rsidRPr="009B2807">
        <w:rPr>
          <w:color w:val="auto"/>
          <w:sz w:val="24"/>
          <w:szCs w:val="24"/>
        </w:rPr>
        <w:t xml:space="preserve">Available from: </w:t>
      </w:r>
      <w:hyperlink r:id="rId15" w:history="1">
        <w:r w:rsidRPr="009B2807">
          <w:rPr>
            <w:rStyle w:val="Hyperlink"/>
            <w:sz w:val="24"/>
            <w:szCs w:val="24"/>
          </w:rPr>
          <w:t>Layout 1 (unicef.org.uk)</w:t>
        </w:r>
      </w:hyperlink>
      <w:r w:rsidRPr="009B2807">
        <w:rPr>
          <w:sz w:val="24"/>
          <w:szCs w:val="24"/>
        </w:rPr>
        <w:t xml:space="preserve"> [Electronically Accessed: 06/07/2024]</w:t>
      </w:r>
    </w:p>
    <w:sectPr w:rsidR="00377D6E"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B7852D9" w:rsidR="00A5656A" w:rsidRDefault="00A5656A">
    <w:pPr>
      <w:pStyle w:val="Footer"/>
      <w:jc w:val="right"/>
    </w:pPr>
    <w:r>
      <w:fldChar w:fldCharType="begin"/>
    </w:r>
    <w:r>
      <w:instrText xml:space="preserve"> PAGE   \* MERGEFORMAT </w:instrText>
    </w:r>
    <w:r>
      <w:fldChar w:fldCharType="separate"/>
    </w:r>
    <w:r w:rsidR="002D20C8">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F4B"/>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0C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77D6E"/>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7A54"/>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6F6"/>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2E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3FB2"/>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07"/>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9B4"/>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D7F2D"/>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DF7D86"/>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98B"/>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uk/wp-content/uploads/2016/08/unicef-convention-rights-child-uncrc.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anaw/2014/4/part/3"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Code-of-Professional-Practice-for-Social-Care-web-version.pdf" TargetMode="External"/><Relationship Id="rId5" Type="http://schemas.openxmlformats.org/officeDocument/2006/relationships/styles" Target="styles.xml"/><Relationship Id="rId15" Type="http://schemas.openxmlformats.org/officeDocument/2006/relationships/hyperlink" Target="https://www.unicef.org.uk/wp-content/uploads/2016/08/unicef-convention-rights-child-uncrc.pdf"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cef.org.uk/wp-content/uploads/2016/08/unicef-convention-rights-child-uncr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272A62-B3F4-46FC-A8D5-7D7B39CD0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12</Pages>
  <Words>4590</Words>
  <Characters>23290</Characters>
  <Application>Microsoft Office Word</Application>
  <DocSecurity>0</DocSecurity>
  <Lines>194</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Seren Edwards</cp:lastModifiedBy>
  <cp:revision>8</cp:revision>
  <cp:lastPrinted>2020-02-11T19:20:00Z</cp:lastPrinted>
  <dcterms:created xsi:type="dcterms:W3CDTF">2024-01-29T16:08:00Z</dcterms:created>
  <dcterms:modified xsi:type="dcterms:W3CDTF">2024-07-22T15:14:00Z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