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2ED" w:rsidRDefault="00A972ED" w:rsidP="00A972ED">
      <w:pPr>
        <w:rPr>
          <w:rFonts w:cs="Arial"/>
          <w:color w:val="58595B"/>
          <w:sz w:val="36"/>
          <w:szCs w:val="36"/>
        </w:rPr>
      </w:pPr>
      <w:r>
        <w:rPr>
          <w:rFonts w:cs="Arial"/>
          <w:color w:val="58595B"/>
          <w:sz w:val="36"/>
          <w:szCs w:val="36"/>
        </w:rPr>
        <w:t xml:space="preserve">Qualification: </w:t>
      </w:r>
    </w:p>
    <w:p w:rsidR="00A972ED" w:rsidRDefault="00A972ED" w:rsidP="00A972ED">
      <w:pPr>
        <w:jc w:val="center"/>
        <w:rPr>
          <w:rFonts w:cs="Arial"/>
          <w:color w:val="58595B"/>
          <w:sz w:val="36"/>
          <w:szCs w:val="36"/>
        </w:rPr>
      </w:pPr>
      <w:r>
        <w:rPr>
          <w:rFonts w:cs="Arial"/>
          <w:b/>
          <w:color w:val="58595B"/>
          <w:sz w:val="36"/>
          <w:szCs w:val="36"/>
        </w:rPr>
        <w:t>CIPD Diploma in Applied Human Resources</w:t>
      </w:r>
    </w:p>
    <w:p w:rsidR="00A972ED" w:rsidRDefault="00A972ED" w:rsidP="00A972ED">
      <w:pPr>
        <w:rPr>
          <w:rFonts w:cs="Arial"/>
          <w:color w:val="58595B"/>
          <w:sz w:val="36"/>
          <w:szCs w:val="36"/>
        </w:rPr>
      </w:pPr>
      <w:r>
        <w:rPr>
          <w:rFonts w:cs="Arial"/>
          <w:color w:val="58595B"/>
          <w:sz w:val="36"/>
          <w:szCs w:val="36"/>
        </w:rPr>
        <w:t xml:space="preserve">Module Name: </w:t>
      </w:r>
      <w:r>
        <w:rPr>
          <w:rFonts w:cs="Arial"/>
          <w:color w:val="58595B"/>
          <w:sz w:val="36"/>
          <w:szCs w:val="36"/>
        </w:rPr>
        <w:tab/>
      </w:r>
    </w:p>
    <w:p w:rsidR="00A972ED" w:rsidRDefault="00A972ED" w:rsidP="00A972ED">
      <w:pPr>
        <w:jc w:val="center"/>
        <w:rPr>
          <w:rFonts w:cs="Arial"/>
          <w:b/>
          <w:color w:val="58595B"/>
          <w:sz w:val="36"/>
          <w:szCs w:val="36"/>
        </w:rPr>
      </w:pPr>
      <w:r>
        <w:rPr>
          <w:rFonts w:cs="Arial"/>
          <w:b/>
          <w:color w:val="58595B"/>
          <w:sz w:val="36"/>
          <w:szCs w:val="36"/>
        </w:rPr>
        <w:t>Understanding the Management of Employment Relations</w:t>
      </w:r>
    </w:p>
    <w:p w:rsidR="00A972ED" w:rsidRPr="00A972ED" w:rsidRDefault="00A972ED" w:rsidP="00A972ED">
      <w:pPr>
        <w:rPr>
          <w:b/>
          <w:sz w:val="24"/>
          <w:szCs w:val="24"/>
        </w:rPr>
      </w:pPr>
      <w:r>
        <w:rPr>
          <w:rFonts w:cs="Arial"/>
          <w:b/>
          <w:color w:val="58595B"/>
          <w:sz w:val="36"/>
          <w:szCs w:val="36"/>
        </w:rPr>
        <w:tab/>
      </w:r>
    </w:p>
    <w:p w:rsidR="003510E0" w:rsidRDefault="003510E0" w:rsidP="00A972ED">
      <w:pPr>
        <w:rPr>
          <w:rFonts w:cs="Arial"/>
          <w:b/>
          <w:color w:val="58595B"/>
          <w:sz w:val="36"/>
          <w:szCs w:val="36"/>
        </w:rPr>
      </w:pPr>
      <w:r>
        <w:rPr>
          <w:rFonts w:cs="Arial"/>
          <w:b/>
          <w:color w:val="58595B"/>
          <w:sz w:val="36"/>
          <w:szCs w:val="36"/>
        </w:rPr>
        <w:t>On-the-job training observations:</w:t>
      </w:r>
    </w:p>
    <w:p w:rsidR="00A972ED" w:rsidRPr="003510E0" w:rsidRDefault="003510E0" w:rsidP="00A972ED">
      <w:pPr>
        <w:rPr>
          <w:rFonts w:cs="Arial"/>
          <w:b/>
          <w:color w:val="58595B"/>
          <w:sz w:val="36"/>
          <w:szCs w:val="36"/>
        </w:rPr>
      </w:pPr>
      <w:r>
        <w:rPr>
          <w:rFonts w:cs="Arial"/>
          <w:b/>
          <w:color w:val="58595B"/>
          <w:sz w:val="36"/>
          <w:szCs w:val="36"/>
        </w:rPr>
        <w:br/>
      </w:r>
      <w:r w:rsidR="00A972ED">
        <w:rPr>
          <w:rFonts w:cs="Arial"/>
          <w:b/>
          <w:color w:val="58595B"/>
          <w:sz w:val="36"/>
          <w:szCs w:val="36"/>
        </w:rPr>
        <w:t>Investigatory and disciplinary hearing</w:t>
      </w:r>
      <w:r w:rsidR="00A972ED">
        <w:rPr>
          <w:rFonts w:cs="Arial"/>
          <w:b/>
          <w:color w:val="58595B"/>
          <w:sz w:val="36"/>
          <w:szCs w:val="36"/>
        </w:rPr>
        <w:tab/>
      </w:r>
      <w:r w:rsidR="00A972ED">
        <w:rPr>
          <w:rFonts w:cs="Arial"/>
          <w:b/>
          <w:color w:val="58595B"/>
          <w:sz w:val="36"/>
          <w:szCs w:val="36"/>
        </w:rPr>
        <w:tab/>
      </w:r>
      <w:r w:rsidR="00A972ED">
        <w:rPr>
          <w:rFonts w:cs="Arial"/>
          <w:b/>
          <w:color w:val="58595B"/>
          <w:sz w:val="36"/>
          <w:szCs w:val="36"/>
        </w:rPr>
        <w:tab/>
      </w:r>
      <w:r w:rsidR="00A972ED">
        <w:rPr>
          <w:rFonts w:cs="Arial"/>
          <w:b/>
          <w:color w:val="58595B"/>
          <w:sz w:val="36"/>
          <w:szCs w:val="36"/>
        </w:rPr>
        <w:tab/>
      </w:r>
    </w:p>
    <w:p w:rsidR="003510E0" w:rsidRDefault="00A972ED" w:rsidP="00A972ED">
      <w:pPr>
        <w:rPr>
          <w:rFonts w:cs="Arial"/>
          <w:b/>
          <w:color w:val="58595B"/>
          <w:sz w:val="36"/>
          <w:szCs w:val="36"/>
        </w:rPr>
      </w:pPr>
      <w:r>
        <w:rPr>
          <w:rFonts w:cs="Arial"/>
          <w:color w:val="58595B"/>
          <w:sz w:val="36"/>
          <w:szCs w:val="36"/>
        </w:rPr>
        <w:t>Total Word Count:</w:t>
      </w:r>
      <w:r>
        <w:rPr>
          <w:rFonts w:cs="Arial"/>
          <w:color w:val="58595B"/>
          <w:sz w:val="36"/>
          <w:szCs w:val="36"/>
        </w:rPr>
        <w:tab/>
      </w:r>
      <w:r>
        <w:rPr>
          <w:rFonts w:cs="Arial"/>
          <w:color w:val="58595B"/>
          <w:sz w:val="36"/>
          <w:szCs w:val="36"/>
        </w:rPr>
        <w:tab/>
      </w:r>
      <w:r>
        <w:rPr>
          <w:rFonts w:cs="Arial"/>
          <w:color w:val="58595B"/>
          <w:sz w:val="36"/>
          <w:szCs w:val="36"/>
        </w:rPr>
        <w:tab/>
      </w:r>
      <w:r>
        <w:rPr>
          <w:rFonts w:cs="Arial"/>
          <w:color w:val="58595B"/>
          <w:sz w:val="36"/>
          <w:szCs w:val="36"/>
        </w:rPr>
        <w:tab/>
        <w:t xml:space="preserve"> </w:t>
      </w:r>
      <w:r>
        <w:rPr>
          <w:rFonts w:cs="Arial"/>
          <w:b/>
          <w:color w:val="58595B"/>
          <w:sz w:val="36"/>
          <w:szCs w:val="36"/>
        </w:rPr>
        <w:t xml:space="preserve">  823</w:t>
      </w:r>
      <w:r>
        <w:rPr>
          <w:rFonts w:cs="Arial"/>
          <w:color w:val="58595B"/>
          <w:sz w:val="36"/>
          <w:szCs w:val="36"/>
        </w:rPr>
        <w:t xml:space="preserve"> </w:t>
      </w:r>
      <w:r>
        <w:rPr>
          <w:rFonts w:cs="Arial"/>
          <w:b/>
          <w:color w:val="58595B"/>
          <w:sz w:val="36"/>
          <w:szCs w:val="36"/>
        </w:rPr>
        <w:t>words</w:t>
      </w:r>
    </w:p>
    <w:p w:rsidR="003510E0" w:rsidRPr="003510E0" w:rsidRDefault="003510E0" w:rsidP="003510E0">
      <w:pPr>
        <w:rPr>
          <w:b/>
          <w:sz w:val="24"/>
          <w:szCs w:val="24"/>
        </w:rPr>
      </w:pPr>
      <w:r>
        <w:rPr>
          <w:rFonts w:cs="Arial"/>
          <w:b/>
          <w:color w:val="58595B"/>
          <w:sz w:val="36"/>
          <w:szCs w:val="36"/>
        </w:rPr>
        <w:t>Employee representation on working group</w:t>
      </w:r>
      <w:r w:rsidRPr="004A29AE">
        <w:rPr>
          <w:b/>
          <w:sz w:val="24"/>
          <w:szCs w:val="24"/>
        </w:rPr>
        <w:t xml:space="preserve"> </w:t>
      </w:r>
      <w:r>
        <w:rPr>
          <w:rFonts w:cs="Arial"/>
          <w:b/>
          <w:color w:val="58595B"/>
          <w:sz w:val="36"/>
          <w:szCs w:val="36"/>
        </w:rPr>
        <w:tab/>
      </w:r>
      <w:r>
        <w:rPr>
          <w:rFonts w:cs="Arial"/>
          <w:b/>
          <w:color w:val="58595B"/>
          <w:sz w:val="36"/>
          <w:szCs w:val="36"/>
        </w:rPr>
        <w:tab/>
      </w:r>
      <w:r>
        <w:rPr>
          <w:rFonts w:cs="Arial"/>
          <w:b/>
          <w:color w:val="58595B"/>
          <w:sz w:val="36"/>
          <w:szCs w:val="36"/>
        </w:rPr>
        <w:tab/>
      </w:r>
    </w:p>
    <w:p w:rsidR="003510E0" w:rsidRDefault="003510E0" w:rsidP="003510E0">
      <w:pPr>
        <w:rPr>
          <w:rFonts w:cs="Arial"/>
          <w:color w:val="58595B"/>
          <w:sz w:val="36"/>
          <w:szCs w:val="36"/>
        </w:rPr>
      </w:pPr>
      <w:r>
        <w:rPr>
          <w:rFonts w:cs="Arial"/>
          <w:color w:val="58595B"/>
          <w:sz w:val="36"/>
          <w:szCs w:val="36"/>
        </w:rPr>
        <w:t>Total Word Count:</w:t>
      </w:r>
      <w:r>
        <w:rPr>
          <w:rFonts w:cs="Arial"/>
          <w:color w:val="58595B"/>
          <w:sz w:val="36"/>
          <w:szCs w:val="36"/>
        </w:rPr>
        <w:tab/>
      </w:r>
      <w:r>
        <w:rPr>
          <w:rFonts w:cs="Arial"/>
          <w:color w:val="58595B"/>
          <w:sz w:val="36"/>
          <w:szCs w:val="36"/>
        </w:rPr>
        <w:tab/>
      </w:r>
      <w:r>
        <w:rPr>
          <w:rFonts w:cs="Arial"/>
          <w:color w:val="58595B"/>
          <w:sz w:val="36"/>
          <w:szCs w:val="36"/>
        </w:rPr>
        <w:tab/>
      </w:r>
      <w:r>
        <w:rPr>
          <w:rFonts w:cs="Arial"/>
          <w:color w:val="58595B"/>
          <w:sz w:val="36"/>
          <w:szCs w:val="36"/>
        </w:rPr>
        <w:tab/>
        <w:t xml:space="preserve"> </w:t>
      </w:r>
      <w:r>
        <w:rPr>
          <w:rFonts w:cs="Arial"/>
          <w:b/>
          <w:color w:val="58595B"/>
          <w:sz w:val="36"/>
          <w:szCs w:val="36"/>
        </w:rPr>
        <w:t xml:space="preserve">  793</w:t>
      </w:r>
      <w:r>
        <w:rPr>
          <w:rFonts w:cs="Arial"/>
          <w:color w:val="58595B"/>
          <w:sz w:val="36"/>
          <w:szCs w:val="36"/>
        </w:rPr>
        <w:t xml:space="preserve"> </w:t>
      </w:r>
      <w:r>
        <w:rPr>
          <w:rFonts w:cs="Arial"/>
          <w:b/>
          <w:color w:val="58595B"/>
          <w:sz w:val="36"/>
          <w:szCs w:val="36"/>
        </w:rPr>
        <w:t>words</w:t>
      </w:r>
    </w:p>
    <w:p w:rsidR="003510E0" w:rsidRDefault="003510E0" w:rsidP="00A972ED">
      <w:pPr>
        <w:rPr>
          <w:rFonts w:cs="Arial"/>
          <w:color w:val="58595B"/>
          <w:sz w:val="36"/>
          <w:szCs w:val="36"/>
        </w:rPr>
      </w:pPr>
    </w:p>
    <w:p w:rsidR="00A972ED" w:rsidRDefault="00A972ED" w:rsidP="00A972ED">
      <w:pPr>
        <w:rPr>
          <w:rFonts w:cs="Arial"/>
          <w:color w:val="58595B"/>
          <w:sz w:val="36"/>
          <w:szCs w:val="36"/>
        </w:rPr>
      </w:pPr>
      <w:r>
        <w:rPr>
          <w:rFonts w:cs="Arial"/>
          <w:color w:val="58595B"/>
          <w:sz w:val="36"/>
          <w:szCs w:val="36"/>
        </w:rPr>
        <w:t>Student Name:</w:t>
      </w:r>
      <w:r>
        <w:rPr>
          <w:rFonts w:cs="Arial"/>
          <w:color w:val="58595B"/>
          <w:sz w:val="36"/>
          <w:szCs w:val="36"/>
        </w:rPr>
        <w:tab/>
      </w:r>
      <w:r>
        <w:rPr>
          <w:rFonts w:cs="Arial"/>
          <w:color w:val="58595B"/>
          <w:sz w:val="36"/>
          <w:szCs w:val="36"/>
        </w:rPr>
        <w:tab/>
      </w:r>
      <w:r>
        <w:rPr>
          <w:rFonts w:cs="Arial"/>
          <w:color w:val="58595B"/>
          <w:sz w:val="36"/>
          <w:szCs w:val="36"/>
        </w:rPr>
        <w:tab/>
      </w:r>
      <w:r>
        <w:rPr>
          <w:rFonts w:cs="Arial"/>
          <w:color w:val="58595B"/>
          <w:sz w:val="36"/>
          <w:szCs w:val="36"/>
        </w:rPr>
        <w:tab/>
        <w:t>Kate Houston</w:t>
      </w:r>
    </w:p>
    <w:p w:rsidR="00A972ED" w:rsidRDefault="00A972ED" w:rsidP="00A972ED">
      <w:pPr>
        <w:rPr>
          <w:rFonts w:cs="Arial"/>
          <w:color w:val="58595B"/>
          <w:sz w:val="36"/>
          <w:szCs w:val="36"/>
        </w:rPr>
      </w:pPr>
      <w:r>
        <w:rPr>
          <w:rFonts w:cs="Arial"/>
          <w:color w:val="58595B"/>
          <w:sz w:val="36"/>
          <w:szCs w:val="36"/>
        </w:rPr>
        <w:t>Student Number:</w:t>
      </w:r>
      <w:r>
        <w:rPr>
          <w:rFonts w:cs="Arial"/>
          <w:color w:val="58595B"/>
          <w:sz w:val="36"/>
          <w:szCs w:val="36"/>
        </w:rPr>
        <w:tab/>
      </w:r>
      <w:r>
        <w:rPr>
          <w:rFonts w:cs="Arial"/>
          <w:color w:val="58595B"/>
          <w:sz w:val="36"/>
          <w:szCs w:val="36"/>
        </w:rPr>
        <w:tab/>
      </w:r>
      <w:r>
        <w:rPr>
          <w:rFonts w:cs="Arial"/>
          <w:color w:val="58595B"/>
          <w:sz w:val="36"/>
          <w:szCs w:val="36"/>
        </w:rPr>
        <w:tab/>
      </w:r>
      <w:r>
        <w:rPr>
          <w:rFonts w:cs="Arial"/>
          <w:color w:val="58595B"/>
          <w:sz w:val="36"/>
          <w:szCs w:val="36"/>
        </w:rPr>
        <w:tab/>
        <w:t>1403228</w:t>
      </w:r>
    </w:p>
    <w:p w:rsidR="00A972ED" w:rsidRDefault="00A972ED" w:rsidP="00A972ED">
      <w:pPr>
        <w:rPr>
          <w:rFonts w:eastAsia="Times New Roman" w:cs="Arial"/>
          <w:color w:val="58595B"/>
          <w:sz w:val="36"/>
          <w:szCs w:val="36"/>
        </w:rPr>
      </w:pPr>
      <w:r>
        <w:rPr>
          <w:rFonts w:cs="Arial"/>
          <w:color w:val="58595B"/>
          <w:sz w:val="36"/>
          <w:szCs w:val="36"/>
        </w:rPr>
        <w:t>CIPD Membership Number:</w:t>
      </w:r>
      <w:r>
        <w:rPr>
          <w:rFonts w:cs="Arial"/>
          <w:color w:val="58595B"/>
          <w:sz w:val="36"/>
          <w:szCs w:val="36"/>
        </w:rPr>
        <w:tab/>
      </w:r>
      <w:r>
        <w:rPr>
          <w:rFonts w:cs="Arial"/>
          <w:color w:val="58595B"/>
          <w:sz w:val="36"/>
          <w:szCs w:val="36"/>
        </w:rPr>
        <w:tab/>
      </w:r>
      <w:r>
        <w:rPr>
          <w:rFonts w:eastAsia="Times New Roman" w:cs="Arial"/>
          <w:color w:val="58595B"/>
          <w:sz w:val="36"/>
          <w:szCs w:val="36"/>
        </w:rPr>
        <w:t>49777067</w:t>
      </w:r>
    </w:p>
    <w:p w:rsidR="003F3ACA" w:rsidRDefault="003F3ACA" w:rsidP="00A972ED">
      <w:pPr>
        <w:rPr>
          <w:rFonts w:cs="Arial"/>
          <w:color w:val="58595B"/>
          <w:sz w:val="36"/>
          <w:szCs w:val="36"/>
        </w:rPr>
      </w:pPr>
    </w:p>
    <w:p w:rsidR="00A972ED" w:rsidRDefault="00A972ED" w:rsidP="00A972ED">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A972ED" w:rsidRDefault="00A972ED" w:rsidP="00A972ED">
      <w:pPr>
        <w:rPr>
          <w:rFonts w:cs="Arial"/>
          <w:color w:val="58595B"/>
          <w:sz w:val="36"/>
          <w:szCs w:val="36"/>
        </w:rPr>
      </w:pPr>
      <w:r>
        <w:rPr>
          <w:rFonts w:cs="Arial"/>
          <w:color w:val="58595B"/>
          <w:sz w:val="36"/>
          <w:szCs w:val="36"/>
        </w:rPr>
        <w:t xml:space="preserve">Signed: </w:t>
      </w:r>
      <w:r>
        <w:rPr>
          <w:noProof/>
          <w:lang w:eastAsia="en-GB"/>
        </w:rPr>
        <w:drawing>
          <wp:inline distT="0" distB="0" distL="0" distR="0" wp14:anchorId="1B8069F6" wp14:editId="286DD58A">
            <wp:extent cx="1168400" cy="30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68400" cy="304800"/>
                    </a:xfrm>
                    <a:prstGeom prst="rect">
                      <a:avLst/>
                    </a:prstGeom>
                    <a:noFill/>
                    <a:ln>
                      <a:noFill/>
                    </a:ln>
                  </pic:spPr>
                </pic:pic>
              </a:graphicData>
            </a:graphic>
          </wp:inline>
        </w:drawing>
      </w:r>
      <w:r>
        <w:rPr>
          <w:rFonts w:cs="Arial"/>
          <w:color w:val="58595B"/>
          <w:sz w:val="36"/>
          <w:szCs w:val="36"/>
        </w:rPr>
        <w:t>Kate Houston</w:t>
      </w:r>
    </w:p>
    <w:p w:rsidR="00A972ED" w:rsidRDefault="00A972ED" w:rsidP="00A972ED">
      <w:pPr>
        <w:ind w:left="1440" w:hanging="1440"/>
        <w:rPr>
          <w:rFonts w:cs="Arial"/>
          <w:color w:val="58595B"/>
          <w:sz w:val="36"/>
          <w:szCs w:val="36"/>
        </w:rPr>
      </w:pPr>
      <w:r>
        <w:rPr>
          <w:rFonts w:cs="Arial"/>
          <w:color w:val="58595B"/>
          <w:sz w:val="36"/>
          <w:szCs w:val="36"/>
        </w:rPr>
        <w:t xml:space="preserve">Date:  </w:t>
      </w:r>
      <w:r>
        <w:rPr>
          <w:rFonts w:cs="Arial"/>
          <w:color w:val="58595B"/>
          <w:sz w:val="36"/>
          <w:szCs w:val="36"/>
        </w:rPr>
        <w:tab/>
      </w:r>
      <w:r>
        <w:rPr>
          <w:rFonts w:cs="Arial"/>
          <w:color w:val="58595B"/>
          <w:sz w:val="36"/>
          <w:szCs w:val="36"/>
        </w:rPr>
        <w:tab/>
      </w:r>
      <w:r>
        <w:rPr>
          <w:rFonts w:cs="Arial"/>
          <w:color w:val="58595B"/>
          <w:sz w:val="36"/>
          <w:szCs w:val="36"/>
        </w:rPr>
        <w:tab/>
        <w:t>2</w:t>
      </w:r>
      <w:r w:rsidR="003510E0">
        <w:rPr>
          <w:rFonts w:cs="Arial"/>
          <w:color w:val="58595B"/>
          <w:sz w:val="36"/>
          <w:szCs w:val="36"/>
        </w:rPr>
        <w:t>7</w:t>
      </w:r>
      <w:r>
        <w:rPr>
          <w:rFonts w:cs="Arial"/>
          <w:color w:val="58595B"/>
          <w:sz w:val="36"/>
          <w:szCs w:val="36"/>
          <w:vertAlign w:val="superscript"/>
        </w:rPr>
        <w:t>th</w:t>
      </w:r>
      <w:r>
        <w:rPr>
          <w:rFonts w:cs="Arial"/>
          <w:color w:val="58595B"/>
          <w:sz w:val="36"/>
          <w:szCs w:val="36"/>
        </w:rPr>
        <w:t xml:space="preserve"> April 2019</w:t>
      </w:r>
    </w:p>
    <w:p w:rsidR="003510E0" w:rsidRDefault="003510E0">
      <w:pPr>
        <w:rPr>
          <w:b/>
          <w:sz w:val="24"/>
          <w:szCs w:val="24"/>
        </w:rPr>
      </w:pPr>
      <w:r>
        <w:rPr>
          <w:b/>
          <w:sz w:val="24"/>
          <w:szCs w:val="24"/>
        </w:rPr>
        <w:br w:type="page"/>
      </w:r>
    </w:p>
    <w:p w:rsidR="00113979" w:rsidRPr="003510E0" w:rsidRDefault="00F0554E" w:rsidP="00113979">
      <w:pPr>
        <w:jc w:val="center"/>
        <w:rPr>
          <w:b/>
          <w:sz w:val="24"/>
          <w:szCs w:val="24"/>
        </w:rPr>
      </w:pPr>
      <w:bookmarkStart w:id="0" w:name="_GoBack"/>
      <w:bookmarkEnd w:id="0"/>
      <w:r w:rsidRPr="003510E0">
        <w:rPr>
          <w:b/>
          <w:sz w:val="24"/>
          <w:szCs w:val="24"/>
        </w:rPr>
        <w:lastRenderedPageBreak/>
        <w:t xml:space="preserve"> </w:t>
      </w:r>
      <w:r w:rsidR="00DA00EF" w:rsidRPr="003510E0">
        <w:rPr>
          <w:b/>
          <w:sz w:val="24"/>
          <w:szCs w:val="24"/>
        </w:rPr>
        <w:t>I</w:t>
      </w:r>
      <w:r w:rsidR="00113979" w:rsidRPr="003510E0">
        <w:rPr>
          <w:b/>
          <w:sz w:val="24"/>
          <w:szCs w:val="24"/>
        </w:rPr>
        <w:t xml:space="preserve">nvestigatory </w:t>
      </w:r>
      <w:r w:rsidRPr="003510E0">
        <w:rPr>
          <w:b/>
          <w:sz w:val="24"/>
          <w:szCs w:val="24"/>
        </w:rPr>
        <w:t>and</w:t>
      </w:r>
      <w:r w:rsidR="00113979" w:rsidRPr="003510E0">
        <w:rPr>
          <w:b/>
          <w:sz w:val="24"/>
          <w:szCs w:val="24"/>
        </w:rPr>
        <w:t xml:space="preserve"> disciplinary hearing</w:t>
      </w:r>
    </w:p>
    <w:p w:rsidR="00113979" w:rsidRPr="003510E0" w:rsidRDefault="00113979" w:rsidP="00113979">
      <w:pPr>
        <w:rPr>
          <w:sz w:val="24"/>
          <w:szCs w:val="24"/>
        </w:rPr>
      </w:pPr>
      <w:r w:rsidRPr="003510E0">
        <w:rPr>
          <w:sz w:val="24"/>
          <w:szCs w:val="24"/>
        </w:rPr>
        <w:t>The law relating to unfair dismissal requires employers’ to act reasonably when dealing with disciplinary issues the ACAS Code of Practice Guide provides good practice.</w:t>
      </w:r>
      <w:r w:rsidR="00DA00EF" w:rsidRPr="003510E0">
        <w:rPr>
          <w:sz w:val="24"/>
          <w:szCs w:val="24"/>
        </w:rPr>
        <w:t xml:space="preserve">  This was followed together with Ateb’s own procedure.  </w:t>
      </w:r>
      <w:r w:rsidRPr="003510E0">
        <w:rPr>
          <w:sz w:val="24"/>
          <w:szCs w:val="24"/>
        </w:rPr>
        <w:t>Employment tribunals consider whether the Code has been considered when reviewing cases (ACAS, 2019).</w:t>
      </w:r>
    </w:p>
    <w:p w:rsidR="00DA00EF" w:rsidRPr="003510E0" w:rsidRDefault="00113979" w:rsidP="00113979">
      <w:pPr>
        <w:rPr>
          <w:sz w:val="24"/>
          <w:szCs w:val="24"/>
        </w:rPr>
      </w:pPr>
      <w:r w:rsidRPr="003510E0">
        <w:rPr>
          <w:sz w:val="24"/>
          <w:szCs w:val="24"/>
        </w:rPr>
        <w:t>Due to the seriousness of this case; informal action was not an option as the potential outcome was gross misconduct.  Informal process include minor misconduct or unsatisfactory performance (ACAS, 2019).</w:t>
      </w:r>
    </w:p>
    <w:p w:rsidR="00DA00EF" w:rsidRPr="003510E0" w:rsidRDefault="000434DD" w:rsidP="00DA00EF">
      <w:pPr>
        <w:rPr>
          <w:b/>
          <w:sz w:val="24"/>
          <w:szCs w:val="24"/>
        </w:rPr>
      </w:pPr>
      <w:r w:rsidRPr="003510E0">
        <w:rPr>
          <w:b/>
          <w:sz w:val="24"/>
          <w:szCs w:val="24"/>
        </w:rPr>
        <w:t>I</w:t>
      </w:r>
      <w:r w:rsidR="00DA00EF" w:rsidRPr="003510E0">
        <w:rPr>
          <w:b/>
          <w:sz w:val="24"/>
          <w:szCs w:val="24"/>
        </w:rPr>
        <w:t>nvestigation</w:t>
      </w:r>
    </w:p>
    <w:p w:rsidR="00DA00EF" w:rsidRPr="003510E0" w:rsidRDefault="00DA00EF" w:rsidP="00DA00EF">
      <w:pPr>
        <w:pStyle w:val="ListParagraph"/>
        <w:numPr>
          <w:ilvl w:val="0"/>
          <w:numId w:val="2"/>
        </w:numPr>
        <w:rPr>
          <w:sz w:val="24"/>
          <w:szCs w:val="24"/>
        </w:rPr>
      </w:pPr>
      <w:r w:rsidRPr="003510E0">
        <w:rPr>
          <w:sz w:val="24"/>
          <w:szCs w:val="24"/>
        </w:rPr>
        <w:t>Telephone call from a member of the public wishing to make a complaint regarding Ateb this was established due to the uniform worn</w:t>
      </w:r>
      <w:r w:rsidR="000434DD" w:rsidRPr="003510E0">
        <w:rPr>
          <w:sz w:val="24"/>
          <w:szCs w:val="24"/>
        </w:rPr>
        <w:t>:</w:t>
      </w:r>
      <w:r w:rsidRPr="003510E0">
        <w:rPr>
          <w:sz w:val="24"/>
          <w:szCs w:val="24"/>
        </w:rPr>
        <w:t xml:space="preserve"> allegations of illegally entering property using force and intimidation.</w:t>
      </w:r>
    </w:p>
    <w:p w:rsidR="00DA00EF" w:rsidRPr="003510E0" w:rsidRDefault="00DA00EF" w:rsidP="00DA00EF">
      <w:pPr>
        <w:pStyle w:val="ListParagraph"/>
        <w:numPr>
          <w:ilvl w:val="0"/>
          <w:numId w:val="2"/>
        </w:numPr>
        <w:rPr>
          <w:sz w:val="24"/>
          <w:szCs w:val="24"/>
        </w:rPr>
      </w:pPr>
      <w:r w:rsidRPr="003510E0">
        <w:rPr>
          <w:sz w:val="24"/>
          <w:szCs w:val="24"/>
        </w:rPr>
        <w:t>Address was not an Ateb property.</w:t>
      </w:r>
    </w:p>
    <w:p w:rsidR="00DA00EF" w:rsidRPr="003510E0" w:rsidRDefault="00DA00EF" w:rsidP="00DA00EF">
      <w:pPr>
        <w:pStyle w:val="ListParagraph"/>
        <w:numPr>
          <w:ilvl w:val="0"/>
          <w:numId w:val="2"/>
        </w:numPr>
        <w:rPr>
          <w:sz w:val="24"/>
          <w:szCs w:val="24"/>
        </w:rPr>
      </w:pPr>
      <w:r w:rsidRPr="003510E0">
        <w:rPr>
          <w:sz w:val="24"/>
          <w:szCs w:val="24"/>
        </w:rPr>
        <w:t>Witness statement taken from member of public.</w:t>
      </w:r>
    </w:p>
    <w:p w:rsidR="00DA00EF" w:rsidRPr="003510E0" w:rsidRDefault="00DA00EF" w:rsidP="00DA00EF">
      <w:pPr>
        <w:pStyle w:val="ListParagraph"/>
        <w:numPr>
          <w:ilvl w:val="0"/>
          <w:numId w:val="2"/>
        </w:numPr>
        <w:rPr>
          <w:sz w:val="24"/>
          <w:szCs w:val="24"/>
        </w:rPr>
      </w:pPr>
      <w:r w:rsidRPr="003510E0">
        <w:rPr>
          <w:sz w:val="24"/>
          <w:szCs w:val="24"/>
        </w:rPr>
        <w:t xml:space="preserve">Maintenance vehicles are tracked </w:t>
      </w:r>
      <w:r w:rsidR="000434DD" w:rsidRPr="003510E0">
        <w:rPr>
          <w:sz w:val="24"/>
          <w:szCs w:val="24"/>
        </w:rPr>
        <w:t>which</w:t>
      </w:r>
      <w:r w:rsidRPr="003510E0">
        <w:rPr>
          <w:sz w:val="24"/>
          <w:szCs w:val="24"/>
        </w:rPr>
        <w:t xml:space="preserve"> established it was employee A’s vehicle.  </w:t>
      </w:r>
    </w:p>
    <w:p w:rsidR="00DA00EF" w:rsidRPr="003510E0" w:rsidRDefault="000434DD" w:rsidP="00DA00EF">
      <w:pPr>
        <w:pStyle w:val="ListParagraph"/>
        <w:numPr>
          <w:ilvl w:val="0"/>
          <w:numId w:val="2"/>
        </w:numPr>
        <w:rPr>
          <w:sz w:val="24"/>
          <w:szCs w:val="24"/>
        </w:rPr>
      </w:pPr>
      <w:r w:rsidRPr="003510E0">
        <w:rPr>
          <w:sz w:val="24"/>
          <w:szCs w:val="24"/>
        </w:rPr>
        <w:t xml:space="preserve">Established </w:t>
      </w:r>
      <w:r w:rsidR="00DA00EF" w:rsidRPr="003510E0">
        <w:rPr>
          <w:sz w:val="24"/>
          <w:szCs w:val="24"/>
        </w:rPr>
        <w:t>flat is rented using Hayes a local letting agent.</w:t>
      </w:r>
    </w:p>
    <w:p w:rsidR="00DA00EF" w:rsidRPr="003510E0" w:rsidRDefault="000434DD" w:rsidP="00DA00EF">
      <w:pPr>
        <w:pStyle w:val="ListParagraph"/>
        <w:numPr>
          <w:ilvl w:val="0"/>
          <w:numId w:val="2"/>
        </w:numPr>
        <w:rPr>
          <w:sz w:val="24"/>
          <w:szCs w:val="24"/>
        </w:rPr>
      </w:pPr>
      <w:r w:rsidRPr="003510E0">
        <w:rPr>
          <w:sz w:val="24"/>
          <w:szCs w:val="24"/>
        </w:rPr>
        <w:t xml:space="preserve">Witness statement from </w:t>
      </w:r>
      <w:r w:rsidR="00DA00EF" w:rsidRPr="003510E0">
        <w:rPr>
          <w:sz w:val="24"/>
          <w:szCs w:val="24"/>
        </w:rPr>
        <w:t>Hayes Manager confirmed employee A work</w:t>
      </w:r>
      <w:r w:rsidRPr="003510E0">
        <w:rPr>
          <w:sz w:val="24"/>
          <w:szCs w:val="24"/>
        </w:rPr>
        <w:t>ed</w:t>
      </w:r>
      <w:r w:rsidR="00DA00EF" w:rsidRPr="003510E0">
        <w:rPr>
          <w:sz w:val="24"/>
          <w:szCs w:val="24"/>
        </w:rPr>
        <w:t xml:space="preserve"> for the company on a casual basis (self-employed) and was there on the date of the incident no bullying/intimidation took place.  It was confirmed that employee A never wore Ateb’s uniform or used Ateb </w:t>
      </w:r>
      <w:r w:rsidRPr="003510E0">
        <w:rPr>
          <w:sz w:val="24"/>
          <w:szCs w:val="24"/>
        </w:rPr>
        <w:t>vehicle</w:t>
      </w:r>
      <w:r w:rsidR="00DA00EF" w:rsidRPr="003510E0">
        <w:rPr>
          <w:sz w:val="24"/>
          <w:szCs w:val="24"/>
        </w:rPr>
        <w:t xml:space="preserve"> whilst working for Hayes.</w:t>
      </w:r>
      <w:r w:rsidR="00C165AE" w:rsidRPr="003510E0">
        <w:rPr>
          <w:sz w:val="24"/>
          <w:szCs w:val="24"/>
        </w:rPr>
        <w:t xml:space="preserve"> </w:t>
      </w:r>
    </w:p>
    <w:p w:rsidR="00DA00EF" w:rsidRPr="003510E0" w:rsidRDefault="00DA00EF" w:rsidP="00DA00EF">
      <w:pPr>
        <w:pStyle w:val="ListParagraph"/>
        <w:numPr>
          <w:ilvl w:val="0"/>
          <w:numId w:val="2"/>
        </w:numPr>
        <w:rPr>
          <w:sz w:val="24"/>
          <w:szCs w:val="24"/>
        </w:rPr>
      </w:pPr>
      <w:r w:rsidRPr="003510E0">
        <w:rPr>
          <w:sz w:val="24"/>
          <w:szCs w:val="24"/>
        </w:rPr>
        <w:t xml:space="preserve">Using tracking fitted to employee A’s vehicle over a period of 22 days, 18 days placed employee A’s vehicle in a carpark near to Hayes which was not in close proximity to any of Ateb’s properties.  </w:t>
      </w:r>
    </w:p>
    <w:p w:rsidR="00DA00EF" w:rsidRPr="003510E0" w:rsidRDefault="00DA00EF" w:rsidP="00DA00EF">
      <w:pPr>
        <w:pStyle w:val="ListParagraph"/>
        <w:numPr>
          <w:ilvl w:val="0"/>
          <w:numId w:val="2"/>
        </w:numPr>
        <w:rPr>
          <w:sz w:val="24"/>
          <w:szCs w:val="24"/>
        </w:rPr>
      </w:pPr>
      <w:r w:rsidRPr="003510E0">
        <w:rPr>
          <w:sz w:val="24"/>
          <w:szCs w:val="24"/>
        </w:rPr>
        <w:t xml:space="preserve">Hayes Manager confirmed employee </w:t>
      </w:r>
      <w:proofErr w:type="gramStart"/>
      <w:r w:rsidRPr="003510E0">
        <w:rPr>
          <w:sz w:val="24"/>
          <w:szCs w:val="24"/>
        </w:rPr>
        <w:t>A</w:t>
      </w:r>
      <w:proofErr w:type="gramEnd"/>
      <w:r w:rsidRPr="003510E0">
        <w:rPr>
          <w:sz w:val="24"/>
          <w:szCs w:val="24"/>
        </w:rPr>
        <w:t xml:space="preserve"> visited Hayes on 18 days specified between the hours of 9 a.m. to 5 p.m. to discuss and be issued with a job list.  </w:t>
      </w:r>
    </w:p>
    <w:p w:rsidR="00DA00EF" w:rsidRPr="003510E0" w:rsidRDefault="00DA00EF" w:rsidP="00DA00EF">
      <w:pPr>
        <w:pStyle w:val="ListParagraph"/>
        <w:numPr>
          <w:ilvl w:val="0"/>
          <w:numId w:val="2"/>
        </w:numPr>
        <w:rPr>
          <w:sz w:val="24"/>
          <w:szCs w:val="24"/>
        </w:rPr>
      </w:pPr>
      <w:r w:rsidRPr="003510E0">
        <w:rPr>
          <w:sz w:val="24"/>
          <w:szCs w:val="24"/>
        </w:rPr>
        <w:t xml:space="preserve">One of the said days employee A had been issued a doctors sick note therefore was not working for Ateb and supposedly unfit for work. </w:t>
      </w:r>
    </w:p>
    <w:p w:rsidR="00DA00EF" w:rsidRPr="003510E0" w:rsidRDefault="00DA00EF" w:rsidP="00DA00EF">
      <w:pPr>
        <w:pStyle w:val="ListParagraph"/>
        <w:numPr>
          <w:ilvl w:val="0"/>
          <w:numId w:val="2"/>
        </w:numPr>
        <w:rPr>
          <w:sz w:val="24"/>
          <w:szCs w:val="24"/>
        </w:rPr>
      </w:pPr>
      <w:r w:rsidRPr="003510E0">
        <w:rPr>
          <w:sz w:val="24"/>
          <w:szCs w:val="24"/>
        </w:rPr>
        <w:t>Declaration of interest form was checked employee had not declared working for himself outside Ateb’s hours.</w:t>
      </w:r>
    </w:p>
    <w:p w:rsidR="00DA00EF" w:rsidRPr="003510E0" w:rsidRDefault="00DA00EF" w:rsidP="00DA00EF">
      <w:pPr>
        <w:pStyle w:val="ListParagraph"/>
        <w:numPr>
          <w:ilvl w:val="0"/>
          <w:numId w:val="2"/>
        </w:numPr>
        <w:rPr>
          <w:sz w:val="24"/>
          <w:szCs w:val="24"/>
        </w:rPr>
      </w:pPr>
      <w:r w:rsidRPr="003510E0">
        <w:rPr>
          <w:sz w:val="24"/>
          <w:szCs w:val="24"/>
        </w:rPr>
        <w:t>IBS which records were utilised determining employee A’s workload to other Maintenance Workers – it was significantly lower.  Supplies of materials were higher.</w:t>
      </w:r>
    </w:p>
    <w:p w:rsidR="00C165AE" w:rsidRPr="003510E0" w:rsidRDefault="00DA00EF" w:rsidP="00113979">
      <w:pPr>
        <w:pStyle w:val="ListParagraph"/>
        <w:numPr>
          <w:ilvl w:val="0"/>
          <w:numId w:val="1"/>
        </w:numPr>
        <w:rPr>
          <w:sz w:val="24"/>
          <w:szCs w:val="24"/>
        </w:rPr>
      </w:pPr>
      <w:r w:rsidRPr="003510E0">
        <w:rPr>
          <w:sz w:val="24"/>
          <w:szCs w:val="24"/>
        </w:rPr>
        <w:t>Investigatory meeting was carried out within 10 days looking at evidenc</w:t>
      </w:r>
      <w:r w:rsidR="00C165AE" w:rsidRPr="003510E0">
        <w:rPr>
          <w:sz w:val="24"/>
          <w:szCs w:val="24"/>
        </w:rPr>
        <w:t>e to support Employee A’s case.</w:t>
      </w:r>
    </w:p>
    <w:p w:rsidR="00DA00EF" w:rsidRPr="003510E0" w:rsidRDefault="00DA00EF" w:rsidP="00113979">
      <w:pPr>
        <w:pStyle w:val="ListParagraph"/>
        <w:numPr>
          <w:ilvl w:val="0"/>
          <w:numId w:val="1"/>
        </w:numPr>
        <w:rPr>
          <w:sz w:val="24"/>
          <w:szCs w:val="24"/>
        </w:rPr>
      </w:pPr>
      <w:r w:rsidRPr="003510E0">
        <w:rPr>
          <w:sz w:val="24"/>
          <w:szCs w:val="24"/>
        </w:rPr>
        <w:t>Maintenance Worker for the detailed geographical areas was interviewed to determine whether employee A was assisting them.</w:t>
      </w:r>
    </w:p>
    <w:p w:rsidR="00113979" w:rsidRPr="003510E0" w:rsidRDefault="00113979" w:rsidP="00113979">
      <w:pPr>
        <w:rPr>
          <w:sz w:val="24"/>
          <w:szCs w:val="24"/>
        </w:rPr>
      </w:pPr>
      <w:r w:rsidRPr="003510E0">
        <w:rPr>
          <w:sz w:val="24"/>
          <w:szCs w:val="24"/>
        </w:rPr>
        <w:t>Employee A was treated fairly: informed in a one-to-one meeting with their Manager and myself of the proposed investigation establishing facts on the day the incident was reported hence there was no unreasonable delay (ACAS, 2019).  Witness statements were sought on the day of the incident and the following day more robustly.</w:t>
      </w:r>
    </w:p>
    <w:p w:rsidR="00113979" w:rsidRPr="003510E0" w:rsidRDefault="00113979" w:rsidP="00113979">
      <w:pPr>
        <w:rPr>
          <w:sz w:val="24"/>
          <w:szCs w:val="24"/>
        </w:rPr>
      </w:pPr>
      <w:r w:rsidRPr="003510E0">
        <w:rPr>
          <w:sz w:val="24"/>
          <w:szCs w:val="24"/>
        </w:rPr>
        <w:lastRenderedPageBreak/>
        <w:t xml:space="preserve">On the fifth day a letter was sent addressing the investigation by a senior manager at Ateb; detailing the alleged incident together with grounds of investigation, no suspension was warranted; providing a date and time of investigation meeting in order for employee A to prepare; detailing the likelihood of a disciplinary as gross misconduct; and offering the right to be accompanied.  ACAS (2019) state there is no statutory right for an employee to be accompanied.  </w:t>
      </w:r>
    </w:p>
    <w:p w:rsidR="00113979" w:rsidRPr="003510E0" w:rsidRDefault="00113979" w:rsidP="00113979">
      <w:pPr>
        <w:rPr>
          <w:sz w:val="24"/>
          <w:szCs w:val="24"/>
        </w:rPr>
      </w:pPr>
      <w:r w:rsidRPr="003510E0">
        <w:rPr>
          <w:sz w:val="24"/>
          <w:szCs w:val="24"/>
        </w:rPr>
        <w:t>I acted as note taker with the senior manager and the matter was dealt speedily in a confidential manner (ACAS, 2019).  A further letter was sent detailing the findings of the investigatory meeting providing sufficient information regarding the alleged misconduct including all witness statements for the disciplinary hearing; enclosing Ateb’s disciplinary procedure; detailing time, date and venue; and right to be accompanied.</w:t>
      </w:r>
    </w:p>
    <w:p w:rsidR="00113979" w:rsidRPr="003510E0" w:rsidRDefault="00113979" w:rsidP="00113979">
      <w:pPr>
        <w:rPr>
          <w:sz w:val="24"/>
          <w:szCs w:val="24"/>
        </w:rPr>
      </w:pPr>
      <w:r w:rsidRPr="003510E0">
        <w:rPr>
          <w:sz w:val="24"/>
          <w:szCs w:val="24"/>
        </w:rPr>
        <w:t>After discussing the case with my manage</w:t>
      </w:r>
      <w:r w:rsidR="00E025B0" w:rsidRPr="003510E0">
        <w:rPr>
          <w:sz w:val="24"/>
          <w:szCs w:val="24"/>
        </w:rPr>
        <w:t>r</w:t>
      </w:r>
      <w:r w:rsidRPr="003510E0">
        <w:rPr>
          <w:sz w:val="24"/>
          <w:szCs w:val="24"/>
        </w:rPr>
        <w:t xml:space="preserve"> no mediation was sought in this case due to the breach of terms and conditions by employee A and the implied term of trust and confidence by Ateb against the employee.</w:t>
      </w:r>
    </w:p>
    <w:p w:rsidR="00113979" w:rsidRPr="003510E0" w:rsidRDefault="00113979" w:rsidP="00113979">
      <w:pPr>
        <w:rPr>
          <w:sz w:val="24"/>
          <w:szCs w:val="24"/>
        </w:rPr>
      </w:pPr>
      <w:r w:rsidRPr="003510E0">
        <w:rPr>
          <w:sz w:val="24"/>
          <w:szCs w:val="24"/>
        </w:rPr>
        <w:t xml:space="preserve">This case did not proceed to a disciplinary hearing as employee </w:t>
      </w:r>
      <w:proofErr w:type="gramStart"/>
      <w:r w:rsidRPr="003510E0">
        <w:rPr>
          <w:sz w:val="24"/>
          <w:szCs w:val="24"/>
        </w:rPr>
        <w:t>A</w:t>
      </w:r>
      <w:proofErr w:type="gramEnd"/>
      <w:r w:rsidRPr="003510E0">
        <w:rPr>
          <w:sz w:val="24"/>
          <w:szCs w:val="24"/>
        </w:rPr>
        <w:t xml:space="preserve"> resigned which Ateb accepted.  Full pay and notice was provided.</w:t>
      </w:r>
    </w:p>
    <w:p w:rsidR="00113979" w:rsidRPr="003510E0" w:rsidRDefault="00113979" w:rsidP="00113979">
      <w:pPr>
        <w:rPr>
          <w:sz w:val="24"/>
          <w:szCs w:val="24"/>
        </w:rPr>
      </w:pPr>
      <w:r w:rsidRPr="003510E0">
        <w:rPr>
          <w:sz w:val="24"/>
          <w:szCs w:val="24"/>
        </w:rPr>
        <w:t>Overall, the investigatory process was carried out without unreasonable delay allowing the employee appropriate time to prepare a case (ACAS, 2019).  All witness statements were provided and at every meeting the employee was able to be accompanied.  Throughout the process I kept written records of the investigation, the disciplinary, witness statements, letters and notes.</w:t>
      </w:r>
      <w:r w:rsidRPr="003510E0">
        <w:rPr>
          <w:sz w:val="24"/>
          <w:szCs w:val="24"/>
        </w:rPr>
        <w:br/>
      </w:r>
      <w:r w:rsidRPr="003510E0">
        <w:rPr>
          <w:sz w:val="24"/>
          <w:szCs w:val="24"/>
        </w:rPr>
        <w:br/>
        <w:t>My manager and I discussed my notes from the investigating meeting as this was my first disciplinary my handwritten notes were hurried and hard to read for another person.  I admitted I used my notes and expanded on these as I typed up my notes using my memory of events.  This is something I am going to have to work on for future complex disciplinary and grievances.</w:t>
      </w:r>
    </w:p>
    <w:p w:rsidR="00113979" w:rsidRPr="003510E0" w:rsidRDefault="00113979" w:rsidP="00113979">
      <w:pPr>
        <w:rPr>
          <w:sz w:val="24"/>
          <w:szCs w:val="24"/>
        </w:rPr>
      </w:pPr>
      <w:r w:rsidRPr="003510E0">
        <w:rPr>
          <w:sz w:val="24"/>
          <w:szCs w:val="24"/>
        </w:rPr>
        <w:t xml:space="preserve">Reflecting the case with my manager I feel that employee A was well-informed: rules and procedures adhered to, given the opportunity to ask questions; questions directed to the employee were mainly open questions; only asking closed questions when necessary.  Employee A instigated their right to be accompanied bringing a colleague to the investigation and although trade union representation is not a contracted right </w:t>
      </w:r>
      <w:r w:rsidR="00E025B0" w:rsidRPr="003510E0">
        <w:rPr>
          <w:sz w:val="24"/>
          <w:szCs w:val="24"/>
        </w:rPr>
        <w:t xml:space="preserve">at </w:t>
      </w:r>
      <w:r w:rsidRPr="003510E0">
        <w:rPr>
          <w:sz w:val="24"/>
          <w:szCs w:val="24"/>
        </w:rPr>
        <w:t xml:space="preserve">Ateb </w:t>
      </w:r>
      <w:r w:rsidR="00E025B0" w:rsidRPr="003510E0">
        <w:rPr>
          <w:sz w:val="24"/>
          <w:szCs w:val="24"/>
        </w:rPr>
        <w:t xml:space="preserve">this was </w:t>
      </w:r>
      <w:r w:rsidRPr="003510E0">
        <w:rPr>
          <w:sz w:val="24"/>
          <w:szCs w:val="24"/>
        </w:rPr>
        <w:t xml:space="preserve">supported at the disciplinary hearing.  </w:t>
      </w:r>
    </w:p>
    <w:p w:rsidR="000766D2" w:rsidRPr="003510E0" w:rsidRDefault="00113979">
      <w:pPr>
        <w:rPr>
          <w:sz w:val="24"/>
          <w:szCs w:val="24"/>
        </w:rPr>
      </w:pPr>
      <w:r w:rsidRPr="003510E0">
        <w:rPr>
          <w:sz w:val="24"/>
          <w:szCs w:val="24"/>
        </w:rPr>
        <w:t>All Managers dealing with the investigation were provided with the right training and policies and procedures and the investigatory meeting was summarised in depth.</w:t>
      </w:r>
    </w:p>
    <w:p w:rsidR="000766D2" w:rsidRPr="003510E0" w:rsidRDefault="000766D2" w:rsidP="000766D2">
      <w:pPr>
        <w:rPr>
          <w:color w:val="808080" w:themeColor="background1" w:themeShade="80"/>
          <w:sz w:val="24"/>
          <w:szCs w:val="24"/>
        </w:rPr>
      </w:pPr>
      <w:r w:rsidRPr="003510E0">
        <w:rPr>
          <w:b/>
          <w:color w:val="808080" w:themeColor="background1" w:themeShade="80"/>
          <w:sz w:val="24"/>
          <w:szCs w:val="24"/>
        </w:rPr>
        <w:t>Bibliography</w:t>
      </w:r>
      <w:r w:rsidRPr="003510E0">
        <w:rPr>
          <w:b/>
          <w:color w:val="808080" w:themeColor="background1" w:themeShade="80"/>
          <w:sz w:val="24"/>
          <w:szCs w:val="24"/>
        </w:rPr>
        <w:br/>
      </w:r>
    </w:p>
    <w:p w:rsidR="000766D2" w:rsidRPr="003510E0" w:rsidRDefault="000766D2" w:rsidP="000766D2">
      <w:pPr>
        <w:spacing w:after="0"/>
        <w:rPr>
          <w:i/>
          <w:color w:val="808080" w:themeColor="background1" w:themeShade="80"/>
          <w:sz w:val="24"/>
          <w:szCs w:val="24"/>
        </w:rPr>
      </w:pPr>
      <w:r w:rsidRPr="003510E0">
        <w:rPr>
          <w:color w:val="808080" w:themeColor="background1" w:themeShade="80"/>
          <w:sz w:val="24"/>
          <w:szCs w:val="24"/>
        </w:rPr>
        <w:t xml:space="preserve">ACAS (2019) </w:t>
      </w:r>
      <w:r w:rsidRPr="003510E0">
        <w:rPr>
          <w:i/>
          <w:color w:val="808080" w:themeColor="background1" w:themeShade="80"/>
          <w:sz w:val="24"/>
          <w:szCs w:val="24"/>
        </w:rPr>
        <w:t>Discipline and Grievances at Work: The Acas guide.</w:t>
      </w:r>
    </w:p>
    <w:p w:rsidR="000766D2" w:rsidRPr="003510E0" w:rsidRDefault="000766D2" w:rsidP="000766D2">
      <w:pPr>
        <w:spacing w:after="0"/>
        <w:rPr>
          <w:color w:val="808080" w:themeColor="background1" w:themeShade="80"/>
          <w:sz w:val="24"/>
          <w:szCs w:val="24"/>
        </w:rPr>
      </w:pPr>
      <w:r w:rsidRPr="003510E0">
        <w:rPr>
          <w:rFonts w:cs="Arial"/>
          <w:color w:val="808080" w:themeColor="background1" w:themeShade="80"/>
          <w:sz w:val="24"/>
          <w:szCs w:val="24"/>
        </w:rPr>
        <w:t>Available at:</w:t>
      </w:r>
      <w:r w:rsidRPr="003510E0">
        <w:rPr>
          <w:color w:val="808080" w:themeColor="background1" w:themeShade="80"/>
          <w:sz w:val="24"/>
          <w:szCs w:val="24"/>
        </w:rPr>
        <w:t xml:space="preserve"> </w:t>
      </w:r>
      <w:hyperlink r:id="rId8" w:history="1">
        <w:r w:rsidRPr="003510E0">
          <w:rPr>
            <w:rStyle w:val="Hyperlink"/>
            <w:color w:val="808080" w:themeColor="background1" w:themeShade="80"/>
            <w:sz w:val="24"/>
            <w:szCs w:val="24"/>
          </w:rPr>
          <w:t>http://www.acas.org.uk/media/pdf/p/3/DG_Guide_Feb_2019.pdf</w:t>
        </w:r>
      </w:hyperlink>
    </w:p>
    <w:p w:rsidR="000766D2" w:rsidRPr="003510E0" w:rsidRDefault="000766D2" w:rsidP="000766D2">
      <w:pPr>
        <w:spacing w:after="0"/>
        <w:rPr>
          <w:rFonts w:cs="Arial"/>
          <w:color w:val="808080" w:themeColor="background1" w:themeShade="80"/>
          <w:sz w:val="24"/>
          <w:szCs w:val="24"/>
        </w:rPr>
      </w:pPr>
      <w:r w:rsidRPr="003510E0">
        <w:rPr>
          <w:rFonts w:cs="Arial"/>
          <w:color w:val="808080" w:themeColor="background1" w:themeShade="80"/>
          <w:sz w:val="24"/>
          <w:szCs w:val="24"/>
        </w:rPr>
        <w:t>(Accessed: 14</w:t>
      </w:r>
      <w:r w:rsidRPr="003510E0">
        <w:rPr>
          <w:rFonts w:cs="Arial"/>
          <w:color w:val="808080" w:themeColor="background1" w:themeShade="80"/>
          <w:sz w:val="24"/>
          <w:szCs w:val="24"/>
          <w:vertAlign w:val="superscript"/>
        </w:rPr>
        <w:t>th</w:t>
      </w:r>
      <w:r w:rsidRPr="003510E0">
        <w:rPr>
          <w:rFonts w:cs="Arial"/>
          <w:color w:val="808080" w:themeColor="background1" w:themeShade="80"/>
          <w:sz w:val="24"/>
          <w:szCs w:val="24"/>
        </w:rPr>
        <w:t xml:space="preserve"> April 2019).</w:t>
      </w:r>
    </w:p>
    <w:p w:rsidR="003510E0" w:rsidRPr="003510E0" w:rsidRDefault="003510E0" w:rsidP="003510E0">
      <w:pPr>
        <w:jc w:val="center"/>
        <w:rPr>
          <w:b/>
          <w:sz w:val="24"/>
          <w:szCs w:val="24"/>
        </w:rPr>
      </w:pPr>
      <w:r w:rsidRPr="003510E0">
        <w:rPr>
          <w:b/>
          <w:sz w:val="24"/>
          <w:szCs w:val="24"/>
        </w:rPr>
        <w:lastRenderedPageBreak/>
        <w:t xml:space="preserve">Employee representation on working group </w:t>
      </w:r>
    </w:p>
    <w:p w:rsidR="003510E0" w:rsidRPr="003510E0" w:rsidRDefault="003510E0" w:rsidP="003510E0">
      <w:pPr>
        <w:rPr>
          <w:sz w:val="24"/>
          <w:szCs w:val="24"/>
        </w:rPr>
      </w:pPr>
      <w:r w:rsidRPr="003510E0">
        <w:rPr>
          <w:sz w:val="24"/>
          <w:szCs w:val="24"/>
        </w:rPr>
        <w:t xml:space="preserve">The task group was set-up to look at current flexible working at </w:t>
      </w:r>
      <w:proofErr w:type="spellStart"/>
      <w:r w:rsidRPr="003510E0">
        <w:rPr>
          <w:sz w:val="24"/>
          <w:szCs w:val="24"/>
        </w:rPr>
        <w:t>Ateb</w:t>
      </w:r>
      <w:proofErr w:type="spellEnd"/>
      <w:r w:rsidRPr="003510E0">
        <w:rPr>
          <w:sz w:val="24"/>
          <w:szCs w:val="24"/>
        </w:rPr>
        <w:t xml:space="preserve"> investigating other contemporary organisations gauging what other organisations are currently operating and how this fits with agile working and family-friendly policies for the future allowing </w:t>
      </w:r>
      <w:proofErr w:type="spellStart"/>
      <w:r w:rsidRPr="003510E0">
        <w:rPr>
          <w:sz w:val="24"/>
          <w:szCs w:val="24"/>
        </w:rPr>
        <w:t>Ateb’s</w:t>
      </w:r>
      <w:proofErr w:type="spellEnd"/>
      <w:r w:rsidRPr="003510E0">
        <w:rPr>
          <w:sz w:val="24"/>
          <w:szCs w:val="24"/>
        </w:rPr>
        <w:t xml:space="preserve"> workforce flexibility and in return greater productivity.</w:t>
      </w:r>
    </w:p>
    <w:p w:rsidR="003510E0" w:rsidRPr="003510E0" w:rsidRDefault="003510E0" w:rsidP="003510E0">
      <w:pPr>
        <w:rPr>
          <w:sz w:val="24"/>
          <w:szCs w:val="24"/>
        </w:rPr>
      </w:pPr>
      <w:r w:rsidRPr="003510E0">
        <w:rPr>
          <w:sz w:val="24"/>
          <w:szCs w:val="24"/>
        </w:rPr>
        <w:t>The group comprised of 7 employees across different departments some work in the community and others office-based.  The Chief Executive (CE) briefed us by communicating what he hoped would be achieved; he didn’t want like for like; or what other housing associations were doing; he wanted us to be innovative; and the overall process would be delivered to our employee engagement representatives and the Executive Team for approval.</w:t>
      </w:r>
    </w:p>
    <w:p w:rsidR="003510E0" w:rsidRPr="003510E0" w:rsidRDefault="003510E0" w:rsidP="003510E0">
      <w:pPr>
        <w:rPr>
          <w:sz w:val="24"/>
          <w:szCs w:val="24"/>
        </w:rPr>
      </w:pPr>
      <w:r w:rsidRPr="003510E0">
        <w:rPr>
          <w:sz w:val="24"/>
          <w:szCs w:val="24"/>
        </w:rPr>
        <w:t>There was much debate on our brief and disagreements over the task causing conflict (</w:t>
      </w:r>
      <w:proofErr w:type="spellStart"/>
      <w:r w:rsidRPr="003510E0">
        <w:rPr>
          <w:sz w:val="24"/>
          <w:szCs w:val="24"/>
        </w:rPr>
        <w:t>Aylott</w:t>
      </w:r>
      <w:proofErr w:type="spellEnd"/>
      <w:r w:rsidRPr="003510E0">
        <w:rPr>
          <w:sz w:val="24"/>
          <w:szCs w:val="24"/>
        </w:rPr>
        <w:t xml:space="preserve">, 2018).  The CE is fairly new and </w:t>
      </w:r>
      <w:proofErr w:type="spellStart"/>
      <w:r w:rsidRPr="003510E0">
        <w:rPr>
          <w:sz w:val="24"/>
          <w:szCs w:val="24"/>
        </w:rPr>
        <w:t>Ateb</w:t>
      </w:r>
      <w:proofErr w:type="spellEnd"/>
      <w:r w:rsidRPr="003510E0">
        <w:rPr>
          <w:sz w:val="24"/>
          <w:szCs w:val="24"/>
        </w:rPr>
        <w:t xml:space="preserve"> is currently undergoing extensive change.  Task groups have been set-up regarding flexible working and our working environment to name a few.  Due to gossip and informal conversations the CE instigated from the cleaners to the Directors it was well-known what his vision was and what he has modelled </w:t>
      </w:r>
      <w:proofErr w:type="spellStart"/>
      <w:r w:rsidRPr="003510E0">
        <w:rPr>
          <w:sz w:val="24"/>
          <w:szCs w:val="24"/>
        </w:rPr>
        <w:t>Ateb</w:t>
      </w:r>
      <w:proofErr w:type="spellEnd"/>
      <w:r w:rsidRPr="003510E0">
        <w:rPr>
          <w:sz w:val="24"/>
          <w:szCs w:val="24"/>
        </w:rPr>
        <w:t xml:space="preserve"> against which is similar to another housing association which the CE has close links to.  For this reason there was conflict between group members: some thought we should give the CE what he wanted: no </w:t>
      </w:r>
      <w:proofErr w:type="spellStart"/>
      <w:r w:rsidRPr="003510E0">
        <w:rPr>
          <w:sz w:val="24"/>
          <w:szCs w:val="24"/>
        </w:rPr>
        <w:t>clockings</w:t>
      </w:r>
      <w:proofErr w:type="spellEnd"/>
      <w:r w:rsidRPr="003510E0">
        <w:rPr>
          <w:sz w:val="24"/>
          <w:szCs w:val="24"/>
        </w:rPr>
        <w:t>, no core times; the ability to work from home; and no flexi; others wanted to investigate other possibilities.</w:t>
      </w:r>
    </w:p>
    <w:p w:rsidR="003510E0" w:rsidRPr="003510E0" w:rsidRDefault="003510E0" w:rsidP="003510E0">
      <w:pPr>
        <w:rPr>
          <w:sz w:val="24"/>
          <w:szCs w:val="24"/>
        </w:rPr>
      </w:pPr>
      <w:r w:rsidRPr="003510E0">
        <w:rPr>
          <w:sz w:val="24"/>
          <w:szCs w:val="24"/>
        </w:rPr>
        <w:t>Reflecting my manager and I agreed that it is natural to have task conflict as different people have different ideas which can be positive as it can produce innovative results (</w:t>
      </w:r>
      <w:proofErr w:type="spellStart"/>
      <w:r w:rsidRPr="003510E0">
        <w:rPr>
          <w:sz w:val="24"/>
          <w:szCs w:val="24"/>
        </w:rPr>
        <w:t>Aylott</w:t>
      </w:r>
      <w:proofErr w:type="spellEnd"/>
      <w:r w:rsidRPr="003510E0">
        <w:rPr>
          <w:sz w:val="24"/>
          <w:szCs w:val="24"/>
        </w:rPr>
        <w:t>, 2018).  My manager did feel that the group was negative towards the CE and it was really up to us what we produced as the finished result, moving forward in such groups to be less sceptical was suggested.  My manager expressed the willingness of the CE on employee involvement and participation thus allowing employees the opportunity to express their concerns influencing the actions of management (Ellis, 2016).  My manager did believe that communication was a factor in the uncertainty the group displayed as communication passed downwards via the CE informally and reached members of the group as gossip which in this instance has been destructive and caused distrust in the workplace (</w:t>
      </w:r>
      <w:proofErr w:type="spellStart"/>
      <w:r w:rsidRPr="003510E0">
        <w:rPr>
          <w:sz w:val="24"/>
          <w:szCs w:val="24"/>
        </w:rPr>
        <w:t>Aylott</w:t>
      </w:r>
      <w:proofErr w:type="spellEnd"/>
      <w:r w:rsidRPr="003510E0">
        <w:rPr>
          <w:sz w:val="24"/>
          <w:szCs w:val="24"/>
        </w:rPr>
        <w:t>, 2018).</w:t>
      </w:r>
    </w:p>
    <w:p w:rsidR="003510E0" w:rsidRPr="003510E0" w:rsidRDefault="003510E0" w:rsidP="003510E0">
      <w:pPr>
        <w:rPr>
          <w:sz w:val="24"/>
          <w:szCs w:val="24"/>
        </w:rPr>
      </w:pPr>
      <w:r w:rsidRPr="003510E0">
        <w:rPr>
          <w:sz w:val="24"/>
          <w:szCs w:val="24"/>
        </w:rPr>
        <w:t>The group discussed the way forward: selected two organisations of choice exploring what they did; and regardless of organisation’s size or sector.  Over a two week period each group member investigated the organisations and typed up brief notes of findings.</w:t>
      </w:r>
    </w:p>
    <w:p w:rsidR="003510E0" w:rsidRPr="003510E0" w:rsidRDefault="003510E0" w:rsidP="003510E0">
      <w:pPr>
        <w:rPr>
          <w:sz w:val="24"/>
          <w:szCs w:val="24"/>
        </w:rPr>
      </w:pPr>
      <w:r w:rsidRPr="003510E0">
        <w:rPr>
          <w:sz w:val="24"/>
          <w:szCs w:val="24"/>
        </w:rPr>
        <w:t xml:space="preserve">At our next meeting we discussed our findings discussing each one.  We then talked openly to our colleagues to gain feedback informally.  The following meeting we decided to come up with three proposals to take to the employee engagement representatives and the Executive Team.  Two were similar to what we have now such as remaining on a clocking system but to disregard core hours and increasing flexi which could be accrued from half a day in deficit or credit to either one full day and in one proposal to three.  Our current system on a four-week period cuts off time accrued over the half day this is again is relaxed </w:t>
      </w:r>
      <w:r w:rsidRPr="003510E0">
        <w:rPr>
          <w:sz w:val="24"/>
          <w:szCs w:val="24"/>
        </w:rPr>
        <w:lastRenderedPageBreak/>
        <w:t xml:space="preserve">in our proposal resulting in no time being withdrawn, time can be accumulated up to a maximum of 20 hours.  The final proposal was no </w:t>
      </w:r>
      <w:proofErr w:type="spellStart"/>
      <w:r w:rsidRPr="003510E0">
        <w:rPr>
          <w:sz w:val="24"/>
          <w:szCs w:val="24"/>
        </w:rPr>
        <w:t>clockings</w:t>
      </w:r>
      <w:proofErr w:type="spellEnd"/>
      <w:r w:rsidRPr="003510E0">
        <w:rPr>
          <w:sz w:val="24"/>
          <w:szCs w:val="24"/>
        </w:rPr>
        <w:t xml:space="preserve">, no core periods and if possible on occasions the ability to work from home if the need arises in respect of family or work commitments.   </w:t>
      </w:r>
    </w:p>
    <w:p w:rsidR="003510E0" w:rsidRPr="003510E0" w:rsidRDefault="003510E0" w:rsidP="003510E0">
      <w:pPr>
        <w:rPr>
          <w:sz w:val="24"/>
          <w:szCs w:val="24"/>
        </w:rPr>
      </w:pPr>
      <w:r w:rsidRPr="003510E0">
        <w:rPr>
          <w:sz w:val="24"/>
          <w:szCs w:val="24"/>
        </w:rPr>
        <w:t xml:space="preserve">One of the group liked compiling reports and naturally took the lead.  The report produced looked professional and took </w:t>
      </w:r>
      <w:proofErr w:type="spellStart"/>
      <w:r w:rsidRPr="003510E0">
        <w:rPr>
          <w:sz w:val="24"/>
          <w:szCs w:val="24"/>
        </w:rPr>
        <w:t>Ateb’s</w:t>
      </w:r>
      <w:proofErr w:type="spellEnd"/>
      <w:r w:rsidRPr="003510E0">
        <w:rPr>
          <w:sz w:val="24"/>
          <w:szCs w:val="24"/>
        </w:rPr>
        <w:t xml:space="preserve"> new vision, culture and values and incorporated this into the document.  All group members presented the document to the employee engagement representatives and once approved was sent to the Executive Team for consideration.</w:t>
      </w:r>
    </w:p>
    <w:p w:rsidR="003510E0" w:rsidRPr="003510E0" w:rsidRDefault="003510E0" w:rsidP="003510E0">
      <w:pPr>
        <w:rPr>
          <w:sz w:val="24"/>
          <w:szCs w:val="24"/>
        </w:rPr>
      </w:pPr>
      <w:r w:rsidRPr="003510E0">
        <w:rPr>
          <w:sz w:val="24"/>
          <w:szCs w:val="24"/>
        </w:rPr>
        <w:t>The group worked well together and came up with three proposals easily meeting our objective.  Not one member took the lead in presenting however, one did draft the document with final approval and amendment of key facts decided collaboratively.</w:t>
      </w:r>
    </w:p>
    <w:p w:rsidR="003510E0" w:rsidRPr="003510E0" w:rsidRDefault="003510E0" w:rsidP="003510E0">
      <w:pPr>
        <w:rPr>
          <w:b/>
          <w:color w:val="808080" w:themeColor="background1" w:themeShade="80"/>
          <w:sz w:val="24"/>
          <w:szCs w:val="24"/>
        </w:rPr>
      </w:pPr>
      <w:r w:rsidRPr="003510E0">
        <w:rPr>
          <w:sz w:val="24"/>
          <w:szCs w:val="24"/>
        </w:rPr>
        <w:t>Reflecting the group’s work my manager felt that we could have; sent a survey to all employees asking for feedback; looked at more options; visited some organisations before finally making the proposal which would better meet the objective set; took a longer period of consideration before settling with our proposal.  My manager commented the process was to encourage free-thinking, participation; empowerment by involving employees rather than instigating a process; employee ownership and fostering initiative giving employees a voice (</w:t>
      </w:r>
      <w:proofErr w:type="spellStart"/>
      <w:r w:rsidRPr="003510E0">
        <w:rPr>
          <w:sz w:val="24"/>
          <w:szCs w:val="24"/>
        </w:rPr>
        <w:t>Aylott</w:t>
      </w:r>
      <w:proofErr w:type="spellEnd"/>
      <w:r w:rsidRPr="003510E0">
        <w:rPr>
          <w:sz w:val="24"/>
          <w:szCs w:val="24"/>
        </w:rPr>
        <w:t>, 2018).  As employees are encouraged to be more involved they will be more willing to volunteer for groups especially when the culture, values, beliefs and values are underpinned as we move forward.</w:t>
      </w:r>
    </w:p>
    <w:p w:rsidR="003510E0" w:rsidRPr="003510E0" w:rsidRDefault="003510E0" w:rsidP="003510E0">
      <w:pPr>
        <w:rPr>
          <w:b/>
          <w:color w:val="808080" w:themeColor="background1" w:themeShade="80"/>
          <w:sz w:val="24"/>
          <w:szCs w:val="24"/>
        </w:rPr>
      </w:pPr>
      <w:r w:rsidRPr="003510E0">
        <w:rPr>
          <w:b/>
          <w:color w:val="808080" w:themeColor="background1" w:themeShade="80"/>
          <w:sz w:val="24"/>
          <w:szCs w:val="24"/>
        </w:rPr>
        <w:t>Bibliography</w:t>
      </w:r>
    </w:p>
    <w:p w:rsidR="003510E0" w:rsidRPr="003510E0" w:rsidRDefault="003510E0" w:rsidP="003510E0">
      <w:pPr>
        <w:rPr>
          <w:rFonts w:cs="Arial"/>
          <w:color w:val="808080" w:themeColor="background1" w:themeShade="80"/>
          <w:sz w:val="24"/>
          <w:szCs w:val="24"/>
        </w:rPr>
      </w:pPr>
      <w:proofErr w:type="spellStart"/>
      <w:r w:rsidRPr="003510E0">
        <w:rPr>
          <w:rFonts w:cs="Arial"/>
          <w:color w:val="808080" w:themeColor="background1" w:themeShade="80"/>
          <w:sz w:val="24"/>
          <w:szCs w:val="24"/>
        </w:rPr>
        <w:t>Aylott</w:t>
      </w:r>
      <w:proofErr w:type="spellEnd"/>
      <w:r w:rsidRPr="003510E0">
        <w:rPr>
          <w:rFonts w:cs="Arial"/>
          <w:color w:val="808080" w:themeColor="background1" w:themeShade="80"/>
          <w:sz w:val="24"/>
          <w:szCs w:val="24"/>
        </w:rPr>
        <w:t xml:space="preserve">, E. (2018) </w:t>
      </w:r>
      <w:r w:rsidRPr="003510E0">
        <w:rPr>
          <w:rFonts w:cs="Arial"/>
          <w:i/>
          <w:color w:val="808080" w:themeColor="background1" w:themeShade="80"/>
          <w:sz w:val="24"/>
          <w:szCs w:val="24"/>
        </w:rPr>
        <w:t>Employee Relations: A Practical Introduction.</w:t>
      </w:r>
      <w:r w:rsidRPr="003510E0">
        <w:rPr>
          <w:rFonts w:cs="Arial"/>
          <w:color w:val="808080" w:themeColor="background1" w:themeShade="80"/>
          <w:sz w:val="24"/>
          <w:szCs w:val="24"/>
        </w:rPr>
        <w:t xml:space="preserve"> (2</w:t>
      </w:r>
      <w:r w:rsidRPr="003510E0">
        <w:rPr>
          <w:rFonts w:cs="Arial"/>
          <w:color w:val="808080" w:themeColor="background1" w:themeShade="80"/>
          <w:sz w:val="24"/>
          <w:szCs w:val="24"/>
          <w:vertAlign w:val="superscript"/>
        </w:rPr>
        <w:t>nd</w:t>
      </w:r>
      <w:r w:rsidRPr="003510E0">
        <w:rPr>
          <w:rFonts w:cs="Arial"/>
          <w:color w:val="808080" w:themeColor="background1" w:themeShade="80"/>
          <w:sz w:val="24"/>
          <w:szCs w:val="24"/>
        </w:rPr>
        <w:t xml:space="preserve"> </w:t>
      </w:r>
      <w:proofErr w:type="spellStart"/>
      <w:r w:rsidRPr="003510E0">
        <w:rPr>
          <w:rFonts w:cs="Arial"/>
          <w:color w:val="808080" w:themeColor="background1" w:themeShade="80"/>
          <w:sz w:val="24"/>
          <w:szCs w:val="24"/>
        </w:rPr>
        <w:t>edn</w:t>
      </w:r>
      <w:proofErr w:type="spellEnd"/>
      <w:r w:rsidRPr="003510E0">
        <w:rPr>
          <w:rFonts w:cs="Arial"/>
          <w:color w:val="808080" w:themeColor="background1" w:themeShade="80"/>
          <w:sz w:val="24"/>
          <w:szCs w:val="24"/>
        </w:rPr>
        <w:t xml:space="preserve">). New York: </w:t>
      </w:r>
      <w:proofErr w:type="spellStart"/>
      <w:r w:rsidRPr="003510E0">
        <w:rPr>
          <w:rFonts w:cs="Arial"/>
          <w:color w:val="808080" w:themeColor="background1" w:themeShade="80"/>
          <w:sz w:val="24"/>
          <w:szCs w:val="24"/>
        </w:rPr>
        <w:t>Kogan</w:t>
      </w:r>
      <w:proofErr w:type="spellEnd"/>
      <w:r w:rsidRPr="003510E0">
        <w:rPr>
          <w:rFonts w:cs="Arial"/>
          <w:color w:val="808080" w:themeColor="background1" w:themeShade="80"/>
          <w:sz w:val="24"/>
          <w:szCs w:val="24"/>
        </w:rPr>
        <w:t xml:space="preserve"> Page Limited.</w:t>
      </w:r>
    </w:p>
    <w:p w:rsidR="003510E0" w:rsidRPr="003510E0" w:rsidRDefault="003510E0" w:rsidP="003510E0">
      <w:pPr>
        <w:rPr>
          <w:b/>
          <w:sz w:val="24"/>
          <w:szCs w:val="24"/>
        </w:rPr>
      </w:pPr>
      <w:r w:rsidRPr="003510E0">
        <w:rPr>
          <w:rFonts w:eastAsia="Calibri" w:cs="Times New Roman"/>
          <w:color w:val="808080" w:themeColor="background1" w:themeShade="80"/>
          <w:sz w:val="24"/>
          <w:szCs w:val="24"/>
        </w:rPr>
        <w:t xml:space="preserve">Ellis, C. </w:t>
      </w:r>
      <w:r w:rsidRPr="003510E0">
        <w:rPr>
          <w:rFonts w:eastAsia="Calibri" w:cs="Arial"/>
          <w:color w:val="808080" w:themeColor="background1" w:themeShade="80"/>
          <w:sz w:val="24"/>
          <w:szCs w:val="24"/>
        </w:rPr>
        <w:t xml:space="preserve">(2016) ‘Contemporary Developments in Employee Relations’, in Taylor, S. and </w:t>
      </w:r>
      <w:proofErr w:type="spellStart"/>
      <w:r w:rsidRPr="003510E0">
        <w:rPr>
          <w:rFonts w:eastAsia="Calibri" w:cs="Arial"/>
          <w:color w:val="808080" w:themeColor="background1" w:themeShade="80"/>
          <w:sz w:val="24"/>
          <w:szCs w:val="24"/>
        </w:rPr>
        <w:t>Woodhams</w:t>
      </w:r>
      <w:proofErr w:type="spellEnd"/>
      <w:r w:rsidRPr="003510E0">
        <w:rPr>
          <w:rFonts w:eastAsia="Calibri" w:cs="Arial"/>
          <w:color w:val="808080" w:themeColor="background1" w:themeShade="80"/>
          <w:sz w:val="24"/>
          <w:szCs w:val="24"/>
        </w:rPr>
        <w:t xml:space="preserve">, C. (ed.) </w:t>
      </w:r>
      <w:r w:rsidRPr="003510E0">
        <w:rPr>
          <w:rFonts w:eastAsia="Calibri" w:cs="Arial"/>
          <w:i/>
          <w:color w:val="808080" w:themeColor="background1" w:themeShade="80"/>
          <w:sz w:val="24"/>
          <w:szCs w:val="24"/>
        </w:rPr>
        <w:t>Human Resource Management: People and Organisations</w:t>
      </w:r>
      <w:r w:rsidRPr="003510E0">
        <w:rPr>
          <w:rFonts w:eastAsia="Calibri" w:cs="Arial"/>
          <w:color w:val="808080" w:themeColor="background1" w:themeShade="80"/>
          <w:sz w:val="24"/>
          <w:szCs w:val="24"/>
        </w:rPr>
        <w:t xml:space="preserve"> (2</w:t>
      </w:r>
      <w:r w:rsidRPr="003510E0">
        <w:rPr>
          <w:rFonts w:eastAsia="Calibri" w:cs="Arial"/>
          <w:color w:val="808080" w:themeColor="background1" w:themeShade="80"/>
          <w:sz w:val="24"/>
          <w:szCs w:val="24"/>
          <w:vertAlign w:val="superscript"/>
        </w:rPr>
        <w:t>nd</w:t>
      </w:r>
      <w:r w:rsidRPr="003510E0">
        <w:rPr>
          <w:rFonts w:eastAsia="Calibri" w:cs="Arial"/>
          <w:color w:val="808080" w:themeColor="background1" w:themeShade="80"/>
          <w:sz w:val="24"/>
          <w:szCs w:val="24"/>
        </w:rPr>
        <w:t xml:space="preserve"> </w:t>
      </w:r>
      <w:proofErr w:type="spellStart"/>
      <w:r w:rsidRPr="003510E0">
        <w:rPr>
          <w:rFonts w:eastAsia="Calibri" w:cs="Arial"/>
          <w:color w:val="808080" w:themeColor="background1" w:themeShade="80"/>
          <w:sz w:val="24"/>
          <w:szCs w:val="24"/>
        </w:rPr>
        <w:t>edn</w:t>
      </w:r>
      <w:proofErr w:type="spellEnd"/>
      <w:r w:rsidRPr="003510E0">
        <w:rPr>
          <w:rFonts w:eastAsia="Calibri" w:cs="Arial"/>
          <w:color w:val="808080" w:themeColor="background1" w:themeShade="80"/>
          <w:sz w:val="24"/>
          <w:szCs w:val="24"/>
        </w:rPr>
        <w:t>). London: CIPD</w:t>
      </w:r>
    </w:p>
    <w:p w:rsidR="000766D2" w:rsidRPr="007C1651" w:rsidRDefault="000766D2" w:rsidP="00113979">
      <w:pPr>
        <w:rPr>
          <w:sz w:val="24"/>
          <w:szCs w:val="24"/>
        </w:rPr>
      </w:pPr>
    </w:p>
    <w:sectPr w:rsidR="000766D2" w:rsidRPr="007C165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1651" w:rsidRDefault="007C1651" w:rsidP="007C1651">
      <w:pPr>
        <w:spacing w:after="0" w:line="240" w:lineRule="auto"/>
      </w:pPr>
      <w:r>
        <w:separator/>
      </w:r>
    </w:p>
  </w:endnote>
  <w:endnote w:type="continuationSeparator" w:id="0">
    <w:p w:rsidR="007C1651" w:rsidRDefault="007C1651" w:rsidP="007C1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1651" w:rsidRDefault="007C1651" w:rsidP="007C1651">
      <w:pPr>
        <w:spacing w:after="0" w:line="240" w:lineRule="auto"/>
      </w:pPr>
      <w:r>
        <w:separator/>
      </w:r>
    </w:p>
  </w:footnote>
  <w:footnote w:type="continuationSeparator" w:id="0">
    <w:p w:rsidR="007C1651" w:rsidRDefault="007C1651" w:rsidP="007C16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651" w:rsidRDefault="007C1651">
    <w:pPr>
      <w:pStyle w:val="Header"/>
    </w:pPr>
    <w:r>
      <w:t>Kate Houston - 1403228</w:t>
    </w:r>
  </w:p>
  <w:p w:rsidR="007C1651" w:rsidRDefault="007C16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07438D"/>
    <w:multiLevelType w:val="hybridMultilevel"/>
    <w:tmpl w:val="869EF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83320A"/>
    <w:multiLevelType w:val="hybridMultilevel"/>
    <w:tmpl w:val="B0D68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979"/>
    <w:rsid w:val="000434DD"/>
    <w:rsid w:val="000766D2"/>
    <w:rsid w:val="00113979"/>
    <w:rsid w:val="002A4E2D"/>
    <w:rsid w:val="003510E0"/>
    <w:rsid w:val="003F3ACA"/>
    <w:rsid w:val="007C1651"/>
    <w:rsid w:val="00821D5C"/>
    <w:rsid w:val="00A972ED"/>
    <w:rsid w:val="00C165AE"/>
    <w:rsid w:val="00DA00EF"/>
    <w:rsid w:val="00E025B0"/>
    <w:rsid w:val="00F05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50D6FA-B876-4C95-8AEF-EE76B8BA6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9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979"/>
    <w:pPr>
      <w:ind w:left="720"/>
      <w:contextualSpacing/>
    </w:pPr>
  </w:style>
  <w:style w:type="paragraph" w:styleId="Header">
    <w:name w:val="header"/>
    <w:basedOn w:val="Normal"/>
    <w:link w:val="HeaderChar"/>
    <w:uiPriority w:val="99"/>
    <w:unhideWhenUsed/>
    <w:rsid w:val="007C16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651"/>
  </w:style>
  <w:style w:type="paragraph" w:styleId="Footer">
    <w:name w:val="footer"/>
    <w:basedOn w:val="Normal"/>
    <w:link w:val="FooterChar"/>
    <w:uiPriority w:val="99"/>
    <w:unhideWhenUsed/>
    <w:rsid w:val="007C16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651"/>
  </w:style>
  <w:style w:type="character" w:styleId="Hyperlink">
    <w:name w:val="Hyperlink"/>
    <w:basedOn w:val="DefaultParagraphFont"/>
    <w:uiPriority w:val="99"/>
    <w:semiHidden/>
    <w:unhideWhenUsed/>
    <w:rsid w:val="000766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media/pdf/p/3/DG_Guide_Feb_2019.pdf"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1706</Words>
  <Characters>9725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James</dc:creator>
  <cp:keywords/>
  <dc:description/>
  <cp:lastModifiedBy>Louis James</cp:lastModifiedBy>
  <cp:revision>2</cp:revision>
  <dcterms:created xsi:type="dcterms:W3CDTF">2019-04-27T18:26:00Z</dcterms:created>
  <dcterms:modified xsi:type="dcterms:W3CDTF">2019-04-27T18:26:00Z</dcterms:modified>
</cp:coreProperties>
</file>