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FA716" w14:textId="77777777" w:rsidR="0002358E" w:rsidRDefault="0002358E" w:rsidP="0002358E">
      <w:pPr>
        <w:jc w:val="center"/>
        <w:rPr>
          <w:rFonts w:ascii="Arial" w:hAnsi="Arial" w:cs="Arial"/>
          <w:sz w:val="48"/>
          <w:szCs w:val="48"/>
        </w:rPr>
      </w:pPr>
      <w:r>
        <w:rPr>
          <w:noProof/>
        </w:rPr>
        <w:drawing>
          <wp:anchor distT="0" distB="0" distL="114300" distR="114300" simplePos="0" relativeHeight="251659264" behindDoc="0" locked="0" layoutInCell="1" allowOverlap="1" wp14:anchorId="019B0155" wp14:editId="328ED599">
            <wp:simplePos x="0" y="0"/>
            <wp:positionH relativeFrom="column">
              <wp:posOffset>-616585</wp:posOffset>
            </wp:positionH>
            <wp:positionV relativeFrom="paragraph">
              <wp:posOffset>0</wp:posOffset>
            </wp:positionV>
            <wp:extent cx="2860675" cy="1418590"/>
            <wp:effectExtent l="0" t="0" r="15875" b="10160"/>
            <wp:wrapSquare wrapText="bothSides"/>
            <wp:docPr id="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860675" cy="1418590"/>
                    </a:xfrm>
                    <a:prstGeom prst="rect">
                      <a:avLst/>
                    </a:prstGeom>
                    <a:noFill/>
                  </pic:spPr>
                </pic:pic>
              </a:graphicData>
            </a:graphic>
            <wp14:sizeRelH relativeFrom="margin">
              <wp14:pctWidth>0</wp14:pctWidth>
            </wp14:sizeRelH>
            <wp14:sizeRelV relativeFrom="margin">
              <wp14:pctHeight>0</wp14:pctHeight>
            </wp14:sizeRelV>
          </wp:anchor>
        </w:drawing>
      </w:r>
    </w:p>
    <w:p w14:paraId="4B59AA9E" w14:textId="77777777" w:rsidR="0002358E" w:rsidRDefault="0002358E" w:rsidP="0002358E">
      <w:pPr>
        <w:jc w:val="center"/>
        <w:rPr>
          <w:rFonts w:ascii="Arial" w:hAnsi="Arial" w:cs="Arial"/>
          <w:sz w:val="48"/>
          <w:szCs w:val="48"/>
        </w:rPr>
      </w:pPr>
    </w:p>
    <w:p w14:paraId="49F34F02" w14:textId="77777777" w:rsidR="0002358E" w:rsidRDefault="0002358E" w:rsidP="0002358E">
      <w:pPr>
        <w:jc w:val="center"/>
        <w:rPr>
          <w:rFonts w:ascii="Arial" w:hAnsi="Arial" w:cs="Arial"/>
          <w:sz w:val="48"/>
          <w:szCs w:val="48"/>
        </w:rPr>
      </w:pPr>
    </w:p>
    <w:p w14:paraId="162AD0E0" w14:textId="77777777" w:rsidR="0002358E" w:rsidRDefault="0002358E" w:rsidP="0002358E">
      <w:pPr>
        <w:jc w:val="center"/>
        <w:rPr>
          <w:rFonts w:ascii="Arial" w:hAnsi="Arial" w:cs="Arial"/>
          <w:sz w:val="48"/>
          <w:szCs w:val="48"/>
        </w:rPr>
      </w:pPr>
    </w:p>
    <w:p w14:paraId="039BF05A" w14:textId="77777777" w:rsidR="0002358E" w:rsidRDefault="0002358E" w:rsidP="0002358E">
      <w:pPr>
        <w:jc w:val="center"/>
        <w:rPr>
          <w:rFonts w:ascii="Arial" w:hAnsi="Arial" w:cs="Arial"/>
          <w:sz w:val="48"/>
          <w:szCs w:val="48"/>
        </w:rPr>
      </w:pPr>
    </w:p>
    <w:p w14:paraId="10607168" w14:textId="77777777" w:rsidR="0002358E" w:rsidRDefault="0002358E" w:rsidP="0002358E">
      <w:pPr>
        <w:jc w:val="center"/>
        <w:rPr>
          <w:rFonts w:ascii="Arial" w:hAnsi="Arial" w:cs="Arial"/>
          <w:sz w:val="48"/>
          <w:szCs w:val="48"/>
        </w:rPr>
      </w:pPr>
    </w:p>
    <w:p w14:paraId="5EEB6BE9" w14:textId="77777777" w:rsidR="0002358E" w:rsidRDefault="0002358E" w:rsidP="0002358E">
      <w:pPr>
        <w:jc w:val="center"/>
        <w:rPr>
          <w:rFonts w:ascii="Arial" w:hAnsi="Arial" w:cs="Arial"/>
          <w:sz w:val="48"/>
          <w:szCs w:val="48"/>
        </w:rPr>
      </w:pPr>
      <w:r>
        <w:rPr>
          <w:rFonts w:ascii="Arial" w:hAnsi="Arial" w:cs="Arial"/>
          <w:sz w:val="48"/>
          <w:szCs w:val="48"/>
        </w:rPr>
        <w:t>BSc (Hons) Health and Social Care Module: Independent Project (BMHP6020)</w:t>
      </w:r>
    </w:p>
    <w:p w14:paraId="0897AE47" w14:textId="77777777" w:rsidR="0002358E" w:rsidRDefault="0002358E" w:rsidP="0002358E">
      <w:pPr>
        <w:jc w:val="center"/>
        <w:rPr>
          <w:rFonts w:ascii="Arial" w:hAnsi="Arial" w:cs="Arial"/>
          <w:sz w:val="48"/>
          <w:szCs w:val="48"/>
        </w:rPr>
      </w:pPr>
      <w:r>
        <w:rPr>
          <w:rFonts w:ascii="Arial" w:hAnsi="Arial" w:cs="Arial"/>
          <w:sz w:val="48"/>
          <w:szCs w:val="48"/>
        </w:rPr>
        <w:t xml:space="preserve">Chapter 3 </w:t>
      </w:r>
    </w:p>
    <w:p w14:paraId="3E058B19" w14:textId="77777777" w:rsidR="0002358E" w:rsidRDefault="0002358E" w:rsidP="0002358E">
      <w:pPr>
        <w:jc w:val="center"/>
        <w:rPr>
          <w:rFonts w:ascii="Arial" w:hAnsi="Arial" w:cs="Arial"/>
          <w:sz w:val="48"/>
          <w:szCs w:val="48"/>
        </w:rPr>
      </w:pPr>
    </w:p>
    <w:p w14:paraId="75B6057C" w14:textId="77777777" w:rsidR="0002358E" w:rsidRDefault="0002358E" w:rsidP="0002358E">
      <w:pPr>
        <w:jc w:val="center"/>
        <w:rPr>
          <w:rFonts w:ascii="Arial" w:hAnsi="Arial" w:cs="Arial"/>
          <w:sz w:val="48"/>
          <w:szCs w:val="48"/>
        </w:rPr>
      </w:pPr>
      <w:r>
        <w:rPr>
          <w:rFonts w:ascii="Arial" w:hAnsi="Arial" w:cs="Arial"/>
          <w:sz w:val="48"/>
          <w:szCs w:val="48"/>
        </w:rPr>
        <w:t>Student ID Student Name: BAIDAR BEGUM</w:t>
      </w:r>
    </w:p>
    <w:p w14:paraId="62FD6A38" w14:textId="77777777" w:rsidR="0002358E" w:rsidRDefault="0002358E" w:rsidP="0002358E">
      <w:pPr>
        <w:jc w:val="center"/>
        <w:rPr>
          <w:rFonts w:ascii="Arial" w:hAnsi="Arial" w:cs="Arial"/>
          <w:sz w:val="48"/>
          <w:szCs w:val="48"/>
        </w:rPr>
      </w:pPr>
      <w:r>
        <w:rPr>
          <w:rFonts w:ascii="Arial" w:hAnsi="Arial" w:cs="Arial"/>
          <w:sz w:val="48"/>
          <w:szCs w:val="48"/>
        </w:rPr>
        <w:t xml:space="preserve">Lecturer name </w:t>
      </w:r>
    </w:p>
    <w:p w14:paraId="2EE0D012" w14:textId="77777777" w:rsidR="0002358E" w:rsidRDefault="0002358E" w:rsidP="0002358E">
      <w:pPr>
        <w:jc w:val="center"/>
        <w:rPr>
          <w:rFonts w:ascii="Arial" w:hAnsi="Arial" w:cs="Arial"/>
          <w:sz w:val="44"/>
          <w:szCs w:val="44"/>
        </w:rPr>
      </w:pPr>
      <w:r>
        <w:rPr>
          <w:rFonts w:ascii="Arial" w:hAnsi="Arial" w:cs="Arial"/>
          <w:sz w:val="44"/>
          <w:szCs w:val="44"/>
          <w:lang w:val="en-US"/>
        </w:rPr>
        <w:t>Chloe Harries</w:t>
      </w:r>
    </w:p>
    <w:p w14:paraId="3E645AB9" w14:textId="77777777" w:rsidR="007B0FF0" w:rsidRDefault="007B0FF0"/>
    <w:p w14:paraId="55B683CC" w14:textId="77777777" w:rsidR="0002358E" w:rsidRDefault="0002358E"/>
    <w:p w14:paraId="34BE9BC3" w14:textId="77777777" w:rsidR="0002358E" w:rsidRDefault="0002358E"/>
    <w:p w14:paraId="7C1E8551" w14:textId="77777777" w:rsidR="0002358E" w:rsidRDefault="0002358E"/>
    <w:p w14:paraId="624D3C84" w14:textId="77777777" w:rsidR="0002358E" w:rsidRDefault="0002358E"/>
    <w:p w14:paraId="45AAF89E" w14:textId="77777777" w:rsidR="0002358E" w:rsidRDefault="0002358E"/>
    <w:p w14:paraId="56A8A51E" w14:textId="77777777" w:rsidR="0002358E" w:rsidRDefault="0002358E"/>
    <w:p w14:paraId="48544181" w14:textId="77777777" w:rsidR="0002358E" w:rsidRPr="00900850" w:rsidRDefault="0002358E" w:rsidP="0002358E">
      <w:pPr>
        <w:spacing w:line="360" w:lineRule="auto"/>
        <w:rPr>
          <w:rFonts w:ascii="Arial" w:hAnsi="Arial" w:cs="Arial"/>
          <w:b/>
          <w:bCs/>
        </w:rPr>
      </w:pPr>
      <w:r w:rsidRPr="00900850">
        <w:rPr>
          <w:rFonts w:ascii="Arial" w:hAnsi="Arial" w:cs="Arial"/>
          <w:b/>
          <w:bCs/>
        </w:rPr>
        <w:lastRenderedPageBreak/>
        <w:t>CHAPTER 3: METHODS AND SEARCH STRATEGY</w:t>
      </w:r>
    </w:p>
    <w:p w14:paraId="6361DC56" w14:textId="6A25954A" w:rsidR="0002358E" w:rsidRPr="00900850" w:rsidRDefault="0002358E" w:rsidP="0002358E">
      <w:pPr>
        <w:spacing w:line="360" w:lineRule="auto"/>
        <w:rPr>
          <w:rFonts w:ascii="Arial" w:hAnsi="Arial" w:cs="Arial"/>
          <w:b/>
          <w:bCs/>
        </w:rPr>
      </w:pPr>
      <w:r w:rsidRPr="00900850">
        <w:rPr>
          <w:rFonts w:ascii="Arial" w:hAnsi="Arial" w:cs="Arial"/>
          <w:b/>
          <w:bCs/>
        </w:rPr>
        <w:t xml:space="preserve"> Introduction</w:t>
      </w:r>
    </w:p>
    <w:p w14:paraId="6FC99F94" w14:textId="77777777" w:rsidR="0051493A" w:rsidRDefault="0002358E" w:rsidP="0002358E">
      <w:pPr>
        <w:spacing w:line="360" w:lineRule="auto"/>
        <w:rPr>
          <w:rFonts w:ascii="Arial" w:hAnsi="Arial" w:cs="Arial"/>
        </w:rPr>
      </w:pPr>
      <w:r w:rsidRPr="00900850">
        <w:rPr>
          <w:rFonts w:ascii="Arial" w:hAnsi="Arial" w:cs="Arial"/>
        </w:rPr>
        <w:t>This chapter provides a detailed explanation of the desk-based, literature-focused research approach undertaken for this dissertation. While the Academic Methods Poster provided a visual summary of the methodology, this chapter expands on each of those sections to demonstrate a rigorous and systematic approach to locating, evaluating, and synthesising relevant literature. The methodology detailed in this chapter was essential in identifying and analysing the sources that form the basis for the thematic findings presented in Chapter 4. By adhering to a structured secondary research framework, the study ensures that its conclusions are drawn from transparent and academically credible evidence.</w:t>
      </w:r>
    </w:p>
    <w:p w14:paraId="315D34EE" w14:textId="3BB026B4" w:rsidR="0002358E" w:rsidRPr="0051493A" w:rsidRDefault="0002358E" w:rsidP="0002358E">
      <w:pPr>
        <w:spacing w:line="360" w:lineRule="auto"/>
        <w:rPr>
          <w:rFonts w:ascii="Arial" w:hAnsi="Arial" w:cs="Arial"/>
        </w:rPr>
      </w:pPr>
      <w:r w:rsidRPr="00900850">
        <w:rPr>
          <w:rFonts w:ascii="Arial" w:hAnsi="Arial" w:cs="Arial"/>
          <w:b/>
          <w:bCs/>
        </w:rPr>
        <w:t xml:space="preserve"> Search Strategy</w:t>
      </w:r>
    </w:p>
    <w:p w14:paraId="2183BFE1" w14:textId="0A62283A" w:rsidR="0002358E" w:rsidRPr="00900850" w:rsidRDefault="0002358E" w:rsidP="0002358E">
      <w:pPr>
        <w:spacing w:line="360" w:lineRule="auto"/>
        <w:rPr>
          <w:rFonts w:ascii="Arial" w:hAnsi="Arial" w:cs="Arial"/>
        </w:rPr>
      </w:pPr>
      <w:r w:rsidRPr="00900850">
        <w:rPr>
          <w:rFonts w:ascii="Arial" w:hAnsi="Arial" w:cs="Arial"/>
        </w:rPr>
        <w:t xml:space="preserve">A search strategy is a systematic, pre-planned method used to </w:t>
      </w:r>
      <w:r w:rsidR="00285544">
        <w:rPr>
          <w:rFonts w:ascii="Arial" w:hAnsi="Arial" w:cs="Arial"/>
        </w:rPr>
        <w:t>identify</w:t>
      </w:r>
      <w:r w:rsidRPr="00900850">
        <w:rPr>
          <w:rFonts w:ascii="Arial" w:hAnsi="Arial" w:cs="Arial"/>
        </w:rPr>
        <w:t xml:space="preserve"> relevant literature for a research project (Booth et al., 2016). For this dissertation, the search strategy was developed by extracting key terms directly from the research title and aims. These included: "end-of-life care", "residential care homes", "dignity", "palliative care", "person-centred care", and "barriers to care". To ensure a comprehensive search, Boolean operators were used. The AND operator was used to combine core concepts, ensuring sources addressed multiple factors simultaneously (e.g., "end-of-life care" AND "UK"). The OR operator was used to include synonyms and alternative terminology, such as "nursing home" or "long-term care facility". A full search log detailing the databases, dates, exact search strings, and number of hits is provided in Appendix A</w:t>
      </w:r>
      <w:r>
        <w:rPr>
          <w:rFonts w:ascii="Arial" w:hAnsi="Arial" w:cs="Arial"/>
        </w:rPr>
        <w:t>.</w:t>
      </w:r>
    </w:p>
    <w:p w14:paraId="5664CF1D" w14:textId="3EDD2AE6" w:rsidR="0002358E" w:rsidRPr="00900850" w:rsidRDefault="0002358E" w:rsidP="0002358E">
      <w:pPr>
        <w:spacing w:line="360" w:lineRule="auto"/>
        <w:rPr>
          <w:rFonts w:ascii="Arial" w:hAnsi="Arial" w:cs="Arial"/>
          <w:b/>
          <w:bCs/>
        </w:rPr>
      </w:pPr>
      <w:r w:rsidRPr="00900850">
        <w:rPr>
          <w:rFonts w:ascii="Arial" w:hAnsi="Arial" w:cs="Arial"/>
          <w:b/>
          <w:bCs/>
        </w:rPr>
        <w:t>Searching for Information</w:t>
      </w:r>
    </w:p>
    <w:p w14:paraId="746A6419" w14:textId="23A65D74" w:rsidR="0002358E" w:rsidRPr="00B45330" w:rsidRDefault="0002358E" w:rsidP="0002358E">
      <w:pPr>
        <w:spacing w:line="360" w:lineRule="auto"/>
        <w:rPr>
          <w:rFonts w:ascii="Arial" w:hAnsi="Arial" w:cs="Arial"/>
        </w:rPr>
      </w:pPr>
      <w:r w:rsidRPr="00B45330">
        <w:rPr>
          <w:rFonts w:ascii="Arial" w:hAnsi="Arial" w:cs="Arial"/>
        </w:rPr>
        <w:t>A systematic filtering process was applied to maintain methodological rigour. Date filters were set to cover the last ten years (2016</w:t>
      </w:r>
      <w:r w:rsidR="000F4D25">
        <w:rPr>
          <w:rFonts w:ascii="Arial" w:hAnsi="Arial" w:cs="Arial"/>
        </w:rPr>
        <w:t>-</w:t>
      </w:r>
      <w:r w:rsidRPr="00B45330">
        <w:rPr>
          <w:rFonts w:ascii="Arial" w:hAnsi="Arial" w:cs="Arial"/>
        </w:rPr>
        <w:t>2026) to ensure the evidence was current and relevant to contemporary health and social care practice. The geographical focus was restricted to the United Kingdom; however, a small number of high-quality international studies from comparable healthcare systems (Sweden, Canada, Europe) were included to provide comparative context where UK-specific evidence was limited, and policy documents were exempt from the 2016 date limit. Recognising the importance of policy and regulation, grey literature was sourced directly from government and charity websites, including the Care Quality Commission (CQC), the National Institute for Health and Care Excellence (NICE), the Office for National Statistics (ONS), Marie Curie, and Sue Ryder, alongside economic evidence from the National Institute for Health and Care Research (Clarke et al., 2025).</w:t>
      </w:r>
    </w:p>
    <w:p w14:paraId="308F07BF" w14:textId="77777777" w:rsidR="0002358E" w:rsidRPr="00900850" w:rsidRDefault="0002358E" w:rsidP="0002358E">
      <w:pPr>
        <w:spacing w:line="360" w:lineRule="auto"/>
        <w:rPr>
          <w:rFonts w:ascii="Arial" w:hAnsi="Arial" w:cs="Arial"/>
        </w:rPr>
      </w:pPr>
      <w:r w:rsidRPr="00B45330">
        <w:rPr>
          <w:rFonts w:ascii="Arial" w:hAnsi="Arial" w:cs="Arial"/>
        </w:rPr>
        <w:lastRenderedPageBreak/>
        <w:t>A detailed source tracking table was maintained to record the author, year, title, and key findings of each article, which supported the later stages of analysis. The search process was also iterative: citation chaining from key systematic reviews, such as Spacey et al. (2018), identified further relevant UK studies, including Spacey and Porter's (2023) critical realist review of advance care planning in care homes during the COVID-19 pandemic. The screening process is illustrated in a PRISMA-style flow diagram in Appendix B.</w:t>
      </w:r>
    </w:p>
    <w:p w14:paraId="7A28FD2E" w14:textId="03ABE1B8" w:rsidR="0002358E" w:rsidRPr="00900850" w:rsidRDefault="0002358E" w:rsidP="0002358E">
      <w:pPr>
        <w:spacing w:line="360" w:lineRule="auto"/>
        <w:rPr>
          <w:rFonts w:ascii="Arial" w:hAnsi="Arial" w:cs="Arial"/>
          <w:b/>
          <w:bCs/>
        </w:rPr>
      </w:pPr>
      <w:r w:rsidRPr="00900850">
        <w:rPr>
          <w:rFonts w:ascii="Arial" w:hAnsi="Arial" w:cs="Arial"/>
          <w:b/>
          <w:bCs/>
        </w:rPr>
        <w:t>Research Validation</w:t>
      </w:r>
    </w:p>
    <w:p w14:paraId="1185C2E7" w14:textId="77777777" w:rsidR="0002358E" w:rsidRPr="00900850" w:rsidRDefault="0002358E" w:rsidP="0002358E">
      <w:pPr>
        <w:spacing w:line="360" w:lineRule="auto"/>
        <w:rPr>
          <w:rFonts w:ascii="Arial" w:hAnsi="Arial" w:cs="Arial"/>
        </w:rPr>
      </w:pPr>
      <w:r w:rsidRPr="00900850">
        <w:rPr>
          <w:rFonts w:ascii="Arial" w:hAnsi="Arial" w:cs="Arial"/>
        </w:rPr>
        <w:t>To ensure the credibility and reliability of the selected sources, the CRAAP test was applied as a validation framework. The CRAAP test assesses Currency, Relevance, Authority, Accuracy, and Purpose (Meriam Library, 2010).</w:t>
      </w:r>
    </w:p>
    <w:p w14:paraId="5392CEB1" w14:textId="77777777" w:rsidR="0002358E" w:rsidRPr="00900850" w:rsidRDefault="0002358E" w:rsidP="0002358E">
      <w:pPr>
        <w:spacing w:line="360" w:lineRule="auto"/>
        <w:rPr>
          <w:rFonts w:ascii="Arial" w:hAnsi="Arial" w:cs="Arial"/>
        </w:rPr>
      </w:pPr>
      <w:r w:rsidRPr="00900850">
        <w:rPr>
          <w:rFonts w:ascii="Arial" w:hAnsi="Arial" w:cs="Arial"/>
        </w:rPr>
        <w:t>Initially, articles were skimmed by reviewing titles, abstracts, and conclusions to determine immediate relevance to the research aim. Following this initial screening, the CRAAP criteria were systematically applied. Priority was given to sources published within the last ten years, written by credible authors affiliated with academic institutions or recognised health organisations, and containing accurate data supported by their own reference lists. For example, systematic reviews were prioritised for their high level of evidence synthesis, while opinion pieces or editorials lacking empirical backing were rejected during the validation phase. This structured validation process ensured that only high-quality, reliable evidence was included in the final synthesis.</w:t>
      </w:r>
    </w:p>
    <w:p w14:paraId="4D5C690F" w14:textId="6950A2B6" w:rsidR="0002358E" w:rsidRPr="00900850" w:rsidRDefault="0002358E" w:rsidP="0002358E">
      <w:pPr>
        <w:spacing w:line="360" w:lineRule="auto"/>
        <w:rPr>
          <w:rFonts w:ascii="Arial" w:hAnsi="Arial" w:cs="Arial"/>
        </w:rPr>
      </w:pPr>
      <w:r w:rsidRPr="00900850">
        <w:rPr>
          <w:rFonts w:ascii="Arial" w:hAnsi="Arial" w:cs="Arial"/>
        </w:rPr>
        <w:t>To illustrate the practical application of the CRAAP test, one study initially identified through Google Scholar was rejected during validation. Although the title was highly relevant, the research was conducted in Australia, meaning the findings were not transferable to the UK care home context due to significant differences in funding, regulation, and staffing structures. Conversely, a pre-2016 UK-based systematic review was initially considered for exclusion due to its age but was included because its findings on training gaps remain widely cited in more recent literature, demonstrating that the CRAAP criteria must be applied with academic judgement rather than as a rigid checklist.</w:t>
      </w:r>
    </w:p>
    <w:p w14:paraId="01B5035E" w14:textId="3C9DAED2" w:rsidR="0002358E" w:rsidRPr="00900850" w:rsidRDefault="0002358E" w:rsidP="0002358E">
      <w:pPr>
        <w:spacing w:line="360" w:lineRule="auto"/>
        <w:rPr>
          <w:rFonts w:ascii="Arial" w:hAnsi="Arial" w:cs="Arial"/>
          <w:b/>
          <w:bCs/>
        </w:rPr>
      </w:pPr>
      <w:r w:rsidRPr="00900850">
        <w:rPr>
          <w:rFonts w:ascii="Arial" w:hAnsi="Arial" w:cs="Arial"/>
          <w:b/>
          <w:bCs/>
        </w:rPr>
        <w:t xml:space="preserve"> Inclusion and Exclusion Criteria</w:t>
      </w:r>
    </w:p>
    <w:p w14:paraId="184EE57F" w14:textId="77777777" w:rsidR="0002358E" w:rsidRPr="00900850" w:rsidRDefault="0002358E" w:rsidP="0002358E">
      <w:pPr>
        <w:spacing w:line="360" w:lineRule="auto"/>
        <w:rPr>
          <w:rFonts w:ascii="Arial" w:hAnsi="Arial" w:cs="Arial"/>
        </w:rPr>
      </w:pPr>
      <w:r w:rsidRPr="00900850">
        <w:rPr>
          <w:rFonts w:ascii="Arial" w:hAnsi="Arial" w:cs="Arial"/>
        </w:rPr>
        <w:t>To maintain focus and academic rigour, strict inclusion and exclusion criteria were established during the literature search.</w:t>
      </w:r>
    </w:p>
    <w:p w14:paraId="25C70365" w14:textId="77777777" w:rsidR="0002358E" w:rsidRPr="00900850" w:rsidRDefault="0002358E" w:rsidP="0002358E">
      <w:pPr>
        <w:spacing w:line="360" w:lineRule="auto"/>
        <w:rPr>
          <w:rFonts w:ascii="Arial" w:hAnsi="Arial" w:cs="Arial"/>
        </w:rPr>
      </w:pPr>
      <w:r w:rsidRPr="00900850">
        <w:rPr>
          <w:rFonts w:ascii="Arial" w:hAnsi="Arial" w:cs="Arial"/>
          <w:b/>
          <w:bCs/>
        </w:rPr>
        <w:t>Inclusion criteria:</w:t>
      </w:r>
      <w:r w:rsidRPr="00900850">
        <w:rPr>
          <w:rFonts w:ascii="Arial" w:hAnsi="Arial" w:cs="Arial"/>
        </w:rPr>
        <w:t xml:space="preserve"> Peer-reviewed journal articles or authoritative grey literature reports, published between 2016 and 2026, directly examining barriers to delivering dignified end-of-life care within residential care home settings. The primary focus was on UK-based evidence; however, a small number of high-quality international studies from comparable </w:t>
      </w:r>
      <w:r w:rsidRPr="00900850">
        <w:rPr>
          <w:rFonts w:ascii="Arial" w:hAnsi="Arial" w:cs="Arial"/>
        </w:rPr>
        <w:lastRenderedPageBreak/>
        <w:t>healthcare systems were included to provide comparative context where UK-specific evidence was limited. Policy documents (e.g., NICE, Department of Health) were exempt from the 2016 date limit as they provide essential historical and legal context.</w:t>
      </w:r>
    </w:p>
    <w:p w14:paraId="5EDA0465" w14:textId="77777777" w:rsidR="0002358E" w:rsidRPr="00900850" w:rsidRDefault="0002358E" w:rsidP="0002358E">
      <w:pPr>
        <w:spacing w:line="360" w:lineRule="auto"/>
        <w:rPr>
          <w:rFonts w:ascii="Arial" w:hAnsi="Arial" w:cs="Arial"/>
        </w:rPr>
      </w:pPr>
      <w:r w:rsidRPr="00900850">
        <w:rPr>
          <w:rFonts w:ascii="Arial" w:hAnsi="Arial" w:cs="Arial"/>
          <w:b/>
          <w:bCs/>
        </w:rPr>
        <w:t>Exclusion criteria:</w:t>
      </w:r>
      <w:r w:rsidRPr="00900850">
        <w:rPr>
          <w:rFonts w:ascii="Arial" w:hAnsi="Arial" w:cs="Arial"/>
        </w:rPr>
        <w:t xml:space="preserve"> Non-UK studies that did not offer transferable comparative insight, non-peer-reviewed opinion pieces, and studies focused on hospice, hospital, or community-at-home settings rather than residential care homes. These boundaries ensured that the literature reviewed was closely aligned with the specific aim and objectives of this dissertation.</w:t>
      </w:r>
    </w:p>
    <w:p w14:paraId="6CE77433" w14:textId="38AB4CFC" w:rsidR="0002358E" w:rsidRPr="00900850" w:rsidRDefault="0002358E" w:rsidP="0002358E">
      <w:pPr>
        <w:spacing w:line="360" w:lineRule="auto"/>
        <w:rPr>
          <w:rFonts w:ascii="Arial" w:hAnsi="Arial" w:cs="Arial"/>
          <w:b/>
          <w:bCs/>
        </w:rPr>
      </w:pPr>
      <w:r w:rsidRPr="00900850">
        <w:rPr>
          <w:rFonts w:ascii="Arial" w:hAnsi="Arial" w:cs="Arial"/>
          <w:b/>
          <w:bCs/>
        </w:rPr>
        <w:t xml:space="preserve"> Analysing Research</w:t>
      </w:r>
    </w:p>
    <w:p w14:paraId="0852E811" w14:textId="3E69C0BD" w:rsidR="0002358E" w:rsidRDefault="0002358E" w:rsidP="0002358E">
      <w:pPr>
        <w:spacing w:line="360" w:lineRule="auto"/>
        <w:ind w:left="720"/>
        <w:rPr>
          <w:rFonts w:ascii="Arial" w:hAnsi="Arial" w:cs="Arial"/>
        </w:rPr>
      </w:pPr>
      <w:r w:rsidRPr="00273DC4">
        <w:rPr>
          <w:rFonts w:ascii="Arial" w:hAnsi="Arial" w:cs="Arial"/>
        </w:rPr>
        <w:t>The analysis phase was conducted using Thematic Analysis, defined by Braun and Clarke (2006) as a method for identifying, analysing, and reporting patterns (themes) within qualitative data. From the 55 sources initially reviewed, 10 were selected for full CRAAP evaluation, and the 5 strongest sources were chosen for detailed analysis in the Literature Tracking and Analysis Workbook. These 5 sources were analysed individually in Stage 2, where the main findings, research method, sample, strengths, limitations, and keywords were recorded. In Stage 3, the keywords and findings from all 5 sources were compared, and repeated or closely related ideas were grouped into broader themes. The analysis followed the six phases outlined by Braun and Clarke (2006)</w:t>
      </w:r>
      <w:r>
        <w:rPr>
          <w:rFonts w:ascii="Arial" w:hAnsi="Arial" w:cs="Arial"/>
        </w:rPr>
        <w:t>.</w:t>
      </w:r>
    </w:p>
    <w:p w14:paraId="6F9D88D9" w14:textId="77777777" w:rsidR="0002358E" w:rsidRPr="00065AD3" w:rsidRDefault="0002358E" w:rsidP="0002358E">
      <w:pPr>
        <w:pStyle w:val="ListParagraph"/>
        <w:numPr>
          <w:ilvl w:val="0"/>
          <w:numId w:val="1"/>
        </w:numPr>
        <w:spacing w:line="360" w:lineRule="auto"/>
        <w:jc w:val="both"/>
        <w:rPr>
          <w:rFonts w:ascii="Arial" w:hAnsi="Arial" w:cs="Arial"/>
        </w:rPr>
      </w:pPr>
      <w:r w:rsidRPr="00916C89">
        <w:rPr>
          <w:rFonts w:ascii="Segoe UI" w:hAnsi="Segoe UI" w:cs="Segoe UI"/>
          <w:b/>
          <w:bCs/>
          <w:color w:val="0F1115"/>
          <w:shd w:val="clear" w:color="auto" w:fill="FFFFFF"/>
        </w:rPr>
        <w:t>Familiarisation</w:t>
      </w:r>
      <w:r w:rsidRPr="00916C89">
        <w:rPr>
          <w:rFonts w:ascii="Arial" w:hAnsi="Arial" w:cs="Arial"/>
          <w:b/>
          <w:bCs/>
          <w:color w:val="0F1115"/>
          <w:shd w:val="clear" w:color="auto" w:fill="FFFFFF"/>
        </w:rPr>
        <w:t>:</w:t>
      </w:r>
      <w:r w:rsidRPr="00916C89">
        <w:rPr>
          <w:rFonts w:ascii="Arial" w:hAnsi="Arial" w:cs="Arial"/>
          <w:color w:val="0F1115"/>
          <w:shd w:val="clear" w:color="auto" w:fill="FFFFFF"/>
        </w:rPr>
        <w:t xml:space="preserve"> All 55 included sources were initially skimmed for relevance. From these, 10 sources were selected for full CRAAP evaluation, and the 5 strongest were chosen for detailed reading and analysis. Notes were made on initial impressions and </w:t>
      </w:r>
      <w:r w:rsidRPr="00916C89">
        <w:rPr>
          <w:rFonts w:ascii="Segoe UI" w:hAnsi="Segoe UI" w:cs="Segoe UI"/>
          <w:color w:val="0F1115"/>
          <w:shd w:val="clear" w:color="auto" w:fill="FFFFFF"/>
        </w:rPr>
        <w:t>recurring ideas.</w:t>
      </w:r>
    </w:p>
    <w:p w14:paraId="0997E146" w14:textId="77777777" w:rsidR="0002358E" w:rsidRPr="001112F3" w:rsidRDefault="0002358E" w:rsidP="0002358E">
      <w:pPr>
        <w:pStyle w:val="ListParagraph"/>
        <w:numPr>
          <w:ilvl w:val="0"/>
          <w:numId w:val="1"/>
        </w:numPr>
        <w:spacing w:line="360" w:lineRule="auto"/>
        <w:jc w:val="both"/>
        <w:rPr>
          <w:rFonts w:ascii="Arial" w:hAnsi="Arial" w:cs="Arial"/>
        </w:rPr>
      </w:pPr>
      <w:r w:rsidRPr="001112F3">
        <w:rPr>
          <w:rFonts w:ascii="Arial" w:hAnsi="Arial" w:cs="Arial"/>
          <w:b/>
          <w:bCs/>
        </w:rPr>
        <w:t xml:space="preserve"> Generating initial codes:</w:t>
      </w:r>
      <w:r w:rsidRPr="001112F3">
        <w:rPr>
          <w:rFonts w:ascii="Arial" w:hAnsi="Arial" w:cs="Arial"/>
        </w:rPr>
        <w:t xml:space="preserve"> Key concepts and recurring phrases were extracted from each source and assigned a short code (e.g., "task-focused culture", "lack of time", "poor communication", "cultural competency gaps").</w:t>
      </w:r>
    </w:p>
    <w:p w14:paraId="22A9F866" w14:textId="3DD52492" w:rsidR="0002358E" w:rsidRPr="00900850" w:rsidRDefault="0002358E" w:rsidP="0002358E">
      <w:pPr>
        <w:numPr>
          <w:ilvl w:val="0"/>
          <w:numId w:val="1"/>
        </w:numPr>
        <w:spacing w:line="360" w:lineRule="auto"/>
        <w:jc w:val="both"/>
        <w:rPr>
          <w:rFonts w:ascii="Arial" w:hAnsi="Arial" w:cs="Arial"/>
        </w:rPr>
      </w:pPr>
      <w:r w:rsidRPr="00900850">
        <w:rPr>
          <w:rFonts w:ascii="Arial" w:hAnsi="Arial" w:cs="Arial"/>
          <w:b/>
          <w:bCs/>
        </w:rPr>
        <w:t>Searching for themes:</w:t>
      </w:r>
      <w:r w:rsidRPr="00900850">
        <w:rPr>
          <w:rFonts w:ascii="Arial" w:hAnsi="Arial" w:cs="Arial"/>
        </w:rPr>
        <w:t xml:space="preserve"> Related codes were grouped</w:t>
      </w:r>
      <w:r w:rsidR="00D41496">
        <w:rPr>
          <w:rFonts w:ascii="Arial" w:hAnsi="Arial" w:cs="Arial"/>
        </w:rPr>
        <w:t xml:space="preserve"> </w:t>
      </w:r>
      <w:r w:rsidRPr="00900850">
        <w:rPr>
          <w:rFonts w:ascii="Arial" w:hAnsi="Arial" w:cs="Arial"/>
        </w:rPr>
        <w:t>together to form candidate themes that reflected broader patterns in the data.</w:t>
      </w:r>
    </w:p>
    <w:p w14:paraId="6DAB1CD8" w14:textId="77777777" w:rsidR="0002358E" w:rsidRPr="00900850" w:rsidRDefault="0002358E" w:rsidP="0002358E">
      <w:pPr>
        <w:numPr>
          <w:ilvl w:val="0"/>
          <w:numId w:val="1"/>
        </w:numPr>
        <w:spacing w:line="360" w:lineRule="auto"/>
        <w:jc w:val="both"/>
        <w:rPr>
          <w:rFonts w:ascii="Arial" w:hAnsi="Arial" w:cs="Arial"/>
        </w:rPr>
      </w:pPr>
      <w:r w:rsidRPr="00900850">
        <w:rPr>
          <w:rFonts w:ascii="Arial" w:hAnsi="Arial" w:cs="Arial"/>
          <w:b/>
          <w:bCs/>
        </w:rPr>
        <w:t>Reviewing themes:</w:t>
      </w:r>
      <w:r w:rsidRPr="00900850">
        <w:rPr>
          <w:rFonts w:ascii="Arial" w:hAnsi="Arial" w:cs="Arial"/>
        </w:rPr>
        <w:t xml:space="preserve"> Candidate themes were reviewed against the coded data, and the research aim to ensure they were coherent and distinct. Some themes were refined, combined, or discarded.</w:t>
      </w:r>
    </w:p>
    <w:p w14:paraId="587E88B9" w14:textId="77777777" w:rsidR="0002358E" w:rsidRPr="00900850" w:rsidRDefault="0002358E" w:rsidP="0002358E">
      <w:pPr>
        <w:numPr>
          <w:ilvl w:val="0"/>
          <w:numId w:val="1"/>
        </w:numPr>
        <w:spacing w:line="360" w:lineRule="auto"/>
        <w:jc w:val="both"/>
        <w:rPr>
          <w:rFonts w:ascii="Arial" w:hAnsi="Arial" w:cs="Arial"/>
        </w:rPr>
      </w:pPr>
      <w:r w:rsidRPr="00900850">
        <w:rPr>
          <w:rFonts w:ascii="Arial" w:hAnsi="Arial" w:cs="Arial"/>
          <w:b/>
          <w:bCs/>
        </w:rPr>
        <w:t>Defining and naming themes:</w:t>
      </w:r>
      <w:r w:rsidRPr="00900850">
        <w:rPr>
          <w:rFonts w:ascii="Arial" w:hAnsi="Arial" w:cs="Arial"/>
        </w:rPr>
        <w:t xml:space="preserve"> Each theme was given a clear name and definition, and its relationship to the research aim was articulated.</w:t>
      </w:r>
    </w:p>
    <w:p w14:paraId="094FFD99" w14:textId="77777777" w:rsidR="0002358E" w:rsidRPr="00900850" w:rsidRDefault="0002358E" w:rsidP="0002358E">
      <w:pPr>
        <w:numPr>
          <w:ilvl w:val="0"/>
          <w:numId w:val="1"/>
        </w:numPr>
        <w:spacing w:line="360" w:lineRule="auto"/>
        <w:jc w:val="both"/>
        <w:rPr>
          <w:rFonts w:ascii="Arial" w:hAnsi="Arial" w:cs="Arial"/>
        </w:rPr>
      </w:pPr>
      <w:r w:rsidRPr="00900850">
        <w:rPr>
          <w:rFonts w:ascii="Arial" w:hAnsi="Arial" w:cs="Arial"/>
          <w:b/>
          <w:bCs/>
        </w:rPr>
        <w:lastRenderedPageBreak/>
        <w:t>Writing up:</w:t>
      </w:r>
      <w:r w:rsidRPr="00900850">
        <w:rPr>
          <w:rFonts w:ascii="Arial" w:hAnsi="Arial" w:cs="Arial"/>
        </w:rPr>
        <w:t xml:space="preserve"> The themes were written up in Chapter 4, supported by evidence from the literature.</w:t>
      </w:r>
    </w:p>
    <w:p w14:paraId="5CC088A2" w14:textId="77777777" w:rsidR="0002358E" w:rsidRPr="00900850" w:rsidRDefault="0002358E" w:rsidP="0002358E">
      <w:pPr>
        <w:spacing w:line="360" w:lineRule="auto"/>
        <w:rPr>
          <w:rFonts w:ascii="Arial" w:hAnsi="Arial" w:cs="Arial"/>
        </w:rPr>
      </w:pPr>
      <w:r w:rsidRPr="00900850">
        <w:rPr>
          <w:rFonts w:ascii="Arial" w:hAnsi="Arial" w:cs="Arial"/>
        </w:rPr>
        <w:t>Through this inductive process, three overarching themes emerged which directly address the research aim:</w:t>
      </w:r>
    </w:p>
    <w:p w14:paraId="61469594" w14:textId="77777777" w:rsidR="0002358E" w:rsidRPr="00900850" w:rsidRDefault="0002358E" w:rsidP="0002358E">
      <w:pPr>
        <w:numPr>
          <w:ilvl w:val="0"/>
          <w:numId w:val="2"/>
        </w:numPr>
        <w:spacing w:line="360" w:lineRule="auto"/>
        <w:jc w:val="both"/>
        <w:rPr>
          <w:rFonts w:ascii="Arial" w:hAnsi="Arial" w:cs="Arial"/>
        </w:rPr>
      </w:pPr>
      <w:r w:rsidRPr="00900850">
        <w:rPr>
          <w:rFonts w:ascii="Arial" w:hAnsi="Arial" w:cs="Arial"/>
        </w:rPr>
        <w:t>Workforce pressures, staffing shortages, and inadequate training.</w:t>
      </w:r>
    </w:p>
    <w:p w14:paraId="6BE529BA" w14:textId="77777777" w:rsidR="0002358E" w:rsidRPr="00900850" w:rsidRDefault="0002358E" w:rsidP="0002358E">
      <w:pPr>
        <w:numPr>
          <w:ilvl w:val="0"/>
          <w:numId w:val="2"/>
        </w:numPr>
        <w:spacing w:line="360" w:lineRule="auto"/>
        <w:jc w:val="both"/>
        <w:rPr>
          <w:rFonts w:ascii="Arial" w:hAnsi="Arial" w:cs="Arial"/>
        </w:rPr>
      </w:pPr>
      <w:r w:rsidRPr="00900850">
        <w:rPr>
          <w:rFonts w:ascii="Arial" w:hAnsi="Arial" w:cs="Arial"/>
        </w:rPr>
        <w:t>Communication breakdowns and deficits in Advance Care Planning (ACP).</w:t>
      </w:r>
    </w:p>
    <w:p w14:paraId="517EB20A" w14:textId="77777777" w:rsidR="0002358E" w:rsidRPr="00900850" w:rsidRDefault="0002358E" w:rsidP="0002358E">
      <w:pPr>
        <w:numPr>
          <w:ilvl w:val="0"/>
          <w:numId w:val="2"/>
        </w:numPr>
        <w:spacing w:line="360" w:lineRule="auto"/>
        <w:jc w:val="both"/>
        <w:rPr>
          <w:rFonts w:ascii="Arial" w:hAnsi="Arial" w:cs="Arial"/>
        </w:rPr>
      </w:pPr>
      <w:r w:rsidRPr="00900850">
        <w:rPr>
          <w:rFonts w:ascii="Arial" w:hAnsi="Arial" w:cs="Arial"/>
        </w:rPr>
        <w:t>Unmet needs for specific populations, including barriers related to dementia and cultural/ethnic inequalities.</w:t>
      </w:r>
    </w:p>
    <w:p w14:paraId="04811203" w14:textId="77777777" w:rsidR="0002358E" w:rsidRPr="00900850" w:rsidRDefault="0002358E" w:rsidP="0002358E">
      <w:pPr>
        <w:spacing w:line="360" w:lineRule="auto"/>
        <w:rPr>
          <w:rFonts w:ascii="Arial" w:hAnsi="Arial" w:cs="Arial"/>
        </w:rPr>
      </w:pPr>
      <w:r w:rsidRPr="00900850">
        <w:rPr>
          <w:rFonts w:ascii="Arial" w:hAnsi="Arial" w:cs="Arial"/>
        </w:rPr>
        <w:t>A table showing the relationship between codes, sub-themes, themes, and contributing sources is provided in Appendix D. These themes will be explored in detail, with supporting evidence from the literature, in Chapter 4.</w:t>
      </w:r>
    </w:p>
    <w:p w14:paraId="669CB18A" w14:textId="6461E38F" w:rsidR="0002358E" w:rsidRPr="00900850" w:rsidRDefault="0002358E" w:rsidP="0002358E">
      <w:pPr>
        <w:spacing w:line="360" w:lineRule="auto"/>
        <w:rPr>
          <w:rFonts w:ascii="Arial" w:hAnsi="Arial" w:cs="Arial"/>
          <w:b/>
          <w:bCs/>
        </w:rPr>
      </w:pPr>
      <w:r w:rsidRPr="00900850">
        <w:rPr>
          <w:rFonts w:ascii="Arial" w:hAnsi="Arial" w:cs="Arial"/>
          <w:b/>
          <w:bCs/>
        </w:rPr>
        <w:t xml:space="preserve"> Ethical Considerations</w:t>
      </w:r>
    </w:p>
    <w:p w14:paraId="2453DAAB" w14:textId="77777777" w:rsidR="0002358E" w:rsidRPr="00900850" w:rsidRDefault="0002358E" w:rsidP="0002358E">
      <w:pPr>
        <w:spacing w:line="360" w:lineRule="auto"/>
        <w:rPr>
          <w:rFonts w:ascii="Arial" w:hAnsi="Arial" w:cs="Arial"/>
        </w:rPr>
      </w:pPr>
      <w:r w:rsidRPr="00900850">
        <w:rPr>
          <w:rFonts w:ascii="Arial" w:hAnsi="Arial" w:cs="Arial"/>
        </w:rPr>
        <w:t>Ethics in secondary research refers to the moral principles governing the collection, analysis, and reporting of existing published data, specifically focusing on intellectual property, data integrity, and avoiding misrepresentation (Resnik, 2015). As this dissertation involves no primary data collection from human participants, the primary ethical obligations centred on transparency and academic integrity.</w:t>
      </w:r>
    </w:p>
    <w:p w14:paraId="1D02BBF7" w14:textId="46518E51" w:rsidR="00D43176" w:rsidRDefault="000D01A1" w:rsidP="0002358E">
      <w:pPr>
        <w:spacing w:line="360" w:lineRule="auto"/>
        <w:rPr>
          <w:rFonts w:ascii="Arial" w:hAnsi="Arial" w:cs="Arial"/>
        </w:rPr>
      </w:pPr>
      <w:r w:rsidRPr="000D01A1">
        <w:rPr>
          <w:rFonts w:ascii="Arial" w:hAnsi="Arial" w:cs="Arial"/>
        </w:rPr>
        <w:t>To maintain high ethical standards, all sources included in this review have been accurately cited and referenced using the UWTSD Harvard referencing style. Original authors are fully acknowledged to avoid any risk of plagiarism. Furthermore, sources were selected and presented fairly, ensuring that the literature was not manipulated to fit a predetermined conclusion. No alterations were made to the original findings of the selected studies, ensuring data integrity throughout the thematic analysis process</w:t>
      </w:r>
      <w:r w:rsidR="00797B62">
        <w:rPr>
          <w:rFonts w:ascii="Arial" w:hAnsi="Arial" w:cs="Arial"/>
        </w:rPr>
        <w:t>,</w:t>
      </w:r>
    </w:p>
    <w:p w14:paraId="3F910912" w14:textId="343DEA48" w:rsidR="0002358E" w:rsidRPr="00900850" w:rsidRDefault="0002358E" w:rsidP="0002358E">
      <w:pPr>
        <w:spacing w:line="360" w:lineRule="auto"/>
        <w:rPr>
          <w:rFonts w:ascii="Arial" w:hAnsi="Arial" w:cs="Arial"/>
          <w:b/>
          <w:bCs/>
        </w:rPr>
      </w:pPr>
      <w:r w:rsidRPr="00900850">
        <w:rPr>
          <w:rFonts w:ascii="Arial" w:hAnsi="Arial" w:cs="Arial"/>
          <w:b/>
          <w:bCs/>
        </w:rPr>
        <w:t xml:space="preserve"> Chapter Conclusion</w:t>
      </w:r>
    </w:p>
    <w:p w14:paraId="3A15BBE0" w14:textId="7999DA74" w:rsidR="0002358E" w:rsidRDefault="0002358E" w:rsidP="0002358E">
      <w:pPr>
        <w:spacing w:line="360" w:lineRule="auto"/>
        <w:rPr>
          <w:rFonts w:ascii="Arial" w:hAnsi="Arial" w:cs="Arial"/>
        </w:rPr>
      </w:pPr>
      <w:r w:rsidRPr="00900850">
        <w:rPr>
          <w:rFonts w:ascii="Arial" w:hAnsi="Arial" w:cs="Arial"/>
        </w:rPr>
        <w:t xml:space="preserve">This chapter has provided a comprehensive explanation of the methodological approach employed in this dissertation. It has outlined the structured search strategy, the specific databases and filters used to locate relevant literature, and the rigorous validation processes applied to ensure source credibility. The clear inclusion and exclusion criteria demonstrate a focused approach to collecting UK-specific, peer-reviewed evidence. Finally, the chapter detailed how the selected literature was coded and grouped into three distinct themes using Thematic Analysis, providing a transparent foundation for the findings presented in the </w:t>
      </w:r>
      <w:r w:rsidRPr="00900850">
        <w:rPr>
          <w:rFonts w:ascii="Arial" w:hAnsi="Arial" w:cs="Arial"/>
        </w:rPr>
        <w:lastRenderedPageBreak/>
        <w:t>following chapter. The next chapter will present these findings and critically discuss their implications for health and social care practice.</w:t>
      </w:r>
      <w:r w:rsidR="000D01A1">
        <w:rPr>
          <w:rFonts w:ascii="Arial" w:hAnsi="Arial" w:cs="Arial"/>
        </w:rPr>
        <w:t xml:space="preserve"> </w:t>
      </w:r>
    </w:p>
    <w:p w14:paraId="18D32543" w14:textId="77777777" w:rsidR="001A122E" w:rsidRDefault="001A122E" w:rsidP="0002358E">
      <w:pPr>
        <w:spacing w:line="360" w:lineRule="auto"/>
        <w:rPr>
          <w:rFonts w:ascii="Arial" w:hAnsi="Arial" w:cs="Arial"/>
        </w:rPr>
      </w:pPr>
    </w:p>
    <w:p w14:paraId="4F0FD897" w14:textId="77777777" w:rsidR="001A122E" w:rsidRDefault="001A122E" w:rsidP="0002358E">
      <w:pPr>
        <w:spacing w:line="360" w:lineRule="auto"/>
        <w:rPr>
          <w:rFonts w:ascii="Arial" w:hAnsi="Arial" w:cs="Arial"/>
        </w:rPr>
      </w:pPr>
    </w:p>
    <w:p w14:paraId="2B261048" w14:textId="77777777" w:rsidR="001A122E" w:rsidRDefault="001A122E" w:rsidP="0002358E">
      <w:pPr>
        <w:spacing w:line="360" w:lineRule="auto"/>
        <w:rPr>
          <w:rFonts w:ascii="Arial" w:hAnsi="Arial" w:cs="Arial"/>
        </w:rPr>
      </w:pPr>
    </w:p>
    <w:p w14:paraId="5FB94ECA" w14:textId="77777777" w:rsidR="001A122E" w:rsidRDefault="001A122E" w:rsidP="0002358E">
      <w:pPr>
        <w:spacing w:line="360" w:lineRule="auto"/>
        <w:rPr>
          <w:rFonts w:ascii="Arial" w:hAnsi="Arial" w:cs="Arial"/>
        </w:rPr>
      </w:pPr>
    </w:p>
    <w:p w14:paraId="0CA9B823" w14:textId="77777777" w:rsidR="001A122E" w:rsidRDefault="001A122E" w:rsidP="0002358E">
      <w:pPr>
        <w:spacing w:line="360" w:lineRule="auto"/>
        <w:rPr>
          <w:rFonts w:ascii="Arial" w:hAnsi="Arial" w:cs="Arial"/>
        </w:rPr>
      </w:pPr>
    </w:p>
    <w:p w14:paraId="20E9481D" w14:textId="77777777" w:rsidR="001A122E" w:rsidRDefault="001A122E" w:rsidP="0002358E">
      <w:pPr>
        <w:spacing w:line="360" w:lineRule="auto"/>
        <w:rPr>
          <w:rFonts w:ascii="Arial" w:hAnsi="Arial" w:cs="Arial"/>
        </w:rPr>
      </w:pPr>
    </w:p>
    <w:p w14:paraId="42779BD4" w14:textId="77777777" w:rsidR="001A122E" w:rsidRDefault="001A122E" w:rsidP="0002358E">
      <w:pPr>
        <w:spacing w:line="360" w:lineRule="auto"/>
        <w:rPr>
          <w:rFonts w:ascii="Arial" w:hAnsi="Arial" w:cs="Arial"/>
        </w:rPr>
      </w:pPr>
    </w:p>
    <w:p w14:paraId="3D98EBF0" w14:textId="77777777" w:rsidR="001A122E" w:rsidRDefault="001A122E" w:rsidP="0002358E">
      <w:pPr>
        <w:spacing w:line="360" w:lineRule="auto"/>
        <w:rPr>
          <w:rFonts w:ascii="Arial" w:hAnsi="Arial" w:cs="Arial"/>
        </w:rPr>
      </w:pPr>
    </w:p>
    <w:p w14:paraId="4F3A7DE4" w14:textId="77777777" w:rsidR="001A122E" w:rsidRDefault="001A122E" w:rsidP="0002358E">
      <w:pPr>
        <w:spacing w:line="360" w:lineRule="auto"/>
        <w:rPr>
          <w:rFonts w:ascii="Arial" w:hAnsi="Arial" w:cs="Arial"/>
        </w:rPr>
      </w:pPr>
    </w:p>
    <w:p w14:paraId="1B36343C" w14:textId="77777777" w:rsidR="001A122E" w:rsidRDefault="001A122E" w:rsidP="0002358E">
      <w:pPr>
        <w:spacing w:line="360" w:lineRule="auto"/>
        <w:rPr>
          <w:rFonts w:ascii="Arial" w:hAnsi="Arial" w:cs="Arial"/>
        </w:rPr>
      </w:pPr>
    </w:p>
    <w:p w14:paraId="5CF71923" w14:textId="77777777" w:rsidR="001A122E" w:rsidRDefault="001A122E" w:rsidP="0002358E">
      <w:pPr>
        <w:spacing w:line="360" w:lineRule="auto"/>
        <w:rPr>
          <w:rFonts w:ascii="Arial" w:hAnsi="Arial" w:cs="Arial"/>
        </w:rPr>
      </w:pPr>
    </w:p>
    <w:p w14:paraId="34A7FC25" w14:textId="77777777" w:rsidR="001A122E" w:rsidRDefault="001A122E" w:rsidP="0002358E">
      <w:pPr>
        <w:spacing w:line="360" w:lineRule="auto"/>
        <w:rPr>
          <w:rFonts w:ascii="Arial" w:hAnsi="Arial" w:cs="Arial"/>
        </w:rPr>
      </w:pPr>
    </w:p>
    <w:p w14:paraId="0A84A20D" w14:textId="77777777" w:rsidR="001A122E" w:rsidRDefault="001A122E" w:rsidP="0002358E">
      <w:pPr>
        <w:spacing w:line="360" w:lineRule="auto"/>
        <w:rPr>
          <w:rFonts w:ascii="Arial" w:hAnsi="Arial" w:cs="Arial"/>
        </w:rPr>
      </w:pPr>
    </w:p>
    <w:p w14:paraId="27691A78" w14:textId="77777777" w:rsidR="001A122E" w:rsidRDefault="001A122E" w:rsidP="0002358E">
      <w:pPr>
        <w:spacing w:line="360" w:lineRule="auto"/>
        <w:rPr>
          <w:rFonts w:ascii="Arial" w:hAnsi="Arial" w:cs="Arial"/>
        </w:rPr>
      </w:pPr>
    </w:p>
    <w:p w14:paraId="75F73DE7" w14:textId="77777777" w:rsidR="001A122E" w:rsidRDefault="001A122E" w:rsidP="0002358E">
      <w:pPr>
        <w:spacing w:line="360" w:lineRule="auto"/>
        <w:rPr>
          <w:rFonts w:ascii="Arial" w:hAnsi="Arial" w:cs="Arial"/>
        </w:rPr>
      </w:pPr>
    </w:p>
    <w:p w14:paraId="35087875" w14:textId="77777777" w:rsidR="001A122E" w:rsidRDefault="001A122E" w:rsidP="0002358E">
      <w:pPr>
        <w:spacing w:line="360" w:lineRule="auto"/>
        <w:rPr>
          <w:rFonts w:ascii="Arial" w:hAnsi="Arial" w:cs="Arial"/>
        </w:rPr>
      </w:pPr>
    </w:p>
    <w:p w14:paraId="638EF7E8" w14:textId="77777777" w:rsidR="001A122E" w:rsidRDefault="001A122E" w:rsidP="0002358E">
      <w:pPr>
        <w:spacing w:line="360" w:lineRule="auto"/>
        <w:rPr>
          <w:rFonts w:ascii="Arial" w:hAnsi="Arial" w:cs="Arial"/>
        </w:rPr>
      </w:pPr>
    </w:p>
    <w:p w14:paraId="107D88A1" w14:textId="77777777" w:rsidR="001A122E" w:rsidRDefault="001A122E" w:rsidP="0002358E">
      <w:pPr>
        <w:spacing w:line="360" w:lineRule="auto"/>
        <w:rPr>
          <w:rFonts w:ascii="Arial" w:hAnsi="Arial" w:cs="Arial"/>
        </w:rPr>
      </w:pPr>
    </w:p>
    <w:p w14:paraId="0AAD986F" w14:textId="77777777" w:rsidR="001A122E" w:rsidRDefault="001A122E" w:rsidP="0002358E">
      <w:pPr>
        <w:spacing w:line="360" w:lineRule="auto"/>
        <w:rPr>
          <w:rFonts w:ascii="Arial" w:hAnsi="Arial" w:cs="Arial"/>
        </w:rPr>
      </w:pPr>
    </w:p>
    <w:p w14:paraId="45A1E45D" w14:textId="77777777" w:rsidR="001A122E" w:rsidRDefault="001A122E" w:rsidP="0002358E">
      <w:pPr>
        <w:spacing w:line="360" w:lineRule="auto"/>
        <w:rPr>
          <w:rFonts w:ascii="Arial" w:hAnsi="Arial" w:cs="Arial"/>
        </w:rPr>
      </w:pPr>
    </w:p>
    <w:p w14:paraId="3D92B8DD" w14:textId="77777777" w:rsidR="001A122E" w:rsidRDefault="001A122E" w:rsidP="0002358E">
      <w:pPr>
        <w:spacing w:line="360" w:lineRule="auto"/>
        <w:rPr>
          <w:rFonts w:ascii="Arial" w:hAnsi="Arial" w:cs="Arial"/>
        </w:rPr>
      </w:pPr>
    </w:p>
    <w:p w14:paraId="3E68BB44" w14:textId="77777777" w:rsidR="001A122E" w:rsidRDefault="001A122E" w:rsidP="0002358E">
      <w:pPr>
        <w:spacing w:line="360" w:lineRule="auto"/>
        <w:rPr>
          <w:rFonts w:ascii="Arial" w:hAnsi="Arial" w:cs="Arial"/>
        </w:rPr>
      </w:pPr>
    </w:p>
    <w:p w14:paraId="32EA7654" w14:textId="77777777" w:rsidR="001A122E" w:rsidRPr="00900850" w:rsidRDefault="001A122E" w:rsidP="0002358E">
      <w:pPr>
        <w:spacing w:line="360" w:lineRule="auto"/>
        <w:rPr>
          <w:rFonts w:ascii="Arial" w:hAnsi="Arial" w:cs="Arial"/>
        </w:rPr>
      </w:pPr>
    </w:p>
    <w:p w14:paraId="3135B882" w14:textId="77777777" w:rsidR="0002358E" w:rsidRDefault="0002358E" w:rsidP="0002358E">
      <w:pPr>
        <w:spacing w:line="360" w:lineRule="auto"/>
        <w:rPr>
          <w:rFonts w:ascii="Arial" w:hAnsi="Arial" w:cs="Arial"/>
          <w:b/>
          <w:bCs/>
          <w:sz w:val="24"/>
          <w:szCs w:val="24"/>
        </w:rPr>
      </w:pPr>
    </w:p>
    <w:p w14:paraId="74F416CF" w14:textId="77777777" w:rsidR="0002358E" w:rsidRPr="00211828" w:rsidRDefault="0002358E" w:rsidP="0002358E">
      <w:pPr>
        <w:spacing w:line="360" w:lineRule="auto"/>
        <w:rPr>
          <w:rFonts w:ascii="Arial" w:hAnsi="Arial" w:cs="Arial"/>
          <w:b/>
          <w:bCs/>
          <w:sz w:val="24"/>
          <w:szCs w:val="24"/>
        </w:rPr>
      </w:pPr>
      <w:r w:rsidRPr="00211828">
        <w:rPr>
          <w:rFonts w:ascii="Arial" w:hAnsi="Arial" w:cs="Arial"/>
          <w:b/>
          <w:bCs/>
          <w:sz w:val="24"/>
          <w:szCs w:val="24"/>
        </w:rPr>
        <w:lastRenderedPageBreak/>
        <w:t>References</w:t>
      </w:r>
    </w:p>
    <w:p w14:paraId="531BFD42" w14:textId="77777777" w:rsidR="0002358E" w:rsidRPr="00211828" w:rsidRDefault="0002358E" w:rsidP="0002358E">
      <w:pPr>
        <w:spacing w:line="360" w:lineRule="auto"/>
        <w:rPr>
          <w:rFonts w:ascii="Arial" w:hAnsi="Arial" w:cs="Arial"/>
        </w:rPr>
      </w:pPr>
      <w:r w:rsidRPr="00211828">
        <w:rPr>
          <w:rFonts w:ascii="Arial" w:hAnsi="Arial" w:cs="Arial"/>
        </w:rPr>
        <w:t xml:space="preserve">Age UK (2023) </w:t>
      </w:r>
      <w:r w:rsidRPr="00211828">
        <w:rPr>
          <w:rFonts w:ascii="Arial" w:hAnsi="Arial" w:cs="Arial"/>
          <w:i/>
          <w:iCs/>
        </w:rPr>
        <w:t>State of Health and Care, July 2023</w:t>
      </w:r>
      <w:r w:rsidRPr="00211828">
        <w:rPr>
          <w:rFonts w:ascii="Arial" w:hAnsi="Arial" w:cs="Arial"/>
        </w:rPr>
        <w:t>. London: Age UK.</w:t>
      </w:r>
    </w:p>
    <w:p w14:paraId="73CFA2C4" w14:textId="77777777" w:rsidR="0002358E" w:rsidRPr="00211828" w:rsidRDefault="0002358E" w:rsidP="0002358E">
      <w:pPr>
        <w:spacing w:line="360" w:lineRule="auto"/>
        <w:rPr>
          <w:rFonts w:ascii="Arial" w:hAnsi="Arial" w:cs="Arial"/>
        </w:rPr>
      </w:pPr>
      <w:r w:rsidRPr="00211828">
        <w:rPr>
          <w:rFonts w:ascii="Arial" w:hAnsi="Arial" w:cs="Arial"/>
        </w:rPr>
        <w:t xml:space="preserve">Andersson, S., Lindqvist, O., Furst, C.J. and Brannstrom, M. (2018) 'Care professional's experiences about using Liverpool Care Pathway in end-of-life care in residential care homes', </w:t>
      </w:r>
      <w:r w:rsidRPr="00211828">
        <w:rPr>
          <w:rFonts w:ascii="Arial" w:hAnsi="Arial" w:cs="Arial"/>
          <w:i/>
          <w:iCs/>
        </w:rPr>
        <w:t>Scandinavian Journal of Caring Sciences</w:t>
      </w:r>
      <w:r w:rsidRPr="00211828">
        <w:rPr>
          <w:rFonts w:ascii="Arial" w:hAnsi="Arial" w:cs="Arial"/>
        </w:rPr>
        <w:t>, 32(1), pp. 299-308.</w:t>
      </w:r>
    </w:p>
    <w:p w14:paraId="7FA43894" w14:textId="614AB054" w:rsidR="0002358E" w:rsidRPr="00211828" w:rsidRDefault="0002358E" w:rsidP="0002358E">
      <w:pPr>
        <w:spacing w:line="360" w:lineRule="auto"/>
        <w:rPr>
          <w:rFonts w:ascii="Arial" w:hAnsi="Arial" w:cs="Arial"/>
        </w:rPr>
      </w:pPr>
      <w:r w:rsidRPr="00211828">
        <w:rPr>
          <w:rFonts w:ascii="Arial" w:hAnsi="Arial" w:cs="Arial"/>
        </w:rPr>
        <w:t xml:space="preserve">Andersson, S., Lindqvist, O., Furst, C.J. and Brannstrom, M. (2021) 'End-of-life discussions in residential care homes improves symptom control: a national register study', </w:t>
      </w:r>
      <w:r w:rsidRPr="00211828">
        <w:rPr>
          <w:rFonts w:ascii="Arial" w:hAnsi="Arial" w:cs="Arial"/>
          <w:i/>
          <w:iCs/>
        </w:rPr>
        <w:t>BMJ Supportive &amp; Palliative Care</w:t>
      </w:r>
      <w:r w:rsidRPr="00211828">
        <w:rPr>
          <w:rFonts w:ascii="Arial" w:hAnsi="Arial" w:cs="Arial"/>
        </w:rPr>
        <w:t xml:space="preserve">, 11(4), pp. </w:t>
      </w:r>
      <w:r w:rsidR="007D731C">
        <w:rPr>
          <w:rFonts w:ascii="Arial" w:hAnsi="Arial" w:cs="Arial"/>
        </w:rPr>
        <w:t>456</w:t>
      </w:r>
      <w:r w:rsidRPr="00211828">
        <w:rPr>
          <w:rFonts w:ascii="Arial" w:hAnsi="Arial" w:cs="Arial"/>
        </w:rPr>
        <w:t>-461.</w:t>
      </w:r>
    </w:p>
    <w:p w14:paraId="5A1B7DE0" w14:textId="77777777" w:rsidR="0002358E" w:rsidRPr="00211828" w:rsidRDefault="0002358E" w:rsidP="0002358E">
      <w:pPr>
        <w:spacing w:line="360" w:lineRule="auto"/>
        <w:rPr>
          <w:rFonts w:ascii="Arial" w:hAnsi="Arial" w:cs="Arial"/>
        </w:rPr>
      </w:pPr>
      <w:r w:rsidRPr="00211828">
        <w:rPr>
          <w:rFonts w:ascii="Arial" w:hAnsi="Arial" w:cs="Arial"/>
        </w:rPr>
        <w:t xml:space="preserve">Anstey, S., Powell, T., Coles, B., Hale, R. and Gould, D. (2016) 'Education and training to enhance end-of-life care for nursing home staff: a systematic literature review', </w:t>
      </w:r>
      <w:r w:rsidRPr="00211828">
        <w:rPr>
          <w:rFonts w:ascii="Arial" w:hAnsi="Arial" w:cs="Arial"/>
          <w:i/>
          <w:iCs/>
        </w:rPr>
        <w:t>BMJ Supportive &amp; Palliative Care</w:t>
      </w:r>
      <w:r w:rsidRPr="00211828">
        <w:rPr>
          <w:rFonts w:ascii="Arial" w:hAnsi="Arial" w:cs="Arial"/>
        </w:rPr>
        <w:t>, 6(3), pp. 353-361.</w:t>
      </w:r>
    </w:p>
    <w:p w14:paraId="6BB8DACE" w14:textId="77777777" w:rsidR="0002358E" w:rsidRPr="00211828" w:rsidRDefault="0002358E" w:rsidP="0002358E">
      <w:pPr>
        <w:spacing w:line="360" w:lineRule="auto"/>
        <w:rPr>
          <w:rFonts w:ascii="Arial" w:hAnsi="Arial" w:cs="Arial"/>
        </w:rPr>
      </w:pPr>
      <w:r w:rsidRPr="00211828">
        <w:rPr>
          <w:rFonts w:ascii="Arial" w:hAnsi="Arial" w:cs="Arial"/>
        </w:rPr>
        <w:t xml:space="preserve">Bamford, C., Lee, R., McLellan, E., Poole, M. and Hughes, J. (2018) 'What enables good end of life care for people with dementia? A multi-method qualitative study with key stakeholders', </w:t>
      </w:r>
      <w:r w:rsidRPr="00211828">
        <w:rPr>
          <w:rFonts w:ascii="Arial" w:hAnsi="Arial" w:cs="Arial"/>
          <w:i/>
          <w:iCs/>
        </w:rPr>
        <w:t>BMC Geriatrics</w:t>
      </w:r>
      <w:r w:rsidRPr="00211828">
        <w:rPr>
          <w:rFonts w:ascii="Arial" w:hAnsi="Arial" w:cs="Arial"/>
        </w:rPr>
        <w:t>, 18(1), p. 146.</w:t>
      </w:r>
    </w:p>
    <w:p w14:paraId="2DAF0846" w14:textId="77777777" w:rsidR="0002358E" w:rsidRPr="00211828" w:rsidRDefault="0002358E" w:rsidP="0002358E">
      <w:pPr>
        <w:spacing w:line="360" w:lineRule="auto"/>
        <w:rPr>
          <w:rFonts w:ascii="Arial" w:hAnsi="Arial" w:cs="Arial"/>
        </w:rPr>
      </w:pPr>
      <w:r w:rsidRPr="00211828">
        <w:rPr>
          <w:rFonts w:ascii="Arial" w:hAnsi="Arial" w:cs="Arial"/>
        </w:rPr>
        <w:t xml:space="preserve">Bloomer, M.J. and Walshe, C. (2021) 'What mediates end-of-life care choices?', </w:t>
      </w:r>
      <w:r w:rsidRPr="00211828">
        <w:rPr>
          <w:rFonts w:ascii="Arial" w:hAnsi="Arial" w:cs="Arial"/>
          <w:i/>
          <w:iCs/>
        </w:rPr>
        <w:t>The Lancet Public Health</w:t>
      </w:r>
      <w:r w:rsidRPr="00211828">
        <w:rPr>
          <w:rFonts w:ascii="Arial" w:hAnsi="Arial" w:cs="Arial"/>
        </w:rPr>
        <w:t>, 6(6), pp. e139-e140.</w:t>
      </w:r>
    </w:p>
    <w:p w14:paraId="2EDD2D96" w14:textId="77777777" w:rsidR="0002358E" w:rsidRPr="00211828" w:rsidRDefault="0002358E" w:rsidP="0002358E">
      <w:pPr>
        <w:spacing w:line="360" w:lineRule="auto"/>
        <w:rPr>
          <w:rFonts w:ascii="Arial" w:hAnsi="Arial" w:cs="Arial"/>
        </w:rPr>
      </w:pPr>
      <w:r w:rsidRPr="00211828">
        <w:rPr>
          <w:rFonts w:ascii="Arial" w:hAnsi="Arial" w:cs="Arial"/>
        </w:rPr>
        <w:t xml:space="preserve">Bone, A.E., Evans, C.J., Etkind, S.N., Sleeman, K.E., Gomes, B., Aldridge, M., Keep, J., Verne, J. and Higginson, I.J. (2019) 'Factors associated with older people's emergency department attendance towards the end of life: a systematic review', </w:t>
      </w:r>
      <w:r w:rsidRPr="00211828">
        <w:rPr>
          <w:rFonts w:ascii="Arial" w:hAnsi="Arial" w:cs="Arial"/>
          <w:i/>
          <w:iCs/>
        </w:rPr>
        <w:t>European Journal of Public Health</w:t>
      </w:r>
      <w:r w:rsidRPr="00211828">
        <w:rPr>
          <w:rFonts w:ascii="Arial" w:hAnsi="Arial" w:cs="Arial"/>
        </w:rPr>
        <w:t>, 29(1), pp. 67-74.</w:t>
      </w:r>
    </w:p>
    <w:p w14:paraId="762AAA42" w14:textId="77777777" w:rsidR="0002358E" w:rsidRPr="00211828" w:rsidRDefault="0002358E" w:rsidP="0002358E">
      <w:pPr>
        <w:spacing w:line="360" w:lineRule="auto"/>
        <w:rPr>
          <w:rFonts w:ascii="Arial" w:hAnsi="Arial" w:cs="Arial"/>
        </w:rPr>
      </w:pPr>
      <w:r w:rsidRPr="00211828">
        <w:rPr>
          <w:rFonts w:ascii="Arial" w:hAnsi="Arial" w:cs="Arial"/>
        </w:rPr>
        <w:t xml:space="preserve">Boomer, C., Ross, M. and Dillon, D. (2019) 'Improving caregivers experience: enhancing end-of-life care for residents', </w:t>
      </w:r>
      <w:r w:rsidRPr="00211828">
        <w:rPr>
          <w:rFonts w:ascii="Arial" w:hAnsi="Arial" w:cs="Arial"/>
          <w:i/>
          <w:iCs/>
        </w:rPr>
        <w:t>International Practice Development Journal</w:t>
      </w:r>
      <w:r w:rsidRPr="00211828">
        <w:rPr>
          <w:rFonts w:ascii="Arial" w:hAnsi="Arial" w:cs="Arial"/>
        </w:rPr>
        <w:t>, 9(1), p.2.</w:t>
      </w:r>
    </w:p>
    <w:p w14:paraId="5DD28CDA" w14:textId="77777777" w:rsidR="0002358E" w:rsidRPr="00211828" w:rsidRDefault="0002358E" w:rsidP="0002358E">
      <w:pPr>
        <w:spacing w:line="360" w:lineRule="auto"/>
        <w:rPr>
          <w:rFonts w:ascii="Arial" w:hAnsi="Arial" w:cs="Arial"/>
        </w:rPr>
      </w:pPr>
      <w:bookmarkStart w:id="0" w:name="_Int_pJIuF8XT"/>
      <w:r w:rsidRPr="00211828">
        <w:rPr>
          <w:rFonts w:ascii="Arial" w:hAnsi="Arial" w:cs="Arial"/>
        </w:rPr>
        <w:t xml:space="preserve">Booth, A., Sutton, A. and Papaioannou, D. (2016) </w:t>
      </w:r>
      <w:r w:rsidRPr="00211828">
        <w:rPr>
          <w:rFonts w:ascii="Arial" w:hAnsi="Arial" w:cs="Arial"/>
          <w:i/>
          <w:iCs/>
        </w:rPr>
        <w:t>Systematic Approaches to a Successful Literature Review</w:t>
      </w:r>
      <w:r w:rsidRPr="00211828">
        <w:rPr>
          <w:rFonts w:ascii="Arial" w:hAnsi="Arial" w:cs="Arial"/>
        </w:rPr>
        <w:t>.</w:t>
      </w:r>
      <w:bookmarkEnd w:id="0"/>
      <w:r w:rsidRPr="00211828">
        <w:rPr>
          <w:rFonts w:ascii="Arial" w:hAnsi="Arial" w:cs="Arial"/>
        </w:rPr>
        <w:t xml:space="preserve"> 2nd edn. London: Sage Publications.</w:t>
      </w:r>
    </w:p>
    <w:p w14:paraId="7172702B" w14:textId="77777777" w:rsidR="0002358E" w:rsidRPr="00211828" w:rsidRDefault="0002358E" w:rsidP="0002358E">
      <w:pPr>
        <w:spacing w:line="360" w:lineRule="auto"/>
        <w:rPr>
          <w:rFonts w:ascii="Arial" w:hAnsi="Arial" w:cs="Arial"/>
        </w:rPr>
      </w:pPr>
      <w:r w:rsidRPr="00211828">
        <w:rPr>
          <w:rFonts w:ascii="Arial" w:hAnsi="Arial" w:cs="Arial"/>
        </w:rPr>
        <w:t xml:space="preserve">Bradshaw, A., Ostler, S., Goodman, C., Batkovskyte, I., Ellis-Smith, C., Tunnard, I., Bone, A.E., Barclay, S., Vernon, M., Higginson, I.J., Evans, C.J. and Sleeman, K.E. (2023) 'Provision of palliative and end-of-life care in UK care homes during the COVID-19 pandemic: A mixed methods observational study with implications for policy', </w:t>
      </w:r>
      <w:r w:rsidRPr="00211828">
        <w:rPr>
          <w:rFonts w:ascii="Arial" w:hAnsi="Arial" w:cs="Arial"/>
          <w:i/>
          <w:iCs/>
        </w:rPr>
        <w:t>Frontiers in Public Health</w:t>
      </w:r>
      <w:r w:rsidRPr="00211828">
        <w:rPr>
          <w:rFonts w:ascii="Arial" w:hAnsi="Arial" w:cs="Arial"/>
        </w:rPr>
        <w:t xml:space="preserve">, 11, p.1058736. Available at: </w:t>
      </w:r>
      <w:hyperlink r:id="rId7" w:tgtFrame="_blank" w:history="1">
        <w:r w:rsidRPr="00211828">
          <w:rPr>
            <w:rStyle w:val="Hyperlink"/>
            <w:rFonts w:ascii="Arial" w:hAnsi="Arial" w:cs="Arial"/>
          </w:rPr>
          <w:t>https://doi.org/10.3389/fpubh.2023.1058736</w:t>
        </w:r>
      </w:hyperlink>
      <w:r w:rsidRPr="00211828">
        <w:rPr>
          <w:rFonts w:ascii="Arial" w:hAnsi="Arial" w:cs="Arial"/>
        </w:rPr>
        <w:t>.</w:t>
      </w:r>
    </w:p>
    <w:p w14:paraId="4E460DD1" w14:textId="77777777" w:rsidR="0002358E" w:rsidRPr="00211828" w:rsidRDefault="0002358E" w:rsidP="0002358E">
      <w:pPr>
        <w:spacing w:line="360" w:lineRule="auto"/>
        <w:rPr>
          <w:rFonts w:ascii="Arial" w:hAnsi="Arial" w:cs="Arial"/>
        </w:rPr>
      </w:pPr>
      <w:r w:rsidRPr="00211828">
        <w:rPr>
          <w:rFonts w:ascii="Arial" w:hAnsi="Arial" w:cs="Arial"/>
        </w:rPr>
        <w:t xml:space="preserve">Braun, V. and Clarke, V. (2006) 'Using thematic analysis in psychology', </w:t>
      </w:r>
      <w:r w:rsidRPr="00211828">
        <w:rPr>
          <w:rFonts w:ascii="Arial" w:hAnsi="Arial" w:cs="Arial"/>
          <w:i/>
          <w:iCs/>
        </w:rPr>
        <w:t>Qualitative Research in Psychology</w:t>
      </w:r>
      <w:r w:rsidRPr="00211828">
        <w:rPr>
          <w:rFonts w:ascii="Arial" w:hAnsi="Arial" w:cs="Arial"/>
        </w:rPr>
        <w:t>, 3(2), pp. 77-101.</w:t>
      </w:r>
    </w:p>
    <w:p w14:paraId="708CEFDA" w14:textId="77777777" w:rsidR="0002358E" w:rsidRPr="00211828" w:rsidRDefault="0002358E" w:rsidP="0002358E">
      <w:pPr>
        <w:spacing w:line="360" w:lineRule="auto"/>
        <w:rPr>
          <w:rFonts w:ascii="Arial" w:hAnsi="Arial" w:cs="Arial"/>
        </w:rPr>
      </w:pPr>
      <w:r w:rsidRPr="00211828">
        <w:rPr>
          <w:rFonts w:ascii="Arial" w:hAnsi="Arial" w:cs="Arial"/>
        </w:rPr>
        <w:lastRenderedPageBreak/>
        <w:t xml:space="preserve">Browne, S., Kelly, M.P., Bowers, B., Kuhn, I., Duschinsky, R., Daniels, C. and Barclay, S. (2025) 'General practitioner care of residential aged care facility residents at end of life: a systematic literature review and narrative synthesis', </w:t>
      </w:r>
      <w:r w:rsidRPr="00211828">
        <w:rPr>
          <w:rFonts w:ascii="Arial" w:hAnsi="Arial" w:cs="Arial"/>
          <w:i/>
          <w:iCs/>
        </w:rPr>
        <w:t>BMJ Open</w:t>
      </w:r>
      <w:r w:rsidRPr="00211828">
        <w:rPr>
          <w:rFonts w:ascii="Arial" w:hAnsi="Arial" w:cs="Arial"/>
        </w:rPr>
        <w:t xml:space="preserve">, 15(11), p.e104243. Available at: </w:t>
      </w:r>
      <w:hyperlink r:id="rId8" w:tgtFrame="_blank" w:history="1">
        <w:r w:rsidRPr="00211828">
          <w:rPr>
            <w:rStyle w:val="Hyperlink"/>
            <w:rFonts w:ascii="Arial" w:hAnsi="Arial" w:cs="Arial"/>
          </w:rPr>
          <w:t>https://doi.org/10.1136/bmjopen-2025-104243</w:t>
        </w:r>
      </w:hyperlink>
      <w:r w:rsidRPr="00211828">
        <w:rPr>
          <w:rFonts w:ascii="Arial" w:hAnsi="Arial" w:cs="Arial"/>
        </w:rPr>
        <w:t>.</w:t>
      </w:r>
    </w:p>
    <w:p w14:paraId="69DA71BC" w14:textId="77777777" w:rsidR="0002358E" w:rsidRPr="00211828" w:rsidRDefault="0002358E" w:rsidP="0002358E">
      <w:pPr>
        <w:spacing w:line="360" w:lineRule="auto"/>
        <w:rPr>
          <w:rFonts w:ascii="Arial" w:hAnsi="Arial" w:cs="Arial"/>
        </w:rPr>
      </w:pPr>
      <w:r w:rsidRPr="00211828">
        <w:rPr>
          <w:rFonts w:ascii="Arial" w:hAnsi="Arial" w:cs="Arial"/>
        </w:rPr>
        <w:t xml:space="preserve">Browne, S., Kelly, M.P., Bowers, B., Kuhn, I., Duschinsky, R., Daniels, C. and Barclay, S. (2026) 'Improving general practitioner involvement in care home End-of-Life care. A systematic literature review and narrative synthesis', </w:t>
      </w:r>
      <w:r w:rsidRPr="00211828">
        <w:rPr>
          <w:rFonts w:ascii="Arial" w:hAnsi="Arial" w:cs="Arial"/>
          <w:i/>
          <w:iCs/>
        </w:rPr>
        <w:t>BJGP Open</w:t>
      </w:r>
      <w:r w:rsidRPr="00211828">
        <w:rPr>
          <w:rFonts w:ascii="Arial" w:hAnsi="Arial" w:cs="Arial"/>
        </w:rPr>
        <w:t xml:space="preserve">. Advance online publication. Available at: </w:t>
      </w:r>
      <w:hyperlink r:id="rId9" w:tgtFrame="_blank" w:history="1">
        <w:r w:rsidRPr="00211828">
          <w:rPr>
            <w:rStyle w:val="Hyperlink"/>
            <w:rFonts w:ascii="Arial" w:hAnsi="Arial" w:cs="Arial"/>
          </w:rPr>
          <w:t>https://doi.org/10.3399/BJGPO.2026.0022</w:t>
        </w:r>
      </w:hyperlink>
      <w:r w:rsidRPr="00211828">
        <w:rPr>
          <w:rFonts w:ascii="Arial" w:hAnsi="Arial" w:cs="Arial"/>
        </w:rPr>
        <w:t>.</w:t>
      </w:r>
    </w:p>
    <w:p w14:paraId="7C4A16BB" w14:textId="77777777" w:rsidR="0002358E" w:rsidRPr="00211828" w:rsidRDefault="0002358E" w:rsidP="0002358E">
      <w:pPr>
        <w:spacing w:line="360" w:lineRule="auto"/>
        <w:rPr>
          <w:rFonts w:ascii="Arial" w:hAnsi="Arial" w:cs="Arial"/>
        </w:rPr>
      </w:pPr>
      <w:r w:rsidRPr="00211828">
        <w:rPr>
          <w:rFonts w:ascii="Arial" w:hAnsi="Arial" w:cs="Arial"/>
        </w:rPr>
        <w:t xml:space="preserve">Care Quality Commission (CQC) (2014) </w:t>
      </w:r>
      <w:r w:rsidRPr="00211828">
        <w:rPr>
          <w:rFonts w:ascii="Arial" w:hAnsi="Arial" w:cs="Arial"/>
          <w:i/>
          <w:iCs/>
        </w:rPr>
        <w:t>Regulation 10: Dignity and respect</w:t>
      </w:r>
      <w:r w:rsidRPr="00211828">
        <w:rPr>
          <w:rFonts w:ascii="Arial" w:hAnsi="Arial" w:cs="Arial"/>
        </w:rPr>
        <w:t xml:space="preserve">. Available at: </w:t>
      </w:r>
      <w:hyperlink r:id="rId10" w:tgtFrame="_blank" w:history="1">
        <w:r w:rsidRPr="00211828">
          <w:rPr>
            <w:rStyle w:val="Hyperlink"/>
            <w:rFonts w:ascii="Arial" w:hAnsi="Arial" w:cs="Arial"/>
          </w:rPr>
          <w:t>https://www.cqc.org.uk/guidance-regulation/providers/regulations-service-providers-and-managers/health-social-care-act/regulation-10</w:t>
        </w:r>
      </w:hyperlink>
      <w:r w:rsidRPr="00211828">
        <w:rPr>
          <w:rFonts w:ascii="Arial" w:hAnsi="Arial" w:cs="Arial"/>
        </w:rPr>
        <w:t xml:space="preserve"> (Accessed: 19 September 2026).</w:t>
      </w:r>
    </w:p>
    <w:p w14:paraId="4156F12E" w14:textId="77777777" w:rsidR="0002358E" w:rsidRPr="00211828" w:rsidRDefault="0002358E" w:rsidP="0002358E">
      <w:pPr>
        <w:spacing w:line="360" w:lineRule="auto"/>
        <w:rPr>
          <w:rFonts w:ascii="Arial" w:hAnsi="Arial" w:cs="Arial"/>
        </w:rPr>
      </w:pPr>
      <w:r w:rsidRPr="00211828">
        <w:rPr>
          <w:rFonts w:ascii="Arial" w:hAnsi="Arial" w:cs="Arial"/>
        </w:rPr>
        <w:t xml:space="preserve">Care Quality Commission (CQC) (2022) </w:t>
      </w:r>
      <w:r w:rsidRPr="00211828">
        <w:rPr>
          <w:rFonts w:ascii="Arial" w:hAnsi="Arial" w:cs="Arial"/>
          <w:i/>
          <w:iCs/>
        </w:rPr>
        <w:t>The state of health care and adult social care in England 2021/22</w:t>
      </w:r>
      <w:r w:rsidRPr="00211828">
        <w:rPr>
          <w:rFonts w:ascii="Arial" w:hAnsi="Arial" w:cs="Arial"/>
        </w:rPr>
        <w:t>. Newcastle upon Tyne: Care Quality Commission.</w:t>
      </w:r>
    </w:p>
    <w:p w14:paraId="3F6F4542" w14:textId="77777777" w:rsidR="0002358E" w:rsidRPr="00211828" w:rsidRDefault="0002358E" w:rsidP="0002358E">
      <w:pPr>
        <w:spacing w:line="360" w:lineRule="auto"/>
        <w:rPr>
          <w:rFonts w:ascii="Arial" w:hAnsi="Arial" w:cs="Arial"/>
        </w:rPr>
      </w:pPr>
      <w:r w:rsidRPr="00211828">
        <w:rPr>
          <w:rFonts w:ascii="Arial" w:hAnsi="Arial" w:cs="Arial"/>
        </w:rPr>
        <w:t xml:space="preserve">Chochinov, H.M. (2002) 'Dignity-conserving care: A new model for palliative care', </w:t>
      </w:r>
      <w:r w:rsidRPr="00211828">
        <w:rPr>
          <w:rFonts w:ascii="Arial" w:hAnsi="Arial" w:cs="Arial"/>
          <w:i/>
          <w:iCs/>
        </w:rPr>
        <w:t>JAMA</w:t>
      </w:r>
      <w:r w:rsidRPr="00211828">
        <w:rPr>
          <w:rFonts w:ascii="Arial" w:hAnsi="Arial" w:cs="Arial"/>
        </w:rPr>
        <w:t>, 287(17), pp. 2253-2260.</w:t>
      </w:r>
    </w:p>
    <w:p w14:paraId="2AC0BCC2" w14:textId="77777777" w:rsidR="0002358E" w:rsidRPr="00211828" w:rsidRDefault="0002358E" w:rsidP="0002358E">
      <w:pPr>
        <w:spacing w:line="360" w:lineRule="auto"/>
        <w:rPr>
          <w:rFonts w:ascii="Arial" w:hAnsi="Arial" w:cs="Arial"/>
        </w:rPr>
      </w:pPr>
      <w:r w:rsidRPr="00211828">
        <w:rPr>
          <w:rFonts w:ascii="Arial" w:hAnsi="Arial" w:cs="Arial"/>
        </w:rPr>
        <w:t xml:space="preserve">Clarke, G., May, P., Cook, A. et al. (2025) </w:t>
      </w:r>
      <w:r w:rsidRPr="00211828">
        <w:rPr>
          <w:rFonts w:ascii="Arial" w:hAnsi="Arial" w:cs="Arial"/>
          <w:i/>
          <w:iCs/>
        </w:rPr>
        <w:t>Costs and cost-effectiveness of adult palliative and end-of-life care: evidence briefing summary</w:t>
      </w:r>
      <w:r w:rsidRPr="00211828">
        <w:rPr>
          <w:rFonts w:ascii="Arial" w:hAnsi="Arial" w:cs="Arial"/>
        </w:rPr>
        <w:t>. London: National Institute for Health and Care Research (NIHR).</w:t>
      </w:r>
    </w:p>
    <w:p w14:paraId="3F1638C4" w14:textId="77777777" w:rsidR="0002358E" w:rsidRPr="00211828" w:rsidRDefault="0002358E" w:rsidP="0002358E">
      <w:pPr>
        <w:spacing w:line="360" w:lineRule="auto"/>
        <w:rPr>
          <w:rFonts w:ascii="Arial" w:hAnsi="Arial" w:cs="Arial"/>
        </w:rPr>
      </w:pPr>
      <w:r w:rsidRPr="00211828">
        <w:rPr>
          <w:rFonts w:ascii="Arial" w:hAnsi="Arial" w:cs="Arial"/>
        </w:rPr>
        <w:t xml:space="preserve">Collingridge Moore, D., Payne, S., Van den Block, L., Ling, J. and Froggatt, K. (2020) 'Strategies for the implementation of palliative care education and organisational interventions in long-term care facilities: a scoping review', </w:t>
      </w:r>
      <w:r w:rsidRPr="00211828">
        <w:rPr>
          <w:rFonts w:ascii="Arial" w:hAnsi="Arial" w:cs="Arial"/>
          <w:i/>
          <w:iCs/>
        </w:rPr>
        <w:t>Palliative Medicine</w:t>
      </w:r>
      <w:r w:rsidRPr="00211828">
        <w:rPr>
          <w:rFonts w:ascii="Arial" w:hAnsi="Arial" w:cs="Arial"/>
        </w:rPr>
        <w:t>, 34(5), pp. 558-570.</w:t>
      </w:r>
    </w:p>
    <w:p w14:paraId="528C8C52" w14:textId="77777777" w:rsidR="0002358E" w:rsidRPr="00211828" w:rsidRDefault="0002358E" w:rsidP="0002358E">
      <w:pPr>
        <w:spacing w:line="360" w:lineRule="auto"/>
        <w:rPr>
          <w:rFonts w:ascii="Arial" w:hAnsi="Arial" w:cs="Arial"/>
        </w:rPr>
      </w:pPr>
      <w:r w:rsidRPr="00211828">
        <w:rPr>
          <w:rFonts w:ascii="Arial" w:hAnsi="Arial" w:cs="Arial"/>
        </w:rPr>
        <w:t xml:space="preserve">Damant, J., Hamashima, Y., Toma, M. and Moriarty, J. (2026) 'Investigating person-centred care planning in care homes across England: an exploratory study of practices and contextual factors', </w:t>
      </w:r>
      <w:r w:rsidRPr="00211828">
        <w:rPr>
          <w:rFonts w:ascii="Arial" w:hAnsi="Arial" w:cs="Arial"/>
          <w:i/>
          <w:iCs/>
        </w:rPr>
        <w:t>Journal of Advanced Nursing</w:t>
      </w:r>
      <w:r w:rsidRPr="00211828">
        <w:rPr>
          <w:rFonts w:ascii="Arial" w:hAnsi="Arial" w:cs="Arial"/>
        </w:rPr>
        <w:t>. Advance online publication.</w:t>
      </w:r>
    </w:p>
    <w:p w14:paraId="74F00CD0" w14:textId="77777777" w:rsidR="0002358E" w:rsidRPr="00211828" w:rsidRDefault="0002358E" w:rsidP="0002358E">
      <w:pPr>
        <w:spacing w:line="360" w:lineRule="auto"/>
        <w:rPr>
          <w:rFonts w:ascii="Arial" w:hAnsi="Arial" w:cs="Arial"/>
        </w:rPr>
      </w:pPr>
      <w:r w:rsidRPr="00211828">
        <w:rPr>
          <w:rFonts w:ascii="Arial" w:hAnsi="Arial" w:cs="Arial"/>
        </w:rPr>
        <w:t xml:space="preserve">Davies, J.M., Maddocks, M., Chua, K-C., et al. (2021) 'Socioeconomic position and use of hospital-based care towards the end of life: a mediation analysis using the English Longitudinal Study of Ageing', </w:t>
      </w:r>
      <w:r w:rsidRPr="00211828">
        <w:rPr>
          <w:rFonts w:ascii="Arial" w:hAnsi="Arial" w:cs="Arial"/>
          <w:i/>
          <w:iCs/>
        </w:rPr>
        <w:t>The Lancet Public Health</w:t>
      </w:r>
      <w:r w:rsidRPr="00211828">
        <w:rPr>
          <w:rFonts w:ascii="Arial" w:hAnsi="Arial" w:cs="Arial"/>
        </w:rPr>
        <w:t>, 6(6), pp. e155-e163.</w:t>
      </w:r>
    </w:p>
    <w:p w14:paraId="38287E66" w14:textId="77777777" w:rsidR="0002358E" w:rsidRPr="00211828" w:rsidRDefault="0002358E" w:rsidP="0002358E">
      <w:pPr>
        <w:spacing w:line="360" w:lineRule="auto"/>
        <w:rPr>
          <w:rFonts w:ascii="Arial" w:hAnsi="Arial" w:cs="Arial"/>
        </w:rPr>
      </w:pPr>
      <w:r w:rsidRPr="00211828">
        <w:rPr>
          <w:rFonts w:ascii="Arial" w:hAnsi="Arial" w:cs="Arial"/>
        </w:rPr>
        <w:t xml:space="preserve">Department of Health (2008) </w:t>
      </w:r>
      <w:r w:rsidRPr="00211828">
        <w:rPr>
          <w:rFonts w:ascii="Arial" w:hAnsi="Arial" w:cs="Arial"/>
          <w:i/>
          <w:iCs/>
        </w:rPr>
        <w:t>End of Life Care Strategy: Promoting high quality care for all adults at the end of life</w:t>
      </w:r>
      <w:r w:rsidRPr="00211828">
        <w:rPr>
          <w:rFonts w:ascii="Arial" w:hAnsi="Arial" w:cs="Arial"/>
        </w:rPr>
        <w:t>. London: Department of Health.</w:t>
      </w:r>
    </w:p>
    <w:p w14:paraId="0485EC32" w14:textId="77777777" w:rsidR="0002358E" w:rsidRPr="00211828" w:rsidRDefault="0002358E" w:rsidP="0002358E">
      <w:pPr>
        <w:spacing w:line="360" w:lineRule="auto"/>
        <w:rPr>
          <w:rFonts w:ascii="Arial" w:hAnsi="Arial" w:cs="Arial"/>
        </w:rPr>
      </w:pPr>
      <w:r w:rsidRPr="00211828">
        <w:rPr>
          <w:rFonts w:ascii="Arial" w:hAnsi="Arial" w:cs="Arial"/>
        </w:rPr>
        <w:t xml:space="preserve">Department of Health (2013) </w:t>
      </w:r>
      <w:r w:rsidRPr="00211828">
        <w:rPr>
          <w:rFonts w:ascii="Arial" w:hAnsi="Arial" w:cs="Arial"/>
          <w:i/>
          <w:iCs/>
        </w:rPr>
        <w:t>More Care, Less Pathway: A Review of the Liverpool Care Pathway</w:t>
      </w:r>
      <w:r w:rsidRPr="00211828">
        <w:rPr>
          <w:rFonts w:ascii="Arial" w:hAnsi="Arial" w:cs="Arial"/>
        </w:rPr>
        <w:t>. London: Department of Health.</w:t>
      </w:r>
    </w:p>
    <w:p w14:paraId="20C2E52D" w14:textId="77777777" w:rsidR="0002358E" w:rsidRPr="00211828" w:rsidRDefault="0002358E" w:rsidP="0002358E">
      <w:pPr>
        <w:spacing w:line="360" w:lineRule="auto"/>
        <w:rPr>
          <w:rFonts w:ascii="Arial" w:hAnsi="Arial" w:cs="Arial"/>
        </w:rPr>
      </w:pPr>
      <w:r w:rsidRPr="00211828">
        <w:rPr>
          <w:rFonts w:ascii="Arial" w:hAnsi="Arial" w:cs="Arial"/>
        </w:rPr>
        <w:lastRenderedPageBreak/>
        <w:t xml:space="preserve">Dobie, J., Plumb, M. and Shepherd, S. (2016) 'End of life care education for care home staff: An evaluation', </w:t>
      </w:r>
      <w:r w:rsidRPr="00211828">
        <w:rPr>
          <w:rFonts w:ascii="Arial" w:hAnsi="Arial" w:cs="Arial"/>
          <w:i/>
          <w:iCs/>
        </w:rPr>
        <w:t>Nursing and Residential Care</w:t>
      </w:r>
      <w:r w:rsidRPr="00211828">
        <w:rPr>
          <w:rFonts w:ascii="Arial" w:hAnsi="Arial" w:cs="Arial"/>
        </w:rPr>
        <w:t>, 18(5), pp. 263-267.</w:t>
      </w:r>
    </w:p>
    <w:p w14:paraId="6FDEACDC" w14:textId="77777777" w:rsidR="0002358E" w:rsidRPr="00211828" w:rsidRDefault="0002358E" w:rsidP="0002358E">
      <w:pPr>
        <w:spacing w:line="360" w:lineRule="auto"/>
        <w:rPr>
          <w:rFonts w:ascii="Arial" w:hAnsi="Arial" w:cs="Arial"/>
        </w:rPr>
      </w:pPr>
      <w:r w:rsidRPr="00211828">
        <w:rPr>
          <w:rFonts w:ascii="Arial" w:hAnsi="Arial" w:cs="Arial"/>
        </w:rPr>
        <w:t xml:space="preserve">Downs, M., Middleton-Green, L., Chatterjee, J. and Russell, S. (2016) </w:t>
      </w:r>
      <w:r w:rsidRPr="00211828">
        <w:rPr>
          <w:rFonts w:ascii="Arial" w:hAnsi="Arial" w:cs="Arial"/>
          <w:i/>
          <w:iCs/>
        </w:rPr>
        <w:t>End of Life Care for People with Dementia: A Person-Centred Approach</w:t>
      </w:r>
      <w:r w:rsidRPr="00211828">
        <w:rPr>
          <w:rFonts w:ascii="Arial" w:hAnsi="Arial" w:cs="Arial"/>
        </w:rPr>
        <w:t>. London: Jessica Kingsley Publishers.</w:t>
      </w:r>
    </w:p>
    <w:p w14:paraId="4C9A78FE" w14:textId="77777777" w:rsidR="0002358E" w:rsidRPr="00211828" w:rsidRDefault="0002358E" w:rsidP="0002358E">
      <w:pPr>
        <w:spacing w:line="360" w:lineRule="auto"/>
        <w:rPr>
          <w:rFonts w:ascii="Arial" w:hAnsi="Arial" w:cs="Arial"/>
        </w:rPr>
      </w:pPr>
      <w:r w:rsidRPr="00211828">
        <w:rPr>
          <w:rFonts w:ascii="Arial" w:hAnsi="Arial" w:cs="Arial"/>
        </w:rPr>
        <w:t xml:space="preserve">ElMokhallalati, Y., Chapman, E., Relton, S.D. et al. (2023) 'Characteristics of good home-based end-of-life care: analysis of 5-year data from a nationwide mortality follow-back survey in England', </w:t>
      </w:r>
      <w:r w:rsidRPr="00211828">
        <w:rPr>
          <w:rFonts w:ascii="Arial" w:hAnsi="Arial" w:cs="Arial"/>
          <w:i/>
          <w:iCs/>
        </w:rPr>
        <w:t>British Journal of General Practice</w:t>
      </w:r>
      <w:r w:rsidRPr="00211828">
        <w:rPr>
          <w:rFonts w:ascii="Arial" w:hAnsi="Arial" w:cs="Arial"/>
        </w:rPr>
        <w:t>, 73(730), pp. e443-e</w:t>
      </w:r>
      <w:r>
        <w:rPr>
          <w:rFonts w:ascii="Arial" w:hAnsi="Arial" w:cs="Arial"/>
        </w:rPr>
        <w:t>55</w:t>
      </w:r>
      <w:r w:rsidRPr="00211828">
        <w:rPr>
          <w:rFonts w:ascii="Arial" w:hAnsi="Arial" w:cs="Arial"/>
        </w:rPr>
        <w:t>0.</w:t>
      </w:r>
    </w:p>
    <w:p w14:paraId="5D2098E4" w14:textId="77777777" w:rsidR="0002358E" w:rsidRPr="00211828" w:rsidRDefault="0002358E" w:rsidP="0002358E">
      <w:pPr>
        <w:spacing w:line="360" w:lineRule="auto"/>
        <w:rPr>
          <w:rFonts w:ascii="Arial" w:hAnsi="Arial" w:cs="Arial"/>
        </w:rPr>
      </w:pPr>
      <w:r w:rsidRPr="00211828">
        <w:rPr>
          <w:rFonts w:ascii="Arial" w:hAnsi="Arial" w:cs="Arial"/>
        </w:rPr>
        <w:t xml:space="preserve">Engel, G.L. (1977) 'The need for a new medical model: A challenge for biomedicine', </w:t>
      </w:r>
      <w:r w:rsidRPr="00211828">
        <w:rPr>
          <w:rFonts w:ascii="Arial" w:hAnsi="Arial" w:cs="Arial"/>
          <w:i/>
          <w:iCs/>
        </w:rPr>
        <w:t>Science</w:t>
      </w:r>
      <w:r w:rsidRPr="00211828">
        <w:rPr>
          <w:rFonts w:ascii="Arial" w:hAnsi="Arial" w:cs="Arial"/>
        </w:rPr>
        <w:t>, 196(4286), pp. 129-136.</w:t>
      </w:r>
    </w:p>
    <w:p w14:paraId="46963CE4" w14:textId="77777777" w:rsidR="0002358E" w:rsidRPr="00211828" w:rsidRDefault="0002358E" w:rsidP="0002358E">
      <w:pPr>
        <w:spacing w:line="360" w:lineRule="auto"/>
        <w:rPr>
          <w:rFonts w:ascii="Arial" w:hAnsi="Arial" w:cs="Arial"/>
        </w:rPr>
      </w:pPr>
      <w:r w:rsidRPr="00211828">
        <w:rPr>
          <w:rFonts w:ascii="Arial" w:hAnsi="Arial" w:cs="Arial"/>
        </w:rPr>
        <w:t xml:space="preserve">Equality Act 2010, c.15. Available at: </w:t>
      </w:r>
      <w:hyperlink r:id="rId11" w:tgtFrame="_blank" w:history="1">
        <w:r w:rsidRPr="00211828">
          <w:rPr>
            <w:rStyle w:val="Hyperlink"/>
            <w:rFonts w:ascii="Arial" w:hAnsi="Arial" w:cs="Arial"/>
          </w:rPr>
          <w:t>https://www.legislation.gov.uk/ukpga/2010/15/contents</w:t>
        </w:r>
      </w:hyperlink>
      <w:r w:rsidRPr="00211828">
        <w:rPr>
          <w:rFonts w:ascii="Arial" w:hAnsi="Arial" w:cs="Arial"/>
        </w:rPr>
        <w:t xml:space="preserve"> (Accessed: 19 September 2026).</w:t>
      </w:r>
    </w:p>
    <w:p w14:paraId="0CAADD69" w14:textId="77777777" w:rsidR="0002358E" w:rsidRPr="00211828" w:rsidRDefault="0002358E" w:rsidP="0002358E">
      <w:pPr>
        <w:spacing w:line="360" w:lineRule="auto"/>
        <w:rPr>
          <w:rFonts w:ascii="Arial" w:hAnsi="Arial" w:cs="Arial"/>
        </w:rPr>
      </w:pPr>
      <w:r w:rsidRPr="00211828">
        <w:rPr>
          <w:rFonts w:ascii="Arial" w:hAnsi="Arial" w:cs="Arial"/>
        </w:rPr>
        <w:t xml:space="preserve">Fisher, R.F., Lasserson, D. and Hayward, G. (2016) 'Out-of-hours primary care use at the end of life: a descriptive study', </w:t>
      </w:r>
      <w:r w:rsidRPr="00211828">
        <w:rPr>
          <w:rFonts w:ascii="Arial" w:hAnsi="Arial" w:cs="Arial"/>
          <w:i/>
          <w:iCs/>
        </w:rPr>
        <w:t>British Journal of General Practice</w:t>
      </w:r>
      <w:r w:rsidRPr="00211828">
        <w:rPr>
          <w:rFonts w:ascii="Arial" w:hAnsi="Arial" w:cs="Arial"/>
        </w:rPr>
        <w:t>, 66(650), pp. e654-e660.</w:t>
      </w:r>
    </w:p>
    <w:p w14:paraId="11FCABD0" w14:textId="77777777" w:rsidR="0002358E" w:rsidRPr="00211828" w:rsidRDefault="0002358E" w:rsidP="0002358E">
      <w:pPr>
        <w:spacing w:line="360" w:lineRule="auto"/>
        <w:rPr>
          <w:rFonts w:ascii="Arial" w:hAnsi="Arial" w:cs="Arial"/>
        </w:rPr>
      </w:pPr>
      <w:r w:rsidRPr="00211828">
        <w:rPr>
          <w:rFonts w:ascii="Arial" w:hAnsi="Arial" w:cs="Arial"/>
        </w:rPr>
        <w:t xml:space="preserve">General Medical Council (GMC) (2010) </w:t>
      </w:r>
      <w:r w:rsidRPr="00211828">
        <w:rPr>
          <w:rFonts w:ascii="Arial" w:hAnsi="Arial" w:cs="Arial"/>
          <w:i/>
          <w:iCs/>
        </w:rPr>
        <w:t>Treatment and care towards the end of life: good practice in decision making</w:t>
      </w:r>
      <w:r w:rsidRPr="00211828">
        <w:rPr>
          <w:rFonts w:ascii="Arial" w:hAnsi="Arial" w:cs="Arial"/>
        </w:rPr>
        <w:t>. London: General Medical Council.</w:t>
      </w:r>
    </w:p>
    <w:p w14:paraId="2557F38D" w14:textId="77777777" w:rsidR="0002358E" w:rsidRPr="00211828" w:rsidRDefault="0002358E" w:rsidP="0002358E">
      <w:pPr>
        <w:spacing w:line="360" w:lineRule="auto"/>
        <w:rPr>
          <w:rFonts w:ascii="Arial" w:hAnsi="Arial" w:cs="Arial"/>
        </w:rPr>
      </w:pPr>
      <w:r w:rsidRPr="00211828">
        <w:rPr>
          <w:rFonts w:ascii="Arial" w:hAnsi="Arial" w:cs="Arial"/>
        </w:rPr>
        <w:t xml:space="preserve">Gill, A., Meadows, L., Ashbourne, J. and Pringle, E. (2024) ''Confidence and fulfilment': a qualitative descriptive study exploring the impact of palliative care training for long-term care physicians and nurses', </w:t>
      </w:r>
      <w:r w:rsidRPr="00211828">
        <w:rPr>
          <w:rFonts w:ascii="Arial" w:hAnsi="Arial" w:cs="Arial"/>
          <w:i/>
          <w:iCs/>
        </w:rPr>
        <w:t>Palliative Care and Social Practice</w:t>
      </w:r>
      <w:r w:rsidRPr="00211828">
        <w:rPr>
          <w:rFonts w:ascii="Arial" w:hAnsi="Arial" w:cs="Arial"/>
        </w:rPr>
        <w:t>, 18.</w:t>
      </w:r>
    </w:p>
    <w:p w14:paraId="3A272969" w14:textId="77777777" w:rsidR="0002358E" w:rsidRPr="00211828" w:rsidRDefault="0002358E" w:rsidP="0002358E">
      <w:pPr>
        <w:spacing w:line="360" w:lineRule="auto"/>
        <w:rPr>
          <w:rFonts w:ascii="Arial" w:hAnsi="Arial" w:cs="Arial"/>
        </w:rPr>
      </w:pPr>
      <w:r w:rsidRPr="00211828">
        <w:rPr>
          <w:rFonts w:ascii="Arial" w:hAnsi="Arial" w:cs="Arial"/>
        </w:rPr>
        <w:t xml:space="preserve">Goodman, C., Froggatt, K., Amador, S., Mathie, E. and Mayrhofer, A. (2015) 'End of life care interventions for people with dementia in care homes: addressing uncertainty within a framework for service delivery and evaluation', </w:t>
      </w:r>
      <w:r w:rsidRPr="00211828">
        <w:rPr>
          <w:rFonts w:ascii="Arial" w:hAnsi="Arial" w:cs="Arial"/>
          <w:i/>
          <w:iCs/>
        </w:rPr>
        <w:t>BMC Palliative Care</w:t>
      </w:r>
      <w:r w:rsidRPr="00211828">
        <w:rPr>
          <w:rFonts w:ascii="Arial" w:hAnsi="Arial" w:cs="Arial"/>
        </w:rPr>
        <w:t xml:space="preserve">, 14(1), p. 42. Available at: </w:t>
      </w:r>
      <w:hyperlink r:id="rId12" w:tgtFrame="_blank" w:history="1">
        <w:r w:rsidRPr="00211828">
          <w:rPr>
            <w:rStyle w:val="Hyperlink"/>
            <w:rFonts w:ascii="Arial" w:hAnsi="Arial" w:cs="Arial"/>
          </w:rPr>
          <w:t>https://doi.org/10.1186/s12904-015-0040-0</w:t>
        </w:r>
      </w:hyperlink>
      <w:r w:rsidRPr="00211828">
        <w:rPr>
          <w:rFonts w:ascii="Arial" w:hAnsi="Arial" w:cs="Arial"/>
        </w:rPr>
        <w:t>.</w:t>
      </w:r>
    </w:p>
    <w:p w14:paraId="0B6C7C09" w14:textId="77777777" w:rsidR="0002358E" w:rsidRPr="00211828" w:rsidRDefault="0002358E" w:rsidP="0002358E">
      <w:pPr>
        <w:spacing w:line="360" w:lineRule="auto"/>
        <w:rPr>
          <w:rFonts w:ascii="Arial" w:hAnsi="Arial" w:cs="Arial"/>
        </w:rPr>
      </w:pPr>
      <w:r w:rsidRPr="00211828">
        <w:rPr>
          <w:rFonts w:ascii="Arial" w:hAnsi="Arial" w:cs="Arial"/>
        </w:rPr>
        <w:t xml:space="preserve">Harasym, P., Brisbin, S., Afzaal, M., Sinnarajah, A., Venturato, L., Quail, P., Kaasalainen, S., Straus, S.E., Sussman, T., Virk, N. and Holroyd-Leduc, J. (2020) 'Barriers and facilitators to optimal supportive end-of-life palliative care in long-term care facilities: a qualitative descriptive study of community-based and specialist palliative care physicians' experiences, perceptions and perspectives', </w:t>
      </w:r>
      <w:r w:rsidRPr="00211828">
        <w:rPr>
          <w:rFonts w:ascii="Arial" w:hAnsi="Arial" w:cs="Arial"/>
          <w:i/>
          <w:iCs/>
        </w:rPr>
        <w:t>BMJ Open</w:t>
      </w:r>
      <w:r w:rsidRPr="00211828">
        <w:rPr>
          <w:rFonts w:ascii="Arial" w:hAnsi="Arial" w:cs="Arial"/>
        </w:rPr>
        <w:t>, 10(8), p.e037466.</w:t>
      </w:r>
    </w:p>
    <w:p w14:paraId="5BDF2568" w14:textId="77777777" w:rsidR="0002358E" w:rsidRPr="00211828" w:rsidRDefault="0002358E" w:rsidP="0002358E">
      <w:pPr>
        <w:spacing w:line="360" w:lineRule="auto"/>
        <w:rPr>
          <w:rFonts w:ascii="Arial" w:hAnsi="Arial" w:cs="Arial"/>
        </w:rPr>
      </w:pPr>
      <w:r w:rsidRPr="00211828">
        <w:rPr>
          <w:rFonts w:ascii="Arial" w:hAnsi="Arial" w:cs="Arial"/>
        </w:rPr>
        <w:t xml:space="preserve">Health Foundation (2024) </w:t>
      </w:r>
      <w:r w:rsidRPr="00211828">
        <w:rPr>
          <w:rFonts w:ascii="Arial" w:hAnsi="Arial" w:cs="Arial"/>
          <w:i/>
          <w:iCs/>
        </w:rPr>
        <w:t>Adult social care funding and workforce</w:t>
      </w:r>
      <w:r w:rsidRPr="00211828">
        <w:rPr>
          <w:rFonts w:ascii="Arial" w:hAnsi="Arial" w:cs="Arial"/>
        </w:rPr>
        <w:t>. London: The Health Foundation.</w:t>
      </w:r>
    </w:p>
    <w:p w14:paraId="1AAAF335" w14:textId="77777777" w:rsidR="0002358E" w:rsidRPr="00211828" w:rsidRDefault="0002358E" w:rsidP="0002358E">
      <w:pPr>
        <w:spacing w:line="360" w:lineRule="auto"/>
        <w:rPr>
          <w:rFonts w:ascii="Arial" w:hAnsi="Arial" w:cs="Arial"/>
        </w:rPr>
      </w:pPr>
      <w:r w:rsidRPr="00211828">
        <w:rPr>
          <w:rFonts w:ascii="Arial" w:hAnsi="Arial" w:cs="Arial"/>
        </w:rPr>
        <w:t xml:space="preserve">Hollowood, L., Taylor, J. and Allen, K. (2026) 'The Experiences of People from Ethnic Minority Backgrounds Living in Care Homes: A Qualitative Systematic Review', </w:t>
      </w:r>
      <w:r w:rsidRPr="00211828">
        <w:rPr>
          <w:rFonts w:ascii="Arial" w:hAnsi="Arial" w:cs="Arial"/>
          <w:i/>
          <w:iCs/>
        </w:rPr>
        <w:t>Journal of Advanced Nursing</w:t>
      </w:r>
      <w:r w:rsidRPr="00211828">
        <w:rPr>
          <w:rFonts w:ascii="Arial" w:hAnsi="Arial" w:cs="Arial"/>
        </w:rPr>
        <w:t>, 82(3), pp. 1928-1946.</w:t>
      </w:r>
    </w:p>
    <w:p w14:paraId="2B40E55D" w14:textId="77777777" w:rsidR="0002358E" w:rsidRPr="00211828" w:rsidRDefault="0002358E" w:rsidP="0002358E">
      <w:pPr>
        <w:spacing w:line="360" w:lineRule="auto"/>
        <w:rPr>
          <w:rFonts w:ascii="Arial" w:hAnsi="Arial" w:cs="Arial"/>
        </w:rPr>
      </w:pPr>
      <w:r w:rsidRPr="00211828">
        <w:rPr>
          <w:rFonts w:ascii="Arial" w:hAnsi="Arial" w:cs="Arial"/>
        </w:rPr>
        <w:lastRenderedPageBreak/>
        <w:t xml:space="preserve">Human Rights Act 1998, c.42. Available at: </w:t>
      </w:r>
      <w:hyperlink r:id="rId13" w:tgtFrame="_blank" w:history="1">
        <w:r w:rsidRPr="00211828">
          <w:rPr>
            <w:rStyle w:val="Hyperlink"/>
            <w:rFonts w:ascii="Arial" w:hAnsi="Arial" w:cs="Arial"/>
          </w:rPr>
          <w:t>https://www.legislation.gov.uk/ukpga/1998/42/contents</w:t>
        </w:r>
      </w:hyperlink>
      <w:r w:rsidRPr="00211828">
        <w:rPr>
          <w:rFonts w:ascii="Arial" w:hAnsi="Arial" w:cs="Arial"/>
        </w:rPr>
        <w:t xml:space="preserve"> (Accessed: 19 September 2026).</w:t>
      </w:r>
    </w:p>
    <w:p w14:paraId="73ABE198" w14:textId="77777777" w:rsidR="0002358E" w:rsidRPr="00211828" w:rsidRDefault="0002358E" w:rsidP="0002358E">
      <w:pPr>
        <w:spacing w:line="360" w:lineRule="auto"/>
        <w:rPr>
          <w:rFonts w:ascii="Arial" w:hAnsi="Arial" w:cs="Arial"/>
        </w:rPr>
      </w:pPr>
      <w:r w:rsidRPr="00211828">
        <w:rPr>
          <w:rFonts w:ascii="Arial" w:hAnsi="Arial" w:cs="Arial"/>
        </w:rPr>
        <w:t xml:space="preserve">Jones, L., Candy, B., Davis, S., Elliott, M., Gola, A., Harrington, J., Kupeli, N., Lord, K., Moore, K., Scott, S. and Vickerstaff, V. (2016) 'Development of a model for integrated care at the end of life in advanced dementia: a whole systems UK-wide approach', </w:t>
      </w:r>
      <w:r w:rsidRPr="00211828">
        <w:rPr>
          <w:rFonts w:ascii="Arial" w:hAnsi="Arial" w:cs="Arial"/>
          <w:i/>
          <w:iCs/>
        </w:rPr>
        <w:t>Palliative Medicine</w:t>
      </w:r>
      <w:r w:rsidRPr="00211828">
        <w:rPr>
          <w:rFonts w:ascii="Arial" w:hAnsi="Arial" w:cs="Arial"/>
        </w:rPr>
        <w:t>, 30(3), pp. 279-290.</w:t>
      </w:r>
    </w:p>
    <w:p w14:paraId="23FA88FE" w14:textId="77777777" w:rsidR="0002358E" w:rsidRPr="00211828" w:rsidRDefault="0002358E" w:rsidP="0002358E">
      <w:pPr>
        <w:spacing w:line="360" w:lineRule="auto"/>
        <w:rPr>
          <w:rFonts w:ascii="Arial" w:hAnsi="Arial" w:cs="Arial"/>
        </w:rPr>
      </w:pPr>
      <w:r w:rsidRPr="00211828">
        <w:rPr>
          <w:rFonts w:ascii="Arial" w:hAnsi="Arial" w:cs="Arial"/>
        </w:rPr>
        <w:t xml:space="preserve">Kellehear, A. (2015) 'Compassionate communities: case studies from Britain and Europe', in Wegleitner, K., Heimerl, K. and Kellehear, A. (eds.) </w:t>
      </w:r>
      <w:r w:rsidRPr="00211828">
        <w:rPr>
          <w:rFonts w:ascii="Arial" w:hAnsi="Arial" w:cs="Arial"/>
          <w:i/>
          <w:iCs/>
        </w:rPr>
        <w:t>The compassionate city charter</w:t>
      </w:r>
      <w:r w:rsidRPr="00211828">
        <w:rPr>
          <w:rFonts w:ascii="Arial" w:hAnsi="Arial" w:cs="Arial"/>
        </w:rPr>
        <w:t>. Abingdon: Routledge, pp. 76-87.</w:t>
      </w:r>
    </w:p>
    <w:p w14:paraId="5D664D04" w14:textId="77777777" w:rsidR="0002358E" w:rsidRPr="00211828" w:rsidRDefault="0002358E" w:rsidP="0002358E">
      <w:pPr>
        <w:spacing w:line="360" w:lineRule="auto"/>
        <w:rPr>
          <w:rFonts w:ascii="Arial" w:hAnsi="Arial" w:cs="Arial"/>
        </w:rPr>
      </w:pPr>
      <w:r w:rsidRPr="00211828">
        <w:rPr>
          <w:rFonts w:ascii="Arial" w:hAnsi="Arial" w:cs="Arial"/>
        </w:rPr>
        <w:t xml:space="preserve">King's Fund (2023) </w:t>
      </w:r>
      <w:r w:rsidRPr="00211828">
        <w:rPr>
          <w:rFonts w:ascii="Arial" w:hAnsi="Arial" w:cs="Arial"/>
          <w:i/>
          <w:iCs/>
        </w:rPr>
        <w:t>Social care 360</w:t>
      </w:r>
      <w:r w:rsidRPr="00211828">
        <w:rPr>
          <w:rFonts w:ascii="Arial" w:hAnsi="Arial" w:cs="Arial"/>
        </w:rPr>
        <w:t>. London: The King's Fund.</w:t>
      </w:r>
    </w:p>
    <w:p w14:paraId="38A57D00" w14:textId="77777777" w:rsidR="0002358E" w:rsidRPr="00211828" w:rsidRDefault="0002358E" w:rsidP="0002358E">
      <w:pPr>
        <w:spacing w:line="360" w:lineRule="auto"/>
        <w:rPr>
          <w:rFonts w:ascii="Arial" w:hAnsi="Arial" w:cs="Arial"/>
        </w:rPr>
      </w:pPr>
      <w:r w:rsidRPr="00211828">
        <w:rPr>
          <w:rFonts w:ascii="Arial" w:hAnsi="Arial" w:cs="Arial"/>
        </w:rPr>
        <w:t xml:space="preserve">Kinley, J., Stone, L., Butt, A., Kenyon, B. and Lopes, N.S. (2017) 'Developing, implementing and sustaining an end-of-life care programme in residential care homes', </w:t>
      </w:r>
      <w:r w:rsidRPr="00211828">
        <w:rPr>
          <w:rFonts w:ascii="Arial" w:hAnsi="Arial" w:cs="Arial"/>
          <w:i/>
          <w:iCs/>
        </w:rPr>
        <w:t>International Journal of Palliative Nursing</w:t>
      </w:r>
      <w:r w:rsidRPr="00211828">
        <w:rPr>
          <w:rFonts w:ascii="Arial" w:hAnsi="Arial" w:cs="Arial"/>
        </w:rPr>
        <w:t>, 23(4), pp. 186-192.</w:t>
      </w:r>
    </w:p>
    <w:p w14:paraId="3FB94E14" w14:textId="77777777" w:rsidR="0002358E" w:rsidRPr="00211828" w:rsidRDefault="0002358E" w:rsidP="0002358E">
      <w:pPr>
        <w:spacing w:line="360" w:lineRule="auto"/>
        <w:rPr>
          <w:rFonts w:ascii="Arial" w:hAnsi="Arial" w:cs="Arial"/>
        </w:rPr>
      </w:pPr>
      <w:r w:rsidRPr="00211828">
        <w:rPr>
          <w:rFonts w:ascii="Arial" w:hAnsi="Arial" w:cs="Arial"/>
        </w:rPr>
        <w:t xml:space="preserve">Kitwood, T. (1997) </w:t>
      </w:r>
      <w:r w:rsidRPr="00211828">
        <w:rPr>
          <w:rFonts w:ascii="Arial" w:hAnsi="Arial" w:cs="Arial"/>
          <w:i/>
          <w:iCs/>
        </w:rPr>
        <w:t>Dementia Reconsidered: The Person Comes First</w:t>
      </w:r>
      <w:r w:rsidRPr="00211828">
        <w:rPr>
          <w:rFonts w:ascii="Arial" w:hAnsi="Arial" w:cs="Arial"/>
        </w:rPr>
        <w:t>. Buckingham: Open University Press.</w:t>
      </w:r>
    </w:p>
    <w:p w14:paraId="42F53061" w14:textId="77777777" w:rsidR="0002358E" w:rsidRPr="00211828" w:rsidRDefault="0002358E" w:rsidP="0002358E">
      <w:pPr>
        <w:spacing w:line="360" w:lineRule="auto"/>
        <w:rPr>
          <w:rFonts w:ascii="Arial" w:hAnsi="Arial" w:cs="Arial"/>
        </w:rPr>
      </w:pPr>
      <w:r w:rsidRPr="00211828">
        <w:rPr>
          <w:rFonts w:ascii="Arial" w:hAnsi="Arial" w:cs="Arial"/>
        </w:rPr>
        <w:t xml:space="preserve">Koerner, J., Johnston, N., Samara, J., Liu, W.M., Chapman, M. and Forbat, L. (2021) 'Context and mechanisms that enable implementation of specialist palliative care needs rounds in care homes: results from a qualitative interview study', </w:t>
      </w:r>
      <w:r w:rsidRPr="00211828">
        <w:rPr>
          <w:rFonts w:ascii="Arial" w:hAnsi="Arial" w:cs="Arial"/>
          <w:i/>
          <w:iCs/>
        </w:rPr>
        <w:t>BMC Palliative Care</w:t>
      </w:r>
      <w:r w:rsidRPr="00211828">
        <w:rPr>
          <w:rFonts w:ascii="Arial" w:hAnsi="Arial" w:cs="Arial"/>
        </w:rPr>
        <w:t>, 20(1), p.118.</w:t>
      </w:r>
    </w:p>
    <w:p w14:paraId="534DCE48" w14:textId="77777777" w:rsidR="0002358E" w:rsidRPr="00211828" w:rsidRDefault="0002358E" w:rsidP="0002358E">
      <w:pPr>
        <w:spacing w:line="360" w:lineRule="auto"/>
        <w:rPr>
          <w:rFonts w:ascii="Arial" w:hAnsi="Arial" w:cs="Arial"/>
        </w:rPr>
      </w:pPr>
      <w:r w:rsidRPr="00211828">
        <w:rPr>
          <w:rFonts w:ascii="Arial" w:hAnsi="Arial" w:cs="Arial"/>
        </w:rPr>
        <w:t xml:space="preserve">Leniz, J., Henson, L.A., Potter, J. et al. (2022) 'Association of primary and community care services with emergency visits and hospital admissions at the end of life in people with cancer: a retrospective cohort study', </w:t>
      </w:r>
      <w:r w:rsidRPr="00211828">
        <w:rPr>
          <w:rFonts w:ascii="Arial" w:hAnsi="Arial" w:cs="Arial"/>
          <w:i/>
          <w:iCs/>
        </w:rPr>
        <w:t>BMJ Open</w:t>
      </w:r>
      <w:r w:rsidRPr="00211828">
        <w:rPr>
          <w:rFonts w:ascii="Arial" w:hAnsi="Arial" w:cs="Arial"/>
        </w:rPr>
        <w:t>, 12(3), p.e054281.</w:t>
      </w:r>
    </w:p>
    <w:p w14:paraId="6AEF8036" w14:textId="77777777" w:rsidR="0002358E" w:rsidRPr="00211828" w:rsidRDefault="0002358E" w:rsidP="0002358E">
      <w:pPr>
        <w:spacing w:line="360" w:lineRule="auto"/>
        <w:rPr>
          <w:rFonts w:ascii="Arial" w:hAnsi="Arial" w:cs="Arial"/>
        </w:rPr>
      </w:pPr>
      <w:r w:rsidRPr="00211828">
        <w:rPr>
          <w:rFonts w:ascii="Arial" w:hAnsi="Arial" w:cs="Arial"/>
        </w:rPr>
        <w:t xml:space="preserve">Leniz, J., Higginson, I.J., Yi, D. et al. (2021) 'Identification of palliative care needs among people with dementia and its association with acute hospital care and community service use at the end-of-life', </w:t>
      </w:r>
      <w:r w:rsidRPr="00211828">
        <w:rPr>
          <w:rFonts w:ascii="Arial" w:hAnsi="Arial" w:cs="Arial"/>
          <w:i/>
          <w:iCs/>
        </w:rPr>
        <w:t>Palliative Medicine</w:t>
      </w:r>
      <w:r w:rsidRPr="00211828">
        <w:rPr>
          <w:rFonts w:ascii="Arial" w:hAnsi="Arial" w:cs="Arial"/>
        </w:rPr>
        <w:t>, 35(9), pp. 1691-1700.</w:t>
      </w:r>
    </w:p>
    <w:p w14:paraId="01169294" w14:textId="77777777" w:rsidR="0002358E" w:rsidRPr="00211828" w:rsidRDefault="0002358E" w:rsidP="0002358E">
      <w:pPr>
        <w:spacing w:line="360" w:lineRule="auto"/>
        <w:rPr>
          <w:rFonts w:ascii="Arial" w:hAnsi="Arial" w:cs="Arial"/>
        </w:rPr>
      </w:pPr>
      <w:r w:rsidRPr="00211828">
        <w:rPr>
          <w:rFonts w:ascii="Arial" w:hAnsi="Arial" w:cs="Arial"/>
        </w:rPr>
        <w:t xml:space="preserve">Livingston, G., Huntley, J., Sommerlad, A., et al. (2020) 'The impact of COVID-19 on mortality in care homes and community settings', </w:t>
      </w:r>
      <w:r w:rsidRPr="00211828">
        <w:rPr>
          <w:rFonts w:ascii="Arial" w:hAnsi="Arial" w:cs="Arial"/>
          <w:i/>
          <w:iCs/>
        </w:rPr>
        <w:t>The Lancet Public Health</w:t>
      </w:r>
      <w:r w:rsidRPr="00211828">
        <w:rPr>
          <w:rFonts w:ascii="Arial" w:hAnsi="Arial" w:cs="Arial"/>
        </w:rPr>
        <w:t>, 5(8), pp. e416-e422.</w:t>
      </w:r>
    </w:p>
    <w:p w14:paraId="5A01EE16" w14:textId="77777777" w:rsidR="0002358E" w:rsidRPr="00211828" w:rsidRDefault="0002358E" w:rsidP="0002358E">
      <w:pPr>
        <w:spacing w:line="360" w:lineRule="auto"/>
        <w:rPr>
          <w:rFonts w:ascii="Arial" w:hAnsi="Arial" w:cs="Arial"/>
        </w:rPr>
      </w:pPr>
      <w:r w:rsidRPr="00211828">
        <w:rPr>
          <w:rFonts w:ascii="Arial" w:hAnsi="Arial" w:cs="Arial"/>
        </w:rPr>
        <w:t xml:space="preserve">Marie Curie (2024) </w:t>
      </w:r>
      <w:r w:rsidRPr="00211828">
        <w:rPr>
          <w:rFonts w:ascii="Arial" w:hAnsi="Arial" w:cs="Arial"/>
          <w:i/>
          <w:iCs/>
        </w:rPr>
        <w:t>Time to Care: Better End of Life Report 2024 - Briefing for Parliamentarians</w:t>
      </w:r>
      <w:r w:rsidRPr="00211828">
        <w:rPr>
          <w:rFonts w:ascii="Arial" w:hAnsi="Arial" w:cs="Arial"/>
        </w:rPr>
        <w:t>. London: Marie Curie.</w:t>
      </w:r>
    </w:p>
    <w:p w14:paraId="1717B649" w14:textId="77777777" w:rsidR="0002358E" w:rsidRPr="00211828" w:rsidRDefault="0002358E" w:rsidP="0002358E">
      <w:pPr>
        <w:spacing w:line="360" w:lineRule="auto"/>
        <w:rPr>
          <w:rFonts w:ascii="Arial" w:hAnsi="Arial" w:cs="Arial"/>
        </w:rPr>
      </w:pPr>
      <w:r w:rsidRPr="00211828">
        <w:rPr>
          <w:rFonts w:ascii="Arial" w:hAnsi="Arial" w:cs="Arial"/>
        </w:rPr>
        <w:t xml:space="preserve">Marmot, M., Allen, J., Goldblatt, P., Herd, E. and Morrison, J. (2020) </w:t>
      </w:r>
      <w:r w:rsidRPr="00211828">
        <w:rPr>
          <w:rFonts w:ascii="Arial" w:hAnsi="Arial" w:cs="Arial"/>
          <w:i/>
          <w:iCs/>
        </w:rPr>
        <w:t>Build back fairer: the COVID-19 Marmot review</w:t>
      </w:r>
      <w:r w:rsidRPr="00211828">
        <w:rPr>
          <w:rFonts w:ascii="Arial" w:hAnsi="Arial" w:cs="Arial"/>
        </w:rPr>
        <w:t>. London: The Health Foundation.</w:t>
      </w:r>
    </w:p>
    <w:p w14:paraId="03B8C9DE" w14:textId="77777777" w:rsidR="0002358E" w:rsidRPr="00211828" w:rsidRDefault="0002358E" w:rsidP="0002358E">
      <w:pPr>
        <w:spacing w:line="360" w:lineRule="auto"/>
        <w:rPr>
          <w:rFonts w:ascii="Arial" w:hAnsi="Arial" w:cs="Arial"/>
        </w:rPr>
      </w:pPr>
      <w:r w:rsidRPr="00211828">
        <w:rPr>
          <w:rFonts w:ascii="Arial" w:hAnsi="Arial" w:cs="Arial"/>
        </w:rPr>
        <w:lastRenderedPageBreak/>
        <w:t xml:space="preserve">Mason, B., Kerssens, J.J., Stoddart, A. et al. (2020) 'Unscheduled and out-of-hours care for people in their last year of life: a retrospective cohort analysis of national datasets', </w:t>
      </w:r>
      <w:r w:rsidRPr="00211828">
        <w:rPr>
          <w:rFonts w:ascii="Arial" w:hAnsi="Arial" w:cs="Arial"/>
          <w:i/>
          <w:iCs/>
        </w:rPr>
        <w:t>BMJ Open</w:t>
      </w:r>
      <w:r w:rsidRPr="00211828">
        <w:rPr>
          <w:rFonts w:ascii="Arial" w:hAnsi="Arial" w:cs="Arial"/>
        </w:rPr>
        <w:t>, 10(8), p.e041888.</w:t>
      </w:r>
    </w:p>
    <w:p w14:paraId="6324F7BA" w14:textId="77777777" w:rsidR="0002358E" w:rsidRPr="00211828" w:rsidRDefault="0002358E" w:rsidP="0002358E">
      <w:pPr>
        <w:spacing w:line="360" w:lineRule="auto"/>
        <w:rPr>
          <w:rFonts w:ascii="Arial" w:hAnsi="Arial" w:cs="Arial"/>
        </w:rPr>
      </w:pPr>
      <w:r w:rsidRPr="00211828">
        <w:rPr>
          <w:rFonts w:ascii="Arial" w:hAnsi="Arial" w:cs="Arial"/>
        </w:rPr>
        <w:t xml:space="preserve">Mental Capacity Act 2005, c.9. Available at: </w:t>
      </w:r>
      <w:hyperlink r:id="rId14" w:tgtFrame="_blank" w:history="1">
        <w:r w:rsidRPr="00211828">
          <w:rPr>
            <w:rStyle w:val="Hyperlink"/>
            <w:rFonts w:ascii="Arial" w:hAnsi="Arial" w:cs="Arial"/>
          </w:rPr>
          <w:t>https://www.legislation.gov.uk/ukpga/2005/9/contents</w:t>
        </w:r>
      </w:hyperlink>
      <w:r w:rsidRPr="00211828">
        <w:rPr>
          <w:rFonts w:ascii="Arial" w:hAnsi="Arial" w:cs="Arial"/>
        </w:rPr>
        <w:t xml:space="preserve"> (Accessed: 19 September 2026).</w:t>
      </w:r>
    </w:p>
    <w:p w14:paraId="1C408F9C" w14:textId="77777777" w:rsidR="0002358E" w:rsidRPr="00211828" w:rsidRDefault="0002358E" w:rsidP="0002358E">
      <w:pPr>
        <w:spacing w:line="360" w:lineRule="auto"/>
        <w:rPr>
          <w:rFonts w:ascii="Arial" w:hAnsi="Arial" w:cs="Arial"/>
        </w:rPr>
      </w:pPr>
      <w:r w:rsidRPr="00211828">
        <w:rPr>
          <w:rFonts w:ascii="Arial" w:hAnsi="Arial" w:cs="Arial"/>
        </w:rPr>
        <w:t xml:space="preserve">Meriam Library (2010) </w:t>
      </w:r>
      <w:r w:rsidRPr="00211828">
        <w:rPr>
          <w:rFonts w:ascii="Arial" w:hAnsi="Arial" w:cs="Arial"/>
          <w:i/>
          <w:iCs/>
        </w:rPr>
        <w:t>Evaluating Information - Applying the CRAAP Test</w:t>
      </w:r>
      <w:r w:rsidRPr="00211828">
        <w:rPr>
          <w:rFonts w:ascii="Arial" w:hAnsi="Arial" w:cs="Arial"/>
        </w:rPr>
        <w:t xml:space="preserve">. California State University, Chico. Available at: </w:t>
      </w:r>
      <w:hyperlink r:id="rId15" w:tgtFrame="_blank" w:history="1">
        <w:r w:rsidRPr="00211828">
          <w:rPr>
            <w:rStyle w:val="Hyperlink"/>
            <w:rFonts w:ascii="Arial" w:hAnsi="Arial" w:cs="Arial"/>
          </w:rPr>
          <w:t>https://library.csuchico.edu/help/source-or-not</w:t>
        </w:r>
      </w:hyperlink>
      <w:r w:rsidRPr="00211828">
        <w:rPr>
          <w:rFonts w:ascii="Arial" w:hAnsi="Arial" w:cs="Arial"/>
        </w:rPr>
        <w:t xml:space="preserve"> (Accessed: 4 August 2026).</w:t>
      </w:r>
    </w:p>
    <w:p w14:paraId="73D222DE" w14:textId="77777777" w:rsidR="0002358E" w:rsidRPr="00211828" w:rsidRDefault="0002358E" w:rsidP="0002358E">
      <w:pPr>
        <w:spacing w:line="360" w:lineRule="auto"/>
        <w:rPr>
          <w:rFonts w:ascii="Arial" w:hAnsi="Arial" w:cs="Arial"/>
        </w:rPr>
      </w:pPr>
      <w:r w:rsidRPr="00211828">
        <w:rPr>
          <w:rFonts w:ascii="Arial" w:hAnsi="Arial" w:cs="Arial"/>
        </w:rPr>
        <w:t xml:space="preserve">Mitchell, S., Loew, J., Millington-Sanders, C. et al. (2016) 'Providing end-of-life care in general practice: findings of a national GP questionnaire survey', </w:t>
      </w:r>
      <w:r w:rsidRPr="00211828">
        <w:rPr>
          <w:rFonts w:ascii="Arial" w:hAnsi="Arial" w:cs="Arial"/>
          <w:i/>
          <w:iCs/>
        </w:rPr>
        <w:t>British Journal of General Practice</w:t>
      </w:r>
      <w:r w:rsidRPr="00211828">
        <w:rPr>
          <w:rFonts w:ascii="Arial" w:hAnsi="Arial" w:cs="Arial"/>
        </w:rPr>
        <w:t>, 66(650), pp. e647-e653.</w:t>
      </w:r>
    </w:p>
    <w:p w14:paraId="5F909EA0" w14:textId="77777777" w:rsidR="0002358E" w:rsidRPr="00211828" w:rsidRDefault="0002358E" w:rsidP="0002358E">
      <w:pPr>
        <w:spacing w:line="360" w:lineRule="auto"/>
        <w:rPr>
          <w:rFonts w:ascii="Arial" w:hAnsi="Arial" w:cs="Arial"/>
        </w:rPr>
      </w:pPr>
      <w:r w:rsidRPr="00211828">
        <w:rPr>
          <w:rFonts w:ascii="Arial" w:hAnsi="Arial" w:cs="Arial"/>
        </w:rPr>
        <w:t xml:space="preserve">National Institute for Health and Care Excellence (NICE) (2015) </w:t>
      </w:r>
      <w:r w:rsidRPr="00211828">
        <w:rPr>
          <w:rFonts w:ascii="Arial" w:hAnsi="Arial" w:cs="Arial"/>
          <w:i/>
          <w:iCs/>
        </w:rPr>
        <w:t>Care of dying adults in the last days of life</w:t>
      </w:r>
      <w:r w:rsidRPr="00211828">
        <w:rPr>
          <w:rFonts w:ascii="Arial" w:hAnsi="Arial" w:cs="Arial"/>
        </w:rPr>
        <w:t xml:space="preserve">. NICE Guideline NG31. Available at: </w:t>
      </w:r>
      <w:hyperlink r:id="rId16" w:tgtFrame="_blank" w:history="1">
        <w:r w:rsidRPr="00211828">
          <w:rPr>
            <w:rStyle w:val="Hyperlink"/>
            <w:rFonts w:ascii="Arial" w:hAnsi="Arial" w:cs="Arial"/>
          </w:rPr>
          <w:t>https://www.nice.org.uk/guidance/ng31</w:t>
        </w:r>
      </w:hyperlink>
      <w:r w:rsidRPr="00211828">
        <w:rPr>
          <w:rFonts w:ascii="Arial" w:hAnsi="Arial" w:cs="Arial"/>
        </w:rPr>
        <w:t xml:space="preserve"> (Accessed: 1 June 2026).</w:t>
      </w:r>
    </w:p>
    <w:p w14:paraId="4A224341" w14:textId="77777777" w:rsidR="0002358E" w:rsidRPr="00211828" w:rsidRDefault="0002358E" w:rsidP="0002358E">
      <w:pPr>
        <w:spacing w:line="360" w:lineRule="auto"/>
        <w:rPr>
          <w:rFonts w:ascii="Arial" w:hAnsi="Arial" w:cs="Arial"/>
        </w:rPr>
      </w:pPr>
      <w:r w:rsidRPr="00211828">
        <w:rPr>
          <w:rFonts w:ascii="Arial" w:hAnsi="Arial" w:cs="Arial"/>
        </w:rPr>
        <w:t xml:space="preserve">National Institute for Health and Care Excellence (NICE) (2021) </w:t>
      </w:r>
      <w:r w:rsidRPr="00211828">
        <w:rPr>
          <w:rFonts w:ascii="Arial" w:hAnsi="Arial" w:cs="Arial"/>
          <w:i/>
          <w:iCs/>
        </w:rPr>
        <w:t>End of life care for adults</w:t>
      </w:r>
      <w:r w:rsidRPr="00211828">
        <w:rPr>
          <w:rFonts w:ascii="Arial" w:hAnsi="Arial" w:cs="Arial"/>
        </w:rPr>
        <w:t xml:space="preserve">. Quality Standard QS13. Available at: </w:t>
      </w:r>
      <w:hyperlink r:id="rId17" w:tgtFrame="_blank" w:history="1">
        <w:r w:rsidRPr="00211828">
          <w:rPr>
            <w:rStyle w:val="Hyperlink"/>
            <w:rFonts w:ascii="Arial" w:hAnsi="Arial" w:cs="Arial"/>
          </w:rPr>
          <w:t>https://www.nice.org.uk/guidance/qs13</w:t>
        </w:r>
      </w:hyperlink>
      <w:r w:rsidRPr="00211828">
        <w:rPr>
          <w:rFonts w:ascii="Arial" w:hAnsi="Arial" w:cs="Arial"/>
        </w:rPr>
        <w:t xml:space="preserve"> (Accessed: 19 September 2026).</w:t>
      </w:r>
    </w:p>
    <w:p w14:paraId="1F7AFA5E" w14:textId="77777777" w:rsidR="0002358E" w:rsidRPr="00211828" w:rsidRDefault="0002358E" w:rsidP="0002358E">
      <w:pPr>
        <w:spacing w:line="360" w:lineRule="auto"/>
        <w:rPr>
          <w:rFonts w:ascii="Arial" w:hAnsi="Arial" w:cs="Arial"/>
        </w:rPr>
      </w:pPr>
      <w:r w:rsidRPr="00211828">
        <w:rPr>
          <w:rFonts w:ascii="Arial" w:hAnsi="Arial" w:cs="Arial"/>
        </w:rPr>
        <w:t xml:space="preserve">NHS England (2025) </w:t>
      </w:r>
      <w:r w:rsidRPr="00211828">
        <w:rPr>
          <w:rFonts w:ascii="Arial" w:hAnsi="Arial" w:cs="Arial"/>
          <w:i/>
          <w:iCs/>
        </w:rPr>
        <w:t>GP contract 2025</w:t>
      </w:r>
      <w:r w:rsidRPr="00211828">
        <w:rPr>
          <w:rFonts w:ascii="Arial" w:hAnsi="Arial" w:cs="Arial"/>
        </w:rPr>
        <w:t xml:space="preserve">. Available at: </w:t>
      </w:r>
      <w:hyperlink r:id="rId18" w:tgtFrame="_blank" w:history="1">
        <w:r w:rsidRPr="00211828">
          <w:rPr>
            <w:rStyle w:val="Hyperlink"/>
            <w:rFonts w:ascii="Arial" w:hAnsi="Arial" w:cs="Arial"/>
          </w:rPr>
          <w:t>https://www.england.nhs.uk/gp/investment/gp-contract-2025/</w:t>
        </w:r>
      </w:hyperlink>
      <w:r w:rsidRPr="00211828">
        <w:rPr>
          <w:rFonts w:ascii="Arial" w:hAnsi="Arial" w:cs="Arial"/>
        </w:rPr>
        <w:t xml:space="preserve"> (Accessed: 21 July 2026).</w:t>
      </w:r>
    </w:p>
    <w:p w14:paraId="4BE3B540" w14:textId="77777777" w:rsidR="0002358E" w:rsidRPr="00211828" w:rsidRDefault="0002358E" w:rsidP="0002358E">
      <w:pPr>
        <w:spacing w:line="360" w:lineRule="auto"/>
        <w:rPr>
          <w:rFonts w:ascii="Arial" w:hAnsi="Arial" w:cs="Arial"/>
        </w:rPr>
      </w:pPr>
      <w:r w:rsidRPr="00211828">
        <w:rPr>
          <w:rFonts w:ascii="Arial" w:hAnsi="Arial" w:cs="Arial"/>
        </w:rPr>
        <w:t xml:space="preserve">Nuffield Trust (2024) </w:t>
      </w:r>
      <w:r w:rsidRPr="00211828">
        <w:rPr>
          <w:rFonts w:ascii="Arial" w:hAnsi="Arial" w:cs="Arial"/>
          <w:i/>
          <w:iCs/>
        </w:rPr>
        <w:t>End of life care</w:t>
      </w:r>
      <w:r w:rsidRPr="00211828">
        <w:rPr>
          <w:rFonts w:ascii="Arial" w:hAnsi="Arial" w:cs="Arial"/>
        </w:rPr>
        <w:t xml:space="preserve">. Available at: </w:t>
      </w:r>
      <w:hyperlink r:id="rId19" w:tgtFrame="_blank" w:history="1">
        <w:r w:rsidRPr="00211828">
          <w:rPr>
            <w:rStyle w:val="Hyperlink"/>
            <w:rFonts w:ascii="Arial" w:hAnsi="Arial" w:cs="Arial"/>
          </w:rPr>
          <w:t>https://www.nuffieldtrust.org.uk/resource/end-of-life-care</w:t>
        </w:r>
      </w:hyperlink>
      <w:r w:rsidRPr="00211828">
        <w:rPr>
          <w:rFonts w:ascii="Arial" w:hAnsi="Arial" w:cs="Arial"/>
        </w:rPr>
        <w:t xml:space="preserve"> (Accessed: 19 September 2026).</w:t>
      </w:r>
    </w:p>
    <w:p w14:paraId="79AD2E90" w14:textId="77777777" w:rsidR="0002358E" w:rsidRPr="00211828" w:rsidRDefault="0002358E" w:rsidP="0002358E">
      <w:pPr>
        <w:spacing w:line="360" w:lineRule="auto"/>
        <w:rPr>
          <w:rFonts w:ascii="Arial" w:hAnsi="Arial" w:cs="Arial"/>
        </w:rPr>
      </w:pPr>
      <w:r w:rsidRPr="00211828">
        <w:rPr>
          <w:rFonts w:ascii="Arial" w:hAnsi="Arial" w:cs="Arial"/>
        </w:rPr>
        <w:t xml:space="preserve">O'Brien, M., Kirton, J., Knighting, K., Roe, B. and Barbra, J. (2016) 'Improving end of life care in care homes; an evaluation of the six steps to success programme', </w:t>
      </w:r>
      <w:r w:rsidRPr="00211828">
        <w:rPr>
          <w:rFonts w:ascii="Arial" w:hAnsi="Arial" w:cs="Arial"/>
          <w:i/>
          <w:iCs/>
        </w:rPr>
        <w:t>BMC Palliative Care</w:t>
      </w:r>
      <w:r w:rsidRPr="00211828">
        <w:rPr>
          <w:rFonts w:ascii="Arial" w:hAnsi="Arial" w:cs="Arial"/>
        </w:rPr>
        <w:t>, 15(53).</w:t>
      </w:r>
    </w:p>
    <w:p w14:paraId="03E0541C" w14:textId="77777777" w:rsidR="0002358E" w:rsidRPr="00211828" w:rsidRDefault="0002358E" w:rsidP="0002358E">
      <w:pPr>
        <w:spacing w:line="360" w:lineRule="auto"/>
        <w:rPr>
          <w:rFonts w:ascii="Arial" w:hAnsi="Arial" w:cs="Arial"/>
        </w:rPr>
      </w:pPr>
      <w:r w:rsidRPr="00211828">
        <w:rPr>
          <w:rFonts w:ascii="Arial" w:hAnsi="Arial" w:cs="Arial"/>
        </w:rPr>
        <w:t xml:space="preserve">Office for National Statistics (ONS) (2023) </w:t>
      </w:r>
      <w:r w:rsidRPr="00211828">
        <w:rPr>
          <w:rFonts w:ascii="Arial" w:hAnsi="Arial" w:cs="Arial"/>
          <w:i/>
          <w:iCs/>
        </w:rPr>
        <w:t>Living longer: Implications of an ageing population in the UK</w:t>
      </w:r>
      <w:r w:rsidRPr="00211828">
        <w:rPr>
          <w:rFonts w:ascii="Arial" w:hAnsi="Arial" w:cs="Arial"/>
        </w:rPr>
        <w:t>. Newport: Office for National Statistics.</w:t>
      </w:r>
    </w:p>
    <w:p w14:paraId="50076B25" w14:textId="77777777" w:rsidR="0002358E" w:rsidRPr="00211828" w:rsidRDefault="0002358E" w:rsidP="0002358E">
      <w:pPr>
        <w:spacing w:line="360" w:lineRule="auto"/>
        <w:rPr>
          <w:rFonts w:ascii="Arial" w:hAnsi="Arial" w:cs="Arial"/>
        </w:rPr>
      </w:pPr>
      <w:r w:rsidRPr="00211828">
        <w:rPr>
          <w:rFonts w:ascii="Arial" w:hAnsi="Arial" w:cs="Arial"/>
        </w:rPr>
        <w:t xml:space="preserve">Office of Health Improvement and Disparities (no date) </w:t>
      </w:r>
      <w:r w:rsidRPr="00211828">
        <w:rPr>
          <w:rFonts w:ascii="Arial" w:hAnsi="Arial" w:cs="Arial"/>
          <w:i/>
          <w:iCs/>
        </w:rPr>
        <w:t>Palliative and end of life care profiles: place of death, England</w:t>
      </w:r>
      <w:r w:rsidRPr="00211828">
        <w:rPr>
          <w:rFonts w:ascii="Arial" w:hAnsi="Arial" w:cs="Arial"/>
        </w:rPr>
        <w:t xml:space="preserve">. Available at: </w:t>
      </w:r>
      <w:hyperlink r:id="rId20" w:tgtFrame="_blank" w:history="1">
        <w:r w:rsidRPr="00211828">
          <w:rPr>
            <w:rStyle w:val="Hyperlink"/>
            <w:rFonts w:ascii="Arial" w:hAnsi="Arial" w:cs="Arial"/>
          </w:rPr>
          <w:t>https://fingertips.phe.org.uk/profile/end-of-life/data</w:t>
        </w:r>
      </w:hyperlink>
      <w:r w:rsidRPr="00211828">
        <w:rPr>
          <w:rFonts w:ascii="Arial" w:hAnsi="Arial" w:cs="Arial"/>
        </w:rPr>
        <w:t xml:space="preserve"> (Accessed: 21 July 2026).</w:t>
      </w:r>
    </w:p>
    <w:p w14:paraId="47A65464" w14:textId="77777777" w:rsidR="0002358E" w:rsidRPr="00211828" w:rsidRDefault="0002358E" w:rsidP="0002358E">
      <w:pPr>
        <w:spacing w:line="360" w:lineRule="auto"/>
        <w:rPr>
          <w:rFonts w:ascii="Arial" w:hAnsi="Arial" w:cs="Arial"/>
        </w:rPr>
      </w:pPr>
      <w:r w:rsidRPr="00211828">
        <w:rPr>
          <w:rFonts w:ascii="Arial" w:hAnsi="Arial" w:cs="Arial"/>
        </w:rPr>
        <w:t xml:space="preserve">Oosterveld-Vlug, M.G., Onwuteaka-Philipsen, B.D., Ten Koppel, M., van Hout, H.P.J. and Koopmans, R.T.C.M. (2019) 'Evaluating the implementation of the PACE Steps to Success </w:t>
      </w:r>
      <w:r w:rsidRPr="00211828">
        <w:rPr>
          <w:rFonts w:ascii="Arial" w:hAnsi="Arial" w:cs="Arial"/>
        </w:rPr>
        <w:lastRenderedPageBreak/>
        <w:t xml:space="preserve">Programme in long-term care facilities in seven countries according to the RE-AIM framework', </w:t>
      </w:r>
      <w:r w:rsidRPr="00211828">
        <w:rPr>
          <w:rFonts w:ascii="Arial" w:hAnsi="Arial" w:cs="Arial"/>
          <w:i/>
          <w:iCs/>
        </w:rPr>
        <w:t>Implementation Science</w:t>
      </w:r>
      <w:r w:rsidRPr="00211828">
        <w:rPr>
          <w:rFonts w:ascii="Arial" w:hAnsi="Arial" w:cs="Arial"/>
        </w:rPr>
        <w:t>, 14(1), p. 88.</w:t>
      </w:r>
    </w:p>
    <w:p w14:paraId="53005406" w14:textId="77777777" w:rsidR="0002358E" w:rsidRPr="00211828" w:rsidRDefault="0002358E" w:rsidP="0002358E">
      <w:pPr>
        <w:spacing w:line="360" w:lineRule="auto"/>
        <w:rPr>
          <w:rFonts w:ascii="Arial" w:hAnsi="Arial" w:cs="Arial"/>
        </w:rPr>
      </w:pPr>
      <w:r w:rsidRPr="00211828">
        <w:rPr>
          <w:rFonts w:ascii="Arial" w:hAnsi="Arial" w:cs="Arial"/>
        </w:rPr>
        <w:t xml:space="preserve">Pardi, J., Nuzum, E., Judickaite, U., Stott, J., Charlesworth, G. and Desai, R. (2026) 'South Asian Experiences of Palliative and End-of-Life Care Provision in the UK: A Systematic Literature Review and Thematic Synthesis', </w:t>
      </w:r>
      <w:r w:rsidRPr="00211828">
        <w:rPr>
          <w:rFonts w:ascii="Arial" w:hAnsi="Arial" w:cs="Arial"/>
          <w:i/>
          <w:iCs/>
        </w:rPr>
        <w:t>Journal of Palliative Care</w:t>
      </w:r>
      <w:r w:rsidRPr="00211828">
        <w:rPr>
          <w:rFonts w:ascii="Arial" w:hAnsi="Arial" w:cs="Arial"/>
        </w:rPr>
        <w:t>, 41(1), pp. 105-120.</w:t>
      </w:r>
    </w:p>
    <w:p w14:paraId="4EA43FE6" w14:textId="77777777" w:rsidR="0002358E" w:rsidRPr="00211828" w:rsidRDefault="0002358E" w:rsidP="0002358E">
      <w:pPr>
        <w:spacing w:line="360" w:lineRule="auto"/>
        <w:rPr>
          <w:rFonts w:ascii="Arial" w:hAnsi="Arial" w:cs="Arial"/>
        </w:rPr>
      </w:pPr>
      <w:r w:rsidRPr="00211828">
        <w:rPr>
          <w:rFonts w:ascii="Arial" w:hAnsi="Arial" w:cs="Arial"/>
        </w:rPr>
        <w:t xml:space="preserve">Polak, L., Hopkins, S., Barclay, S. et al. (2020) 'The difference an end-of-life diagnosis makes: qualitative interviews with providers of community health care for frail older people', </w:t>
      </w:r>
      <w:r w:rsidRPr="00211828">
        <w:rPr>
          <w:rFonts w:ascii="Arial" w:hAnsi="Arial" w:cs="Arial"/>
          <w:i/>
          <w:iCs/>
        </w:rPr>
        <w:t>British Journal of General Practice</w:t>
      </w:r>
      <w:r w:rsidRPr="00211828">
        <w:rPr>
          <w:rFonts w:ascii="Arial" w:hAnsi="Arial" w:cs="Arial"/>
        </w:rPr>
        <w:t>, 70(700), pp. e757-e764.</w:t>
      </w:r>
    </w:p>
    <w:p w14:paraId="0E342C9B" w14:textId="77777777" w:rsidR="0002358E" w:rsidRPr="00211828" w:rsidRDefault="0002358E" w:rsidP="0002358E">
      <w:pPr>
        <w:spacing w:line="360" w:lineRule="auto"/>
        <w:rPr>
          <w:rFonts w:ascii="Arial" w:hAnsi="Arial" w:cs="Arial"/>
        </w:rPr>
      </w:pPr>
      <w:r w:rsidRPr="00211828">
        <w:rPr>
          <w:rFonts w:ascii="Arial" w:hAnsi="Arial" w:cs="Arial"/>
        </w:rPr>
        <w:t xml:space="preserve">Resnik, D.B. (2015) 'What is Ethics in Research &amp; Why is it Important?', </w:t>
      </w:r>
      <w:r w:rsidRPr="00211828">
        <w:rPr>
          <w:rFonts w:ascii="Arial" w:hAnsi="Arial" w:cs="Arial"/>
          <w:i/>
          <w:iCs/>
        </w:rPr>
        <w:t>National Institute of Environmental Health Sciences</w:t>
      </w:r>
      <w:r w:rsidRPr="00211828">
        <w:rPr>
          <w:rFonts w:ascii="Arial" w:hAnsi="Arial" w:cs="Arial"/>
        </w:rPr>
        <w:t xml:space="preserve">. Available at: </w:t>
      </w:r>
      <w:hyperlink r:id="rId21" w:tgtFrame="_blank" w:history="1">
        <w:r w:rsidRPr="00211828">
          <w:rPr>
            <w:rStyle w:val="Hyperlink"/>
            <w:rFonts w:ascii="Arial" w:hAnsi="Arial" w:cs="Arial"/>
          </w:rPr>
          <w:t>https://www.niehs.nih.gov/research/resources/bioethics/whatis</w:t>
        </w:r>
      </w:hyperlink>
      <w:r w:rsidRPr="00211828">
        <w:rPr>
          <w:rFonts w:ascii="Arial" w:hAnsi="Arial" w:cs="Arial"/>
        </w:rPr>
        <w:t xml:space="preserve"> (Accessed: 4 August 2026).</w:t>
      </w:r>
    </w:p>
    <w:p w14:paraId="029FE5D1" w14:textId="77777777" w:rsidR="0002358E" w:rsidRPr="00211828" w:rsidRDefault="0002358E" w:rsidP="0002358E">
      <w:pPr>
        <w:spacing w:line="360" w:lineRule="auto"/>
        <w:rPr>
          <w:rFonts w:ascii="Arial" w:hAnsi="Arial" w:cs="Arial"/>
        </w:rPr>
      </w:pPr>
      <w:r w:rsidRPr="00211828">
        <w:rPr>
          <w:rFonts w:ascii="Arial" w:hAnsi="Arial" w:cs="Arial"/>
        </w:rPr>
        <w:t xml:space="preserve">Saunders, C. (1988) 'The evolution of palliative care', </w:t>
      </w:r>
      <w:r w:rsidRPr="00211828">
        <w:rPr>
          <w:rFonts w:ascii="Arial" w:hAnsi="Arial" w:cs="Arial"/>
          <w:i/>
          <w:iCs/>
        </w:rPr>
        <w:t>Journal of the Royal Society of Medicine</w:t>
      </w:r>
      <w:r w:rsidRPr="00211828">
        <w:rPr>
          <w:rFonts w:ascii="Arial" w:hAnsi="Arial" w:cs="Arial"/>
        </w:rPr>
        <w:t>, 81(7), pp. 387-389.</w:t>
      </w:r>
    </w:p>
    <w:p w14:paraId="4B403C8C" w14:textId="77777777" w:rsidR="0002358E" w:rsidRPr="00211828" w:rsidRDefault="0002358E" w:rsidP="0002358E">
      <w:pPr>
        <w:spacing w:line="360" w:lineRule="auto"/>
        <w:rPr>
          <w:rFonts w:ascii="Arial" w:hAnsi="Arial" w:cs="Arial"/>
        </w:rPr>
      </w:pPr>
      <w:r w:rsidRPr="00211828">
        <w:rPr>
          <w:rFonts w:ascii="Arial" w:hAnsi="Arial" w:cs="Arial"/>
        </w:rPr>
        <w:t xml:space="preserve">Seymour, J.E., Kumar, A. and Froggatt, K. (2011) 'Do nursing homes for older people have the support they need to provide end-of-life care? A mixed methods enquiry in England', </w:t>
      </w:r>
      <w:r w:rsidRPr="00211828">
        <w:rPr>
          <w:rFonts w:ascii="Arial" w:hAnsi="Arial" w:cs="Arial"/>
          <w:i/>
          <w:iCs/>
        </w:rPr>
        <w:t>Palliative Medicine</w:t>
      </w:r>
      <w:r w:rsidRPr="00211828">
        <w:rPr>
          <w:rFonts w:ascii="Arial" w:hAnsi="Arial" w:cs="Arial"/>
        </w:rPr>
        <w:t xml:space="preserve">, 25(2), pp. 125-138. Available at: </w:t>
      </w:r>
      <w:hyperlink r:id="rId22" w:tgtFrame="_blank" w:history="1">
        <w:r w:rsidRPr="00211828">
          <w:rPr>
            <w:rStyle w:val="Hyperlink"/>
            <w:rFonts w:ascii="Arial" w:hAnsi="Arial" w:cs="Arial"/>
          </w:rPr>
          <w:t>https://doi.org/10.1177/0269216310387964</w:t>
        </w:r>
      </w:hyperlink>
      <w:r w:rsidRPr="00211828">
        <w:rPr>
          <w:rFonts w:ascii="Arial" w:hAnsi="Arial" w:cs="Arial"/>
        </w:rPr>
        <w:t>.</w:t>
      </w:r>
    </w:p>
    <w:p w14:paraId="7A5F947C" w14:textId="77777777" w:rsidR="0002358E" w:rsidRPr="00211828" w:rsidRDefault="0002358E" w:rsidP="0002358E">
      <w:pPr>
        <w:spacing w:line="360" w:lineRule="auto"/>
        <w:rPr>
          <w:rFonts w:ascii="Arial" w:hAnsi="Arial" w:cs="Arial"/>
        </w:rPr>
      </w:pPr>
      <w:r w:rsidRPr="00211828">
        <w:rPr>
          <w:rFonts w:ascii="Arial" w:hAnsi="Arial" w:cs="Arial"/>
        </w:rPr>
        <w:t xml:space="preserve">Skills for Care (2024) </w:t>
      </w:r>
      <w:r w:rsidRPr="00211828">
        <w:rPr>
          <w:rFonts w:ascii="Arial" w:hAnsi="Arial" w:cs="Arial"/>
          <w:i/>
          <w:iCs/>
        </w:rPr>
        <w:t>The state of the adult social care sector and workforce in England</w:t>
      </w:r>
      <w:r w:rsidRPr="00211828">
        <w:rPr>
          <w:rFonts w:ascii="Arial" w:hAnsi="Arial" w:cs="Arial"/>
        </w:rPr>
        <w:t>. Leeds: Skills for Care.</w:t>
      </w:r>
    </w:p>
    <w:p w14:paraId="3FD050C8" w14:textId="77777777" w:rsidR="0002358E" w:rsidRPr="00211828" w:rsidRDefault="0002358E" w:rsidP="0002358E">
      <w:pPr>
        <w:spacing w:line="360" w:lineRule="auto"/>
        <w:rPr>
          <w:rFonts w:ascii="Arial" w:hAnsi="Arial" w:cs="Arial"/>
        </w:rPr>
      </w:pPr>
      <w:r w:rsidRPr="00211828">
        <w:rPr>
          <w:rFonts w:ascii="Arial" w:hAnsi="Arial" w:cs="Arial"/>
        </w:rPr>
        <w:t xml:space="preserve">Sleeman, K.E., Perera, G., Stewart, R. et al. (2018) 'Predictors of emergency department attendance by people with dementia in their last year of life: Retrospective cohort study', </w:t>
      </w:r>
      <w:r w:rsidRPr="00211828">
        <w:rPr>
          <w:rFonts w:ascii="Arial" w:hAnsi="Arial" w:cs="Arial"/>
          <w:i/>
          <w:iCs/>
        </w:rPr>
        <w:t>Alzheimer's &amp; Dementia</w:t>
      </w:r>
      <w:r w:rsidRPr="00211828">
        <w:rPr>
          <w:rFonts w:ascii="Arial" w:hAnsi="Arial" w:cs="Arial"/>
        </w:rPr>
        <w:t>, 14(1), pp. 20-27.</w:t>
      </w:r>
    </w:p>
    <w:p w14:paraId="35B7ECB0" w14:textId="77777777" w:rsidR="0002358E" w:rsidRPr="00211828" w:rsidRDefault="0002358E" w:rsidP="0002358E">
      <w:pPr>
        <w:spacing w:line="360" w:lineRule="auto"/>
        <w:rPr>
          <w:rFonts w:ascii="Arial" w:hAnsi="Arial" w:cs="Arial"/>
        </w:rPr>
      </w:pPr>
      <w:r w:rsidRPr="00211828">
        <w:rPr>
          <w:rFonts w:ascii="Arial" w:hAnsi="Arial" w:cs="Arial"/>
        </w:rPr>
        <w:t xml:space="preserve">Spacey, A., Scammell, J., Board, M. and Porter, S. (2018) 'End-of-life care in UK care homes: a systematic review of the literature', </w:t>
      </w:r>
      <w:r w:rsidRPr="00211828">
        <w:rPr>
          <w:rFonts w:ascii="Arial" w:hAnsi="Arial" w:cs="Arial"/>
          <w:i/>
          <w:iCs/>
        </w:rPr>
        <w:t>Journal of Research in Nursing</w:t>
      </w:r>
      <w:r w:rsidRPr="00211828">
        <w:rPr>
          <w:rFonts w:ascii="Arial" w:hAnsi="Arial" w:cs="Arial"/>
        </w:rPr>
        <w:t>, 23(2-3), pp. 180-200.</w:t>
      </w:r>
    </w:p>
    <w:p w14:paraId="6BFFE238" w14:textId="07B1AAB6" w:rsidR="0002358E" w:rsidRPr="00211828" w:rsidRDefault="0002358E" w:rsidP="0002358E">
      <w:pPr>
        <w:spacing w:line="360" w:lineRule="auto"/>
        <w:rPr>
          <w:rFonts w:ascii="Arial" w:hAnsi="Arial" w:cs="Arial"/>
        </w:rPr>
      </w:pPr>
      <w:r w:rsidRPr="00211828">
        <w:rPr>
          <w:rFonts w:ascii="Arial" w:hAnsi="Arial" w:cs="Arial"/>
        </w:rPr>
        <w:t xml:space="preserve">Spacey, A., Porter, S., Board, M. and Scammell, J. (2021a) 'Impact of the COVID-19 pandemic on </w:t>
      </w:r>
      <w:r w:rsidR="000F4D25" w:rsidRPr="00211828">
        <w:rPr>
          <w:rFonts w:ascii="Arial" w:hAnsi="Arial" w:cs="Arial"/>
        </w:rPr>
        <w:t>end-of-life</w:t>
      </w:r>
      <w:r w:rsidRPr="00211828">
        <w:rPr>
          <w:rFonts w:ascii="Arial" w:hAnsi="Arial" w:cs="Arial"/>
        </w:rPr>
        <w:t xml:space="preserve"> care delivery in care homes: a mixed method systematic review', </w:t>
      </w:r>
      <w:r w:rsidRPr="00211828">
        <w:rPr>
          <w:rFonts w:ascii="Arial" w:hAnsi="Arial" w:cs="Arial"/>
          <w:i/>
          <w:iCs/>
        </w:rPr>
        <w:t>Palliative Medicine</w:t>
      </w:r>
      <w:r w:rsidRPr="00211828">
        <w:rPr>
          <w:rFonts w:ascii="Arial" w:hAnsi="Arial" w:cs="Arial"/>
        </w:rPr>
        <w:t>, 35(8), pp. 1468-1479.</w:t>
      </w:r>
    </w:p>
    <w:p w14:paraId="529666B8" w14:textId="77777777" w:rsidR="0002358E" w:rsidRPr="00211828" w:rsidRDefault="0002358E" w:rsidP="0002358E">
      <w:pPr>
        <w:spacing w:line="360" w:lineRule="auto"/>
        <w:rPr>
          <w:rFonts w:ascii="Arial" w:hAnsi="Arial" w:cs="Arial"/>
        </w:rPr>
      </w:pPr>
      <w:r w:rsidRPr="00211828">
        <w:rPr>
          <w:rFonts w:ascii="Arial" w:hAnsi="Arial" w:cs="Arial"/>
        </w:rPr>
        <w:t xml:space="preserve">Spacey, A., Scammell, J. and Board, M. (2021b) 'A critical realist evaluation of advance care planning in care homes', </w:t>
      </w:r>
      <w:r w:rsidRPr="00211828">
        <w:rPr>
          <w:rFonts w:ascii="Arial" w:hAnsi="Arial" w:cs="Arial"/>
          <w:i/>
          <w:iCs/>
        </w:rPr>
        <w:t>Journal of Advanced Nursing</w:t>
      </w:r>
      <w:r w:rsidRPr="00211828">
        <w:rPr>
          <w:rFonts w:ascii="Arial" w:hAnsi="Arial" w:cs="Arial"/>
        </w:rPr>
        <w:t>, 77(5), pp. 2391-2402.</w:t>
      </w:r>
    </w:p>
    <w:p w14:paraId="6EEF7BBB" w14:textId="77777777" w:rsidR="0002358E" w:rsidRPr="00211828" w:rsidRDefault="0002358E" w:rsidP="0002358E">
      <w:pPr>
        <w:spacing w:line="360" w:lineRule="auto"/>
        <w:rPr>
          <w:rFonts w:ascii="Arial" w:hAnsi="Arial" w:cs="Arial"/>
        </w:rPr>
      </w:pPr>
      <w:r w:rsidRPr="00211828">
        <w:rPr>
          <w:rFonts w:ascii="Arial" w:hAnsi="Arial" w:cs="Arial"/>
        </w:rPr>
        <w:lastRenderedPageBreak/>
        <w:t xml:space="preserve">Spacey, A. and Porter, S. (2023) 'Understanding advance care planning in care homes throughout the COVID-19 pandemic: a critical realist review and synthesis', </w:t>
      </w:r>
      <w:r w:rsidRPr="00211828">
        <w:rPr>
          <w:rFonts w:ascii="Arial" w:hAnsi="Arial" w:cs="Arial"/>
          <w:i/>
          <w:iCs/>
        </w:rPr>
        <w:t>Palliative Medicine</w:t>
      </w:r>
      <w:r w:rsidRPr="00211828">
        <w:rPr>
          <w:rFonts w:ascii="Arial" w:hAnsi="Arial" w:cs="Arial"/>
        </w:rPr>
        <w:t>, 37(7), pp. 856-868.</w:t>
      </w:r>
    </w:p>
    <w:p w14:paraId="746A9B6F" w14:textId="7112D9BC" w:rsidR="0002358E" w:rsidRPr="00211828" w:rsidRDefault="0002358E" w:rsidP="0002358E">
      <w:pPr>
        <w:spacing w:line="360" w:lineRule="auto"/>
        <w:rPr>
          <w:rFonts w:ascii="Arial" w:hAnsi="Arial" w:cs="Arial"/>
        </w:rPr>
      </w:pPr>
      <w:r w:rsidRPr="00211828">
        <w:rPr>
          <w:rFonts w:ascii="Arial" w:hAnsi="Arial" w:cs="Arial"/>
        </w:rPr>
        <w:t xml:space="preserve">Springett, A. (2017) 'Practice improvement as a result of an </w:t>
      </w:r>
      <w:r w:rsidR="000F4D25" w:rsidRPr="00211828">
        <w:rPr>
          <w:rFonts w:ascii="Arial" w:hAnsi="Arial" w:cs="Arial"/>
        </w:rPr>
        <w:t>end-of-life</w:t>
      </w:r>
      <w:r w:rsidRPr="00211828">
        <w:rPr>
          <w:rFonts w:ascii="Arial" w:hAnsi="Arial" w:cs="Arial"/>
        </w:rPr>
        <w:t xml:space="preserve"> care programme for care homes', </w:t>
      </w:r>
      <w:r w:rsidRPr="00211828">
        <w:rPr>
          <w:rFonts w:ascii="Arial" w:hAnsi="Arial" w:cs="Arial"/>
          <w:i/>
          <w:iCs/>
        </w:rPr>
        <w:t>Nursing Older People</w:t>
      </w:r>
      <w:r w:rsidRPr="00211828">
        <w:rPr>
          <w:rFonts w:ascii="Arial" w:hAnsi="Arial" w:cs="Arial"/>
        </w:rPr>
        <w:t>, 29(4), pp. 25-30.</w:t>
      </w:r>
    </w:p>
    <w:p w14:paraId="38D9DDBF" w14:textId="77777777" w:rsidR="0002358E" w:rsidRPr="00211828" w:rsidRDefault="0002358E" w:rsidP="0002358E">
      <w:pPr>
        <w:spacing w:line="360" w:lineRule="auto"/>
        <w:rPr>
          <w:rFonts w:ascii="Arial" w:hAnsi="Arial" w:cs="Arial"/>
        </w:rPr>
      </w:pPr>
      <w:r w:rsidRPr="00211828">
        <w:rPr>
          <w:rFonts w:ascii="Arial" w:hAnsi="Arial" w:cs="Arial"/>
        </w:rPr>
        <w:t xml:space="preserve">Sue Ryder (2023) </w:t>
      </w:r>
      <w:r w:rsidRPr="00211828">
        <w:rPr>
          <w:rFonts w:ascii="Arial" w:hAnsi="Arial" w:cs="Arial"/>
          <w:i/>
          <w:iCs/>
        </w:rPr>
        <w:t>Briefing on the impacts of cost-of-living on people at the end of life</w:t>
      </w:r>
      <w:r w:rsidRPr="00211828">
        <w:rPr>
          <w:rFonts w:ascii="Arial" w:hAnsi="Arial" w:cs="Arial"/>
        </w:rPr>
        <w:t>. London: Sue Ryder.</w:t>
      </w:r>
    </w:p>
    <w:p w14:paraId="191CBBEF" w14:textId="77777777" w:rsidR="0002358E" w:rsidRPr="00211828" w:rsidRDefault="0002358E" w:rsidP="0002358E">
      <w:pPr>
        <w:spacing w:line="360" w:lineRule="auto"/>
        <w:rPr>
          <w:rFonts w:ascii="Arial" w:hAnsi="Arial" w:cs="Arial"/>
        </w:rPr>
      </w:pPr>
      <w:r w:rsidRPr="00211828">
        <w:rPr>
          <w:rFonts w:ascii="Arial" w:hAnsi="Arial" w:cs="Arial"/>
        </w:rPr>
        <w:t xml:space="preserve">Thomas, K. and Russell, S. (2023) 'Advance Care Planning in the United Kingdom- A snapshot from the four UK nations', </w:t>
      </w:r>
      <w:r w:rsidRPr="00211828">
        <w:rPr>
          <w:rFonts w:ascii="Arial" w:hAnsi="Arial" w:cs="Arial"/>
          <w:i/>
          <w:iCs/>
        </w:rPr>
        <w:t>Zeitschrift für Evidenz, Fortbildung und Qualität im Gesundheitswesen</w:t>
      </w:r>
      <w:r w:rsidRPr="00211828">
        <w:rPr>
          <w:rFonts w:ascii="Arial" w:hAnsi="Arial" w:cs="Arial"/>
        </w:rPr>
        <w:t>, 180, pp. 46-52.</w:t>
      </w:r>
    </w:p>
    <w:p w14:paraId="7E62879A" w14:textId="77777777" w:rsidR="0002358E" w:rsidRPr="00211828" w:rsidRDefault="0002358E" w:rsidP="0002358E">
      <w:pPr>
        <w:spacing w:line="360" w:lineRule="auto"/>
        <w:rPr>
          <w:rFonts w:ascii="Arial" w:hAnsi="Arial" w:cs="Arial"/>
        </w:rPr>
      </w:pPr>
      <w:r w:rsidRPr="00211828">
        <w:rPr>
          <w:rFonts w:ascii="Arial" w:hAnsi="Arial" w:cs="Arial"/>
        </w:rPr>
        <w:t xml:space="preserve">Tobin, J., Rogers, A., Winterburn, I. et al. (2022) 'Hospice care access inequalities: a systematic review and narrative synthesis', </w:t>
      </w:r>
      <w:r w:rsidRPr="00211828">
        <w:rPr>
          <w:rFonts w:ascii="Arial" w:hAnsi="Arial" w:cs="Arial"/>
          <w:i/>
          <w:iCs/>
        </w:rPr>
        <w:t>BMJ Supportive &amp; Palliative Care</w:t>
      </w:r>
      <w:r w:rsidRPr="00211828">
        <w:rPr>
          <w:rFonts w:ascii="Arial" w:hAnsi="Arial" w:cs="Arial"/>
        </w:rPr>
        <w:t>, 12(2), pp. 142-151.</w:t>
      </w:r>
    </w:p>
    <w:p w14:paraId="24F91F99" w14:textId="77777777" w:rsidR="0002358E" w:rsidRPr="00211828" w:rsidRDefault="0002358E" w:rsidP="0002358E">
      <w:pPr>
        <w:spacing w:line="360" w:lineRule="auto"/>
        <w:rPr>
          <w:rFonts w:ascii="Arial" w:hAnsi="Arial" w:cs="Arial"/>
        </w:rPr>
      </w:pPr>
      <w:r w:rsidRPr="00211828">
        <w:rPr>
          <w:rFonts w:ascii="Arial" w:hAnsi="Arial" w:cs="Arial"/>
        </w:rPr>
        <w:t xml:space="preserve">UK Government (2025) </w:t>
      </w:r>
      <w:r w:rsidRPr="00211828">
        <w:rPr>
          <w:rFonts w:ascii="Arial" w:hAnsi="Arial" w:cs="Arial"/>
          <w:i/>
          <w:iCs/>
        </w:rPr>
        <w:t>10 year health plan for England: fit for the future</w:t>
      </w:r>
      <w:r w:rsidRPr="00211828">
        <w:rPr>
          <w:rFonts w:ascii="Arial" w:hAnsi="Arial" w:cs="Arial"/>
        </w:rPr>
        <w:t xml:space="preserve">. Policy Paper. Available at: </w:t>
      </w:r>
      <w:hyperlink r:id="rId23" w:tgtFrame="_blank" w:history="1">
        <w:r w:rsidRPr="00211828">
          <w:rPr>
            <w:rStyle w:val="Hyperlink"/>
            <w:rFonts w:ascii="Arial" w:hAnsi="Arial" w:cs="Arial"/>
          </w:rPr>
          <w:t>https://www.gov.uk/government/publications/10-year-health-plan-for-england-fit-for-the-future</w:t>
        </w:r>
      </w:hyperlink>
      <w:r w:rsidRPr="00211828">
        <w:rPr>
          <w:rFonts w:ascii="Arial" w:hAnsi="Arial" w:cs="Arial"/>
        </w:rPr>
        <w:t xml:space="preserve"> (Accessed: 21 July 2026).</w:t>
      </w:r>
    </w:p>
    <w:p w14:paraId="043E05C8" w14:textId="77777777" w:rsidR="0002358E" w:rsidRPr="00211828" w:rsidRDefault="0002358E" w:rsidP="0002358E">
      <w:pPr>
        <w:spacing w:line="360" w:lineRule="auto"/>
        <w:rPr>
          <w:rFonts w:ascii="Arial" w:hAnsi="Arial" w:cs="Arial"/>
        </w:rPr>
      </w:pPr>
      <w:r w:rsidRPr="00211828">
        <w:rPr>
          <w:rFonts w:ascii="Arial" w:hAnsi="Arial" w:cs="Arial"/>
        </w:rPr>
        <w:t xml:space="preserve">Van den Block, L., Honinx, E., Pivodic, L., Miranda, R., Onwuteaka-Philipsen, B.D., van Hout, H., et al. (2020) 'Evaluation of a palliative care program for nursing homes in 7 countries: the PACE cluster-randomized clinical trial', </w:t>
      </w:r>
      <w:r w:rsidRPr="00211828">
        <w:rPr>
          <w:rFonts w:ascii="Arial" w:hAnsi="Arial" w:cs="Arial"/>
          <w:i/>
          <w:iCs/>
        </w:rPr>
        <w:t>JAMA Internal Medicine</w:t>
      </w:r>
      <w:r w:rsidRPr="00211828">
        <w:rPr>
          <w:rFonts w:ascii="Arial" w:hAnsi="Arial" w:cs="Arial"/>
        </w:rPr>
        <w:t>, 180(2), pp. 233-242.</w:t>
      </w:r>
    </w:p>
    <w:p w14:paraId="5A706AEC" w14:textId="77777777" w:rsidR="0002358E" w:rsidRDefault="0002358E" w:rsidP="0002358E">
      <w:pPr>
        <w:rPr>
          <w:rFonts w:ascii="Arial" w:hAnsi="Arial" w:cs="Arial"/>
        </w:rPr>
      </w:pPr>
    </w:p>
    <w:p w14:paraId="25C2D274" w14:textId="77777777" w:rsidR="0002358E" w:rsidRDefault="0002358E" w:rsidP="0002358E">
      <w:pPr>
        <w:rPr>
          <w:rFonts w:ascii="Arial" w:hAnsi="Arial" w:cs="Arial"/>
        </w:rPr>
      </w:pPr>
    </w:p>
    <w:p w14:paraId="3E106323" w14:textId="77777777" w:rsidR="0002358E" w:rsidRDefault="0002358E" w:rsidP="0002358E">
      <w:pPr>
        <w:rPr>
          <w:rFonts w:ascii="Arial" w:hAnsi="Arial" w:cs="Arial"/>
        </w:rPr>
      </w:pPr>
    </w:p>
    <w:p w14:paraId="15B81BFF" w14:textId="77777777" w:rsidR="0002358E" w:rsidRDefault="0002358E" w:rsidP="0002358E">
      <w:pPr>
        <w:rPr>
          <w:rFonts w:ascii="Arial" w:hAnsi="Arial" w:cs="Arial"/>
        </w:rPr>
      </w:pPr>
    </w:p>
    <w:p w14:paraId="5316B6CA" w14:textId="77777777" w:rsidR="0002358E" w:rsidRDefault="0002358E" w:rsidP="0002358E">
      <w:pPr>
        <w:rPr>
          <w:rFonts w:ascii="Arial" w:hAnsi="Arial" w:cs="Arial"/>
        </w:rPr>
      </w:pPr>
    </w:p>
    <w:p w14:paraId="296F4338" w14:textId="77777777" w:rsidR="0002358E" w:rsidRDefault="0002358E" w:rsidP="0002358E">
      <w:pPr>
        <w:rPr>
          <w:rFonts w:ascii="Arial" w:hAnsi="Arial" w:cs="Arial"/>
        </w:rPr>
      </w:pPr>
    </w:p>
    <w:p w14:paraId="2C727B09" w14:textId="77777777" w:rsidR="0002358E" w:rsidRDefault="0002358E" w:rsidP="0002358E">
      <w:pPr>
        <w:rPr>
          <w:rFonts w:ascii="Arial" w:hAnsi="Arial" w:cs="Arial"/>
        </w:rPr>
      </w:pPr>
    </w:p>
    <w:p w14:paraId="4A875F2B" w14:textId="285E5D83" w:rsidR="0002358E" w:rsidRPr="0002358E" w:rsidRDefault="0002358E" w:rsidP="0002358E">
      <w:pPr>
        <w:pStyle w:val="Heading1"/>
        <w:spacing w:line="360" w:lineRule="auto"/>
        <w:rPr>
          <w:rFonts w:ascii="Arial" w:hAnsi="Arial" w:cs="Arial"/>
          <w:b/>
          <w:bCs/>
          <w:color w:val="auto"/>
          <w:sz w:val="20"/>
          <w:szCs w:val="20"/>
        </w:rPr>
      </w:pPr>
      <w:r w:rsidRPr="0002358E">
        <w:rPr>
          <w:rFonts w:ascii="Arial" w:hAnsi="Arial" w:cs="Arial"/>
          <w:b/>
          <w:bCs/>
          <w:color w:val="auto"/>
          <w:sz w:val="20"/>
          <w:szCs w:val="20"/>
        </w:rPr>
        <w:t xml:space="preserve">Appendices </w:t>
      </w:r>
    </w:p>
    <w:p w14:paraId="465AD3EE" w14:textId="77777777" w:rsidR="0002358E" w:rsidRDefault="0002358E" w:rsidP="0002358E">
      <w:pPr>
        <w:spacing w:line="360" w:lineRule="auto"/>
      </w:pPr>
    </w:p>
    <w:bookmarkStart w:id="1" w:name="_MON_1853323335"/>
    <w:bookmarkEnd w:id="1"/>
    <w:p w14:paraId="25812D1A" w14:textId="665F4F0B" w:rsidR="0002358E" w:rsidRDefault="000F4D25" w:rsidP="0002358E">
      <w:pPr>
        <w:spacing w:line="360" w:lineRule="auto"/>
      </w:pPr>
      <w:r>
        <w:object w:dxaOrig="1487" w:dyaOrig="992" w14:anchorId="716855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45pt;height:49.1pt" o:ole="">
            <v:imagedata r:id="rId24" o:title=""/>
          </v:shape>
          <o:OLEObject Type="Embed" ProgID="Word.Document.12" ShapeID="_x0000_i1025" DrawAspect="Icon" ObjectID="_1854013855" r:id="rId25">
            <o:FieldCodes>\s</o:FieldCodes>
          </o:OLEObject>
        </w:object>
      </w:r>
    </w:p>
    <w:p w14:paraId="67ABF78A" w14:textId="77777777" w:rsidR="0002358E" w:rsidRDefault="0002358E" w:rsidP="0002358E">
      <w:pPr>
        <w:spacing w:line="360" w:lineRule="auto"/>
      </w:pPr>
    </w:p>
    <w:p w14:paraId="4B4452B5" w14:textId="77777777" w:rsidR="0002358E" w:rsidRDefault="0002358E" w:rsidP="0002358E">
      <w:pPr>
        <w:spacing w:line="360" w:lineRule="auto"/>
      </w:pPr>
    </w:p>
    <w:p w14:paraId="1725C0F9" w14:textId="77777777" w:rsidR="0002358E" w:rsidRDefault="0002358E" w:rsidP="0002358E">
      <w:pPr>
        <w:spacing w:line="360" w:lineRule="auto"/>
      </w:pPr>
    </w:p>
    <w:p w14:paraId="1E68D46B" w14:textId="77777777" w:rsidR="0002358E" w:rsidRPr="008C38C3" w:rsidRDefault="0002358E" w:rsidP="0002358E">
      <w:pPr>
        <w:spacing w:line="360" w:lineRule="auto"/>
      </w:pPr>
    </w:p>
    <w:p w14:paraId="2BDD3C88" w14:textId="77777777" w:rsidR="0002358E" w:rsidRDefault="0002358E" w:rsidP="0002358E"/>
    <w:sectPr w:rsidR="000235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A0504"/>
    <w:multiLevelType w:val="multilevel"/>
    <w:tmpl w:val="1EA88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77154F"/>
    <w:multiLevelType w:val="multilevel"/>
    <w:tmpl w:val="600C3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0004032">
    <w:abstractNumId w:val="0"/>
  </w:num>
  <w:num w:numId="2" w16cid:durableId="21317826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58E"/>
    <w:rsid w:val="0002358E"/>
    <w:rsid w:val="000D01A1"/>
    <w:rsid w:val="000F4D25"/>
    <w:rsid w:val="001A122E"/>
    <w:rsid w:val="00285544"/>
    <w:rsid w:val="00341938"/>
    <w:rsid w:val="0035182B"/>
    <w:rsid w:val="0051493A"/>
    <w:rsid w:val="0062580C"/>
    <w:rsid w:val="0063599C"/>
    <w:rsid w:val="006640EA"/>
    <w:rsid w:val="00673558"/>
    <w:rsid w:val="00797B62"/>
    <w:rsid w:val="007B0FF0"/>
    <w:rsid w:val="007D731C"/>
    <w:rsid w:val="009D5EE5"/>
    <w:rsid w:val="00B167B3"/>
    <w:rsid w:val="00D41496"/>
    <w:rsid w:val="00D43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28031"/>
  <w15:chartTrackingRefBased/>
  <w15:docId w15:val="{CC0AADB4-78DA-4BF7-AC46-3DAB7D2BB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58E"/>
    <w:pPr>
      <w:spacing w:line="256" w:lineRule="auto"/>
    </w:pPr>
    <w:rPr>
      <w:rFonts w:ascii="Aptos" w:eastAsia="Aptos" w:hAnsi="Aptos" w:cs="Times New Roman"/>
    </w:rPr>
  </w:style>
  <w:style w:type="paragraph" w:styleId="Heading1">
    <w:name w:val="heading 1"/>
    <w:basedOn w:val="Normal"/>
    <w:next w:val="Normal"/>
    <w:link w:val="Heading1Char"/>
    <w:uiPriority w:val="9"/>
    <w:qFormat/>
    <w:rsid w:val="000235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35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5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5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5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5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5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5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5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5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35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5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5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5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5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5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5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58E"/>
    <w:rPr>
      <w:rFonts w:eastAsiaTheme="majorEastAsia" w:cstheme="majorBidi"/>
      <w:color w:val="272727" w:themeColor="text1" w:themeTint="D8"/>
    </w:rPr>
  </w:style>
  <w:style w:type="paragraph" w:styleId="Title">
    <w:name w:val="Title"/>
    <w:basedOn w:val="Normal"/>
    <w:next w:val="Normal"/>
    <w:link w:val="TitleChar"/>
    <w:uiPriority w:val="10"/>
    <w:qFormat/>
    <w:rsid w:val="000235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5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5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5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58E"/>
    <w:pPr>
      <w:spacing w:before="160"/>
      <w:jc w:val="center"/>
    </w:pPr>
    <w:rPr>
      <w:i/>
      <w:iCs/>
      <w:color w:val="404040" w:themeColor="text1" w:themeTint="BF"/>
    </w:rPr>
  </w:style>
  <w:style w:type="character" w:customStyle="1" w:styleId="QuoteChar">
    <w:name w:val="Quote Char"/>
    <w:basedOn w:val="DefaultParagraphFont"/>
    <w:link w:val="Quote"/>
    <w:uiPriority w:val="29"/>
    <w:rsid w:val="0002358E"/>
    <w:rPr>
      <w:i/>
      <w:iCs/>
      <w:color w:val="404040" w:themeColor="text1" w:themeTint="BF"/>
    </w:rPr>
  </w:style>
  <w:style w:type="paragraph" w:styleId="ListParagraph">
    <w:name w:val="List Paragraph"/>
    <w:basedOn w:val="Normal"/>
    <w:uiPriority w:val="34"/>
    <w:qFormat/>
    <w:rsid w:val="0002358E"/>
    <w:pPr>
      <w:ind w:left="720"/>
      <w:contextualSpacing/>
    </w:pPr>
  </w:style>
  <w:style w:type="character" w:styleId="IntenseEmphasis">
    <w:name w:val="Intense Emphasis"/>
    <w:basedOn w:val="DefaultParagraphFont"/>
    <w:uiPriority w:val="21"/>
    <w:qFormat/>
    <w:rsid w:val="0002358E"/>
    <w:rPr>
      <w:i/>
      <w:iCs/>
      <w:color w:val="0F4761" w:themeColor="accent1" w:themeShade="BF"/>
    </w:rPr>
  </w:style>
  <w:style w:type="paragraph" w:styleId="IntenseQuote">
    <w:name w:val="Intense Quote"/>
    <w:basedOn w:val="Normal"/>
    <w:next w:val="Normal"/>
    <w:link w:val="IntenseQuoteChar"/>
    <w:uiPriority w:val="30"/>
    <w:qFormat/>
    <w:rsid w:val="000235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58E"/>
    <w:rPr>
      <w:i/>
      <w:iCs/>
      <w:color w:val="0F4761" w:themeColor="accent1" w:themeShade="BF"/>
    </w:rPr>
  </w:style>
  <w:style w:type="character" w:styleId="IntenseReference">
    <w:name w:val="Intense Reference"/>
    <w:basedOn w:val="DefaultParagraphFont"/>
    <w:uiPriority w:val="32"/>
    <w:qFormat/>
    <w:rsid w:val="0002358E"/>
    <w:rPr>
      <w:b/>
      <w:bCs/>
      <w:smallCaps/>
      <w:color w:val="0F4761" w:themeColor="accent1" w:themeShade="BF"/>
      <w:spacing w:val="5"/>
    </w:rPr>
  </w:style>
  <w:style w:type="character" w:styleId="Hyperlink">
    <w:name w:val="Hyperlink"/>
    <w:basedOn w:val="DefaultParagraphFont"/>
    <w:uiPriority w:val="99"/>
    <w:unhideWhenUsed/>
    <w:rsid w:val="0002358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open-2025-104243" TargetMode="External"/><Relationship Id="rId13" Type="http://schemas.openxmlformats.org/officeDocument/2006/relationships/hyperlink" Target="https://www.legislation.gov.uk/ukpga/1998/42/contents" TargetMode="External"/><Relationship Id="rId18" Type="http://schemas.openxmlformats.org/officeDocument/2006/relationships/hyperlink" Target="https://www.england.nhs.uk/gp/investment/gp-contract-2025/"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iehs.nih.gov/research/resources/bioethics/whatis" TargetMode="External"/><Relationship Id="rId7" Type="http://schemas.openxmlformats.org/officeDocument/2006/relationships/hyperlink" Target="https://doi.org/10.3389/fpubh.2023.1058736" TargetMode="External"/><Relationship Id="rId12" Type="http://schemas.openxmlformats.org/officeDocument/2006/relationships/hyperlink" Target="https://doi.org/10.1186/s12904-015-0040-0" TargetMode="External"/><Relationship Id="rId17" Type="http://schemas.openxmlformats.org/officeDocument/2006/relationships/hyperlink" Target="https://www.nice.org.uk/guidance/qs13" TargetMode="External"/><Relationship Id="rId25" Type="http://schemas.openxmlformats.org/officeDocument/2006/relationships/package" Target="embeddings/Microsoft_Word_Document.docx"/><Relationship Id="rId2" Type="http://schemas.openxmlformats.org/officeDocument/2006/relationships/styles" Target="styles.xml"/><Relationship Id="rId16" Type="http://schemas.openxmlformats.org/officeDocument/2006/relationships/hyperlink" Target="https://www.nice.org.uk/guidance/ng31" TargetMode="External"/><Relationship Id="rId20" Type="http://schemas.openxmlformats.org/officeDocument/2006/relationships/hyperlink" Target="https://fingertips.phe.org.uk/profile/end-of-life/data"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legislation.gov.uk/ukpga/2010/15/contents" TargetMode="External"/><Relationship Id="rId24" Type="http://schemas.openxmlformats.org/officeDocument/2006/relationships/image" Target="media/image2.emf"/><Relationship Id="rId5" Type="http://schemas.openxmlformats.org/officeDocument/2006/relationships/image" Target="media/image1.png"/><Relationship Id="rId15" Type="http://schemas.openxmlformats.org/officeDocument/2006/relationships/hyperlink" Target="https://library.csuchico.edu/help/source-or-not" TargetMode="External"/><Relationship Id="rId23" Type="http://schemas.openxmlformats.org/officeDocument/2006/relationships/hyperlink" Target="https://www.gov.uk/government/publications/10-year-health-plan-for-england-fit-for-the-future" TargetMode="External"/><Relationship Id="rId10" Type="http://schemas.openxmlformats.org/officeDocument/2006/relationships/hyperlink" Target="https://www.cqc.org.uk/guidance-regulation/providers/regulations-service-providers-and-managers/health-social-care-act/regulation-10" TargetMode="External"/><Relationship Id="rId19" Type="http://schemas.openxmlformats.org/officeDocument/2006/relationships/hyperlink" Target="https://www.nuffieldtrust.org.uk/resource/end-of-life-care" TargetMode="External"/><Relationship Id="rId4" Type="http://schemas.openxmlformats.org/officeDocument/2006/relationships/webSettings" Target="webSettings.xml"/><Relationship Id="rId9" Type="http://schemas.openxmlformats.org/officeDocument/2006/relationships/hyperlink" Target="https://doi.org/10.3399/BJGPO.2026.0022" TargetMode="External"/><Relationship Id="rId14" Type="http://schemas.openxmlformats.org/officeDocument/2006/relationships/hyperlink" Target="https://www.legislation.gov.uk/ukpga/2005/9/contents" TargetMode="External"/><Relationship Id="rId22" Type="http://schemas.openxmlformats.org/officeDocument/2006/relationships/hyperlink" Target="https://doi.org/10.1177/026921631038796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14</Pages>
  <Words>4025</Words>
  <Characters>22948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Baidar Begum</dc:creator>
  <cp:keywords/>
  <dc:description/>
  <cp:lastModifiedBy>Baidar Begum</cp:lastModifiedBy>
  <cp:revision>12</cp:revision>
  <dcterms:created xsi:type="dcterms:W3CDTF">2026-10-12T14:04:00Z</dcterms:created>
  <dcterms:modified xsi:type="dcterms:W3CDTF">2026-10-20T14:04:00Z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742510a4-f33d-45ae-bb90-eb9742e5abbb</vt:lpwstr>
  </property>
</Properties>
</file>