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37501D" w14:textId="77777777" w:rsidR="00FF1E5D" w:rsidRPr="004E2F29" w:rsidRDefault="00FF1E5D" w:rsidP="009960C5">
      <w:pPr>
        <w:spacing w:line="480" w:lineRule="auto"/>
        <w:rPr>
          <w:rFonts w:cs="Times New Roman"/>
          <w:bCs/>
          <w:sz w:val="36"/>
          <w:szCs w:val="36"/>
          <w:lang w:val="en-US"/>
        </w:rPr>
      </w:pPr>
    </w:p>
    <w:p w14:paraId="0E0C1E7F" w14:textId="77777777" w:rsidR="00FF1E5D" w:rsidRPr="00F94E81" w:rsidRDefault="00FF1E5D" w:rsidP="004E2F29">
      <w:pPr>
        <w:spacing w:line="480" w:lineRule="auto"/>
        <w:jc w:val="center"/>
        <w:rPr>
          <w:rFonts w:cs="Times New Roman"/>
          <w:b w:val="0"/>
          <w:sz w:val="36"/>
          <w:szCs w:val="36"/>
          <w:lang w:val="en-US"/>
        </w:rPr>
      </w:pPr>
      <w:r w:rsidRPr="2391897D">
        <w:rPr>
          <w:rFonts w:cs="Times New Roman"/>
          <w:b w:val="0"/>
          <w:lang w:val="en-US"/>
        </w:rPr>
        <w:t>University of Wales Trinity Saint David (UWTSD)</w:t>
      </w:r>
    </w:p>
    <w:p w14:paraId="360202D7" w14:textId="1206E01E" w:rsidR="33E713EE" w:rsidRDefault="33E713EE" w:rsidP="2391897D">
      <w:pPr>
        <w:spacing w:line="480" w:lineRule="auto"/>
        <w:jc w:val="center"/>
        <w:rPr>
          <w:rFonts w:cs="Times New Roman"/>
          <w:b w:val="0"/>
          <w:lang w:val="en-US"/>
        </w:rPr>
      </w:pPr>
      <w:r w:rsidRPr="2391897D">
        <w:rPr>
          <w:rFonts w:cs="Times New Roman"/>
          <w:b w:val="0"/>
          <w:lang w:val="en-US"/>
        </w:rPr>
        <w:t>Abid Hussain 2407965</w:t>
      </w:r>
    </w:p>
    <w:p w14:paraId="282FCBE5" w14:textId="3375E5F8" w:rsidR="33E713EE" w:rsidRDefault="33E713EE" w:rsidP="2391897D">
      <w:pPr>
        <w:spacing w:line="480" w:lineRule="auto"/>
        <w:jc w:val="center"/>
        <w:rPr>
          <w:rFonts w:cs="Times New Roman"/>
          <w:b w:val="0"/>
          <w:lang w:val="en-US"/>
        </w:rPr>
      </w:pPr>
      <w:r w:rsidRPr="2391897D">
        <w:rPr>
          <w:rFonts w:cs="Times New Roman"/>
          <w:b w:val="0"/>
          <w:lang w:val="en-US"/>
        </w:rPr>
        <w:t>Lecturer: Eric Osei</w:t>
      </w:r>
    </w:p>
    <w:p w14:paraId="5A0B8954" w14:textId="77777777" w:rsidR="00FF1E5D" w:rsidRPr="00FF1E5D" w:rsidRDefault="00FF1E5D" w:rsidP="004E2F29">
      <w:pPr>
        <w:spacing w:line="480" w:lineRule="auto"/>
        <w:jc w:val="center"/>
        <w:rPr>
          <w:rFonts w:cs="Times New Roman"/>
          <w:b w:val="0"/>
          <w:lang w:val="en-US"/>
        </w:rPr>
      </w:pPr>
      <w:r w:rsidRPr="00FF1E5D">
        <w:rPr>
          <w:rFonts w:cs="Times New Roman"/>
          <w:b w:val="0"/>
          <w:lang w:val="en-US"/>
        </w:rPr>
        <w:t>Module Code:</w:t>
      </w:r>
      <w:r w:rsidRPr="004E2F29">
        <w:rPr>
          <w:rFonts w:cs="Times New Roman"/>
          <w:b w:val="0"/>
          <w:lang w:val="en-US"/>
        </w:rPr>
        <w:t xml:space="preserve"> </w:t>
      </w:r>
      <w:r w:rsidRPr="00FF1E5D">
        <w:rPr>
          <w:rFonts w:cs="Times New Roman"/>
          <w:b w:val="0"/>
          <w:lang w:val="en-US"/>
        </w:rPr>
        <w:t>LCLM5001</w:t>
      </w:r>
    </w:p>
    <w:p w14:paraId="0E2433CF" w14:textId="77777777" w:rsidR="00FF1E5D" w:rsidRPr="00F94E81" w:rsidRDefault="00FF1E5D" w:rsidP="004E2F29">
      <w:pPr>
        <w:spacing w:line="480" w:lineRule="auto"/>
        <w:jc w:val="center"/>
        <w:rPr>
          <w:rFonts w:cs="Times New Roman"/>
          <w:bCs/>
          <w:sz w:val="28"/>
          <w:szCs w:val="24"/>
          <w:lang w:val="en-US"/>
        </w:rPr>
      </w:pPr>
      <w:r w:rsidRPr="00F94E81">
        <w:rPr>
          <w:rFonts w:cs="Times New Roman"/>
          <w:bCs/>
          <w:sz w:val="28"/>
          <w:szCs w:val="24"/>
          <w:lang w:val="en-US"/>
        </w:rPr>
        <w:t>Understanding the Importance of Stakeholder Engagement in Successful Commencement and Completion of a Project</w:t>
      </w:r>
    </w:p>
    <w:p w14:paraId="16034928" w14:textId="3DC69294" w:rsidR="00FF1E5D" w:rsidRPr="00FF1E5D" w:rsidRDefault="00FF1E5D" w:rsidP="004E2F29">
      <w:pPr>
        <w:spacing w:line="480" w:lineRule="auto"/>
        <w:jc w:val="center"/>
        <w:rPr>
          <w:rFonts w:cs="Times New Roman"/>
          <w:b w:val="0"/>
          <w:lang w:val="en-US"/>
        </w:rPr>
      </w:pPr>
      <w:r w:rsidRPr="2391897D">
        <w:rPr>
          <w:rFonts w:cs="Times New Roman"/>
          <w:b w:val="0"/>
          <w:lang w:val="en-US"/>
        </w:rPr>
        <w:t xml:space="preserve">Chosen </w:t>
      </w:r>
      <w:proofErr w:type="spellStart"/>
      <w:r w:rsidR="6CE644F7" w:rsidRPr="2391897D">
        <w:rPr>
          <w:rFonts w:cs="Times New Roman"/>
          <w:b w:val="0"/>
          <w:lang w:val="en-US"/>
        </w:rPr>
        <w:t>Organisation</w:t>
      </w:r>
      <w:proofErr w:type="spellEnd"/>
      <w:r w:rsidRPr="2391897D">
        <w:rPr>
          <w:rFonts w:cs="Times New Roman"/>
          <w:b w:val="0"/>
          <w:lang w:val="en-US"/>
        </w:rPr>
        <w:t>: Philips Healthcare UK</w:t>
      </w:r>
    </w:p>
    <w:p w14:paraId="5DAB6C7B" w14:textId="77777777" w:rsidR="00BD7ADB" w:rsidRPr="004E2F29" w:rsidRDefault="00BD7ADB" w:rsidP="004E2F29">
      <w:pPr>
        <w:spacing w:line="480" w:lineRule="auto"/>
        <w:rPr>
          <w:rFonts w:cs="Times New Roman"/>
        </w:rPr>
      </w:pPr>
    </w:p>
    <w:p w14:paraId="02EB378F" w14:textId="77777777" w:rsidR="008E57FB" w:rsidRPr="004E2F29" w:rsidRDefault="008E57FB" w:rsidP="004E2F29">
      <w:pPr>
        <w:spacing w:line="480" w:lineRule="auto"/>
        <w:rPr>
          <w:rFonts w:cs="Times New Roman"/>
        </w:rPr>
      </w:pPr>
    </w:p>
    <w:p w14:paraId="6A05A809" w14:textId="77777777" w:rsidR="00FF1E5D" w:rsidRPr="004E2F29" w:rsidRDefault="00FF1E5D" w:rsidP="004E2F29">
      <w:pPr>
        <w:spacing w:line="480" w:lineRule="auto"/>
        <w:jc w:val="left"/>
        <w:rPr>
          <w:rFonts w:cs="Times New Roman"/>
        </w:rPr>
      </w:pPr>
      <w:r w:rsidRPr="004E2F29">
        <w:rPr>
          <w:rFonts w:cs="Times New Roman"/>
        </w:rPr>
        <w:br w:type="page"/>
      </w:r>
    </w:p>
    <w:sdt>
      <w:sdtPr>
        <w:rPr>
          <w:rFonts w:ascii="Times New Roman" w:eastAsiaTheme="minorEastAsia" w:hAnsi="Times New Roman" w:cs="Times New Roman"/>
          <w:b/>
          <w:bCs/>
          <w:color w:val="auto"/>
          <w:kern w:val="2"/>
          <w:sz w:val="24"/>
          <w:szCs w:val="24"/>
          <w:lang w:val="en-GB"/>
          <w14:ligatures w14:val="standardContextual"/>
        </w:rPr>
        <w:id w:val="-581754986"/>
        <w:docPartObj>
          <w:docPartGallery w:val="Table of Contents"/>
          <w:docPartUnique/>
        </w:docPartObj>
      </w:sdtPr>
      <w:sdtEndPr>
        <w:rPr>
          <w:b w:val="0"/>
          <w:bCs w:val="0"/>
          <w:noProof/>
        </w:rPr>
      </w:sdtEndPr>
      <w:sdtContent>
        <w:p w14:paraId="22E0FC93" w14:textId="77777777" w:rsidR="00FF1E5D" w:rsidRPr="004E2F29" w:rsidRDefault="00FF1E5D" w:rsidP="004E2F29">
          <w:pPr>
            <w:pStyle w:val="TOCHeading"/>
            <w:spacing w:line="480" w:lineRule="auto"/>
            <w:jc w:val="center"/>
            <w:rPr>
              <w:rFonts w:ascii="Times New Roman" w:hAnsi="Times New Roman" w:cs="Times New Roman"/>
              <w:b/>
              <w:bCs/>
              <w:color w:val="auto"/>
            </w:rPr>
          </w:pPr>
          <w:r w:rsidRPr="004E2F29">
            <w:rPr>
              <w:rFonts w:ascii="Times New Roman" w:hAnsi="Times New Roman" w:cs="Times New Roman"/>
              <w:b/>
              <w:bCs/>
              <w:color w:val="auto"/>
            </w:rPr>
            <w:t>Table of Contents</w:t>
          </w:r>
        </w:p>
        <w:p w14:paraId="58102F09" w14:textId="77777777" w:rsidR="00CA780F" w:rsidRPr="00CA780F" w:rsidRDefault="00FF1E5D" w:rsidP="00CA780F">
          <w:pPr>
            <w:pStyle w:val="TOC1"/>
            <w:tabs>
              <w:tab w:val="right" w:leader="dot" w:pos="9350"/>
            </w:tabs>
            <w:spacing w:line="480" w:lineRule="auto"/>
            <w:rPr>
              <w:rFonts w:asciiTheme="minorHAnsi" w:eastAsiaTheme="minorEastAsia" w:hAnsiTheme="minorHAnsi"/>
              <w:b w:val="0"/>
              <w:bCs/>
              <w:noProof/>
              <w:szCs w:val="24"/>
              <w:lang w:val="en-US"/>
            </w:rPr>
          </w:pPr>
          <w:r w:rsidRPr="008F3851">
            <w:rPr>
              <w:rFonts w:cs="Times New Roman"/>
              <w:b w:val="0"/>
            </w:rPr>
            <w:fldChar w:fldCharType="begin"/>
          </w:r>
          <w:r w:rsidRPr="008F3851">
            <w:rPr>
              <w:rFonts w:cs="Times New Roman"/>
              <w:b w:val="0"/>
            </w:rPr>
            <w:instrText xml:space="preserve"> TOC \o "1-3" \h \z \u </w:instrText>
          </w:r>
          <w:r w:rsidRPr="008F3851">
            <w:rPr>
              <w:rFonts w:cs="Times New Roman"/>
              <w:b w:val="0"/>
            </w:rPr>
            <w:fldChar w:fldCharType="separate"/>
          </w:r>
          <w:hyperlink w:anchor="_Toc210666017" w:history="1">
            <w:r w:rsidR="00CA780F" w:rsidRPr="00CA780F">
              <w:rPr>
                <w:rStyle w:val="Hyperlink"/>
                <w:rFonts w:cs="Times New Roman"/>
                <w:b w:val="0"/>
                <w:bCs/>
                <w:noProof/>
              </w:rPr>
              <w:t>1. Introduction</w:t>
            </w:r>
            <w:r w:rsidR="00CA780F" w:rsidRPr="00CA780F">
              <w:rPr>
                <w:b w:val="0"/>
                <w:bCs/>
                <w:noProof/>
                <w:webHidden/>
              </w:rPr>
              <w:tab/>
            </w:r>
            <w:r w:rsidR="00CA780F" w:rsidRPr="00CA780F">
              <w:rPr>
                <w:b w:val="0"/>
                <w:bCs/>
                <w:noProof/>
                <w:webHidden/>
              </w:rPr>
              <w:fldChar w:fldCharType="begin"/>
            </w:r>
            <w:r w:rsidR="00CA780F" w:rsidRPr="00CA780F">
              <w:rPr>
                <w:b w:val="0"/>
                <w:bCs/>
                <w:noProof/>
                <w:webHidden/>
              </w:rPr>
              <w:instrText xml:space="preserve"> PAGEREF _Toc210666017 \h </w:instrText>
            </w:r>
            <w:r w:rsidR="00CA780F" w:rsidRPr="00CA780F">
              <w:rPr>
                <w:b w:val="0"/>
                <w:bCs/>
                <w:noProof/>
                <w:webHidden/>
              </w:rPr>
            </w:r>
            <w:r w:rsidR="00CA780F" w:rsidRPr="00CA780F">
              <w:rPr>
                <w:b w:val="0"/>
                <w:bCs/>
                <w:noProof/>
                <w:webHidden/>
              </w:rPr>
              <w:fldChar w:fldCharType="separate"/>
            </w:r>
            <w:r w:rsidR="00CA780F" w:rsidRPr="00CA780F">
              <w:rPr>
                <w:b w:val="0"/>
                <w:bCs/>
                <w:noProof/>
                <w:webHidden/>
              </w:rPr>
              <w:t>4</w:t>
            </w:r>
            <w:r w:rsidR="00CA780F" w:rsidRPr="00CA780F">
              <w:rPr>
                <w:b w:val="0"/>
                <w:bCs/>
                <w:noProof/>
                <w:webHidden/>
              </w:rPr>
              <w:fldChar w:fldCharType="end"/>
            </w:r>
          </w:hyperlink>
        </w:p>
        <w:p w14:paraId="5E724539" w14:textId="77777777" w:rsidR="00CA780F" w:rsidRPr="00CA780F" w:rsidRDefault="00CA780F" w:rsidP="00CA780F">
          <w:pPr>
            <w:pStyle w:val="TOC1"/>
            <w:tabs>
              <w:tab w:val="right" w:leader="dot" w:pos="9350"/>
            </w:tabs>
            <w:spacing w:line="480" w:lineRule="auto"/>
            <w:rPr>
              <w:rFonts w:asciiTheme="minorHAnsi" w:eastAsiaTheme="minorEastAsia" w:hAnsiTheme="minorHAnsi"/>
              <w:b w:val="0"/>
              <w:bCs/>
              <w:noProof/>
              <w:szCs w:val="24"/>
              <w:lang w:val="en-US"/>
            </w:rPr>
          </w:pPr>
          <w:hyperlink w:anchor="_Toc210666018" w:history="1">
            <w:r w:rsidRPr="00CA780F">
              <w:rPr>
                <w:rStyle w:val="Hyperlink"/>
                <w:rFonts w:cs="Times New Roman"/>
                <w:b w:val="0"/>
                <w:bCs/>
                <w:noProof/>
              </w:rPr>
              <w:t>2. Strategic Appraisal of Philips</w:t>
            </w:r>
            <w:r w:rsidRPr="00CA780F">
              <w:rPr>
                <w:b w:val="0"/>
                <w:bCs/>
                <w:noProof/>
                <w:webHidden/>
              </w:rPr>
              <w:tab/>
            </w:r>
            <w:r w:rsidRPr="00CA780F">
              <w:rPr>
                <w:b w:val="0"/>
                <w:bCs/>
                <w:noProof/>
                <w:webHidden/>
              </w:rPr>
              <w:fldChar w:fldCharType="begin"/>
            </w:r>
            <w:r w:rsidRPr="00CA780F">
              <w:rPr>
                <w:b w:val="0"/>
                <w:bCs/>
                <w:noProof/>
                <w:webHidden/>
              </w:rPr>
              <w:instrText xml:space="preserve"> PAGEREF _Toc210666018 \h </w:instrText>
            </w:r>
            <w:r w:rsidRPr="00CA780F">
              <w:rPr>
                <w:b w:val="0"/>
                <w:bCs/>
                <w:noProof/>
                <w:webHidden/>
              </w:rPr>
            </w:r>
            <w:r w:rsidRPr="00CA780F">
              <w:rPr>
                <w:b w:val="0"/>
                <w:bCs/>
                <w:noProof/>
                <w:webHidden/>
              </w:rPr>
              <w:fldChar w:fldCharType="separate"/>
            </w:r>
            <w:r w:rsidRPr="00CA780F">
              <w:rPr>
                <w:b w:val="0"/>
                <w:bCs/>
                <w:noProof/>
                <w:webHidden/>
              </w:rPr>
              <w:t>4</w:t>
            </w:r>
            <w:r w:rsidRPr="00CA780F">
              <w:rPr>
                <w:b w:val="0"/>
                <w:bCs/>
                <w:noProof/>
                <w:webHidden/>
              </w:rPr>
              <w:fldChar w:fldCharType="end"/>
            </w:r>
          </w:hyperlink>
        </w:p>
        <w:p w14:paraId="31628970" w14:textId="77777777" w:rsidR="00CA780F" w:rsidRPr="00CA780F" w:rsidRDefault="00CA780F" w:rsidP="00CA780F">
          <w:pPr>
            <w:pStyle w:val="TOC2"/>
            <w:tabs>
              <w:tab w:val="right" w:leader="dot" w:pos="9350"/>
            </w:tabs>
            <w:spacing w:line="480" w:lineRule="auto"/>
            <w:rPr>
              <w:rFonts w:asciiTheme="minorHAnsi" w:eastAsiaTheme="minorEastAsia" w:hAnsiTheme="minorHAnsi"/>
              <w:b w:val="0"/>
              <w:bCs/>
              <w:noProof/>
              <w:szCs w:val="24"/>
              <w:lang w:val="en-US"/>
            </w:rPr>
          </w:pPr>
          <w:hyperlink w:anchor="_Toc210666019" w:history="1">
            <w:r w:rsidRPr="00CA780F">
              <w:rPr>
                <w:rStyle w:val="Hyperlink"/>
                <w:rFonts w:cs="Times New Roman"/>
                <w:b w:val="0"/>
                <w:bCs/>
                <w:noProof/>
              </w:rPr>
              <w:t>SWOT Analysis</w:t>
            </w:r>
            <w:r w:rsidRPr="00CA780F">
              <w:rPr>
                <w:b w:val="0"/>
                <w:bCs/>
                <w:noProof/>
                <w:webHidden/>
              </w:rPr>
              <w:tab/>
            </w:r>
            <w:r w:rsidRPr="00CA780F">
              <w:rPr>
                <w:b w:val="0"/>
                <w:bCs/>
                <w:noProof/>
                <w:webHidden/>
              </w:rPr>
              <w:fldChar w:fldCharType="begin"/>
            </w:r>
            <w:r w:rsidRPr="00CA780F">
              <w:rPr>
                <w:b w:val="0"/>
                <w:bCs/>
                <w:noProof/>
                <w:webHidden/>
              </w:rPr>
              <w:instrText xml:space="preserve"> PAGEREF _Toc210666019 \h </w:instrText>
            </w:r>
            <w:r w:rsidRPr="00CA780F">
              <w:rPr>
                <w:b w:val="0"/>
                <w:bCs/>
                <w:noProof/>
                <w:webHidden/>
              </w:rPr>
            </w:r>
            <w:r w:rsidRPr="00CA780F">
              <w:rPr>
                <w:b w:val="0"/>
                <w:bCs/>
                <w:noProof/>
                <w:webHidden/>
              </w:rPr>
              <w:fldChar w:fldCharType="separate"/>
            </w:r>
            <w:r w:rsidRPr="00CA780F">
              <w:rPr>
                <w:b w:val="0"/>
                <w:bCs/>
                <w:noProof/>
                <w:webHidden/>
              </w:rPr>
              <w:t>4</w:t>
            </w:r>
            <w:r w:rsidRPr="00CA780F">
              <w:rPr>
                <w:b w:val="0"/>
                <w:bCs/>
                <w:noProof/>
                <w:webHidden/>
              </w:rPr>
              <w:fldChar w:fldCharType="end"/>
            </w:r>
          </w:hyperlink>
        </w:p>
        <w:p w14:paraId="27E1064F" w14:textId="77777777" w:rsidR="00CA780F" w:rsidRPr="00CA780F" w:rsidRDefault="00CA780F" w:rsidP="00CA780F">
          <w:pPr>
            <w:pStyle w:val="TOC2"/>
            <w:tabs>
              <w:tab w:val="right" w:leader="dot" w:pos="9350"/>
            </w:tabs>
            <w:spacing w:line="480" w:lineRule="auto"/>
            <w:rPr>
              <w:rFonts w:asciiTheme="minorHAnsi" w:eastAsiaTheme="minorEastAsia" w:hAnsiTheme="minorHAnsi"/>
              <w:b w:val="0"/>
              <w:bCs/>
              <w:noProof/>
              <w:szCs w:val="24"/>
              <w:lang w:val="en-US"/>
            </w:rPr>
          </w:pPr>
          <w:hyperlink w:anchor="_Toc210666020" w:history="1">
            <w:r w:rsidRPr="00CA780F">
              <w:rPr>
                <w:rStyle w:val="Hyperlink"/>
                <w:rFonts w:cs="Times New Roman"/>
                <w:b w:val="0"/>
                <w:bCs/>
                <w:noProof/>
              </w:rPr>
              <w:t>SMART Objectives for the Project</w:t>
            </w:r>
            <w:r w:rsidRPr="00CA780F">
              <w:rPr>
                <w:b w:val="0"/>
                <w:bCs/>
                <w:noProof/>
                <w:webHidden/>
              </w:rPr>
              <w:tab/>
            </w:r>
            <w:r w:rsidRPr="00CA780F">
              <w:rPr>
                <w:b w:val="0"/>
                <w:bCs/>
                <w:noProof/>
                <w:webHidden/>
              </w:rPr>
              <w:fldChar w:fldCharType="begin"/>
            </w:r>
            <w:r w:rsidRPr="00CA780F">
              <w:rPr>
                <w:b w:val="0"/>
                <w:bCs/>
                <w:noProof/>
                <w:webHidden/>
              </w:rPr>
              <w:instrText xml:space="preserve"> PAGEREF _Toc210666020 \h </w:instrText>
            </w:r>
            <w:r w:rsidRPr="00CA780F">
              <w:rPr>
                <w:b w:val="0"/>
                <w:bCs/>
                <w:noProof/>
                <w:webHidden/>
              </w:rPr>
            </w:r>
            <w:r w:rsidRPr="00CA780F">
              <w:rPr>
                <w:b w:val="0"/>
                <w:bCs/>
                <w:noProof/>
                <w:webHidden/>
              </w:rPr>
              <w:fldChar w:fldCharType="separate"/>
            </w:r>
            <w:r w:rsidRPr="00CA780F">
              <w:rPr>
                <w:b w:val="0"/>
                <w:bCs/>
                <w:noProof/>
                <w:webHidden/>
              </w:rPr>
              <w:t>6</w:t>
            </w:r>
            <w:r w:rsidRPr="00CA780F">
              <w:rPr>
                <w:b w:val="0"/>
                <w:bCs/>
                <w:noProof/>
                <w:webHidden/>
              </w:rPr>
              <w:fldChar w:fldCharType="end"/>
            </w:r>
          </w:hyperlink>
        </w:p>
        <w:p w14:paraId="6CEE5376" w14:textId="77777777" w:rsidR="00CA780F" w:rsidRPr="00CA780F" w:rsidRDefault="00CA780F" w:rsidP="00CA780F">
          <w:pPr>
            <w:pStyle w:val="TOC1"/>
            <w:tabs>
              <w:tab w:val="right" w:leader="dot" w:pos="9350"/>
            </w:tabs>
            <w:spacing w:line="480" w:lineRule="auto"/>
            <w:rPr>
              <w:rFonts w:asciiTheme="minorHAnsi" w:eastAsiaTheme="minorEastAsia" w:hAnsiTheme="minorHAnsi"/>
              <w:b w:val="0"/>
              <w:bCs/>
              <w:noProof/>
              <w:szCs w:val="24"/>
              <w:lang w:val="en-US"/>
            </w:rPr>
          </w:pPr>
          <w:hyperlink w:anchor="_Toc210666021" w:history="1">
            <w:r w:rsidRPr="00CA780F">
              <w:rPr>
                <w:rStyle w:val="Hyperlink"/>
                <w:rFonts w:cs="Times New Roman"/>
                <w:b w:val="0"/>
                <w:bCs/>
                <w:noProof/>
              </w:rPr>
              <w:t>3. Identification of Key Stakeholders</w:t>
            </w:r>
            <w:r w:rsidRPr="00CA780F">
              <w:rPr>
                <w:b w:val="0"/>
                <w:bCs/>
                <w:noProof/>
                <w:webHidden/>
              </w:rPr>
              <w:tab/>
            </w:r>
            <w:r w:rsidRPr="00CA780F">
              <w:rPr>
                <w:b w:val="0"/>
                <w:bCs/>
                <w:noProof/>
                <w:webHidden/>
              </w:rPr>
              <w:fldChar w:fldCharType="begin"/>
            </w:r>
            <w:r w:rsidRPr="00CA780F">
              <w:rPr>
                <w:b w:val="0"/>
                <w:bCs/>
                <w:noProof/>
                <w:webHidden/>
              </w:rPr>
              <w:instrText xml:space="preserve"> PAGEREF _Toc210666021 \h </w:instrText>
            </w:r>
            <w:r w:rsidRPr="00CA780F">
              <w:rPr>
                <w:b w:val="0"/>
                <w:bCs/>
                <w:noProof/>
                <w:webHidden/>
              </w:rPr>
            </w:r>
            <w:r w:rsidRPr="00CA780F">
              <w:rPr>
                <w:b w:val="0"/>
                <w:bCs/>
                <w:noProof/>
                <w:webHidden/>
              </w:rPr>
              <w:fldChar w:fldCharType="separate"/>
            </w:r>
            <w:r w:rsidRPr="00CA780F">
              <w:rPr>
                <w:b w:val="0"/>
                <w:bCs/>
                <w:noProof/>
                <w:webHidden/>
              </w:rPr>
              <w:t>8</w:t>
            </w:r>
            <w:r w:rsidRPr="00CA780F">
              <w:rPr>
                <w:b w:val="0"/>
                <w:bCs/>
                <w:noProof/>
                <w:webHidden/>
              </w:rPr>
              <w:fldChar w:fldCharType="end"/>
            </w:r>
          </w:hyperlink>
        </w:p>
        <w:p w14:paraId="56D18116" w14:textId="77777777" w:rsidR="00CA780F" w:rsidRPr="00CA780F" w:rsidRDefault="00CA780F" w:rsidP="00CA780F">
          <w:pPr>
            <w:pStyle w:val="TOC1"/>
            <w:tabs>
              <w:tab w:val="right" w:leader="dot" w:pos="9350"/>
            </w:tabs>
            <w:spacing w:line="480" w:lineRule="auto"/>
            <w:rPr>
              <w:rFonts w:asciiTheme="minorHAnsi" w:eastAsiaTheme="minorEastAsia" w:hAnsiTheme="minorHAnsi"/>
              <w:b w:val="0"/>
              <w:bCs/>
              <w:noProof/>
              <w:szCs w:val="24"/>
              <w:lang w:val="en-US"/>
            </w:rPr>
          </w:pPr>
          <w:hyperlink w:anchor="_Toc210666022" w:history="1">
            <w:r w:rsidRPr="00CA780F">
              <w:rPr>
                <w:rStyle w:val="Hyperlink"/>
                <w:rFonts w:cs="Times New Roman"/>
                <w:b w:val="0"/>
                <w:bCs/>
                <w:noProof/>
              </w:rPr>
              <w:t>4. Roles, Responsibilities, Benefits, and Challenges</w:t>
            </w:r>
            <w:r w:rsidRPr="00CA780F">
              <w:rPr>
                <w:b w:val="0"/>
                <w:bCs/>
                <w:noProof/>
                <w:webHidden/>
              </w:rPr>
              <w:tab/>
            </w:r>
            <w:r w:rsidRPr="00CA780F">
              <w:rPr>
                <w:b w:val="0"/>
                <w:bCs/>
                <w:noProof/>
                <w:webHidden/>
              </w:rPr>
              <w:fldChar w:fldCharType="begin"/>
            </w:r>
            <w:r w:rsidRPr="00CA780F">
              <w:rPr>
                <w:b w:val="0"/>
                <w:bCs/>
                <w:noProof/>
                <w:webHidden/>
              </w:rPr>
              <w:instrText xml:space="preserve"> PAGEREF _Toc210666022 \h </w:instrText>
            </w:r>
            <w:r w:rsidRPr="00CA780F">
              <w:rPr>
                <w:b w:val="0"/>
                <w:bCs/>
                <w:noProof/>
                <w:webHidden/>
              </w:rPr>
            </w:r>
            <w:r w:rsidRPr="00CA780F">
              <w:rPr>
                <w:b w:val="0"/>
                <w:bCs/>
                <w:noProof/>
                <w:webHidden/>
              </w:rPr>
              <w:fldChar w:fldCharType="separate"/>
            </w:r>
            <w:r w:rsidRPr="00CA780F">
              <w:rPr>
                <w:b w:val="0"/>
                <w:bCs/>
                <w:noProof/>
                <w:webHidden/>
              </w:rPr>
              <w:t>9</w:t>
            </w:r>
            <w:r w:rsidRPr="00CA780F">
              <w:rPr>
                <w:b w:val="0"/>
                <w:bCs/>
                <w:noProof/>
                <w:webHidden/>
              </w:rPr>
              <w:fldChar w:fldCharType="end"/>
            </w:r>
          </w:hyperlink>
        </w:p>
        <w:p w14:paraId="44571B7C" w14:textId="77777777" w:rsidR="00CA780F" w:rsidRPr="00CA780F" w:rsidRDefault="00CA780F" w:rsidP="00CA780F">
          <w:pPr>
            <w:pStyle w:val="TOC1"/>
            <w:tabs>
              <w:tab w:val="right" w:leader="dot" w:pos="9350"/>
            </w:tabs>
            <w:spacing w:line="480" w:lineRule="auto"/>
            <w:rPr>
              <w:rFonts w:asciiTheme="minorHAnsi" w:eastAsiaTheme="minorEastAsia" w:hAnsiTheme="minorHAnsi"/>
              <w:b w:val="0"/>
              <w:bCs/>
              <w:noProof/>
              <w:szCs w:val="24"/>
              <w:lang w:val="en-US"/>
            </w:rPr>
          </w:pPr>
          <w:hyperlink w:anchor="_Toc210666023" w:history="1">
            <w:r w:rsidRPr="00CA780F">
              <w:rPr>
                <w:rStyle w:val="Hyperlink"/>
                <w:rFonts w:cs="Times New Roman"/>
                <w:b w:val="0"/>
                <w:bCs/>
                <w:noProof/>
              </w:rPr>
              <w:t>5. Frameworks and Models for Stakeholder Engagement</w:t>
            </w:r>
            <w:r w:rsidRPr="00CA780F">
              <w:rPr>
                <w:b w:val="0"/>
                <w:bCs/>
                <w:noProof/>
                <w:webHidden/>
              </w:rPr>
              <w:tab/>
            </w:r>
            <w:r w:rsidRPr="00CA780F">
              <w:rPr>
                <w:b w:val="0"/>
                <w:bCs/>
                <w:noProof/>
                <w:webHidden/>
              </w:rPr>
              <w:fldChar w:fldCharType="begin"/>
            </w:r>
            <w:r w:rsidRPr="00CA780F">
              <w:rPr>
                <w:b w:val="0"/>
                <w:bCs/>
                <w:noProof/>
                <w:webHidden/>
              </w:rPr>
              <w:instrText xml:space="preserve"> PAGEREF _Toc210666023 \h </w:instrText>
            </w:r>
            <w:r w:rsidRPr="00CA780F">
              <w:rPr>
                <w:b w:val="0"/>
                <w:bCs/>
                <w:noProof/>
                <w:webHidden/>
              </w:rPr>
            </w:r>
            <w:r w:rsidRPr="00CA780F">
              <w:rPr>
                <w:b w:val="0"/>
                <w:bCs/>
                <w:noProof/>
                <w:webHidden/>
              </w:rPr>
              <w:fldChar w:fldCharType="separate"/>
            </w:r>
            <w:r w:rsidRPr="00CA780F">
              <w:rPr>
                <w:b w:val="0"/>
                <w:bCs/>
                <w:noProof/>
                <w:webHidden/>
              </w:rPr>
              <w:t>11</w:t>
            </w:r>
            <w:r w:rsidRPr="00CA780F">
              <w:rPr>
                <w:b w:val="0"/>
                <w:bCs/>
                <w:noProof/>
                <w:webHidden/>
              </w:rPr>
              <w:fldChar w:fldCharType="end"/>
            </w:r>
          </w:hyperlink>
        </w:p>
        <w:p w14:paraId="3888B0C4" w14:textId="77777777" w:rsidR="00CA780F" w:rsidRPr="00CA780F" w:rsidRDefault="00CA780F" w:rsidP="00CA780F">
          <w:pPr>
            <w:pStyle w:val="TOC1"/>
            <w:tabs>
              <w:tab w:val="right" w:leader="dot" w:pos="9350"/>
            </w:tabs>
            <w:spacing w:line="480" w:lineRule="auto"/>
            <w:rPr>
              <w:rFonts w:asciiTheme="minorHAnsi" w:eastAsiaTheme="minorEastAsia" w:hAnsiTheme="minorHAnsi"/>
              <w:b w:val="0"/>
              <w:bCs/>
              <w:noProof/>
              <w:szCs w:val="24"/>
              <w:lang w:val="en-US"/>
            </w:rPr>
          </w:pPr>
          <w:hyperlink w:anchor="_Toc210666024" w:history="1">
            <w:r w:rsidRPr="00CA780F">
              <w:rPr>
                <w:rStyle w:val="Hyperlink"/>
                <w:rFonts w:cs="Times New Roman"/>
                <w:b w:val="0"/>
                <w:bCs/>
                <w:noProof/>
              </w:rPr>
              <w:t>6. Stakeholder Engagement Process and Conflict Management</w:t>
            </w:r>
            <w:r w:rsidRPr="00CA780F">
              <w:rPr>
                <w:b w:val="0"/>
                <w:bCs/>
                <w:noProof/>
                <w:webHidden/>
              </w:rPr>
              <w:tab/>
            </w:r>
            <w:r w:rsidRPr="00CA780F">
              <w:rPr>
                <w:b w:val="0"/>
                <w:bCs/>
                <w:noProof/>
                <w:webHidden/>
              </w:rPr>
              <w:fldChar w:fldCharType="begin"/>
            </w:r>
            <w:r w:rsidRPr="00CA780F">
              <w:rPr>
                <w:b w:val="0"/>
                <w:bCs/>
                <w:noProof/>
                <w:webHidden/>
              </w:rPr>
              <w:instrText xml:space="preserve"> PAGEREF _Toc210666024 \h </w:instrText>
            </w:r>
            <w:r w:rsidRPr="00CA780F">
              <w:rPr>
                <w:b w:val="0"/>
                <w:bCs/>
                <w:noProof/>
                <w:webHidden/>
              </w:rPr>
            </w:r>
            <w:r w:rsidRPr="00CA780F">
              <w:rPr>
                <w:b w:val="0"/>
                <w:bCs/>
                <w:noProof/>
                <w:webHidden/>
              </w:rPr>
              <w:fldChar w:fldCharType="separate"/>
            </w:r>
            <w:r w:rsidRPr="00CA780F">
              <w:rPr>
                <w:b w:val="0"/>
                <w:bCs/>
                <w:noProof/>
                <w:webHidden/>
              </w:rPr>
              <w:t>13</w:t>
            </w:r>
            <w:r w:rsidRPr="00CA780F">
              <w:rPr>
                <w:b w:val="0"/>
                <w:bCs/>
                <w:noProof/>
                <w:webHidden/>
              </w:rPr>
              <w:fldChar w:fldCharType="end"/>
            </w:r>
          </w:hyperlink>
        </w:p>
        <w:p w14:paraId="4BCFE27B" w14:textId="77777777" w:rsidR="00CA780F" w:rsidRPr="00CA780F" w:rsidRDefault="00CA780F" w:rsidP="00CA780F">
          <w:pPr>
            <w:pStyle w:val="TOC2"/>
            <w:tabs>
              <w:tab w:val="right" w:leader="dot" w:pos="9350"/>
            </w:tabs>
            <w:spacing w:line="480" w:lineRule="auto"/>
            <w:rPr>
              <w:rFonts w:asciiTheme="minorHAnsi" w:eastAsiaTheme="minorEastAsia" w:hAnsiTheme="minorHAnsi"/>
              <w:b w:val="0"/>
              <w:bCs/>
              <w:noProof/>
              <w:szCs w:val="24"/>
              <w:lang w:val="en-US"/>
            </w:rPr>
          </w:pPr>
          <w:hyperlink w:anchor="_Toc210666025" w:history="1">
            <w:r w:rsidRPr="00CA780F">
              <w:rPr>
                <w:rStyle w:val="Hyperlink"/>
                <w:rFonts w:cs="Times New Roman"/>
                <w:b w:val="0"/>
                <w:bCs/>
                <w:noProof/>
              </w:rPr>
              <w:t>Communication</w:t>
            </w:r>
            <w:r w:rsidRPr="00CA780F">
              <w:rPr>
                <w:b w:val="0"/>
                <w:bCs/>
                <w:noProof/>
                <w:webHidden/>
              </w:rPr>
              <w:tab/>
            </w:r>
            <w:r w:rsidRPr="00CA780F">
              <w:rPr>
                <w:b w:val="0"/>
                <w:bCs/>
                <w:noProof/>
                <w:webHidden/>
              </w:rPr>
              <w:fldChar w:fldCharType="begin"/>
            </w:r>
            <w:r w:rsidRPr="00CA780F">
              <w:rPr>
                <w:b w:val="0"/>
                <w:bCs/>
                <w:noProof/>
                <w:webHidden/>
              </w:rPr>
              <w:instrText xml:space="preserve"> PAGEREF _Toc210666025 \h </w:instrText>
            </w:r>
            <w:r w:rsidRPr="00CA780F">
              <w:rPr>
                <w:b w:val="0"/>
                <w:bCs/>
                <w:noProof/>
                <w:webHidden/>
              </w:rPr>
            </w:r>
            <w:r w:rsidRPr="00CA780F">
              <w:rPr>
                <w:b w:val="0"/>
                <w:bCs/>
                <w:noProof/>
                <w:webHidden/>
              </w:rPr>
              <w:fldChar w:fldCharType="separate"/>
            </w:r>
            <w:r w:rsidRPr="00CA780F">
              <w:rPr>
                <w:b w:val="0"/>
                <w:bCs/>
                <w:noProof/>
                <w:webHidden/>
              </w:rPr>
              <w:t>14</w:t>
            </w:r>
            <w:r w:rsidRPr="00CA780F">
              <w:rPr>
                <w:b w:val="0"/>
                <w:bCs/>
                <w:noProof/>
                <w:webHidden/>
              </w:rPr>
              <w:fldChar w:fldCharType="end"/>
            </w:r>
          </w:hyperlink>
        </w:p>
        <w:p w14:paraId="71B4EE8B" w14:textId="77777777" w:rsidR="00CA780F" w:rsidRPr="00CA780F" w:rsidRDefault="00CA780F" w:rsidP="00CA780F">
          <w:pPr>
            <w:pStyle w:val="TOC2"/>
            <w:tabs>
              <w:tab w:val="right" w:leader="dot" w:pos="9350"/>
            </w:tabs>
            <w:spacing w:line="480" w:lineRule="auto"/>
            <w:rPr>
              <w:rFonts w:asciiTheme="minorHAnsi" w:eastAsiaTheme="minorEastAsia" w:hAnsiTheme="minorHAnsi"/>
              <w:b w:val="0"/>
              <w:bCs/>
              <w:noProof/>
              <w:szCs w:val="24"/>
              <w:lang w:val="en-US"/>
            </w:rPr>
          </w:pPr>
          <w:hyperlink w:anchor="_Toc210666026" w:history="1">
            <w:r w:rsidRPr="00CA780F">
              <w:rPr>
                <w:rStyle w:val="Hyperlink"/>
                <w:rFonts w:cs="Times New Roman"/>
                <w:b w:val="0"/>
                <w:bCs/>
                <w:noProof/>
              </w:rPr>
              <w:t>Coordination</w:t>
            </w:r>
            <w:r w:rsidRPr="00CA780F">
              <w:rPr>
                <w:b w:val="0"/>
                <w:bCs/>
                <w:noProof/>
                <w:webHidden/>
              </w:rPr>
              <w:tab/>
            </w:r>
            <w:r w:rsidRPr="00CA780F">
              <w:rPr>
                <w:b w:val="0"/>
                <w:bCs/>
                <w:noProof/>
                <w:webHidden/>
              </w:rPr>
              <w:fldChar w:fldCharType="begin"/>
            </w:r>
            <w:r w:rsidRPr="00CA780F">
              <w:rPr>
                <w:b w:val="0"/>
                <w:bCs/>
                <w:noProof/>
                <w:webHidden/>
              </w:rPr>
              <w:instrText xml:space="preserve"> PAGEREF _Toc210666026 \h </w:instrText>
            </w:r>
            <w:r w:rsidRPr="00CA780F">
              <w:rPr>
                <w:b w:val="0"/>
                <w:bCs/>
                <w:noProof/>
                <w:webHidden/>
              </w:rPr>
            </w:r>
            <w:r w:rsidRPr="00CA780F">
              <w:rPr>
                <w:b w:val="0"/>
                <w:bCs/>
                <w:noProof/>
                <w:webHidden/>
              </w:rPr>
              <w:fldChar w:fldCharType="separate"/>
            </w:r>
            <w:r w:rsidRPr="00CA780F">
              <w:rPr>
                <w:b w:val="0"/>
                <w:bCs/>
                <w:noProof/>
                <w:webHidden/>
              </w:rPr>
              <w:t>14</w:t>
            </w:r>
            <w:r w:rsidRPr="00CA780F">
              <w:rPr>
                <w:b w:val="0"/>
                <w:bCs/>
                <w:noProof/>
                <w:webHidden/>
              </w:rPr>
              <w:fldChar w:fldCharType="end"/>
            </w:r>
          </w:hyperlink>
        </w:p>
        <w:p w14:paraId="445A71BE" w14:textId="77777777" w:rsidR="00CA780F" w:rsidRPr="00CA780F" w:rsidRDefault="00CA780F" w:rsidP="00CA780F">
          <w:pPr>
            <w:pStyle w:val="TOC2"/>
            <w:tabs>
              <w:tab w:val="right" w:leader="dot" w:pos="9350"/>
            </w:tabs>
            <w:spacing w:line="480" w:lineRule="auto"/>
            <w:rPr>
              <w:rFonts w:asciiTheme="minorHAnsi" w:eastAsiaTheme="minorEastAsia" w:hAnsiTheme="minorHAnsi"/>
              <w:b w:val="0"/>
              <w:bCs/>
              <w:noProof/>
              <w:szCs w:val="24"/>
              <w:lang w:val="en-US"/>
            </w:rPr>
          </w:pPr>
          <w:hyperlink w:anchor="_Toc210666027" w:history="1">
            <w:r w:rsidRPr="00CA780F">
              <w:rPr>
                <w:rStyle w:val="Hyperlink"/>
                <w:rFonts w:cs="Times New Roman"/>
                <w:b w:val="0"/>
                <w:bCs/>
                <w:noProof/>
              </w:rPr>
              <w:t>Cooperation</w:t>
            </w:r>
            <w:r w:rsidRPr="00CA780F">
              <w:rPr>
                <w:b w:val="0"/>
                <w:bCs/>
                <w:noProof/>
                <w:webHidden/>
              </w:rPr>
              <w:tab/>
            </w:r>
            <w:r w:rsidRPr="00CA780F">
              <w:rPr>
                <w:b w:val="0"/>
                <w:bCs/>
                <w:noProof/>
                <w:webHidden/>
              </w:rPr>
              <w:fldChar w:fldCharType="begin"/>
            </w:r>
            <w:r w:rsidRPr="00CA780F">
              <w:rPr>
                <w:b w:val="0"/>
                <w:bCs/>
                <w:noProof/>
                <w:webHidden/>
              </w:rPr>
              <w:instrText xml:space="preserve"> PAGEREF _Toc210666027 \h </w:instrText>
            </w:r>
            <w:r w:rsidRPr="00CA780F">
              <w:rPr>
                <w:b w:val="0"/>
                <w:bCs/>
                <w:noProof/>
                <w:webHidden/>
              </w:rPr>
            </w:r>
            <w:r w:rsidRPr="00CA780F">
              <w:rPr>
                <w:b w:val="0"/>
                <w:bCs/>
                <w:noProof/>
                <w:webHidden/>
              </w:rPr>
              <w:fldChar w:fldCharType="separate"/>
            </w:r>
            <w:r w:rsidRPr="00CA780F">
              <w:rPr>
                <w:b w:val="0"/>
                <w:bCs/>
                <w:noProof/>
                <w:webHidden/>
              </w:rPr>
              <w:t>15</w:t>
            </w:r>
            <w:r w:rsidRPr="00CA780F">
              <w:rPr>
                <w:b w:val="0"/>
                <w:bCs/>
                <w:noProof/>
                <w:webHidden/>
              </w:rPr>
              <w:fldChar w:fldCharType="end"/>
            </w:r>
          </w:hyperlink>
        </w:p>
        <w:p w14:paraId="411BA4A1" w14:textId="77777777" w:rsidR="00CA780F" w:rsidRPr="00CA780F" w:rsidRDefault="00CA780F" w:rsidP="00CA780F">
          <w:pPr>
            <w:pStyle w:val="TOC2"/>
            <w:tabs>
              <w:tab w:val="right" w:leader="dot" w:pos="9350"/>
            </w:tabs>
            <w:spacing w:line="480" w:lineRule="auto"/>
            <w:rPr>
              <w:rFonts w:asciiTheme="minorHAnsi" w:eastAsiaTheme="minorEastAsia" w:hAnsiTheme="minorHAnsi"/>
              <w:b w:val="0"/>
              <w:bCs/>
              <w:noProof/>
              <w:szCs w:val="24"/>
              <w:lang w:val="en-US"/>
            </w:rPr>
          </w:pPr>
          <w:hyperlink w:anchor="_Toc210666028" w:history="1">
            <w:r w:rsidRPr="00CA780F">
              <w:rPr>
                <w:rStyle w:val="Hyperlink"/>
                <w:rFonts w:cs="Times New Roman"/>
                <w:b w:val="0"/>
                <w:bCs/>
                <w:noProof/>
              </w:rPr>
              <w:t>Collaboration</w:t>
            </w:r>
            <w:r w:rsidRPr="00CA780F">
              <w:rPr>
                <w:b w:val="0"/>
                <w:bCs/>
                <w:noProof/>
                <w:webHidden/>
              </w:rPr>
              <w:tab/>
            </w:r>
            <w:r w:rsidRPr="00CA780F">
              <w:rPr>
                <w:b w:val="0"/>
                <w:bCs/>
                <w:noProof/>
                <w:webHidden/>
              </w:rPr>
              <w:fldChar w:fldCharType="begin"/>
            </w:r>
            <w:r w:rsidRPr="00CA780F">
              <w:rPr>
                <w:b w:val="0"/>
                <w:bCs/>
                <w:noProof/>
                <w:webHidden/>
              </w:rPr>
              <w:instrText xml:space="preserve"> PAGEREF _Toc210666028 \h </w:instrText>
            </w:r>
            <w:r w:rsidRPr="00CA780F">
              <w:rPr>
                <w:b w:val="0"/>
                <w:bCs/>
                <w:noProof/>
                <w:webHidden/>
              </w:rPr>
            </w:r>
            <w:r w:rsidRPr="00CA780F">
              <w:rPr>
                <w:b w:val="0"/>
                <w:bCs/>
                <w:noProof/>
                <w:webHidden/>
              </w:rPr>
              <w:fldChar w:fldCharType="separate"/>
            </w:r>
            <w:r w:rsidRPr="00CA780F">
              <w:rPr>
                <w:b w:val="0"/>
                <w:bCs/>
                <w:noProof/>
                <w:webHidden/>
              </w:rPr>
              <w:t>15</w:t>
            </w:r>
            <w:r w:rsidRPr="00CA780F">
              <w:rPr>
                <w:b w:val="0"/>
                <w:bCs/>
                <w:noProof/>
                <w:webHidden/>
              </w:rPr>
              <w:fldChar w:fldCharType="end"/>
            </w:r>
          </w:hyperlink>
        </w:p>
        <w:p w14:paraId="67FFE85E" w14:textId="77777777" w:rsidR="00CA780F" w:rsidRPr="00CA780F" w:rsidRDefault="00CA780F" w:rsidP="00CA780F">
          <w:pPr>
            <w:pStyle w:val="TOC2"/>
            <w:tabs>
              <w:tab w:val="right" w:leader="dot" w:pos="9350"/>
            </w:tabs>
            <w:spacing w:line="480" w:lineRule="auto"/>
            <w:rPr>
              <w:rFonts w:asciiTheme="minorHAnsi" w:eastAsiaTheme="minorEastAsia" w:hAnsiTheme="minorHAnsi"/>
              <w:b w:val="0"/>
              <w:bCs/>
              <w:noProof/>
              <w:szCs w:val="24"/>
              <w:lang w:val="en-US"/>
            </w:rPr>
          </w:pPr>
          <w:hyperlink w:anchor="_Toc210666029" w:history="1">
            <w:r w:rsidRPr="00CA780F">
              <w:rPr>
                <w:rStyle w:val="Hyperlink"/>
                <w:rFonts w:cs="Times New Roman"/>
                <w:b w:val="0"/>
                <w:bCs/>
                <w:noProof/>
              </w:rPr>
              <w:t>Conflict Management</w:t>
            </w:r>
            <w:r w:rsidRPr="00CA780F">
              <w:rPr>
                <w:b w:val="0"/>
                <w:bCs/>
                <w:noProof/>
                <w:webHidden/>
              </w:rPr>
              <w:tab/>
            </w:r>
            <w:r w:rsidRPr="00CA780F">
              <w:rPr>
                <w:b w:val="0"/>
                <w:bCs/>
                <w:noProof/>
                <w:webHidden/>
              </w:rPr>
              <w:fldChar w:fldCharType="begin"/>
            </w:r>
            <w:r w:rsidRPr="00CA780F">
              <w:rPr>
                <w:b w:val="0"/>
                <w:bCs/>
                <w:noProof/>
                <w:webHidden/>
              </w:rPr>
              <w:instrText xml:space="preserve"> PAGEREF _Toc210666029 \h </w:instrText>
            </w:r>
            <w:r w:rsidRPr="00CA780F">
              <w:rPr>
                <w:b w:val="0"/>
                <w:bCs/>
                <w:noProof/>
                <w:webHidden/>
              </w:rPr>
            </w:r>
            <w:r w:rsidRPr="00CA780F">
              <w:rPr>
                <w:b w:val="0"/>
                <w:bCs/>
                <w:noProof/>
                <w:webHidden/>
              </w:rPr>
              <w:fldChar w:fldCharType="separate"/>
            </w:r>
            <w:r w:rsidRPr="00CA780F">
              <w:rPr>
                <w:b w:val="0"/>
                <w:bCs/>
                <w:noProof/>
                <w:webHidden/>
              </w:rPr>
              <w:t>16</w:t>
            </w:r>
            <w:r w:rsidRPr="00CA780F">
              <w:rPr>
                <w:b w:val="0"/>
                <w:bCs/>
                <w:noProof/>
                <w:webHidden/>
              </w:rPr>
              <w:fldChar w:fldCharType="end"/>
            </w:r>
          </w:hyperlink>
        </w:p>
        <w:p w14:paraId="1F857A25" w14:textId="77777777" w:rsidR="00CA780F" w:rsidRPr="00CA780F" w:rsidRDefault="00CA780F" w:rsidP="00CA780F">
          <w:pPr>
            <w:pStyle w:val="TOC1"/>
            <w:tabs>
              <w:tab w:val="right" w:leader="dot" w:pos="9350"/>
            </w:tabs>
            <w:spacing w:line="480" w:lineRule="auto"/>
            <w:rPr>
              <w:rFonts w:asciiTheme="minorHAnsi" w:eastAsiaTheme="minorEastAsia" w:hAnsiTheme="minorHAnsi"/>
              <w:b w:val="0"/>
              <w:bCs/>
              <w:noProof/>
              <w:szCs w:val="24"/>
              <w:lang w:val="en-US"/>
            </w:rPr>
          </w:pPr>
          <w:hyperlink w:anchor="_Toc210666030" w:history="1">
            <w:r w:rsidRPr="00CA780F">
              <w:rPr>
                <w:rStyle w:val="Hyperlink"/>
                <w:rFonts w:cs="Times New Roman"/>
                <w:b w:val="0"/>
                <w:bCs/>
                <w:noProof/>
              </w:rPr>
              <w:t>7. Evaluation of Stakeholder Engagement Impact</w:t>
            </w:r>
            <w:r w:rsidRPr="00CA780F">
              <w:rPr>
                <w:b w:val="0"/>
                <w:bCs/>
                <w:noProof/>
                <w:webHidden/>
              </w:rPr>
              <w:tab/>
            </w:r>
            <w:r w:rsidRPr="00CA780F">
              <w:rPr>
                <w:b w:val="0"/>
                <w:bCs/>
                <w:noProof/>
                <w:webHidden/>
              </w:rPr>
              <w:fldChar w:fldCharType="begin"/>
            </w:r>
            <w:r w:rsidRPr="00CA780F">
              <w:rPr>
                <w:b w:val="0"/>
                <w:bCs/>
                <w:noProof/>
                <w:webHidden/>
              </w:rPr>
              <w:instrText xml:space="preserve"> PAGEREF _Toc210666030 \h </w:instrText>
            </w:r>
            <w:r w:rsidRPr="00CA780F">
              <w:rPr>
                <w:b w:val="0"/>
                <w:bCs/>
                <w:noProof/>
                <w:webHidden/>
              </w:rPr>
            </w:r>
            <w:r w:rsidRPr="00CA780F">
              <w:rPr>
                <w:b w:val="0"/>
                <w:bCs/>
                <w:noProof/>
                <w:webHidden/>
              </w:rPr>
              <w:fldChar w:fldCharType="separate"/>
            </w:r>
            <w:r w:rsidRPr="00CA780F">
              <w:rPr>
                <w:b w:val="0"/>
                <w:bCs/>
                <w:noProof/>
                <w:webHidden/>
              </w:rPr>
              <w:t>16</w:t>
            </w:r>
            <w:r w:rsidRPr="00CA780F">
              <w:rPr>
                <w:b w:val="0"/>
                <w:bCs/>
                <w:noProof/>
                <w:webHidden/>
              </w:rPr>
              <w:fldChar w:fldCharType="end"/>
            </w:r>
          </w:hyperlink>
        </w:p>
        <w:p w14:paraId="2C681080" w14:textId="77777777" w:rsidR="00CA780F" w:rsidRPr="00CA780F" w:rsidRDefault="00CA780F" w:rsidP="00CA780F">
          <w:pPr>
            <w:pStyle w:val="TOC2"/>
            <w:tabs>
              <w:tab w:val="right" w:leader="dot" w:pos="9350"/>
            </w:tabs>
            <w:spacing w:line="480" w:lineRule="auto"/>
            <w:rPr>
              <w:rFonts w:asciiTheme="minorHAnsi" w:eastAsiaTheme="minorEastAsia" w:hAnsiTheme="minorHAnsi"/>
              <w:b w:val="0"/>
              <w:bCs/>
              <w:noProof/>
              <w:szCs w:val="24"/>
              <w:lang w:val="en-US"/>
            </w:rPr>
          </w:pPr>
          <w:hyperlink w:anchor="_Toc210666031" w:history="1">
            <w:r w:rsidRPr="00CA780F">
              <w:rPr>
                <w:rStyle w:val="Hyperlink"/>
                <w:rFonts w:cs="Times New Roman"/>
                <w:b w:val="0"/>
                <w:bCs/>
                <w:noProof/>
              </w:rPr>
              <w:t>Impact on Organisational Performance</w:t>
            </w:r>
            <w:r w:rsidRPr="00CA780F">
              <w:rPr>
                <w:b w:val="0"/>
                <w:bCs/>
                <w:noProof/>
                <w:webHidden/>
              </w:rPr>
              <w:tab/>
            </w:r>
            <w:r w:rsidRPr="00CA780F">
              <w:rPr>
                <w:b w:val="0"/>
                <w:bCs/>
                <w:noProof/>
                <w:webHidden/>
              </w:rPr>
              <w:fldChar w:fldCharType="begin"/>
            </w:r>
            <w:r w:rsidRPr="00CA780F">
              <w:rPr>
                <w:b w:val="0"/>
                <w:bCs/>
                <w:noProof/>
                <w:webHidden/>
              </w:rPr>
              <w:instrText xml:space="preserve"> PAGEREF _Toc210666031 \h </w:instrText>
            </w:r>
            <w:r w:rsidRPr="00CA780F">
              <w:rPr>
                <w:b w:val="0"/>
                <w:bCs/>
                <w:noProof/>
                <w:webHidden/>
              </w:rPr>
            </w:r>
            <w:r w:rsidRPr="00CA780F">
              <w:rPr>
                <w:b w:val="0"/>
                <w:bCs/>
                <w:noProof/>
                <w:webHidden/>
              </w:rPr>
              <w:fldChar w:fldCharType="separate"/>
            </w:r>
            <w:r w:rsidRPr="00CA780F">
              <w:rPr>
                <w:b w:val="0"/>
                <w:bCs/>
                <w:noProof/>
                <w:webHidden/>
              </w:rPr>
              <w:t>17</w:t>
            </w:r>
            <w:r w:rsidRPr="00CA780F">
              <w:rPr>
                <w:b w:val="0"/>
                <w:bCs/>
                <w:noProof/>
                <w:webHidden/>
              </w:rPr>
              <w:fldChar w:fldCharType="end"/>
            </w:r>
          </w:hyperlink>
        </w:p>
        <w:p w14:paraId="5F9D688F" w14:textId="77777777" w:rsidR="00CA780F" w:rsidRPr="00CA780F" w:rsidRDefault="00CA780F" w:rsidP="00CA780F">
          <w:pPr>
            <w:pStyle w:val="TOC2"/>
            <w:tabs>
              <w:tab w:val="right" w:leader="dot" w:pos="9350"/>
            </w:tabs>
            <w:spacing w:line="480" w:lineRule="auto"/>
            <w:rPr>
              <w:rFonts w:asciiTheme="minorHAnsi" w:eastAsiaTheme="minorEastAsia" w:hAnsiTheme="minorHAnsi"/>
              <w:b w:val="0"/>
              <w:bCs/>
              <w:noProof/>
              <w:szCs w:val="24"/>
              <w:lang w:val="en-US"/>
            </w:rPr>
          </w:pPr>
          <w:hyperlink w:anchor="_Toc210666032" w:history="1">
            <w:r w:rsidRPr="00CA780F">
              <w:rPr>
                <w:rStyle w:val="Hyperlink"/>
                <w:rFonts w:cs="Times New Roman"/>
                <w:b w:val="0"/>
                <w:bCs/>
                <w:noProof/>
              </w:rPr>
              <w:t>Impact on Risk Management and Compliance</w:t>
            </w:r>
            <w:r w:rsidRPr="00CA780F">
              <w:rPr>
                <w:b w:val="0"/>
                <w:bCs/>
                <w:noProof/>
                <w:webHidden/>
              </w:rPr>
              <w:tab/>
            </w:r>
            <w:r w:rsidRPr="00CA780F">
              <w:rPr>
                <w:b w:val="0"/>
                <w:bCs/>
                <w:noProof/>
                <w:webHidden/>
              </w:rPr>
              <w:fldChar w:fldCharType="begin"/>
            </w:r>
            <w:r w:rsidRPr="00CA780F">
              <w:rPr>
                <w:b w:val="0"/>
                <w:bCs/>
                <w:noProof/>
                <w:webHidden/>
              </w:rPr>
              <w:instrText xml:space="preserve"> PAGEREF _Toc210666032 \h </w:instrText>
            </w:r>
            <w:r w:rsidRPr="00CA780F">
              <w:rPr>
                <w:b w:val="0"/>
                <w:bCs/>
                <w:noProof/>
                <w:webHidden/>
              </w:rPr>
            </w:r>
            <w:r w:rsidRPr="00CA780F">
              <w:rPr>
                <w:b w:val="0"/>
                <w:bCs/>
                <w:noProof/>
                <w:webHidden/>
              </w:rPr>
              <w:fldChar w:fldCharType="separate"/>
            </w:r>
            <w:r w:rsidRPr="00CA780F">
              <w:rPr>
                <w:b w:val="0"/>
                <w:bCs/>
                <w:noProof/>
                <w:webHidden/>
              </w:rPr>
              <w:t>17</w:t>
            </w:r>
            <w:r w:rsidRPr="00CA780F">
              <w:rPr>
                <w:b w:val="0"/>
                <w:bCs/>
                <w:noProof/>
                <w:webHidden/>
              </w:rPr>
              <w:fldChar w:fldCharType="end"/>
            </w:r>
          </w:hyperlink>
        </w:p>
        <w:p w14:paraId="427B4BF9" w14:textId="77777777" w:rsidR="00CA780F" w:rsidRPr="00CA780F" w:rsidRDefault="00CA780F" w:rsidP="00CA780F">
          <w:pPr>
            <w:pStyle w:val="TOC2"/>
            <w:tabs>
              <w:tab w:val="right" w:leader="dot" w:pos="9350"/>
            </w:tabs>
            <w:spacing w:line="480" w:lineRule="auto"/>
            <w:rPr>
              <w:rFonts w:asciiTheme="minorHAnsi" w:eastAsiaTheme="minorEastAsia" w:hAnsiTheme="minorHAnsi"/>
              <w:b w:val="0"/>
              <w:bCs/>
              <w:noProof/>
              <w:szCs w:val="24"/>
              <w:lang w:val="en-US"/>
            </w:rPr>
          </w:pPr>
          <w:hyperlink w:anchor="_Toc210666033" w:history="1">
            <w:r w:rsidRPr="00CA780F">
              <w:rPr>
                <w:rStyle w:val="Hyperlink"/>
                <w:rFonts w:cs="Times New Roman"/>
                <w:b w:val="0"/>
                <w:bCs/>
                <w:noProof/>
              </w:rPr>
              <w:t>Impact on Innovation and Competitive Advantage</w:t>
            </w:r>
            <w:r w:rsidRPr="00CA780F">
              <w:rPr>
                <w:b w:val="0"/>
                <w:bCs/>
                <w:noProof/>
                <w:webHidden/>
              </w:rPr>
              <w:tab/>
            </w:r>
            <w:r w:rsidRPr="00CA780F">
              <w:rPr>
                <w:b w:val="0"/>
                <w:bCs/>
                <w:noProof/>
                <w:webHidden/>
              </w:rPr>
              <w:fldChar w:fldCharType="begin"/>
            </w:r>
            <w:r w:rsidRPr="00CA780F">
              <w:rPr>
                <w:b w:val="0"/>
                <w:bCs/>
                <w:noProof/>
                <w:webHidden/>
              </w:rPr>
              <w:instrText xml:space="preserve"> PAGEREF _Toc210666033 \h </w:instrText>
            </w:r>
            <w:r w:rsidRPr="00CA780F">
              <w:rPr>
                <w:b w:val="0"/>
                <w:bCs/>
                <w:noProof/>
                <w:webHidden/>
              </w:rPr>
            </w:r>
            <w:r w:rsidRPr="00CA780F">
              <w:rPr>
                <w:b w:val="0"/>
                <w:bCs/>
                <w:noProof/>
                <w:webHidden/>
              </w:rPr>
              <w:fldChar w:fldCharType="separate"/>
            </w:r>
            <w:r w:rsidRPr="00CA780F">
              <w:rPr>
                <w:b w:val="0"/>
                <w:bCs/>
                <w:noProof/>
                <w:webHidden/>
              </w:rPr>
              <w:t>18</w:t>
            </w:r>
            <w:r w:rsidRPr="00CA780F">
              <w:rPr>
                <w:b w:val="0"/>
                <w:bCs/>
                <w:noProof/>
                <w:webHidden/>
              </w:rPr>
              <w:fldChar w:fldCharType="end"/>
            </w:r>
          </w:hyperlink>
        </w:p>
        <w:p w14:paraId="3C271907" w14:textId="77777777" w:rsidR="00CA780F" w:rsidRPr="00CA780F" w:rsidRDefault="00CA780F" w:rsidP="00CA780F">
          <w:pPr>
            <w:pStyle w:val="TOC2"/>
            <w:tabs>
              <w:tab w:val="right" w:leader="dot" w:pos="9350"/>
            </w:tabs>
            <w:spacing w:line="480" w:lineRule="auto"/>
            <w:rPr>
              <w:rFonts w:asciiTheme="minorHAnsi" w:eastAsiaTheme="minorEastAsia" w:hAnsiTheme="minorHAnsi"/>
              <w:b w:val="0"/>
              <w:bCs/>
              <w:noProof/>
              <w:szCs w:val="24"/>
              <w:lang w:val="en-US"/>
            </w:rPr>
          </w:pPr>
          <w:hyperlink w:anchor="_Toc210666034" w:history="1">
            <w:r w:rsidRPr="00CA780F">
              <w:rPr>
                <w:rStyle w:val="Hyperlink"/>
                <w:rFonts w:cs="Times New Roman"/>
                <w:b w:val="0"/>
                <w:bCs/>
                <w:noProof/>
              </w:rPr>
              <w:t>Quantitative and Qualitative Indicators of Impact</w:t>
            </w:r>
            <w:r w:rsidRPr="00CA780F">
              <w:rPr>
                <w:b w:val="0"/>
                <w:bCs/>
                <w:noProof/>
                <w:webHidden/>
              </w:rPr>
              <w:tab/>
            </w:r>
            <w:r w:rsidRPr="00CA780F">
              <w:rPr>
                <w:b w:val="0"/>
                <w:bCs/>
                <w:noProof/>
                <w:webHidden/>
              </w:rPr>
              <w:fldChar w:fldCharType="begin"/>
            </w:r>
            <w:r w:rsidRPr="00CA780F">
              <w:rPr>
                <w:b w:val="0"/>
                <w:bCs/>
                <w:noProof/>
                <w:webHidden/>
              </w:rPr>
              <w:instrText xml:space="preserve"> PAGEREF _Toc210666034 \h </w:instrText>
            </w:r>
            <w:r w:rsidRPr="00CA780F">
              <w:rPr>
                <w:b w:val="0"/>
                <w:bCs/>
                <w:noProof/>
                <w:webHidden/>
              </w:rPr>
            </w:r>
            <w:r w:rsidRPr="00CA780F">
              <w:rPr>
                <w:b w:val="0"/>
                <w:bCs/>
                <w:noProof/>
                <w:webHidden/>
              </w:rPr>
              <w:fldChar w:fldCharType="separate"/>
            </w:r>
            <w:r w:rsidRPr="00CA780F">
              <w:rPr>
                <w:b w:val="0"/>
                <w:bCs/>
                <w:noProof/>
                <w:webHidden/>
              </w:rPr>
              <w:t>19</w:t>
            </w:r>
            <w:r w:rsidRPr="00CA780F">
              <w:rPr>
                <w:b w:val="0"/>
                <w:bCs/>
                <w:noProof/>
                <w:webHidden/>
              </w:rPr>
              <w:fldChar w:fldCharType="end"/>
            </w:r>
          </w:hyperlink>
        </w:p>
        <w:p w14:paraId="7474B943" w14:textId="77777777" w:rsidR="00CA780F" w:rsidRPr="00CA780F" w:rsidRDefault="00CA780F" w:rsidP="00CA780F">
          <w:pPr>
            <w:pStyle w:val="TOC2"/>
            <w:tabs>
              <w:tab w:val="right" w:leader="dot" w:pos="9350"/>
            </w:tabs>
            <w:spacing w:line="480" w:lineRule="auto"/>
            <w:rPr>
              <w:rFonts w:asciiTheme="minorHAnsi" w:eastAsiaTheme="minorEastAsia" w:hAnsiTheme="minorHAnsi"/>
              <w:b w:val="0"/>
              <w:bCs/>
              <w:noProof/>
              <w:szCs w:val="24"/>
              <w:lang w:val="en-US"/>
            </w:rPr>
          </w:pPr>
          <w:hyperlink w:anchor="_Toc210666035" w:history="1">
            <w:r w:rsidRPr="00CA780F">
              <w:rPr>
                <w:rStyle w:val="Hyperlink"/>
                <w:rFonts w:cs="Times New Roman"/>
                <w:b w:val="0"/>
                <w:bCs/>
                <w:noProof/>
              </w:rPr>
              <w:t>Summary of Evaluation</w:t>
            </w:r>
            <w:r w:rsidRPr="00CA780F">
              <w:rPr>
                <w:b w:val="0"/>
                <w:bCs/>
                <w:noProof/>
                <w:webHidden/>
              </w:rPr>
              <w:tab/>
            </w:r>
            <w:r w:rsidRPr="00CA780F">
              <w:rPr>
                <w:b w:val="0"/>
                <w:bCs/>
                <w:noProof/>
                <w:webHidden/>
              </w:rPr>
              <w:fldChar w:fldCharType="begin"/>
            </w:r>
            <w:r w:rsidRPr="00CA780F">
              <w:rPr>
                <w:b w:val="0"/>
                <w:bCs/>
                <w:noProof/>
                <w:webHidden/>
              </w:rPr>
              <w:instrText xml:space="preserve"> PAGEREF _Toc210666035 \h </w:instrText>
            </w:r>
            <w:r w:rsidRPr="00CA780F">
              <w:rPr>
                <w:b w:val="0"/>
                <w:bCs/>
                <w:noProof/>
                <w:webHidden/>
              </w:rPr>
            </w:r>
            <w:r w:rsidRPr="00CA780F">
              <w:rPr>
                <w:b w:val="0"/>
                <w:bCs/>
                <w:noProof/>
                <w:webHidden/>
              </w:rPr>
              <w:fldChar w:fldCharType="separate"/>
            </w:r>
            <w:r w:rsidRPr="00CA780F">
              <w:rPr>
                <w:b w:val="0"/>
                <w:bCs/>
                <w:noProof/>
                <w:webHidden/>
              </w:rPr>
              <w:t>19</w:t>
            </w:r>
            <w:r w:rsidRPr="00CA780F">
              <w:rPr>
                <w:b w:val="0"/>
                <w:bCs/>
                <w:noProof/>
                <w:webHidden/>
              </w:rPr>
              <w:fldChar w:fldCharType="end"/>
            </w:r>
          </w:hyperlink>
        </w:p>
        <w:p w14:paraId="6A1D88EE" w14:textId="77777777" w:rsidR="00CA780F" w:rsidRPr="00CA780F" w:rsidRDefault="00CA780F" w:rsidP="00CA780F">
          <w:pPr>
            <w:pStyle w:val="TOC1"/>
            <w:tabs>
              <w:tab w:val="right" w:leader="dot" w:pos="9350"/>
            </w:tabs>
            <w:spacing w:line="480" w:lineRule="auto"/>
            <w:rPr>
              <w:rFonts w:asciiTheme="minorHAnsi" w:eastAsiaTheme="minorEastAsia" w:hAnsiTheme="minorHAnsi"/>
              <w:b w:val="0"/>
              <w:bCs/>
              <w:noProof/>
              <w:szCs w:val="24"/>
              <w:lang w:val="en-US"/>
            </w:rPr>
          </w:pPr>
          <w:hyperlink w:anchor="_Toc210666036" w:history="1">
            <w:r w:rsidRPr="00CA780F">
              <w:rPr>
                <w:rStyle w:val="Hyperlink"/>
                <w:rFonts w:cs="Times New Roman"/>
                <w:b w:val="0"/>
                <w:bCs/>
                <w:noProof/>
              </w:rPr>
              <w:t>8. Recommendations for Future Stakeholder Engagement</w:t>
            </w:r>
            <w:r w:rsidRPr="00CA780F">
              <w:rPr>
                <w:b w:val="0"/>
                <w:bCs/>
                <w:noProof/>
                <w:webHidden/>
              </w:rPr>
              <w:tab/>
            </w:r>
            <w:r w:rsidRPr="00CA780F">
              <w:rPr>
                <w:b w:val="0"/>
                <w:bCs/>
                <w:noProof/>
                <w:webHidden/>
              </w:rPr>
              <w:fldChar w:fldCharType="begin"/>
            </w:r>
            <w:r w:rsidRPr="00CA780F">
              <w:rPr>
                <w:b w:val="0"/>
                <w:bCs/>
                <w:noProof/>
                <w:webHidden/>
              </w:rPr>
              <w:instrText xml:space="preserve"> PAGEREF _Toc210666036 \h </w:instrText>
            </w:r>
            <w:r w:rsidRPr="00CA780F">
              <w:rPr>
                <w:b w:val="0"/>
                <w:bCs/>
                <w:noProof/>
                <w:webHidden/>
              </w:rPr>
            </w:r>
            <w:r w:rsidRPr="00CA780F">
              <w:rPr>
                <w:b w:val="0"/>
                <w:bCs/>
                <w:noProof/>
                <w:webHidden/>
              </w:rPr>
              <w:fldChar w:fldCharType="separate"/>
            </w:r>
            <w:r w:rsidRPr="00CA780F">
              <w:rPr>
                <w:b w:val="0"/>
                <w:bCs/>
                <w:noProof/>
                <w:webHidden/>
              </w:rPr>
              <w:t>20</w:t>
            </w:r>
            <w:r w:rsidRPr="00CA780F">
              <w:rPr>
                <w:b w:val="0"/>
                <w:bCs/>
                <w:noProof/>
                <w:webHidden/>
              </w:rPr>
              <w:fldChar w:fldCharType="end"/>
            </w:r>
          </w:hyperlink>
        </w:p>
        <w:p w14:paraId="5E345911" w14:textId="77777777" w:rsidR="00CA780F" w:rsidRPr="00CA780F" w:rsidRDefault="00CA780F" w:rsidP="00CA780F">
          <w:pPr>
            <w:pStyle w:val="TOC1"/>
            <w:tabs>
              <w:tab w:val="right" w:leader="dot" w:pos="9350"/>
            </w:tabs>
            <w:spacing w:line="480" w:lineRule="auto"/>
            <w:rPr>
              <w:rFonts w:asciiTheme="minorHAnsi" w:eastAsiaTheme="minorEastAsia" w:hAnsiTheme="minorHAnsi"/>
              <w:b w:val="0"/>
              <w:bCs/>
              <w:noProof/>
              <w:szCs w:val="24"/>
              <w:lang w:val="en-US"/>
            </w:rPr>
          </w:pPr>
          <w:hyperlink w:anchor="_Toc210666037" w:history="1">
            <w:r w:rsidRPr="00CA780F">
              <w:rPr>
                <w:rStyle w:val="Hyperlink"/>
                <w:rFonts w:cs="Times New Roman"/>
                <w:b w:val="0"/>
                <w:bCs/>
                <w:noProof/>
              </w:rPr>
              <w:t>9. Conclusion</w:t>
            </w:r>
            <w:r w:rsidRPr="00CA780F">
              <w:rPr>
                <w:b w:val="0"/>
                <w:bCs/>
                <w:noProof/>
                <w:webHidden/>
              </w:rPr>
              <w:tab/>
            </w:r>
            <w:r w:rsidRPr="00CA780F">
              <w:rPr>
                <w:b w:val="0"/>
                <w:bCs/>
                <w:noProof/>
                <w:webHidden/>
              </w:rPr>
              <w:fldChar w:fldCharType="begin"/>
            </w:r>
            <w:r w:rsidRPr="00CA780F">
              <w:rPr>
                <w:b w:val="0"/>
                <w:bCs/>
                <w:noProof/>
                <w:webHidden/>
              </w:rPr>
              <w:instrText xml:space="preserve"> PAGEREF _Toc210666037 \h </w:instrText>
            </w:r>
            <w:r w:rsidRPr="00CA780F">
              <w:rPr>
                <w:b w:val="0"/>
                <w:bCs/>
                <w:noProof/>
                <w:webHidden/>
              </w:rPr>
            </w:r>
            <w:r w:rsidRPr="00CA780F">
              <w:rPr>
                <w:b w:val="0"/>
                <w:bCs/>
                <w:noProof/>
                <w:webHidden/>
              </w:rPr>
              <w:fldChar w:fldCharType="separate"/>
            </w:r>
            <w:r w:rsidRPr="00CA780F">
              <w:rPr>
                <w:b w:val="0"/>
                <w:bCs/>
                <w:noProof/>
                <w:webHidden/>
              </w:rPr>
              <w:t>21</w:t>
            </w:r>
            <w:r w:rsidRPr="00CA780F">
              <w:rPr>
                <w:b w:val="0"/>
                <w:bCs/>
                <w:noProof/>
                <w:webHidden/>
              </w:rPr>
              <w:fldChar w:fldCharType="end"/>
            </w:r>
          </w:hyperlink>
        </w:p>
        <w:p w14:paraId="7A8003CB" w14:textId="77777777" w:rsidR="00CA780F" w:rsidRDefault="00CA780F" w:rsidP="00CA780F">
          <w:pPr>
            <w:pStyle w:val="TOC1"/>
            <w:tabs>
              <w:tab w:val="right" w:leader="dot" w:pos="9350"/>
            </w:tabs>
            <w:spacing w:line="480" w:lineRule="auto"/>
            <w:rPr>
              <w:rFonts w:asciiTheme="minorHAnsi" w:eastAsiaTheme="minorEastAsia" w:hAnsiTheme="minorHAnsi"/>
              <w:b w:val="0"/>
              <w:noProof/>
              <w:szCs w:val="24"/>
              <w:lang w:val="en-US"/>
            </w:rPr>
          </w:pPr>
          <w:hyperlink w:anchor="_Toc210666038" w:history="1">
            <w:r w:rsidRPr="00CA780F">
              <w:rPr>
                <w:rStyle w:val="Hyperlink"/>
                <w:rFonts w:cs="Times New Roman"/>
                <w:b w:val="0"/>
                <w:bCs/>
                <w:noProof/>
              </w:rPr>
              <w:t>References</w:t>
            </w:r>
            <w:r w:rsidRPr="00CA780F">
              <w:rPr>
                <w:b w:val="0"/>
                <w:bCs/>
                <w:noProof/>
                <w:webHidden/>
              </w:rPr>
              <w:tab/>
            </w:r>
            <w:r w:rsidRPr="00CA780F">
              <w:rPr>
                <w:b w:val="0"/>
                <w:bCs/>
                <w:noProof/>
                <w:webHidden/>
              </w:rPr>
              <w:fldChar w:fldCharType="begin"/>
            </w:r>
            <w:r w:rsidRPr="00CA780F">
              <w:rPr>
                <w:b w:val="0"/>
                <w:bCs/>
                <w:noProof/>
                <w:webHidden/>
              </w:rPr>
              <w:instrText xml:space="preserve"> PAGEREF _Toc210666038 \h </w:instrText>
            </w:r>
            <w:r w:rsidRPr="00CA780F">
              <w:rPr>
                <w:b w:val="0"/>
                <w:bCs/>
                <w:noProof/>
                <w:webHidden/>
              </w:rPr>
            </w:r>
            <w:r w:rsidRPr="00CA780F">
              <w:rPr>
                <w:b w:val="0"/>
                <w:bCs/>
                <w:noProof/>
                <w:webHidden/>
              </w:rPr>
              <w:fldChar w:fldCharType="separate"/>
            </w:r>
            <w:r w:rsidRPr="00CA780F">
              <w:rPr>
                <w:b w:val="0"/>
                <w:bCs/>
                <w:noProof/>
                <w:webHidden/>
              </w:rPr>
              <w:t>23</w:t>
            </w:r>
            <w:r w:rsidRPr="00CA780F">
              <w:rPr>
                <w:b w:val="0"/>
                <w:bCs/>
                <w:noProof/>
                <w:webHidden/>
              </w:rPr>
              <w:fldChar w:fldCharType="end"/>
            </w:r>
          </w:hyperlink>
        </w:p>
        <w:p w14:paraId="5A39BBE3" w14:textId="77777777" w:rsidR="00FF1E5D" w:rsidRPr="008F3851" w:rsidRDefault="00FF1E5D" w:rsidP="008F3851">
          <w:pPr>
            <w:spacing w:line="480" w:lineRule="auto"/>
            <w:rPr>
              <w:rFonts w:cs="Times New Roman"/>
              <w:b w:val="0"/>
            </w:rPr>
          </w:pPr>
          <w:r w:rsidRPr="008F3851">
            <w:rPr>
              <w:rFonts w:cs="Times New Roman"/>
              <w:b w:val="0"/>
              <w:noProof/>
            </w:rPr>
            <w:fldChar w:fldCharType="end"/>
          </w:r>
        </w:p>
      </w:sdtContent>
    </w:sdt>
    <w:p w14:paraId="41C8F396" w14:textId="77777777" w:rsidR="008E57FB" w:rsidRPr="004E2F29" w:rsidRDefault="008E57FB" w:rsidP="004E2F29">
      <w:pPr>
        <w:spacing w:line="480" w:lineRule="auto"/>
        <w:rPr>
          <w:rFonts w:cs="Times New Roman"/>
        </w:rPr>
      </w:pPr>
    </w:p>
    <w:p w14:paraId="72A3D3EC" w14:textId="77777777" w:rsidR="00FF1E5D" w:rsidRPr="004E2F29" w:rsidRDefault="00FF1E5D" w:rsidP="004E2F29">
      <w:pPr>
        <w:spacing w:line="480" w:lineRule="auto"/>
        <w:jc w:val="left"/>
        <w:rPr>
          <w:rFonts w:eastAsiaTheme="majorEastAsia" w:cs="Times New Roman"/>
          <w:kern w:val="0"/>
          <w:sz w:val="28"/>
          <w:szCs w:val="32"/>
          <w:lang w:val="en-US"/>
          <w14:ligatures w14:val="none"/>
        </w:rPr>
      </w:pPr>
      <w:r w:rsidRPr="004E2F29">
        <w:rPr>
          <w:rFonts w:cs="Times New Roman"/>
        </w:rPr>
        <w:br w:type="page"/>
      </w:r>
    </w:p>
    <w:p w14:paraId="377B6691" w14:textId="77777777" w:rsidR="008E57FB" w:rsidRPr="000E1989" w:rsidRDefault="008E57FB" w:rsidP="004E2F29">
      <w:pPr>
        <w:pStyle w:val="Heading1"/>
        <w:spacing w:line="480" w:lineRule="auto"/>
        <w:rPr>
          <w:rFonts w:cs="Times New Roman"/>
        </w:rPr>
      </w:pPr>
      <w:bookmarkStart w:id="0" w:name="_Toc210666017"/>
      <w:r w:rsidRPr="000E1989">
        <w:rPr>
          <w:rFonts w:cs="Times New Roman"/>
        </w:rPr>
        <w:lastRenderedPageBreak/>
        <w:t>1. Introduction</w:t>
      </w:r>
      <w:bookmarkEnd w:id="0"/>
      <w:r w:rsidRPr="000E1989">
        <w:rPr>
          <w:rFonts w:cs="Times New Roman"/>
        </w:rPr>
        <w:t xml:space="preserve"> </w:t>
      </w:r>
    </w:p>
    <w:p w14:paraId="7D0D1E20" w14:textId="77777777" w:rsidR="008E57FB" w:rsidRPr="000E1989" w:rsidRDefault="008E57FB" w:rsidP="00E77AAC">
      <w:pPr>
        <w:pStyle w:val="NoSpacing"/>
        <w:rPr>
          <w:lang w:val="en-US"/>
        </w:rPr>
      </w:pPr>
      <w:r w:rsidRPr="000E1989">
        <w:rPr>
          <w:lang w:val="en-US"/>
        </w:rPr>
        <w:t>Philips Healthcare UK is a leading provider of advanced medical technologies and digital health solutions, operating as a subsidiary of Koninklijke Philips N.V. The company focuses on improving patient care through connected devices, data-driven insights, and sustainable healthcare innovations. With its UK headquarters in Guildford, Surrey, Philips has established strong partnerships with hospitals, clinics, and government health bodies such as the National Health Service (NHS), supporting the nation’s digital transformation agenda in healthcare (Philips, 2023).</w:t>
      </w:r>
    </w:p>
    <w:p w14:paraId="0E797AC2" w14:textId="77777777" w:rsidR="008E57FB" w:rsidRPr="000E1989" w:rsidRDefault="008E57FB" w:rsidP="00E77AAC">
      <w:pPr>
        <w:pStyle w:val="NoSpacing"/>
        <w:rPr>
          <w:lang w:val="en-US"/>
        </w:rPr>
      </w:pPr>
      <w:r w:rsidRPr="000E1989">
        <w:rPr>
          <w:lang w:val="en-US"/>
        </w:rPr>
        <w:t>The upcoming project involves launching a wearable health device that monitors heart rate, oxygen saturation, and sleep patterns, aiming to empower consumers to manage their health proactively. The device aligns with the growing demand for preventive healthcare and remote patient monitoring within the UK market (Statista, 2024). As the appointed project manager, engaging stakeholders throughout the product’s life cycle is crucial to ensuring successful development and market entry. Effective stakeholder engagement enhances innovation, risk management, and trust between internal teams and external partners (</w:t>
      </w:r>
      <w:r w:rsidR="00F4549E" w:rsidRPr="000E1989">
        <w:t>Iandolo</w:t>
      </w:r>
      <w:r w:rsidR="008F3851" w:rsidRPr="000E1989">
        <w:t xml:space="preserve"> et al</w:t>
      </w:r>
      <w:r w:rsidRPr="000E1989">
        <w:rPr>
          <w:lang w:val="en-US"/>
        </w:rPr>
        <w:t>, 202</w:t>
      </w:r>
      <w:r w:rsidR="00F4549E" w:rsidRPr="000E1989">
        <w:t>5</w:t>
      </w:r>
      <w:r w:rsidRPr="000E1989">
        <w:rPr>
          <w:lang w:val="en-US"/>
        </w:rPr>
        <w:t>). This report critically examines mechanisms, frameworks, and processes that facilitate sustained stakeholder involvement in achieving project objectives and strengthening Philips’ position in the competitive digital health landscape.</w:t>
      </w:r>
    </w:p>
    <w:p w14:paraId="11BFE268" w14:textId="77777777" w:rsidR="008E57FB" w:rsidRPr="000E1989" w:rsidRDefault="008E57FB" w:rsidP="004E2F29">
      <w:pPr>
        <w:pStyle w:val="Heading1"/>
        <w:spacing w:line="480" w:lineRule="auto"/>
        <w:rPr>
          <w:rFonts w:cs="Times New Roman"/>
        </w:rPr>
      </w:pPr>
      <w:bookmarkStart w:id="1" w:name="_Toc210666018"/>
      <w:r w:rsidRPr="000E1989">
        <w:rPr>
          <w:rFonts w:cs="Times New Roman"/>
        </w:rPr>
        <w:t>2. Strategic Appraisal of Philips</w:t>
      </w:r>
      <w:bookmarkEnd w:id="1"/>
      <w:r w:rsidRPr="000E1989">
        <w:rPr>
          <w:rFonts w:cs="Times New Roman"/>
        </w:rPr>
        <w:t xml:space="preserve"> </w:t>
      </w:r>
    </w:p>
    <w:p w14:paraId="117F7FE0" w14:textId="77777777" w:rsidR="008E57FB" w:rsidRPr="000E1989" w:rsidRDefault="008E57FB" w:rsidP="004E2F29">
      <w:pPr>
        <w:pStyle w:val="Heading2"/>
        <w:spacing w:line="480" w:lineRule="auto"/>
        <w:rPr>
          <w:rFonts w:cs="Times New Roman"/>
        </w:rPr>
      </w:pPr>
      <w:bookmarkStart w:id="2" w:name="_Toc210666019"/>
      <w:r w:rsidRPr="000E1989">
        <w:rPr>
          <w:rFonts w:cs="Times New Roman"/>
        </w:rPr>
        <w:t>SWOT Analysis</w:t>
      </w:r>
      <w:bookmarkEnd w:id="2"/>
    </w:p>
    <w:p w14:paraId="57FA92FE" w14:textId="77777777" w:rsidR="008E57FB" w:rsidRPr="000E1989" w:rsidRDefault="008E57FB" w:rsidP="00E77AAC">
      <w:pPr>
        <w:pStyle w:val="NoSpacing"/>
        <w:rPr>
          <w:lang w:val="en-US"/>
        </w:rPr>
      </w:pPr>
      <w:r w:rsidRPr="000E1989">
        <w:rPr>
          <w:lang w:val="en-US"/>
        </w:rPr>
        <w:t>A SWOT analysis provides a structured framework for understanding Philips Healthcare UK’s internal capabilities and external environment in preparation for the wearable health device launch.</w:t>
      </w:r>
    </w:p>
    <w:p w14:paraId="6AF29578" w14:textId="77777777" w:rsidR="008E57FB" w:rsidRPr="000E1989" w:rsidRDefault="008E57FB" w:rsidP="00E77AAC">
      <w:pPr>
        <w:pStyle w:val="NoSpacing"/>
        <w:rPr>
          <w:b/>
          <w:bCs/>
          <w:i/>
          <w:iCs/>
        </w:rPr>
      </w:pPr>
      <w:r w:rsidRPr="000E1989">
        <w:rPr>
          <w:b/>
          <w:bCs/>
          <w:lang w:val="en-US"/>
        </w:rPr>
        <w:t>Strengths:</w:t>
      </w:r>
    </w:p>
    <w:p w14:paraId="497C09B8" w14:textId="77777777" w:rsidR="006F627E" w:rsidRPr="000E1989" w:rsidRDefault="008E57FB" w:rsidP="00E77AAC">
      <w:pPr>
        <w:pStyle w:val="NoSpacing"/>
        <w:rPr>
          <w:bCs/>
          <w:lang w:val="en-US"/>
        </w:rPr>
      </w:pPr>
      <w:r w:rsidRPr="000E1989">
        <w:rPr>
          <w:lang w:val="en-US"/>
        </w:rPr>
        <w:lastRenderedPageBreak/>
        <w:t>Philips possesses a robust global brand reputation built on over a century of innovation in healthcare technology. Its research and development (R&amp;D) capabilities enable the company to design high-precision medical devices integrated with data analytics and artificial intelligence, ensuring improved diagnostic accuracy and patient monitoring (</w:t>
      </w:r>
      <w:r w:rsidR="006F627E" w:rsidRPr="000E1989">
        <w:rPr>
          <w:bCs/>
        </w:rPr>
        <w:t>da Silva, 2024</w:t>
      </w:r>
      <w:r w:rsidRPr="000E1989">
        <w:rPr>
          <w:lang w:val="en-US"/>
        </w:rPr>
        <w:t>). Moreover, Philips’ strategic alliances with the National Health Service (NHS) enhance its credibility and provide access to large-scale patient data for device optimization and clinical validation (</w:t>
      </w:r>
      <w:r w:rsidR="006F627E" w:rsidRPr="000E1989">
        <w:t>Emmanuel, 2025</w:t>
      </w:r>
      <w:r w:rsidRPr="000E1989">
        <w:rPr>
          <w:lang w:val="en-US"/>
        </w:rPr>
        <w:t>).</w:t>
      </w:r>
    </w:p>
    <w:p w14:paraId="673DC5C9" w14:textId="77777777" w:rsidR="008E57FB" w:rsidRPr="000E1989" w:rsidRDefault="008E57FB" w:rsidP="00E77AAC">
      <w:pPr>
        <w:pStyle w:val="NoSpacing"/>
        <w:rPr>
          <w:b/>
          <w:bCs/>
          <w:i/>
          <w:iCs/>
        </w:rPr>
      </w:pPr>
      <w:r w:rsidRPr="000E1989">
        <w:rPr>
          <w:b/>
          <w:bCs/>
          <w:lang w:val="en-US"/>
        </w:rPr>
        <w:t>Weaknesses:</w:t>
      </w:r>
    </w:p>
    <w:p w14:paraId="306A3D10" w14:textId="77777777" w:rsidR="008E57FB" w:rsidRPr="000E1989" w:rsidRDefault="008E57FB" w:rsidP="00E77AAC">
      <w:pPr>
        <w:pStyle w:val="NoSpacing"/>
        <w:rPr>
          <w:lang w:val="en-US"/>
        </w:rPr>
      </w:pPr>
      <w:r w:rsidRPr="000E1989">
        <w:rPr>
          <w:lang w:val="en-US"/>
        </w:rPr>
        <w:t>Despite its technological edge, Philips faces internal challenges such as supply-chain delays and high production costs due to global chip shortages and post-pandemic disruptions (MarketLine, 2024). Complex regulatory compliance in medical device certification further slows down time-to-market.</w:t>
      </w:r>
    </w:p>
    <w:p w14:paraId="6A9EC4CD" w14:textId="77777777" w:rsidR="008E57FB" w:rsidRPr="000E1989" w:rsidRDefault="008E57FB" w:rsidP="00E77AAC">
      <w:pPr>
        <w:pStyle w:val="NoSpacing"/>
        <w:rPr>
          <w:b/>
          <w:bCs/>
          <w:i/>
          <w:iCs/>
        </w:rPr>
      </w:pPr>
      <w:r w:rsidRPr="000E1989">
        <w:rPr>
          <w:b/>
          <w:bCs/>
          <w:lang w:val="en-US"/>
        </w:rPr>
        <w:t>Opportunities:</w:t>
      </w:r>
    </w:p>
    <w:p w14:paraId="737AC84F" w14:textId="77777777" w:rsidR="008E57FB" w:rsidRPr="000E1989" w:rsidRDefault="008E57FB" w:rsidP="00E77AAC">
      <w:pPr>
        <w:pStyle w:val="NoSpacing"/>
        <w:rPr>
          <w:lang w:val="en-US"/>
        </w:rPr>
      </w:pPr>
      <w:r w:rsidRPr="000E1989">
        <w:rPr>
          <w:lang w:val="en-US"/>
        </w:rPr>
        <w:t>The growing consumer shift toward digital health management and preventive care creates an opportunity for Philips to strengthen its position in the UK wearables market</w:t>
      </w:r>
      <w:r w:rsidR="0029323E" w:rsidRPr="000E1989">
        <w:rPr>
          <w:lang w:val="en-US"/>
        </w:rPr>
        <w:t xml:space="preserve"> (</w:t>
      </w:r>
      <w:r w:rsidR="0029323E" w:rsidRPr="000E1989">
        <w:t>Jacobs, 2023)</w:t>
      </w:r>
      <w:r w:rsidRPr="000E1989">
        <w:rPr>
          <w:lang w:val="en-US"/>
        </w:rPr>
        <w:t>. Government policies promoting the NHS digital transformation strategy and telehealth adoption provide a favorable environment for innovation.</w:t>
      </w:r>
    </w:p>
    <w:p w14:paraId="1903C0A3" w14:textId="77777777" w:rsidR="008E57FB" w:rsidRPr="000E1989" w:rsidRDefault="008E57FB" w:rsidP="00E77AAC">
      <w:pPr>
        <w:pStyle w:val="NoSpacing"/>
        <w:rPr>
          <w:i/>
          <w:iCs/>
        </w:rPr>
      </w:pPr>
      <w:r w:rsidRPr="000E1989">
        <w:rPr>
          <w:b/>
          <w:lang w:val="en-US"/>
        </w:rPr>
        <w:t>Threats:</w:t>
      </w:r>
      <w:r w:rsidRPr="000E1989">
        <w:rPr>
          <w:i/>
          <w:iCs/>
        </w:rPr>
        <w:br/>
      </w:r>
      <w:r w:rsidRPr="000E1989">
        <w:rPr>
          <w:lang w:val="en-US"/>
        </w:rPr>
        <w:t>Philips faces intense competition from technology firms such as Apple, Fitbit, and Samsung, which continuously release advanced health tracking devices. Additionally, increasing data-privacy concerns under the UK General Data Protection Regulation (GDPR) pose risks related to user trust and compliance (</w:t>
      </w:r>
      <w:r w:rsidR="002B7130" w:rsidRPr="000E1989">
        <w:rPr>
          <w:bCs/>
        </w:rPr>
        <w:t>Evans et al</w:t>
      </w:r>
      <w:r w:rsidRPr="000E1989">
        <w:rPr>
          <w:lang w:val="en-US"/>
        </w:rPr>
        <w:t>, 2023).</w:t>
      </w:r>
    </w:p>
    <w:p w14:paraId="76FA0344" w14:textId="77777777" w:rsidR="008E57FB" w:rsidRPr="000E1989" w:rsidRDefault="008E57FB" w:rsidP="00E77AAC">
      <w:pPr>
        <w:pStyle w:val="NoSpacing"/>
        <w:rPr>
          <w:b/>
          <w:bCs/>
          <w:lang w:val="en-US"/>
        </w:rPr>
      </w:pPr>
      <w:r w:rsidRPr="000E1989">
        <w:rPr>
          <w:b/>
          <w:bCs/>
        </w:rPr>
        <w:t>Table 1: SWOT Summary</w:t>
      </w:r>
    </w:p>
    <w:tbl>
      <w:tblPr>
        <w:tblStyle w:val="TableGrid"/>
        <w:tblW w:w="0" w:type="auto"/>
        <w:tblLook w:val="04A0" w:firstRow="1" w:lastRow="0" w:firstColumn="1" w:lastColumn="0" w:noHBand="0" w:noVBand="1"/>
      </w:tblPr>
      <w:tblGrid>
        <w:gridCol w:w="4675"/>
        <w:gridCol w:w="4675"/>
      </w:tblGrid>
      <w:tr w:rsidR="008E57FB" w:rsidRPr="000E1989" w14:paraId="43783D4E" w14:textId="77777777" w:rsidTr="008E57FB">
        <w:tc>
          <w:tcPr>
            <w:tcW w:w="4675" w:type="dxa"/>
            <w:shd w:val="clear" w:color="auto" w:fill="D9D9D9" w:themeFill="background1" w:themeFillShade="D9"/>
          </w:tcPr>
          <w:p w14:paraId="47BE48D3" w14:textId="77777777" w:rsidR="008E57FB" w:rsidRPr="000E1989" w:rsidRDefault="008E57FB" w:rsidP="00E77AAC">
            <w:pPr>
              <w:pStyle w:val="NoSpacing"/>
              <w:rPr>
                <w:b/>
                <w:bCs/>
                <w:lang w:val="en-US"/>
              </w:rPr>
            </w:pPr>
            <w:r w:rsidRPr="000E1989">
              <w:rPr>
                <w:b/>
                <w:bCs/>
                <w:lang w:val="en-US"/>
              </w:rPr>
              <w:t>Strengths</w:t>
            </w:r>
          </w:p>
        </w:tc>
        <w:tc>
          <w:tcPr>
            <w:tcW w:w="4675" w:type="dxa"/>
            <w:shd w:val="clear" w:color="auto" w:fill="D9D9D9" w:themeFill="background1" w:themeFillShade="D9"/>
          </w:tcPr>
          <w:p w14:paraId="4149CA96" w14:textId="77777777" w:rsidR="008E57FB" w:rsidRPr="000E1989" w:rsidRDefault="008E57FB" w:rsidP="00E77AAC">
            <w:pPr>
              <w:pStyle w:val="NoSpacing"/>
              <w:rPr>
                <w:b/>
                <w:bCs/>
                <w:lang w:val="en-US"/>
              </w:rPr>
            </w:pPr>
            <w:r w:rsidRPr="000E1989">
              <w:rPr>
                <w:b/>
                <w:bCs/>
                <w:lang w:val="en-US"/>
              </w:rPr>
              <w:t>Weaknesses</w:t>
            </w:r>
          </w:p>
        </w:tc>
      </w:tr>
      <w:tr w:rsidR="008E57FB" w:rsidRPr="000E1989" w14:paraId="65EF993C" w14:textId="77777777" w:rsidTr="008E57FB">
        <w:tc>
          <w:tcPr>
            <w:tcW w:w="4675" w:type="dxa"/>
          </w:tcPr>
          <w:p w14:paraId="3AE5FBE2" w14:textId="77777777" w:rsidR="008E57FB" w:rsidRPr="000E1989" w:rsidRDefault="008E57FB" w:rsidP="00E77AAC">
            <w:pPr>
              <w:pStyle w:val="NoSpacing"/>
              <w:numPr>
                <w:ilvl w:val="0"/>
                <w:numId w:val="4"/>
              </w:numPr>
            </w:pPr>
            <w:r w:rsidRPr="000E1989">
              <w:lastRenderedPageBreak/>
              <w:t>Strong brand reputation and credibility in healthcare innovation.</w:t>
            </w:r>
          </w:p>
          <w:p w14:paraId="3F126AA4" w14:textId="77777777" w:rsidR="008E57FB" w:rsidRPr="000E1989" w:rsidRDefault="008E57FB" w:rsidP="00E77AAC">
            <w:pPr>
              <w:pStyle w:val="NoSpacing"/>
              <w:numPr>
                <w:ilvl w:val="0"/>
                <w:numId w:val="4"/>
              </w:numPr>
            </w:pPr>
            <w:r w:rsidRPr="000E1989">
              <w:t>Advanced R&amp;D capabilities integrating AI and data analytics.</w:t>
            </w:r>
          </w:p>
          <w:p w14:paraId="5D841027" w14:textId="77777777" w:rsidR="008E57FB" w:rsidRPr="000E1989" w:rsidRDefault="008E57FB" w:rsidP="00E77AAC">
            <w:pPr>
              <w:pStyle w:val="NoSpacing"/>
              <w:numPr>
                <w:ilvl w:val="0"/>
                <w:numId w:val="3"/>
              </w:numPr>
            </w:pPr>
            <w:r w:rsidRPr="000E1989">
              <w:t>Established partnerships with NHS and medical institutions.</w:t>
            </w:r>
          </w:p>
        </w:tc>
        <w:tc>
          <w:tcPr>
            <w:tcW w:w="4675" w:type="dxa"/>
          </w:tcPr>
          <w:p w14:paraId="239EAC60" w14:textId="77777777" w:rsidR="008E57FB" w:rsidRPr="000E1989" w:rsidRDefault="008E57FB" w:rsidP="00E77AAC">
            <w:pPr>
              <w:pStyle w:val="NoSpacing"/>
              <w:numPr>
                <w:ilvl w:val="0"/>
                <w:numId w:val="4"/>
              </w:numPr>
            </w:pPr>
            <w:r w:rsidRPr="000E1989">
              <w:t>High production and operational costs affecting profitability.</w:t>
            </w:r>
          </w:p>
          <w:p w14:paraId="36CEE50A" w14:textId="77777777" w:rsidR="008E57FB" w:rsidRPr="000E1989" w:rsidRDefault="008E57FB" w:rsidP="00E77AAC">
            <w:pPr>
              <w:pStyle w:val="NoSpacing"/>
              <w:numPr>
                <w:ilvl w:val="0"/>
                <w:numId w:val="4"/>
              </w:numPr>
            </w:pPr>
            <w:r w:rsidRPr="000E1989">
              <w:t>Lengthy regulatory approval processes delaying product launch.</w:t>
            </w:r>
          </w:p>
          <w:p w14:paraId="0011C4FD" w14:textId="77777777" w:rsidR="008E57FB" w:rsidRPr="000E1989" w:rsidRDefault="008E57FB" w:rsidP="00E77AAC">
            <w:pPr>
              <w:pStyle w:val="NoSpacing"/>
              <w:numPr>
                <w:ilvl w:val="0"/>
                <w:numId w:val="3"/>
              </w:numPr>
            </w:pPr>
            <w:r w:rsidRPr="000E1989">
              <w:t>Supply-chain disruptions due to global chip shortages.</w:t>
            </w:r>
          </w:p>
        </w:tc>
      </w:tr>
      <w:tr w:rsidR="008E57FB" w:rsidRPr="000E1989" w14:paraId="1B9B7B34" w14:textId="77777777" w:rsidTr="008E57FB">
        <w:tc>
          <w:tcPr>
            <w:tcW w:w="4675" w:type="dxa"/>
            <w:shd w:val="clear" w:color="auto" w:fill="D9D9D9" w:themeFill="background1" w:themeFillShade="D9"/>
          </w:tcPr>
          <w:p w14:paraId="353B9EC7" w14:textId="77777777" w:rsidR="008E57FB" w:rsidRPr="000E1989" w:rsidRDefault="008E57FB" w:rsidP="00E77AAC">
            <w:pPr>
              <w:pStyle w:val="NoSpacing"/>
              <w:rPr>
                <w:b/>
                <w:bCs/>
                <w:lang w:val="en-US"/>
              </w:rPr>
            </w:pPr>
            <w:r w:rsidRPr="000E1989">
              <w:rPr>
                <w:b/>
                <w:bCs/>
                <w:lang w:val="en-US"/>
              </w:rPr>
              <w:t>Opportunities</w:t>
            </w:r>
          </w:p>
        </w:tc>
        <w:tc>
          <w:tcPr>
            <w:tcW w:w="4675" w:type="dxa"/>
            <w:shd w:val="clear" w:color="auto" w:fill="D9D9D9" w:themeFill="background1" w:themeFillShade="D9"/>
          </w:tcPr>
          <w:p w14:paraId="413022BA" w14:textId="77777777" w:rsidR="008E57FB" w:rsidRPr="000E1989" w:rsidRDefault="008E57FB" w:rsidP="00E77AAC">
            <w:pPr>
              <w:pStyle w:val="NoSpacing"/>
              <w:rPr>
                <w:b/>
                <w:bCs/>
                <w:lang w:val="en-US"/>
              </w:rPr>
            </w:pPr>
            <w:r w:rsidRPr="000E1989">
              <w:rPr>
                <w:b/>
                <w:bCs/>
                <w:lang w:val="en-US"/>
              </w:rPr>
              <w:t>Threats</w:t>
            </w:r>
          </w:p>
        </w:tc>
      </w:tr>
      <w:tr w:rsidR="008E57FB" w:rsidRPr="000E1989" w14:paraId="219C1186" w14:textId="77777777" w:rsidTr="008E57FB">
        <w:tc>
          <w:tcPr>
            <w:tcW w:w="4675" w:type="dxa"/>
          </w:tcPr>
          <w:p w14:paraId="645791D2" w14:textId="77777777" w:rsidR="008E57FB" w:rsidRPr="000E1989" w:rsidRDefault="008E57FB" w:rsidP="00E77AAC">
            <w:pPr>
              <w:pStyle w:val="NoSpacing"/>
              <w:numPr>
                <w:ilvl w:val="0"/>
                <w:numId w:val="4"/>
              </w:numPr>
            </w:pPr>
            <w:r w:rsidRPr="000E1989">
              <w:t>Rising consumer demand for wearable and remote health monitoring.</w:t>
            </w:r>
          </w:p>
          <w:p w14:paraId="6EE70890" w14:textId="77777777" w:rsidR="008E57FB" w:rsidRPr="000E1989" w:rsidRDefault="008E57FB" w:rsidP="00E77AAC">
            <w:pPr>
              <w:pStyle w:val="NoSpacing"/>
              <w:numPr>
                <w:ilvl w:val="0"/>
                <w:numId w:val="4"/>
              </w:numPr>
            </w:pPr>
            <w:r w:rsidRPr="000E1989">
              <w:t>Supportive NHS and UK government digital health initiatives.</w:t>
            </w:r>
          </w:p>
          <w:p w14:paraId="3D093162" w14:textId="77777777" w:rsidR="008E57FB" w:rsidRPr="000E1989" w:rsidRDefault="008E57FB" w:rsidP="00E77AAC">
            <w:pPr>
              <w:pStyle w:val="NoSpacing"/>
              <w:numPr>
                <w:ilvl w:val="0"/>
                <w:numId w:val="4"/>
              </w:numPr>
            </w:pPr>
            <w:r w:rsidRPr="000E1989">
              <w:t>Growth potential in preventive healthcare and telemedicine.</w:t>
            </w:r>
          </w:p>
        </w:tc>
        <w:tc>
          <w:tcPr>
            <w:tcW w:w="4675" w:type="dxa"/>
          </w:tcPr>
          <w:p w14:paraId="2275DC49" w14:textId="77777777" w:rsidR="008E57FB" w:rsidRPr="000E1989" w:rsidRDefault="008E57FB" w:rsidP="00E77AAC">
            <w:pPr>
              <w:pStyle w:val="NoSpacing"/>
              <w:numPr>
                <w:ilvl w:val="0"/>
                <w:numId w:val="4"/>
              </w:numPr>
            </w:pPr>
            <w:r w:rsidRPr="000E1989">
              <w:t>Intense competition from Apple, Fitbit, and Samsung.</w:t>
            </w:r>
          </w:p>
          <w:p w14:paraId="1B5692EC" w14:textId="77777777" w:rsidR="008E57FB" w:rsidRPr="000E1989" w:rsidRDefault="008E57FB" w:rsidP="00E77AAC">
            <w:pPr>
              <w:pStyle w:val="NoSpacing"/>
              <w:numPr>
                <w:ilvl w:val="0"/>
                <w:numId w:val="4"/>
              </w:numPr>
            </w:pPr>
            <w:r w:rsidRPr="000E1989">
              <w:t>Data-privacy and cybersecurity concerns under UK GDPR.</w:t>
            </w:r>
          </w:p>
          <w:p w14:paraId="7CC937E2" w14:textId="77777777" w:rsidR="008E57FB" w:rsidRPr="000E1989" w:rsidRDefault="008E57FB" w:rsidP="00E77AAC">
            <w:pPr>
              <w:pStyle w:val="NoSpacing"/>
              <w:numPr>
                <w:ilvl w:val="0"/>
                <w:numId w:val="4"/>
              </w:numPr>
            </w:pPr>
            <w:r w:rsidRPr="000E1989">
              <w:t>Rapid technological change leading to product obsolescence.</w:t>
            </w:r>
          </w:p>
        </w:tc>
      </w:tr>
    </w:tbl>
    <w:p w14:paraId="0D0B940D" w14:textId="77777777" w:rsidR="008E57FB" w:rsidRPr="000E1989" w:rsidRDefault="008E57FB" w:rsidP="00E77AAC">
      <w:pPr>
        <w:pStyle w:val="NoSpacing"/>
      </w:pPr>
    </w:p>
    <w:p w14:paraId="25E5F635" w14:textId="77777777" w:rsidR="008E57FB" w:rsidRPr="000E1989" w:rsidRDefault="008E57FB" w:rsidP="004E2F29">
      <w:pPr>
        <w:pStyle w:val="Heading2"/>
        <w:spacing w:line="480" w:lineRule="auto"/>
        <w:rPr>
          <w:rFonts w:cs="Times New Roman"/>
        </w:rPr>
      </w:pPr>
      <w:bookmarkStart w:id="3" w:name="_Toc210666020"/>
      <w:r w:rsidRPr="000E1989">
        <w:rPr>
          <w:rFonts w:cs="Times New Roman"/>
        </w:rPr>
        <w:t>SMART Objectives for the Project</w:t>
      </w:r>
      <w:bookmarkEnd w:id="3"/>
    </w:p>
    <w:p w14:paraId="7F735B39" w14:textId="77777777" w:rsidR="008E57FB" w:rsidRPr="000E1989" w:rsidRDefault="008E57FB" w:rsidP="00E77AAC">
      <w:pPr>
        <w:pStyle w:val="NoSpacing"/>
        <w:rPr>
          <w:lang w:val="en-US"/>
        </w:rPr>
      </w:pPr>
      <w:r w:rsidRPr="000E1989">
        <w:rPr>
          <w:lang w:val="en-US"/>
        </w:rPr>
        <w:t>The SMART framework</w:t>
      </w:r>
      <w:r w:rsidR="00FF1E5D" w:rsidRPr="000E1989">
        <w:t xml:space="preserve">, </w:t>
      </w:r>
      <w:r w:rsidRPr="000E1989">
        <w:rPr>
          <w:lang w:val="en-US"/>
        </w:rPr>
        <w:t>Specific, Measurable, Achievable, Relevant, and Time-</w:t>
      </w:r>
      <w:proofErr w:type="gramStart"/>
      <w:r w:rsidRPr="000E1989">
        <w:rPr>
          <w:lang w:val="en-US"/>
        </w:rPr>
        <w:t>bound</w:t>
      </w:r>
      <w:proofErr w:type="gramEnd"/>
      <w:r w:rsidR="00FF1E5D" w:rsidRPr="000E1989">
        <w:t xml:space="preserve"> </w:t>
      </w:r>
      <w:r w:rsidRPr="000E1989">
        <w:rPr>
          <w:lang w:val="en-US"/>
        </w:rPr>
        <w:t>ensures that Philips’ wearable health device project aligns with its broader strategic goals of innovation, market expansion, and patient empowerment.</w:t>
      </w:r>
    </w:p>
    <w:p w14:paraId="76A1D4B9" w14:textId="77777777" w:rsidR="008E57FB" w:rsidRPr="000E1989" w:rsidRDefault="008E57FB" w:rsidP="00E77AAC">
      <w:pPr>
        <w:pStyle w:val="NoSpacing"/>
        <w:numPr>
          <w:ilvl w:val="0"/>
          <w:numId w:val="2"/>
        </w:numPr>
        <w:rPr>
          <w:lang w:val="en-US"/>
        </w:rPr>
      </w:pPr>
      <w:r w:rsidRPr="000E1989">
        <w:rPr>
          <w:lang w:val="en-US"/>
        </w:rPr>
        <w:t>Specific: Develop and commercialize a wearable device capable of tracking heart rate, oxygen saturation, and sleep patterns for UK consumers.</w:t>
      </w:r>
    </w:p>
    <w:p w14:paraId="023CC6CD" w14:textId="77777777" w:rsidR="008E57FB" w:rsidRPr="000E1989" w:rsidRDefault="008E57FB" w:rsidP="00E77AAC">
      <w:pPr>
        <w:pStyle w:val="NoSpacing"/>
        <w:numPr>
          <w:ilvl w:val="0"/>
          <w:numId w:val="2"/>
        </w:numPr>
        <w:rPr>
          <w:lang w:val="en-US"/>
        </w:rPr>
      </w:pPr>
      <w:r w:rsidRPr="000E1989">
        <w:rPr>
          <w:lang w:val="en-US"/>
        </w:rPr>
        <w:t>Measurable: Attain a 10% market share in the UK wearable health device market within the first 12 months of launch.</w:t>
      </w:r>
    </w:p>
    <w:p w14:paraId="0FAE3C8B" w14:textId="77777777" w:rsidR="008E57FB" w:rsidRPr="000E1989" w:rsidRDefault="008E57FB" w:rsidP="00E77AAC">
      <w:pPr>
        <w:pStyle w:val="NoSpacing"/>
        <w:numPr>
          <w:ilvl w:val="0"/>
          <w:numId w:val="2"/>
        </w:numPr>
        <w:rPr>
          <w:lang w:val="en-US"/>
        </w:rPr>
      </w:pPr>
      <w:r w:rsidRPr="000E1989">
        <w:rPr>
          <w:lang w:val="en-US"/>
        </w:rPr>
        <w:lastRenderedPageBreak/>
        <w:t>Achievable: Collaborate with three major NHS trusts and five retail distribution partners to enhance accessibility.</w:t>
      </w:r>
    </w:p>
    <w:p w14:paraId="5841F028" w14:textId="77777777" w:rsidR="008E57FB" w:rsidRPr="000E1989" w:rsidRDefault="008E57FB" w:rsidP="00E77AAC">
      <w:pPr>
        <w:pStyle w:val="NoSpacing"/>
        <w:numPr>
          <w:ilvl w:val="0"/>
          <w:numId w:val="2"/>
        </w:numPr>
        <w:rPr>
          <w:lang w:val="en-US"/>
        </w:rPr>
      </w:pPr>
      <w:r w:rsidRPr="000E1989">
        <w:rPr>
          <w:lang w:val="en-US"/>
        </w:rPr>
        <w:t>Relevant: Support Philips’ mission of delivering connected care and advancing personal health management through smart technologies (Philips, 2023).</w:t>
      </w:r>
    </w:p>
    <w:p w14:paraId="2D82FF15" w14:textId="77777777" w:rsidR="008E57FB" w:rsidRPr="000E1989" w:rsidRDefault="008E57FB" w:rsidP="00E77AAC">
      <w:pPr>
        <w:pStyle w:val="NoSpacing"/>
        <w:numPr>
          <w:ilvl w:val="0"/>
          <w:numId w:val="2"/>
        </w:numPr>
        <w:rPr>
          <w:bCs/>
          <w:lang w:val="en-US"/>
        </w:rPr>
      </w:pPr>
      <w:r w:rsidRPr="000E1989">
        <w:rPr>
          <w:lang w:val="en-US"/>
        </w:rPr>
        <w:t>Time-Bound: Complete the full product launch and customer onboarding process within six months</w:t>
      </w:r>
      <w:r w:rsidRPr="000E1989">
        <w:rPr>
          <w:bCs/>
          <w:lang w:val="en-US"/>
        </w:rPr>
        <w:t xml:space="preserve"> of project initiation.</w:t>
      </w:r>
    </w:p>
    <w:p w14:paraId="484BD680" w14:textId="77777777" w:rsidR="008E57FB" w:rsidRPr="000E1989" w:rsidRDefault="008E57FB" w:rsidP="00E77AAC">
      <w:pPr>
        <w:pStyle w:val="NoSpacing"/>
        <w:rPr>
          <w:lang w:val="en-US"/>
        </w:rPr>
      </w:pPr>
      <w:r w:rsidRPr="000E1989">
        <w:rPr>
          <w:lang w:val="en-US"/>
        </w:rPr>
        <w:t>These objectives demonstrate Philips’ commitment to timely delivery, quality assurance, and sustainable stakeholder collaboration. Aligning operational goals with corporate strategy fosters accountability and provides measurable success indicators across all project phases (</w:t>
      </w:r>
      <w:r w:rsidR="00767244" w:rsidRPr="000E1989">
        <w:t>Adepoju</w:t>
      </w:r>
      <w:r w:rsidRPr="000E1989">
        <w:rPr>
          <w:lang w:val="en-US"/>
        </w:rPr>
        <w:t xml:space="preserve"> </w:t>
      </w:r>
      <w:r w:rsidR="00767244" w:rsidRPr="000E1989">
        <w:t>et al</w:t>
      </w:r>
      <w:r w:rsidRPr="000E1989">
        <w:rPr>
          <w:lang w:val="en-US"/>
        </w:rPr>
        <w:t>, 2023).</w:t>
      </w:r>
    </w:p>
    <w:p w14:paraId="0E27B00A" w14:textId="77777777" w:rsidR="00A21E07" w:rsidRPr="000E1989" w:rsidRDefault="00A21E07" w:rsidP="00E77AAC">
      <w:pPr>
        <w:pStyle w:val="NoSpacing"/>
      </w:pPr>
      <w:r w:rsidRPr="000E1989">
        <w:rPr>
          <w:noProof/>
        </w:rPr>
        <w:drawing>
          <wp:inline distT="0" distB="0" distL="0" distR="0" wp14:anchorId="29670DCC" wp14:editId="3C950E20">
            <wp:extent cx="5418161" cy="2959728"/>
            <wp:effectExtent l="0" t="0" r="0" b="0"/>
            <wp:docPr id="1146582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582456" name=""/>
                    <pic:cNvPicPr/>
                  </pic:nvPicPr>
                  <pic:blipFill>
                    <a:blip r:embed="rId6"/>
                    <a:stretch>
                      <a:fillRect/>
                    </a:stretch>
                  </pic:blipFill>
                  <pic:spPr>
                    <a:xfrm>
                      <a:off x="0" y="0"/>
                      <a:ext cx="5422903" cy="2962319"/>
                    </a:xfrm>
                    <a:prstGeom prst="rect">
                      <a:avLst/>
                    </a:prstGeom>
                  </pic:spPr>
                </pic:pic>
              </a:graphicData>
            </a:graphic>
          </wp:inline>
        </w:drawing>
      </w:r>
    </w:p>
    <w:p w14:paraId="5ABC7EE2" w14:textId="77777777" w:rsidR="008E57FB" w:rsidRPr="000E1989" w:rsidRDefault="00A21E07" w:rsidP="004E2F29">
      <w:pPr>
        <w:pStyle w:val="Caption"/>
        <w:spacing w:line="480" w:lineRule="auto"/>
        <w:jc w:val="center"/>
        <w:rPr>
          <w:rFonts w:cs="Times New Roman"/>
          <w:bCs/>
          <w:i w:val="0"/>
          <w:iCs w:val="0"/>
        </w:rPr>
      </w:pPr>
      <w:r w:rsidRPr="000E1989">
        <w:rPr>
          <w:rFonts w:cs="Times New Roman"/>
        </w:rPr>
        <w:t xml:space="preserve">Figure </w:t>
      </w:r>
      <w:r w:rsidRPr="000E1989">
        <w:rPr>
          <w:rFonts w:cs="Times New Roman"/>
        </w:rPr>
        <w:fldChar w:fldCharType="begin"/>
      </w:r>
      <w:r w:rsidRPr="000E1989">
        <w:rPr>
          <w:rFonts w:cs="Times New Roman"/>
        </w:rPr>
        <w:instrText xml:space="preserve"> SEQ Figure \* ARABIC </w:instrText>
      </w:r>
      <w:r w:rsidRPr="000E1989">
        <w:rPr>
          <w:rFonts w:cs="Times New Roman"/>
        </w:rPr>
        <w:fldChar w:fldCharType="separate"/>
      </w:r>
      <w:r w:rsidR="00DC0E9E" w:rsidRPr="000E1989">
        <w:rPr>
          <w:rFonts w:cs="Times New Roman"/>
          <w:noProof/>
        </w:rPr>
        <w:t>1</w:t>
      </w:r>
      <w:r w:rsidRPr="000E1989">
        <w:rPr>
          <w:rFonts w:cs="Times New Roman"/>
        </w:rPr>
        <w:fldChar w:fldCharType="end"/>
      </w:r>
      <w:r w:rsidRPr="000E1989">
        <w:rPr>
          <w:rFonts w:cs="Times New Roman"/>
        </w:rPr>
        <w:t>: SMART Objectives Alignment with Philips Strategy</w:t>
      </w:r>
    </w:p>
    <w:p w14:paraId="1E8DA39F" w14:textId="77777777" w:rsidR="008E57FB" w:rsidRPr="000E1989" w:rsidRDefault="00A21E07" w:rsidP="00E77AAC">
      <w:pPr>
        <w:pStyle w:val="NoSpacing"/>
        <w:rPr>
          <w:bCs/>
          <w:lang w:val="en-US"/>
        </w:rPr>
      </w:pPr>
      <w:r w:rsidRPr="000E1989">
        <w:t xml:space="preserve">As shown in Figure </w:t>
      </w:r>
      <w:r w:rsidRPr="000E1989">
        <w:rPr>
          <w:i/>
          <w:iCs/>
        </w:rPr>
        <w:t>1</w:t>
      </w:r>
      <w:r w:rsidRPr="000E1989">
        <w:t>, the project’s SMART objectives are closely aligned with Philips’ strategic focus on innovation and sustainable healthcare growth (Philips, 2023)</w:t>
      </w:r>
      <w:r w:rsidR="008E57FB" w:rsidRPr="000E1989">
        <w:rPr>
          <w:bCs/>
          <w:lang w:val="en-US"/>
        </w:rPr>
        <w:t>.</w:t>
      </w:r>
      <w:r w:rsidR="002B7130" w:rsidRPr="000E1989">
        <w:rPr>
          <w:bCs/>
          <w:lang w:val="en-US"/>
        </w:rPr>
        <w:t xml:space="preserve"> </w:t>
      </w:r>
      <w:r w:rsidR="008E57FB" w:rsidRPr="000E1989">
        <w:rPr>
          <w:lang w:val="en-US"/>
        </w:rPr>
        <w:t xml:space="preserve">Overall, the strategic appraisal highlights that Philips Healthcare UK holds a strong competitive position due to its </w:t>
      </w:r>
      <w:r w:rsidR="008E57FB" w:rsidRPr="000E1989">
        <w:rPr>
          <w:lang w:val="en-US"/>
        </w:rPr>
        <w:lastRenderedPageBreak/>
        <w:t xml:space="preserve">technological leadership and stakeholder partnerships. However, success in the wearable health device project will depend on effectively managing internal inefficiencies, navigating </w:t>
      </w:r>
      <w:r w:rsidR="00E44281" w:rsidRPr="000E1989">
        <w:t>complex regulatory frameworks, and capitalizing on opportunities within the growing digital health</w:t>
      </w:r>
      <w:r w:rsidR="008E57FB" w:rsidRPr="000E1989">
        <w:rPr>
          <w:lang w:val="en-US"/>
        </w:rPr>
        <w:t xml:space="preserve"> ecosystem.</w:t>
      </w:r>
    </w:p>
    <w:p w14:paraId="3FD03B90" w14:textId="77777777" w:rsidR="00E44281" w:rsidRPr="000E1989" w:rsidRDefault="00E44281" w:rsidP="004E2F29">
      <w:pPr>
        <w:pStyle w:val="Heading1"/>
        <w:spacing w:line="480" w:lineRule="auto"/>
        <w:rPr>
          <w:rFonts w:cs="Times New Roman"/>
        </w:rPr>
      </w:pPr>
      <w:bookmarkStart w:id="4" w:name="_Toc210666021"/>
      <w:r w:rsidRPr="000E1989">
        <w:rPr>
          <w:rFonts w:cs="Times New Roman"/>
        </w:rPr>
        <w:t>3. Identification of Key Stakeholders</w:t>
      </w:r>
      <w:bookmarkEnd w:id="4"/>
      <w:r w:rsidRPr="000E1989">
        <w:rPr>
          <w:rFonts w:cs="Times New Roman"/>
        </w:rPr>
        <w:t xml:space="preserve"> </w:t>
      </w:r>
    </w:p>
    <w:p w14:paraId="27BF87B3" w14:textId="77777777" w:rsidR="00215818" w:rsidRPr="000E1989" w:rsidRDefault="00DC0E9E" w:rsidP="00215818">
      <w:pPr>
        <w:pStyle w:val="NoSpacing"/>
        <w:rPr>
          <w:lang w:val="en-US"/>
        </w:rPr>
      </w:pPr>
      <w:r w:rsidRPr="000E1989">
        <w:rPr>
          <w:lang w:val="en-US"/>
        </w:rPr>
        <w:t xml:space="preserve">Effective stakeholder identification is crucial for ensuring that all individuals and groups influencing or affected by Philips Healthcare UK’s wearable health device are </w:t>
      </w:r>
      <w:proofErr w:type="spellStart"/>
      <w:r w:rsidRPr="000E1989">
        <w:rPr>
          <w:lang w:val="en-US"/>
        </w:rPr>
        <w:t>recognised</w:t>
      </w:r>
      <w:proofErr w:type="spellEnd"/>
      <w:r w:rsidRPr="000E1989">
        <w:rPr>
          <w:lang w:val="en-US"/>
        </w:rPr>
        <w:t xml:space="preserve"> and managed appropriately. Within the </w:t>
      </w:r>
      <w:proofErr w:type="spellStart"/>
      <w:r w:rsidRPr="000E1989">
        <w:rPr>
          <w:lang w:val="en-US"/>
        </w:rPr>
        <w:t>organisation</w:t>
      </w:r>
      <w:proofErr w:type="spellEnd"/>
      <w:r w:rsidRPr="000E1989">
        <w:rPr>
          <w:lang w:val="en-US"/>
        </w:rPr>
        <w:t xml:space="preserve">, internal stakeholders include executive management, who provide strategic direction and </w:t>
      </w:r>
      <w:proofErr w:type="spellStart"/>
      <w:r w:rsidRPr="000E1989">
        <w:rPr>
          <w:lang w:val="en-US"/>
        </w:rPr>
        <w:t>authorise</w:t>
      </w:r>
      <w:proofErr w:type="spellEnd"/>
      <w:r w:rsidRPr="000E1989">
        <w:rPr>
          <w:lang w:val="en-US"/>
        </w:rPr>
        <w:t xml:space="preserve"> resources essential for project implementation (</w:t>
      </w:r>
      <w:r w:rsidR="0071707C" w:rsidRPr="000E1989">
        <w:t>Ninan et al</w:t>
      </w:r>
      <w:r w:rsidRPr="000E1989">
        <w:rPr>
          <w:lang w:val="en-US"/>
        </w:rPr>
        <w:t xml:space="preserve">, </w:t>
      </w:r>
      <w:r w:rsidR="0071707C" w:rsidRPr="000E1989">
        <w:rPr>
          <w:lang w:val="en-US"/>
        </w:rPr>
        <w:t>2019</w:t>
      </w:r>
      <w:r w:rsidRPr="000E1989">
        <w:rPr>
          <w:lang w:val="en-US"/>
        </w:rPr>
        <w:t xml:space="preserve">). The research and development (R&amp;D) department plays a central role in designing, testing, and integrating biometric technologies to ensure innovation and compliance with medical standards. </w:t>
      </w:r>
      <w:r w:rsidR="00215818" w:rsidRPr="000E1989">
        <w:rPr>
          <w:lang w:val="en-US"/>
        </w:rPr>
        <w:t>Sales and marketing teams drive consumer awareness. In parallel, regulatory compliance and quality assurance teams ensure the device meets the UK's Medical and Healthcare products Regulatory Agency (MHRA) and ISO 13485 requirements (Pacheco et al., 2025). Additionally, IT and data security teams guarantee adherence to the UK General Data Protection Regulation (GDPR), which safeguards consumer trust.</w:t>
      </w:r>
    </w:p>
    <w:p w14:paraId="2116E457" w14:textId="77777777" w:rsidR="00DC0E9E" w:rsidRPr="000E1989" w:rsidRDefault="00215818" w:rsidP="00215818">
      <w:pPr>
        <w:pStyle w:val="NoSpacing"/>
        <w:rPr>
          <w:lang w:val="en-US"/>
        </w:rPr>
      </w:pPr>
      <w:r w:rsidRPr="000E1989">
        <w:rPr>
          <w:lang w:val="en-US"/>
        </w:rPr>
        <w:t>Externally, primary stakeholders are NHS partners and healthcare professionals, who offer clinical experience and validation; customers, whose feedback is employed for iterative product enhancement; and distributors and suppliers, who enable efficient production and distribution in the market. Regulatory bodies provide certification and adherence to the law, while investors and media influence funding optimism and public sentiment (Robinson et al., 2021). It allows Philips to coordinate communication activities against each stakeholder's level of interest and power to maximize interaction and strong collaboration across the project life cycle.</w:t>
      </w:r>
    </w:p>
    <w:p w14:paraId="44AA6973" w14:textId="77777777" w:rsidR="00DC0E9E" w:rsidRPr="000E1989" w:rsidRDefault="00DC0E9E" w:rsidP="004E2F29">
      <w:pPr>
        <w:pStyle w:val="Heading1"/>
        <w:spacing w:line="480" w:lineRule="auto"/>
        <w:rPr>
          <w:rFonts w:cs="Times New Roman"/>
        </w:rPr>
      </w:pPr>
      <w:bookmarkStart w:id="5" w:name="_Toc210666022"/>
      <w:r w:rsidRPr="000E1989">
        <w:rPr>
          <w:rFonts w:cs="Times New Roman"/>
        </w:rPr>
        <w:lastRenderedPageBreak/>
        <w:t>4. Roles, Responsibilities, Benefits, and Challenges</w:t>
      </w:r>
      <w:bookmarkEnd w:id="5"/>
      <w:r w:rsidRPr="000E1989">
        <w:rPr>
          <w:rFonts w:cs="Times New Roman"/>
        </w:rPr>
        <w:t xml:space="preserve"> </w:t>
      </w:r>
    </w:p>
    <w:p w14:paraId="605E9180" w14:textId="77777777" w:rsidR="00A53E85" w:rsidRPr="000E1989" w:rsidRDefault="00A53E85" w:rsidP="00E77AAC">
      <w:pPr>
        <w:pStyle w:val="NoSpacing"/>
        <w:rPr>
          <w:lang w:val="en-US"/>
        </w:rPr>
      </w:pPr>
      <w:r w:rsidRPr="000E1989">
        <w:rPr>
          <w:lang w:val="en-US"/>
        </w:rPr>
        <w:t xml:space="preserve">Successful delivery of the project for Philips Healthcare UK's wearable health device depends on effective definition of stakeholders' roles, responsibilities, and challenge management that may arise during the project life cycle. Each stakeholder contributes distinct value to the processes of innovation, compliance, and </w:t>
      </w:r>
      <w:proofErr w:type="spellStart"/>
      <w:r w:rsidRPr="000E1989">
        <w:rPr>
          <w:lang w:val="en-US"/>
        </w:rPr>
        <w:t>commercialisation</w:t>
      </w:r>
      <w:proofErr w:type="spellEnd"/>
      <w:r w:rsidRPr="000E1989">
        <w:rPr>
          <w:lang w:val="en-US"/>
        </w:rPr>
        <w:t xml:space="preserve"> which facilitate Philips' competitive existence in the UK digital health market.</w:t>
      </w:r>
    </w:p>
    <w:p w14:paraId="5D1A30F7" w14:textId="77777777" w:rsidR="00DC0E9E" w:rsidRPr="000E1989" w:rsidRDefault="00DC0E9E" w:rsidP="00E77AAC">
      <w:pPr>
        <w:pStyle w:val="NoSpacing"/>
        <w:rPr>
          <w:lang w:val="en-US"/>
        </w:rPr>
      </w:pPr>
      <w:r w:rsidRPr="000E1989">
        <w:rPr>
          <w:lang w:val="en-US"/>
        </w:rPr>
        <w:t>Internal stakeholders play a pivotal role in the early phases of design and strategic coordination. The executive management team provides leadership, allocates resources, and ensures the project aligns with Philips’ long-term innovation and sustainability goals (</w:t>
      </w:r>
      <w:proofErr w:type="spellStart"/>
      <w:r w:rsidR="003037C9" w:rsidRPr="000E1989">
        <w:rPr>
          <w:bCs/>
        </w:rPr>
        <w:t>Hogendorf</w:t>
      </w:r>
      <w:proofErr w:type="spellEnd"/>
      <w:r w:rsidR="003037C9" w:rsidRPr="000E1989">
        <w:rPr>
          <w:bCs/>
        </w:rPr>
        <w:t>, 2024</w:t>
      </w:r>
      <w:r w:rsidRPr="000E1989">
        <w:rPr>
          <w:lang w:val="en-US"/>
        </w:rPr>
        <w:t xml:space="preserve">). The R&amp;D department oversees the technical aspects of the device, including hardware integration, biometric accuracy, and usability testing. Marketing and sales teams are responsible for </w:t>
      </w:r>
      <w:r w:rsidR="003037C9" w:rsidRPr="000E1989">
        <w:rPr>
          <w:lang w:val="en-US"/>
        </w:rPr>
        <w:t xml:space="preserve">conducting consumer research, developing branding strategies, and implementing </w:t>
      </w:r>
      <w:r w:rsidRPr="000E1989">
        <w:rPr>
          <w:lang w:val="en-US"/>
        </w:rPr>
        <w:t>market launch strategies that ensure the product resonates with UK health-conscious consumers (</w:t>
      </w:r>
      <w:r w:rsidR="003037C9" w:rsidRPr="000E1989">
        <w:rPr>
          <w:bCs/>
        </w:rPr>
        <w:t>de Sousa, 2021</w:t>
      </w:r>
      <w:r w:rsidRPr="000E1989">
        <w:rPr>
          <w:lang w:val="en-US"/>
        </w:rPr>
        <w:t>). Quality assurance and regulatory compliance units guarantee adherence to MHRA, ISO 13485, and GDPR standards, preventing legal and reputational risks. The IT and data security teams maintain system integrity by protecting sensitive health data and ensuring robust cybersecurity frameworks (</w:t>
      </w:r>
      <w:r w:rsidR="00B27E9B" w:rsidRPr="000E1989">
        <w:t xml:space="preserve">Pacheco </w:t>
      </w:r>
      <w:r w:rsidR="00B27E9B" w:rsidRPr="000E1989">
        <w:rPr>
          <w:lang w:val="en-US"/>
        </w:rPr>
        <w:t>et al., 2025</w:t>
      </w:r>
      <w:r w:rsidRPr="000E1989">
        <w:rPr>
          <w:lang w:val="en-US"/>
        </w:rPr>
        <w:t>).</w:t>
      </w:r>
    </w:p>
    <w:p w14:paraId="023B1C21" w14:textId="77777777" w:rsidR="00A53E85" w:rsidRPr="000E1989" w:rsidRDefault="00A53E85" w:rsidP="00A53E85">
      <w:pPr>
        <w:pStyle w:val="NoSpacing"/>
        <w:rPr>
          <w:lang w:val="en-US"/>
        </w:rPr>
      </w:pPr>
      <w:r w:rsidRPr="000E1989">
        <w:rPr>
          <w:lang w:val="en-US"/>
        </w:rPr>
        <w:t xml:space="preserve">External stakeholders provide </w:t>
      </w:r>
      <w:proofErr w:type="gramStart"/>
      <w:r w:rsidRPr="000E1989">
        <w:rPr>
          <w:lang w:val="en-US"/>
        </w:rPr>
        <w:t>the validation</w:t>
      </w:r>
      <w:proofErr w:type="gramEnd"/>
      <w:r w:rsidRPr="000E1989">
        <w:rPr>
          <w:lang w:val="en-US"/>
        </w:rPr>
        <w:t xml:space="preserve"> and market access that enable commercial success. Healthcare professionals and NHS partners contribute to clinical validation and endorse the device's accuracy, building credibility and consumer trust. Customers inform product development through feedback and reviews, allowing Philips to adapt features to user requirements (</w:t>
      </w:r>
      <w:proofErr w:type="spellStart"/>
      <w:r w:rsidRPr="000E1989">
        <w:rPr>
          <w:lang w:val="en-US"/>
        </w:rPr>
        <w:t>Hilbolling</w:t>
      </w:r>
      <w:proofErr w:type="spellEnd"/>
      <w:r w:rsidRPr="000E1989">
        <w:rPr>
          <w:lang w:val="en-US"/>
        </w:rPr>
        <w:t xml:space="preserve"> et al., 2021). Suppliers and manufacturers ensure the timely delivery of sensors and electronic components, and distributors and retailers enhance the availability of the device via digital and </w:t>
      </w:r>
      <w:r w:rsidRPr="000E1989">
        <w:rPr>
          <w:lang w:val="en-US"/>
        </w:rPr>
        <w:lastRenderedPageBreak/>
        <w:t>physical channels. The regulatory agencies, i.e., the MHRA, perform a governance role through granting approvals and guiding compliance. Investors and media play an important role in enhanced funding stability and reputation development, which affects public trust and long-term dedication (</w:t>
      </w:r>
      <w:proofErr w:type="spellStart"/>
      <w:r w:rsidRPr="000E1989">
        <w:rPr>
          <w:lang w:val="en-US"/>
        </w:rPr>
        <w:t>Paliszkiewicz</w:t>
      </w:r>
      <w:proofErr w:type="spellEnd"/>
      <w:r w:rsidRPr="000E1989">
        <w:rPr>
          <w:lang w:val="en-US"/>
        </w:rPr>
        <w:t xml:space="preserve"> and </w:t>
      </w:r>
      <w:proofErr w:type="spellStart"/>
      <w:r w:rsidRPr="000E1989">
        <w:rPr>
          <w:lang w:val="en-US"/>
        </w:rPr>
        <w:t>Gołuchowski</w:t>
      </w:r>
      <w:proofErr w:type="spellEnd"/>
      <w:r w:rsidRPr="000E1989">
        <w:rPr>
          <w:lang w:val="en-US"/>
        </w:rPr>
        <w:t>, 2025).</w:t>
      </w:r>
    </w:p>
    <w:p w14:paraId="7C73E043" w14:textId="77777777" w:rsidR="00DC0E9E" w:rsidRPr="000E1989" w:rsidRDefault="00A53E85" w:rsidP="00A53E85">
      <w:pPr>
        <w:pStyle w:val="NoSpacing"/>
        <w:rPr>
          <w:lang w:val="en-US"/>
        </w:rPr>
      </w:pPr>
      <w:r w:rsidRPr="000E1989">
        <w:rPr>
          <w:lang w:val="en-US"/>
        </w:rPr>
        <w:t>Despite these advantages, several challenges persist. Internally, groups often see communication gaps between marketing and technical teams, which result in misaligned expectations or delayed decisions. Externally, supply chain disruptions and regulatory hurdles delay product launches, whereas stringent data protection requirements add to compliance complexity. To address these challenges, open collaboration models, frequent communication, and transparent ownership across all stakeholders are essential</w:t>
      </w:r>
      <w:r w:rsidR="00DC0E9E" w:rsidRPr="000E1989">
        <w:rPr>
          <w:lang w:val="en-US"/>
        </w:rPr>
        <w:t>.</w:t>
      </w:r>
    </w:p>
    <w:p w14:paraId="06F2A0AD" w14:textId="77777777" w:rsidR="00DC0E9E" w:rsidRPr="000E1989" w:rsidRDefault="00DC0E9E" w:rsidP="00E77AAC">
      <w:pPr>
        <w:pStyle w:val="NoSpacing"/>
        <w:rPr>
          <w:b/>
          <w:bCs/>
          <w:lang w:val="en-US"/>
        </w:rPr>
      </w:pPr>
      <w:r w:rsidRPr="000E1989">
        <w:rPr>
          <w:b/>
          <w:bCs/>
          <w:lang w:val="en-US"/>
        </w:rPr>
        <w:t>Table 2: Stakeholder Roles, Benefits, and Challenges</w:t>
      </w:r>
    </w:p>
    <w:tbl>
      <w:tblPr>
        <w:tblStyle w:val="TableGrid"/>
        <w:tblW w:w="0" w:type="auto"/>
        <w:tblLook w:val="04A0" w:firstRow="1" w:lastRow="0" w:firstColumn="1" w:lastColumn="0" w:noHBand="0" w:noVBand="1"/>
      </w:tblPr>
      <w:tblGrid>
        <w:gridCol w:w="1860"/>
        <w:gridCol w:w="2613"/>
        <w:gridCol w:w="2250"/>
        <w:gridCol w:w="2627"/>
      </w:tblGrid>
      <w:tr w:rsidR="00DC0E9E" w:rsidRPr="000E1989" w14:paraId="4FC6E9D9" w14:textId="77777777" w:rsidTr="00DC0E9E">
        <w:tc>
          <w:tcPr>
            <w:tcW w:w="0" w:type="auto"/>
            <w:shd w:val="clear" w:color="auto" w:fill="D9D9D9" w:themeFill="background1" w:themeFillShade="D9"/>
            <w:hideMark/>
          </w:tcPr>
          <w:p w14:paraId="20849E1D" w14:textId="77777777" w:rsidR="00DC0E9E" w:rsidRPr="000E1989" w:rsidRDefault="00DC0E9E" w:rsidP="00E77AAC">
            <w:pPr>
              <w:pStyle w:val="NoSpacing"/>
              <w:rPr>
                <w:b/>
                <w:bCs/>
                <w:lang w:val="en-US"/>
              </w:rPr>
            </w:pPr>
            <w:r w:rsidRPr="000E1989">
              <w:rPr>
                <w:b/>
                <w:bCs/>
                <w:lang w:val="en-US"/>
              </w:rPr>
              <w:t>Stakeholder Group</w:t>
            </w:r>
          </w:p>
        </w:tc>
        <w:tc>
          <w:tcPr>
            <w:tcW w:w="0" w:type="auto"/>
            <w:shd w:val="clear" w:color="auto" w:fill="D9D9D9" w:themeFill="background1" w:themeFillShade="D9"/>
            <w:hideMark/>
          </w:tcPr>
          <w:p w14:paraId="0952E90B" w14:textId="77777777" w:rsidR="00DC0E9E" w:rsidRPr="000E1989" w:rsidRDefault="00DC0E9E" w:rsidP="00E77AAC">
            <w:pPr>
              <w:pStyle w:val="NoSpacing"/>
              <w:rPr>
                <w:b/>
                <w:bCs/>
                <w:lang w:val="en-US"/>
              </w:rPr>
            </w:pPr>
            <w:r w:rsidRPr="000E1989">
              <w:rPr>
                <w:b/>
                <w:bCs/>
                <w:lang w:val="en-US"/>
              </w:rPr>
              <w:t>Primary Role and Responsibility</w:t>
            </w:r>
          </w:p>
        </w:tc>
        <w:tc>
          <w:tcPr>
            <w:tcW w:w="0" w:type="auto"/>
            <w:shd w:val="clear" w:color="auto" w:fill="D9D9D9" w:themeFill="background1" w:themeFillShade="D9"/>
            <w:hideMark/>
          </w:tcPr>
          <w:p w14:paraId="12F52E81" w14:textId="77777777" w:rsidR="00DC0E9E" w:rsidRPr="000E1989" w:rsidRDefault="00DC0E9E" w:rsidP="00E77AAC">
            <w:pPr>
              <w:pStyle w:val="NoSpacing"/>
              <w:rPr>
                <w:b/>
                <w:bCs/>
                <w:lang w:val="en-US"/>
              </w:rPr>
            </w:pPr>
            <w:r w:rsidRPr="000E1989">
              <w:rPr>
                <w:b/>
                <w:bCs/>
                <w:lang w:val="en-US"/>
              </w:rPr>
              <w:t>Key Benefits to Project</w:t>
            </w:r>
          </w:p>
        </w:tc>
        <w:tc>
          <w:tcPr>
            <w:tcW w:w="0" w:type="auto"/>
            <w:shd w:val="clear" w:color="auto" w:fill="D9D9D9" w:themeFill="background1" w:themeFillShade="D9"/>
            <w:hideMark/>
          </w:tcPr>
          <w:p w14:paraId="7750AC79" w14:textId="77777777" w:rsidR="00DC0E9E" w:rsidRPr="000E1989" w:rsidRDefault="00DC0E9E" w:rsidP="00E77AAC">
            <w:pPr>
              <w:pStyle w:val="NoSpacing"/>
              <w:rPr>
                <w:b/>
                <w:bCs/>
                <w:lang w:val="en-US"/>
              </w:rPr>
            </w:pPr>
            <w:r w:rsidRPr="000E1989">
              <w:rPr>
                <w:b/>
                <w:bCs/>
                <w:lang w:val="en-US"/>
              </w:rPr>
              <w:t>Potential Challenges</w:t>
            </w:r>
          </w:p>
        </w:tc>
      </w:tr>
      <w:tr w:rsidR="00DC0E9E" w:rsidRPr="000E1989" w14:paraId="4F140E06" w14:textId="77777777" w:rsidTr="00DC0E9E">
        <w:tc>
          <w:tcPr>
            <w:tcW w:w="0" w:type="auto"/>
            <w:hideMark/>
          </w:tcPr>
          <w:p w14:paraId="5692C28C" w14:textId="77777777" w:rsidR="00DC0E9E" w:rsidRPr="000E1989" w:rsidRDefault="00DC0E9E" w:rsidP="00E77AAC">
            <w:pPr>
              <w:pStyle w:val="NoSpacing"/>
              <w:rPr>
                <w:lang w:val="en-US"/>
              </w:rPr>
            </w:pPr>
            <w:r w:rsidRPr="000E1989">
              <w:rPr>
                <w:lang w:val="en-US"/>
              </w:rPr>
              <w:t>Executive Management</w:t>
            </w:r>
          </w:p>
        </w:tc>
        <w:tc>
          <w:tcPr>
            <w:tcW w:w="0" w:type="auto"/>
            <w:hideMark/>
          </w:tcPr>
          <w:p w14:paraId="461B4618" w14:textId="77777777" w:rsidR="00DC0E9E" w:rsidRPr="000E1989" w:rsidRDefault="00DC0E9E" w:rsidP="00E77AAC">
            <w:pPr>
              <w:pStyle w:val="NoSpacing"/>
              <w:rPr>
                <w:lang w:val="en-US"/>
              </w:rPr>
            </w:pPr>
            <w:r w:rsidRPr="000E1989">
              <w:rPr>
                <w:lang w:val="en-US"/>
              </w:rPr>
              <w:t>Strategic decision-making and resource allocation</w:t>
            </w:r>
          </w:p>
        </w:tc>
        <w:tc>
          <w:tcPr>
            <w:tcW w:w="0" w:type="auto"/>
            <w:hideMark/>
          </w:tcPr>
          <w:p w14:paraId="6503BFB1" w14:textId="77777777" w:rsidR="00DC0E9E" w:rsidRPr="000E1989" w:rsidRDefault="00DC0E9E" w:rsidP="00E77AAC">
            <w:pPr>
              <w:pStyle w:val="NoSpacing"/>
              <w:rPr>
                <w:lang w:val="en-US"/>
              </w:rPr>
            </w:pPr>
            <w:r w:rsidRPr="000E1989">
              <w:rPr>
                <w:lang w:val="en-US"/>
              </w:rPr>
              <w:t>Leadership alignment and project funding</w:t>
            </w:r>
          </w:p>
        </w:tc>
        <w:tc>
          <w:tcPr>
            <w:tcW w:w="0" w:type="auto"/>
            <w:hideMark/>
          </w:tcPr>
          <w:p w14:paraId="6E944460" w14:textId="77777777" w:rsidR="00DC0E9E" w:rsidRPr="000E1989" w:rsidRDefault="00DC0E9E" w:rsidP="00E77AAC">
            <w:pPr>
              <w:pStyle w:val="NoSpacing"/>
              <w:rPr>
                <w:lang w:val="en-US"/>
              </w:rPr>
            </w:pPr>
            <w:r w:rsidRPr="000E1989">
              <w:rPr>
                <w:lang w:val="en-US"/>
              </w:rPr>
              <w:t>Conflicting priorities and time constraints</w:t>
            </w:r>
          </w:p>
        </w:tc>
      </w:tr>
      <w:tr w:rsidR="00DC0E9E" w:rsidRPr="000E1989" w14:paraId="7E3FE4A8" w14:textId="77777777" w:rsidTr="00DC0E9E">
        <w:tc>
          <w:tcPr>
            <w:tcW w:w="0" w:type="auto"/>
            <w:hideMark/>
          </w:tcPr>
          <w:p w14:paraId="65D6D383" w14:textId="77777777" w:rsidR="00DC0E9E" w:rsidRPr="000E1989" w:rsidRDefault="00DC0E9E" w:rsidP="00E77AAC">
            <w:pPr>
              <w:pStyle w:val="NoSpacing"/>
              <w:rPr>
                <w:lang w:val="en-US"/>
              </w:rPr>
            </w:pPr>
            <w:r w:rsidRPr="000E1989">
              <w:rPr>
                <w:lang w:val="en-US"/>
              </w:rPr>
              <w:t>R&amp;D Department</w:t>
            </w:r>
          </w:p>
        </w:tc>
        <w:tc>
          <w:tcPr>
            <w:tcW w:w="0" w:type="auto"/>
            <w:hideMark/>
          </w:tcPr>
          <w:p w14:paraId="1DDBD7DA" w14:textId="77777777" w:rsidR="00DC0E9E" w:rsidRPr="000E1989" w:rsidRDefault="00DC0E9E" w:rsidP="00E77AAC">
            <w:pPr>
              <w:pStyle w:val="NoSpacing"/>
              <w:rPr>
                <w:lang w:val="en-US"/>
              </w:rPr>
            </w:pPr>
            <w:r w:rsidRPr="000E1989">
              <w:rPr>
                <w:lang w:val="en-US"/>
              </w:rPr>
              <w:t>Product design, testing, and technology integration</w:t>
            </w:r>
          </w:p>
        </w:tc>
        <w:tc>
          <w:tcPr>
            <w:tcW w:w="0" w:type="auto"/>
            <w:hideMark/>
          </w:tcPr>
          <w:p w14:paraId="51A49183" w14:textId="77777777" w:rsidR="00DC0E9E" w:rsidRPr="000E1989" w:rsidRDefault="00DC0E9E" w:rsidP="00E77AAC">
            <w:pPr>
              <w:pStyle w:val="NoSpacing"/>
              <w:rPr>
                <w:lang w:val="en-US"/>
              </w:rPr>
            </w:pPr>
            <w:r w:rsidRPr="000E1989">
              <w:rPr>
                <w:lang w:val="en-US"/>
              </w:rPr>
              <w:t>Innovation and technical precision</w:t>
            </w:r>
          </w:p>
        </w:tc>
        <w:tc>
          <w:tcPr>
            <w:tcW w:w="0" w:type="auto"/>
            <w:hideMark/>
          </w:tcPr>
          <w:p w14:paraId="2C55945D" w14:textId="77777777" w:rsidR="00DC0E9E" w:rsidRPr="000E1989" w:rsidRDefault="00DC0E9E" w:rsidP="00E77AAC">
            <w:pPr>
              <w:pStyle w:val="NoSpacing"/>
              <w:rPr>
                <w:lang w:val="en-US"/>
              </w:rPr>
            </w:pPr>
            <w:r w:rsidRPr="000E1989">
              <w:rPr>
                <w:lang w:val="en-US"/>
              </w:rPr>
              <w:t>Budget limitations and prototype delays</w:t>
            </w:r>
          </w:p>
        </w:tc>
      </w:tr>
      <w:tr w:rsidR="00DC0E9E" w:rsidRPr="000E1989" w14:paraId="6505EFC1" w14:textId="77777777" w:rsidTr="00DC0E9E">
        <w:tc>
          <w:tcPr>
            <w:tcW w:w="0" w:type="auto"/>
            <w:hideMark/>
          </w:tcPr>
          <w:p w14:paraId="4B0A7E3E" w14:textId="77777777" w:rsidR="00DC0E9E" w:rsidRPr="000E1989" w:rsidRDefault="00DC0E9E" w:rsidP="00E77AAC">
            <w:pPr>
              <w:pStyle w:val="NoSpacing"/>
              <w:rPr>
                <w:lang w:val="en-US"/>
              </w:rPr>
            </w:pPr>
            <w:r w:rsidRPr="000E1989">
              <w:rPr>
                <w:lang w:val="en-US"/>
              </w:rPr>
              <w:t>Marketing &amp; Sales</w:t>
            </w:r>
          </w:p>
        </w:tc>
        <w:tc>
          <w:tcPr>
            <w:tcW w:w="0" w:type="auto"/>
            <w:hideMark/>
          </w:tcPr>
          <w:p w14:paraId="0788CD92" w14:textId="77777777" w:rsidR="00DC0E9E" w:rsidRPr="000E1989" w:rsidRDefault="00DC0E9E" w:rsidP="00E77AAC">
            <w:pPr>
              <w:pStyle w:val="NoSpacing"/>
              <w:rPr>
                <w:lang w:val="en-US"/>
              </w:rPr>
            </w:pPr>
            <w:r w:rsidRPr="000E1989">
              <w:rPr>
                <w:lang w:val="en-US"/>
              </w:rPr>
              <w:t>Market research and promotional campaigns</w:t>
            </w:r>
          </w:p>
        </w:tc>
        <w:tc>
          <w:tcPr>
            <w:tcW w:w="0" w:type="auto"/>
            <w:hideMark/>
          </w:tcPr>
          <w:p w14:paraId="16DA007A" w14:textId="77777777" w:rsidR="00DC0E9E" w:rsidRPr="000E1989" w:rsidRDefault="00DC0E9E" w:rsidP="00E77AAC">
            <w:pPr>
              <w:pStyle w:val="NoSpacing"/>
              <w:rPr>
                <w:lang w:val="en-US"/>
              </w:rPr>
            </w:pPr>
            <w:r w:rsidRPr="000E1989">
              <w:rPr>
                <w:lang w:val="en-US"/>
              </w:rPr>
              <w:t>Consumer engagement and sales growth</w:t>
            </w:r>
          </w:p>
        </w:tc>
        <w:tc>
          <w:tcPr>
            <w:tcW w:w="0" w:type="auto"/>
            <w:hideMark/>
          </w:tcPr>
          <w:p w14:paraId="3D8DC860" w14:textId="77777777" w:rsidR="00DC0E9E" w:rsidRPr="000E1989" w:rsidRDefault="00DC0E9E" w:rsidP="00E77AAC">
            <w:pPr>
              <w:pStyle w:val="NoSpacing"/>
              <w:rPr>
                <w:lang w:val="en-US"/>
              </w:rPr>
            </w:pPr>
            <w:r w:rsidRPr="000E1989">
              <w:rPr>
                <w:lang w:val="en-US"/>
              </w:rPr>
              <w:t>Inconsistent messaging and customer response delays</w:t>
            </w:r>
          </w:p>
        </w:tc>
      </w:tr>
      <w:tr w:rsidR="00DC0E9E" w:rsidRPr="000E1989" w14:paraId="40D699F7" w14:textId="77777777" w:rsidTr="00DC0E9E">
        <w:tc>
          <w:tcPr>
            <w:tcW w:w="0" w:type="auto"/>
            <w:hideMark/>
          </w:tcPr>
          <w:p w14:paraId="08C7B22F" w14:textId="77777777" w:rsidR="00DC0E9E" w:rsidRPr="000E1989" w:rsidRDefault="00DC0E9E" w:rsidP="00E77AAC">
            <w:pPr>
              <w:pStyle w:val="NoSpacing"/>
              <w:rPr>
                <w:lang w:val="en-US"/>
              </w:rPr>
            </w:pPr>
            <w:r w:rsidRPr="000E1989">
              <w:rPr>
                <w:lang w:val="en-US"/>
              </w:rPr>
              <w:lastRenderedPageBreak/>
              <w:t>NHS Partners &amp; Regulators</w:t>
            </w:r>
          </w:p>
        </w:tc>
        <w:tc>
          <w:tcPr>
            <w:tcW w:w="0" w:type="auto"/>
            <w:hideMark/>
          </w:tcPr>
          <w:p w14:paraId="0209306D" w14:textId="77777777" w:rsidR="00DC0E9E" w:rsidRPr="000E1989" w:rsidRDefault="00DC0E9E" w:rsidP="00E77AAC">
            <w:pPr>
              <w:pStyle w:val="NoSpacing"/>
              <w:rPr>
                <w:lang w:val="en-US"/>
              </w:rPr>
            </w:pPr>
            <w:r w:rsidRPr="000E1989">
              <w:rPr>
                <w:lang w:val="en-US"/>
              </w:rPr>
              <w:t>Clinical validation and legal compliance</w:t>
            </w:r>
          </w:p>
        </w:tc>
        <w:tc>
          <w:tcPr>
            <w:tcW w:w="0" w:type="auto"/>
            <w:hideMark/>
          </w:tcPr>
          <w:p w14:paraId="2ABC3778" w14:textId="77777777" w:rsidR="00DC0E9E" w:rsidRPr="000E1989" w:rsidRDefault="00DC0E9E" w:rsidP="00E77AAC">
            <w:pPr>
              <w:pStyle w:val="NoSpacing"/>
              <w:rPr>
                <w:lang w:val="en-US"/>
              </w:rPr>
            </w:pPr>
            <w:r w:rsidRPr="000E1989">
              <w:rPr>
                <w:lang w:val="en-US"/>
              </w:rPr>
              <w:t>Credibility and patient safety assurance</w:t>
            </w:r>
          </w:p>
        </w:tc>
        <w:tc>
          <w:tcPr>
            <w:tcW w:w="0" w:type="auto"/>
            <w:hideMark/>
          </w:tcPr>
          <w:p w14:paraId="7C0BC81E" w14:textId="77777777" w:rsidR="00DC0E9E" w:rsidRPr="000E1989" w:rsidRDefault="00DC0E9E" w:rsidP="00E77AAC">
            <w:pPr>
              <w:pStyle w:val="NoSpacing"/>
              <w:rPr>
                <w:lang w:val="en-US"/>
              </w:rPr>
            </w:pPr>
            <w:r w:rsidRPr="000E1989">
              <w:rPr>
                <w:lang w:val="en-US"/>
              </w:rPr>
              <w:t>Regulatory delays and administrative hurdles</w:t>
            </w:r>
          </w:p>
        </w:tc>
      </w:tr>
      <w:tr w:rsidR="00DC0E9E" w:rsidRPr="000E1989" w14:paraId="5AC03D75" w14:textId="77777777" w:rsidTr="00DC0E9E">
        <w:tc>
          <w:tcPr>
            <w:tcW w:w="0" w:type="auto"/>
            <w:hideMark/>
          </w:tcPr>
          <w:p w14:paraId="558E99F9" w14:textId="77777777" w:rsidR="00DC0E9E" w:rsidRPr="000E1989" w:rsidRDefault="00DC0E9E" w:rsidP="00E77AAC">
            <w:pPr>
              <w:pStyle w:val="NoSpacing"/>
              <w:rPr>
                <w:lang w:val="en-US"/>
              </w:rPr>
            </w:pPr>
            <w:r w:rsidRPr="000E1989">
              <w:rPr>
                <w:lang w:val="en-US"/>
              </w:rPr>
              <w:t>Customers</w:t>
            </w:r>
          </w:p>
        </w:tc>
        <w:tc>
          <w:tcPr>
            <w:tcW w:w="0" w:type="auto"/>
            <w:hideMark/>
          </w:tcPr>
          <w:p w14:paraId="60DC2A02" w14:textId="77777777" w:rsidR="00DC0E9E" w:rsidRPr="000E1989" w:rsidRDefault="00DC0E9E" w:rsidP="00E77AAC">
            <w:pPr>
              <w:pStyle w:val="NoSpacing"/>
              <w:rPr>
                <w:lang w:val="en-US"/>
              </w:rPr>
            </w:pPr>
            <w:r w:rsidRPr="000E1989">
              <w:rPr>
                <w:lang w:val="en-US"/>
              </w:rPr>
              <w:t>Feedback on usability and performance</w:t>
            </w:r>
          </w:p>
        </w:tc>
        <w:tc>
          <w:tcPr>
            <w:tcW w:w="0" w:type="auto"/>
            <w:hideMark/>
          </w:tcPr>
          <w:p w14:paraId="36D31EE6" w14:textId="77777777" w:rsidR="00DC0E9E" w:rsidRPr="000E1989" w:rsidRDefault="00DC0E9E" w:rsidP="00E77AAC">
            <w:pPr>
              <w:pStyle w:val="NoSpacing"/>
              <w:rPr>
                <w:lang w:val="en-US"/>
              </w:rPr>
            </w:pPr>
            <w:r w:rsidRPr="000E1989">
              <w:rPr>
                <w:lang w:val="en-US"/>
              </w:rPr>
              <w:t>Product improvement and brand loyalty</w:t>
            </w:r>
          </w:p>
        </w:tc>
        <w:tc>
          <w:tcPr>
            <w:tcW w:w="0" w:type="auto"/>
            <w:hideMark/>
          </w:tcPr>
          <w:p w14:paraId="42039B17" w14:textId="77777777" w:rsidR="00DC0E9E" w:rsidRPr="000E1989" w:rsidRDefault="00DC0E9E" w:rsidP="00E77AAC">
            <w:pPr>
              <w:pStyle w:val="NoSpacing"/>
              <w:rPr>
                <w:lang w:val="en-US"/>
              </w:rPr>
            </w:pPr>
            <w:r w:rsidRPr="000E1989">
              <w:rPr>
                <w:lang w:val="en-US"/>
              </w:rPr>
              <w:t>Data privacy concerns and satisfaction gaps</w:t>
            </w:r>
          </w:p>
        </w:tc>
      </w:tr>
    </w:tbl>
    <w:p w14:paraId="1BE0F430" w14:textId="77777777" w:rsidR="00DC0E9E" w:rsidRPr="000E1989" w:rsidRDefault="00020483" w:rsidP="00E77AAC">
      <w:pPr>
        <w:pStyle w:val="NoSpacing"/>
        <w:rPr>
          <w:lang w:val="en-US"/>
        </w:rPr>
      </w:pPr>
      <w:r w:rsidRPr="000E1989">
        <w:rPr>
          <w:lang w:val="en-US"/>
        </w:rPr>
        <w:t>Philips Healthcare UK can determine the best ways to engage and communicate with stakeholders, by having identified, defined and acknowledged the roles, advantages and disadvantages of each stakeholder group. Having a transparent and inclusive approach provides shared responsibility for the outcomes of a project, reduces risks and helps to build confidence and trust in the effective delivery of the wearable health device by all stakeholders</w:t>
      </w:r>
      <w:r w:rsidR="00DC0E9E" w:rsidRPr="000E1989">
        <w:rPr>
          <w:lang w:val="en-US"/>
        </w:rPr>
        <w:t>.</w:t>
      </w:r>
    </w:p>
    <w:p w14:paraId="4AE7C85B" w14:textId="77777777" w:rsidR="00DC0E9E" w:rsidRPr="000E1989" w:rsidRDefault="00DC0E9E" w:rsidP="004E2F29">
      <w:pPr>
        <w:pStyle w:val="Heading1"/>
        <w:spacing w:line="480" w:lineRule="auto"/>
        <w:rPr>
          <w:rFonts w:cs="Times New Roman"/>
        </w:rPr>
      </w:pPr>
      <w:bookmarkStart w:id="6" w:name="_Toc210666023"/>
      <w:r w:rsidRPr="000E1989">
        <w:rPr>
          <w:rFonts w:cs="Times New Roman"/>
        </w:rPr>
        <w:t>5. Frameworks and Models for Stakeholder Engagement</w:t>
      </w:r>
      <w:bookmarkEnd w:id="6"/>
      <w:r w:rsidRPr="000E1989">
        <w:rPr>
          <w:rFonts w:cs="Times New Roman"/>
        </w:rPr>
        <w:t xml:space="preserve"> </w:t>
      </w:r>
    </w:p>
    <w:p w14:paraId="3ABDEFD3" w14:textId="77777777" w:rsidR="00A24D00" w:rsidRPr="000E1989" w:rsidRDefault="00A24D00" w:rsidP="00A24D00">
      <w:pPr>
        <w:pStyle w:val="NoSpacing"/>
        <w:rPr>
          <w:lang w:val="en-US"/>
        </w:rPr>
      </w:pPr>
      <w:r w:rsidRPr="000E1989">
        <w:rPr>
          <w:lang w:val="en-US"/>
        </w:rPr>
        <w:t>Engaging with stakeholders is vital to having a successful wearable health device project for Philips Healthcare UK. Managing disparate expectations to ensure all teams maintain alignment is a challenge for the project manager; therefore, several structured frameworks that outline power dynamics in the decision-making process, frequency of communication, and responsibility must be adopted.  These frameworks include Mendelow’s Matrix, the RACI framework, and structured communication planning, which promote a more disciplined method of engaging stakeholders while ensuring operational transparency and accountability during the project life cycle.</w:t>
      </w:r>
    </w:p>
    <w:p w14:paraId="0D748E3F" w14:textId="77777777" w:rsidR="00A24D00" w:rsidRPr="000E1989" w:rsidRDefault="00A24D00" w:rsidP="00A24D00">
      <w:pPr>
        <w:pStyle w:val="NoSpacing"/>
        <w:rPr>
          <w:lang w:val="en-US"/>
        </w:rPr>
      </w:pPr>
      <w:r w:rsidRPr="000E1989">
        <w:rPr>
          <w:lang w:val="en-US"/>
        </w:rPr>
        <w:t xml:space="preserve">Mendelow’s Power–Interest Grid provides the necessary foundation for identifying and categorizing stakeholders by power and interest levels. High power and high interest stakeholders should be actively engaged and informed, in the case of Philips, stakeholders such as executive management, NHS partners, and regulatory bodies. Conversely, stakeholders with low power and </w:t>
      </w:r>
      <w:r w:rsidRPr="000E1989">
        <w:rPr>
          <w:lang w:val="en-US"/>
        </w:rPr>
        <w:lastRenderedPageBreak/>
        <w:t xml:space="preserve">low interest could receive "middleware" updates about the project, in this case, retail distributors, and component suppliers (from Siems et al., 2023). The project manager will have better stakeholder time allocation and will avoid stakeholders becoming "invisible" if applying this model to allocation of time to categories of stakeholders. </w:t>
      </w:r>
    </w:p>
    <w:p w14:paraId="7BF361EC" w14:textId="77777777" w:rsidR="00A24D00" w:rsidRPr="000E1989" w:rsidRDefault="00A24D00" w:rsidP="00A24D00">
      <w:pPr>
        <w:pStyle w:val="NoSpacing"/>
        <w:rPr>
          <w:lang w:val="en-US"/>
        </w:rPr>
      </w:pPr>
      <w:r w:rsidRPr="000E1989">
        <w:rPr>
          <w:lang w:val="en-US"/>
        </w:rPr>
        <w:t xml:space="preserve">Engaging stakeholders is essential to achieving the objectives of Philips Healthcare UK’s wearable health device project. To manage a variety of expectations and provide consistency across teams, the project manager should establish some focused frameworks to clarify power relations, frequency of communication, and responsibilities. Frameworks such as the Mendelow's Matrix, RACI framework, and structured communication planning will provide systematic engagement, transparency, and accountability during the life of the project.  </w:t>
      </w:r>
    </w:p>
    <w:p w14:paraId="01887A53" w14:textId="77777777" w:rsidR="00542153" w:rsidRPr="000E1989" w:rsidRDefault="00A24D00" w:rsidP="00A24D00">
      <w:pPr>
        <w:pStyle w:val="NoSpacing"/>
        <w:rPr>
          <w:lang w:val="en-US"/>
        </w:rPr>
      </w:pPr>
      <w:r w:rsidRPr="000E1989">
        <w:rPr>
          <w:lang w:val="en-US"/>
        </w:rPr>
        <w:t xml:space="preserve">The Mendelow Power-Interest grid establishes foundational identification and </w:t>
      </w:r>
      <w:proofErr w:type="spellStart"/>
      <w:r w:rsidRPr="000E1989">
        <w:rPr>
          <w:lang w:val="en-US"/>
        </w:rPr>
        <w:t>categorisation</w:t>
      </w:r>
      <w:proofErr w:type="spellEnd"/>
      <w:r w:rsidRPr="000E1989">
        <w:rPr>
          <w:lang w:val="en-US"/>
        </w:rPr>
        <w:t xml:space="preserve"> of stakeholders by both power and interest.  In Philips's case, stakeholders such as executive management, NHS partners, and regulators possess high power and interest, and ongoing engagement with updates should be a priority. Stakeholders who are categorically low power and low interest, such as retail distributors and component suppliers, may be managed with periodic updates and reports (Siems et al., 2023). The use of this framework will help the project manager manage attention efficiently and eliminate stakeholder neglect and ensure all parties are appropriately engaged </w:t>
      </w:r>
      <w:r w:rsidR="00542153" w:rsidRPr="000E1989">
        <w:rPr>
          <w:lang w:val="en-US"/>
        </w:rPr>
        <w:t>(</w:t>
      </w:r>
      <w:proofErr w:type="spellStart"/>
      <w:r w:rsidR="00542153" w:rsidRPr="000E1989">
        <w:rPr>
          <w:lang w:val="en-US"/>
        </w:rPr>
        <w:t>Olajiga</w:t>
      </w:r>
      <w:proofErr w:type="spellEnd"/>
      <w:r w:rsidR="00542153" w:rsidRPr="000E1989">
        <w:rPr>
          <w:lang w:val="en-US"/>
        </w:rPr>
        <w:t xml:space="preserve"> et al., 2024). </w:t>
      </w:r>
    </w:p>
    <w:p w14:paraId="7EA87206" w14:textId="77777777" w:rsidR="00DC0E9E" w:rsidRPr="000E1989" w:rsidRDefault="00A24D00" w:rsidP="00E77AAC">
      <w:pPr>
        <w:pStyle w:val="NoSpacing"/>
        <w:rPr>
          <w:lang w:val="en-US"/>
        </w:rPr>
      </w:pPr>
      <w:r w:rsidRPr="000E1989">
        <w:rPr>
          <w:lang w:val="en-US"/>
        </w:rPr>
        <w:t xml:space="preserve">The cycle of engaging stakeholders is an ongoing process of identification, analysis, planning, engagement and review. Each phase is interconnected; for instance, identifying key stakeholders leads to the analysis of stakeholder needs, which forms the basis of the engagement plan. After undertaking engagement activity, it should be measured and assessed for effectiveness </w:t>
      </w:r>
      <w:proofErr w:type="gramStart"/>
      <w:r w:rsidRPr="000E1989">
        <w:rPr>
          <w:lang w:val="en-US"/>
        </w:rPr>
        <w:t>in order to</w:t>
      </w:r>
      <w:proofErr w:type="gramEnd"/>
      <w:r w:rsidRPr="000E1989">
        <w:rPr>
          <w:lang w:val="en-US"/>
        </w:rPr>
        <w:t xml:space="preserve"> adapt and remain aligned with project objectives (Ashcroft et al, 2023). This cycle ensures that </w:t>
      </w:r>
      <w:r w:rsidRPr="000E1989">
        <w:rPr>
          <w:lang w:val="en-US"/>
        </w:rPr>
        <w:lastRenderedPageBreak/>
        <w:t xml:space="preserve">Philips is a dynamic </w:t>
      </w:r>
      <w:proofErr w:type="spellStart"/>
      <w:r w:rsidRPr="000E1989">
        <w:rPr>
          <w:lang w:val="en-US"/>
        </w:rPr>
        <w:t>organisation</w:t>
      </w:r>
      <w:proofErr w:type="spellEnd"/>
      <w:r w:rsidRPr="000E1989">
        <w:rPr>
          <w:lang w:val="en-US"/>
        </w:rPr>
        <w:t xml:space="preserve"> that dynamically adapts its approach to changes in project context and stakeholder expectations</w:t>
      </w:r>
      <w:r w:rsidR="00DC0E9E" w:rsidRPr="000E1989">
        <w:rPr>
          <w:lang w:val="en-US"/>
        </w:rPr>
        <w:t>.</w:t>
      </w:r>
    </w:p>
    <w:p w14:paraId="60061E4C" w14:textId="77777777" w:rsidR="00DC0E9E" w:rsidRPr="000E1989" w:rsidRDefault="00DC0E9E" w:rsidP="00A24D00">
      <w:pPr>
        <w:pStyle w:val="NoSpacing"/>
        <w:jc w:val="center"/>
      </w:pPr>
      <w:r w:rsidRPr="000E1989">
        <w:rPr>
          <w:noProof/>
        </w:rPr>
        <w:drawing>
          <wp:inline distT="0" distB="0" distL="0" distR="0" wp14:anchorId="4AC292A9" wp14:editId="07777777">
            <wp:extent cx="2647507" cy="2227039"/>
            <wp:effectExtent l="0" t="0" r="635" b="1905"/>
            <wp:docPr id="172233593" name="Picture 1"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Generated image"/>
                    <pic:cNvPicPr>
                      <a:picLocks noChangeAspect="1" noChangeArrowheads="1"/>
                    </pic:cNvPicPr>
                  </pic:nvPicPr>
                  <pic:blipFill rotWithShape="1">
                    <a:blip r:embed="rId7">
                      <a:extLst>
                        <a:ext uri="{28A0092B-C50C-407E-A947-70E740481C1C}">
                          <a14:useLocalDpi xmlns:a14="http://schemas.microsoft.com/office/drawing/2010/main" val="0"/>
                        </a:ext>
                      </a:extLst>
                    </a:blip>
                    <a:srcRect b="15882"/>
                    <a:stretch>
                      <a:fillRect/>
                    </a:stretch>
                  </pic:blipFill>
                  <pic:spPr bwMode="auto">
                    <a:xfrm>
                      <a:off x="0" y="0"/>
                      <a:ext cx="2658941" cy="2236657"/>
                    </a:xfrm>
                    <a:prstGeom prst="rect">
                      <a:avLst/>
                    </a:prstGeom>
                    <a:noFill/>
                    <a:ln>
                      <a:noFill/>
                    </a:ln>
                    <a:extLst>
                      <a:ext uri="{53640926-AAD7-44D8-BBD7-CCE9431645EC}">
                        <a14:shadowObscured xmlns:a14="http://schemas.microsoft.com/office/drawing/2010/main"/>
                      </a:ext>
                    </a:extLst>
                  </pic:spPr>
                </pic:pic>
              </a:graphicData>
            </a:graphic>
          </wp:inline>
        </w:drawing>
      </w:r>
    </w:p>
    <w:p w14:paraId="26EF8639" w14:textId="77777777" w:rsidR="00DC0E9E" w:rsidRPr="000E1989" w:rsidRDefault="00DC0E9E" w:rsidP="004E2F29">
      <w:pPr>
        <w:pStyle w:val="Caption"/>
        <w:spacing w:line="480" w:lineRule="auto"/>
        <w:jc w:val="center"/>
        <w:rPr>
          <w:rFonts w:cs="Times New Roman"/>
        </w:rPr>
      </w:pPr>
      <w:r w:rsidRPr="000E1989">
        <w:rPr>
          <w:rFonts w:cs="Times New Roman"/>
        </w:rPr>
        <w:t xml:space="preserve">Figure </w:t>
      </w:r>
      <w:r w:rsidRPr="000E1989">
        <w:rPr>
          <w:rFonts w:cs="Times New Roman"/>
        </w:rPr>
        <w:fldChar w:fldCharType="begin"/>
      </w:r>
      <w:r w:rsidRPr="000E1989">
        <w:rPr>
          <w:rFonts w:cs="Times New Roman"/>
        </w:rPr>
        <w:instrText xml:space="preserve"> SEQ Figure \* ARABIC </w:instrText>
      </w:r>
      <w:r w:rsidRPr="000E1989">
        <w:rPr>
          <w:rFonts w:cs="Times New Roman"/>
        </w:rPr>
        <w:fldChar w:fldCharType="separate"/>
      </w:r>
      <w:r w:rsidRPr="000E1989">
        <w:rPr>
          <w:rFonts w:cs="Times New Roman"/>
          <w:noProof/>
        </w:rPr>
        <w:t>2</w:t>
      </w:r>
      <w:r w:rsidRPr="000E1989">
        <w:rPr>
          <w:rFonts w:cs="Times New Roman"/>
        </w:rPr>
        <w:fldChar w:fldCharType="end"/>
      </w:r>
      <w:r w:rsidRPr="000E1989">
        <w:rPr>
          <w:rFonts w:cs="Times New Roman"/>
        </w:rPr>
        <w:t>: Stakeholder Engagement Cycle</w:t>
      </w:r>
    </w:p>
    <w:p w14:paraId="0334068E" w14:textId="77777777" w:rsidR="00DC0E9E" w:rsidRPr="000E1989" w:rsidRDefault="00FB7CF5" w:rsidP="00E77AAC">
      <w:pPr>
        <w:pStyle w:val="NoSpacing"/>
        <w:rPr>
          <w:lang w:val="en-US"/>
        </w:rPr>
      </w:pPr>
      <w:r w:rsidRPr="000E1989">
        <w:rPr>
          <w:lang w:val="en-US"/>
        </w:rPr>
        <w:t xml:space="preserve">In general, the </w:t>
      </w:r>
      <w:r w:rsidR="00215818" w:rsidRPr="000E1989">
        <w:rPr>
          <w:lang w:val="en-US"/>
        </w:rPr>
        <w:t>various approaches used together help Philips Healthcare UK maintain</w:t>
      </w:r>
      <w:r w:rsidRPr="000E1989">
        <w:rPr>
          <w:lang w:val="en-US"/>
        </w:rPr>
        <w:t xml:space="preserve"> a coherent, collaborative, and responsive stakeholder strategy. The project manager uses analytical tools such as Mendelow’s Matrix, managerial tools such as RACI, and iterative cycles of engagement to ensure that communication, accountability and collaboration remain paramount in delivering a successful product launch on time</w:t>
      </w:r>
      <w:r w:rsidR="00DC0E9E" w:rsidRPr="000E1989">
        <w:rPr>
          <w:lang w:val="en-US"/>
        </w:rPr>
        <w:t>.</w:t>
      </w:r>
    </w:p>
    <w:p w14:paraId="57245829" w14:textId="77777777" w:rsidR="00DC0E9E" w:rsidRPr="000E1989" w:rsidRDefault="00DC0E9E" w:rsidP="004E2F29">
      <w:pPr>
        <w:pStyle w:val="Heading1"/>
        <w:spacing w:line="480" w:lineRule="auto"/>
        <w:rPr>
          <w:rFonts w:cs="Times New Roman"/>
        </w:rPr>
      </w:pPr>
      <w:bookmarkStart w:id="7" w:name="_Toc210666024"/>
      <w:r w:rsidRPr="000E1989">
        <w:rPr>
          <w:rFonts w:cs="Times New Roman"/>
        </w:rPr>
        <w:t>6. Stakeholder Engagement Process and Conflict Management</w:t>
      </w:r>
      <w:bookmarkEnd w:id="7"/>
    </w:p>
    <w:p w14:paraId="2BC798B8" w14:textId="77777777" w:rsidR="00DC0E9E" w:rsidRPr="000E1989" w:rsidRDefault="008B0E51" w:rsidP="00E77AAC">
      <w:pPr>
        <w:pStyle w:val="NoSpacing"/>
        <w:rPr>
          <w:lang w:val="en-US"/>
        </w:rPr>
      </w:pPr>
      <w:r w:rsidRPr="000E1989">
        <w:rPr>
          <w:lang w:val="en-US"/>
        </w:rPr>
        <w:t xml:space="preserve">A well-structured stakeholder engagement framework is essential for success when launching a wearable health device project at Philips Healthcare UK. The </w:t>
      </w:r>
      <w:r w:rsidR="00215818" w:rsidRPr="000E1989">
        <w:rPr>
          <w:lang w:val="en-US"/>
        </w:rPr>
        <w:t>development of medical devices involves numerous</w:t>
      </w:r>
      <w:r w:rsidRPr="000E1989">
        <w:rPr>
          <w:lang w:val="en-US"/>
        </w:rPr>
        <w:t xml:space="preserve"> individuals across multiple fields, regulatory authorities, and healthcare organizations. The project manager must ensure that there is clear communication with effective mechanisms for conflict resolution. The 4C’s Model, </w:t>
      </w:r>
      <w:r w:rsidRPr="000E1989">
        <w:rPr>
          <w:i/>
          <w:iCs/>
          <w:lang w:val="en-US"/>
        </w:rPr>
        <w:t>communication, coordination, cooperation, and collaboration</w:t>
      </w:r>
      <w:r w:rsidRPr="000E1989">
        <w:rPr>
          <w:lang w:val="en-US"/>
        </w:rPr>
        <w:t>, provides a framework for stakeholder engagement and engagement throughout the program cycle</w:t>
      </w:r>
      <w:r w:rsidR="00DC0E9E" w:rsidRPr="000E1989">
        <w:rPr>
          <w:lang w:val="en-US"/>
        </w:rPr>
        <w:t>.</w:t>
      </w:r>
    </w:p>
    <w:p w14:paraId="3CACDAF6" w14:textId="77777777" w:rsidR="00DC0E9E" w:rsidRPr="000E1989" w:rsidRDefault="00DC0E9E" w:rsidP="004E2F29">
      <w:pPr>
        <w:pStyle w:val="Heading2"/>
        <w:spacing w:line="480" w:lineRule="auto"/>
        <w:rPr>
          <w:rFonts w:cs="Times New Roman"/>
        </w:rPr>
      </w:pPr>
      <w:bookmarkStart w:id="8" w:name="_Toc210666025"/>
      <w:r w:rsidRPr="000E1989">
        <w:rPr>
          <w:rFonts w:cs="Times New Roman"/>
        </w:rPr>
        <w:lastRenderedPageBreak/>
        <w:t>Communication</w:t>
      </w:r>
      <w:bookmarkEnd w:id="8"/>
    </w:p>
    <w:p w14:paraId="2E0F6FBC" w14:textId="77777777" w:rsidR="00DC0E9E" w:rsidRPr="000E1989" w:rsidRDefault="008B0E51" w:rsidP="00E77AAC">
      <w:pPr>
        <w:pStyle w:val="NoSpacing"/>
        <w:rPr>
          <w:lang w:val="en-US"/>
        </w:rPr>
      </w:pPr>
      <w:r w:rsidRPr="008B0E51">
        <w:rPr>
          <w:lang w:val="en-US"/>
        </w:rPr>
        <w:t>Communication should be the first consideration for stakeholder engagement, as it is the foundation. Having clear, timely, and consistent communication will allow everyone involved in the project to remain up to date regarding progress, risks, and objectives (</w:t>
      </w:r>
      <w:proofErr w:type="spellStart"/>
      <w:r w:rsidRPr="008B0E51">
        <w:rPr>
          <w:lang w:val="en-US"/>
        </w:rPr>
        <w:t>Eyieyien</w:t>
      </w:r>
      <w:proofErr w:type="spellEnd"/>
      <w:r w:rsidRPr="008B0E51">
        <w:rPr>
          <w:lang w:val="en-US"/>
        </w:rPr>
        <w:t xml:space="preserve">, et al, 2024). </w:t>
      </w:r>
      <w:r w:rsidRPr="000E1989">
        <w:rPr>
          <w:lang w:val="en-US"/>
        </w:rPr>
        <w:t xml:space="preserve"> </w:t>
      </w:r>
      <w:r w:rsidR="00DC0E9E" w:rsidRPr="000E1989">
        <w:rPr>
          <w:lang w:val="en-US"/>
        </w:rPr>
        <w:t xml:space="preserve">In this project, the communication process involves weekly internal meetings between R&amp;D, marketing, and regulatory teams to review milestones, supported by monthly progress reports for executive management and key external stakeholders such as NHS partners. Digital tools like Microsoft Teams and project dashboards enable transparency, while formal documentation ensures traceability of decisions. Open communication channels also </w:t>
      </w:r>
      <w:proofErr w:type="spellStart"/>
      <w:r w:rsidR="00DC0E9E" w:rsidRPr="000E1989">
        <w:rPr>
          <w:lang w:val="en-US"/>
        </w:rPr>
        <w:t>minimise</w:t>
      </w:r>
      <w:proofErr w:type="spellEnd"/>
      <w:r w:rsidR="00DC0E9E" w:rsidRPr="000E1989">
        <w:rPr>
          <w:lang w:val="en-US"/>
        </w:rPr>
        <w:t xml:space="preserve"> misunderstanding and speculation, which often lead to resistance or conflict</w:t>
      </w:r>
      <w:r w:rsidR="001C7E90" w:rsidRPr="000E1989">
        <w:rPr>
          <w:lang w:val="en-US"/>
        </w:rPr>
        <w:t xml:space="preserve"> (</w:t>
      </w:r>
      <w:proofErr w:type="spellStart"/>
      <w:r w:rsidR="001C7E90" w:rsidRPr="000E1989">
        <w:rPr>
          <w:lang w:val="en-US"/>
        </w:rPr>
        <w:t>Hrabenko</w:t>
      </w:r>
      <w:proofErr w:type="spellEnd"/>
      <w:r w:rsidR="001C7E90" w:rsidRPr="000E1989">
        <w:rPr>
          <w:lang w:val="en-US"/>
        </w:rPr>
        <w:t xml:space="preserve"> and Chen, 2023)</w:t>
      </w:r>
      <w:r w:rsidR="00DC0E9E" w:rsidRPr="000E1989">
        <w:rPr>
          <w:lang w:val="en-US"/>
        </w:rPr>
        <w:t>. For external stakeholders, particularly NHS collaborators and customers, Philips must maintain ethical and empathetic communication to build trust in data usage and patient safety practices.</w:t>
      </w:r>
    </w:p>
    <w:p w14:paraId="71744DF6" w14:textId="77777777" w:rsidR="00DC0E9E" w:rsidRPr="000E1989" w:rsidRDefault="00DC0E9E" w:rsidP="004E2F29">
      <w:pPr>
        <w:pStyle w:val="Heading2"/>
        <w:spacing w:line="480" w:lineRule="auto"/>
        <w:rPr>
          <w:rFonts w:cs="Times New Roman"/>
        </w:rPr>
      </w:pPr>
      <w:bookmarkStart w:id="9" w:name="_Toc210666026"/>
      <w:r w:rsidRPr="000E1989">
        <w:rPr>
          <w:rFonts w:cs="Times New Roman"/>
        </w:rPr>
        <w:t>Coordination</w:t>
      </w:r>
      <w:bookmarkEnd w:id="9"/>
    </w:p>
    <w:p w14:paraId="6B71D5AE" w14:textId="77777777" w:rsidR="00DC0E9E" w:rsidRPr="000E1989" w:rsidRDefault="00DC0E9E" w:rsidP="00E77AAC">
      <w:pPr>
        <w:pStyle w:val="NoSpacing"/>
        <w:rPr>
          <w:lang w:val="en-US"/>
        </w:rPr>
      </w:pPr>
      <w:r w:rsidRPr="000E1989">
        <w:rPr>
          <w:lang w:val="en-US"/>
        </w:rPr>
        <w:t>Coordination refers to the systematic alignment of activities, responsibilities, and schedules among diverse stakeholder groups. In complex health projects, lack of coordination often results in duplication of efforts, delays, and inconsistent outcomes</w:t>
      </w:r>
      <w:r w:rsidR="000862CF" w:rsidRPr="000E1989">
        <w:rPr>
          <w:lang w:val="en-US"/>
        </w:rPr>
        <w:t xml:space="preserve"> (</w:t>
      </w:r>
      <w:proofErr w:type="spellStart"/>
      <w:r w:rsidR="000862CF" w:rsidRPr="000E1989">
        <w:rPr>
          <w:lang w:val="en-US"/>
        </w:rPr>
        <w:t>Ogbeta</w:t>
      </w:r>
      <w:proofErr w:type="spellEnd"/>
      <w:r w:rsidR="000862CF" w:rsidRPr="000E1989">
        <w:rPr>
          <w:lang w:val="en-US"/>
        </w:rPr>
        <w:t xml:space="preserve"> et al., 2023). </w:t>
      </w:r>
      <w:r w:rsidRPr="000E1989">
        <w:rPr>
          <w:lang w:val="en-US"/>
        </w:rPr>
        <w:t xml:space="preserve">The project manager must integrate cross-departmental planning using structured project management systems, such as PRINCE2 or Agile-based workflows, to </w:t>
      </w:r>
      <w:proofErr w:type="spellStart"/>
      <w:r w:rsidRPr="000E1989">
        <w:rPr>
          <w:lang w:val="en-US"/>
        </w:rPr>
        <w:t>synchronise</w:t>
      </w:r>
      <w:proofErr w:type="spellEnd"/>
      <w:r w:rsidRPr="000E1989">
        <w:rPr>
          <w:lang w:val="en-US"/>
        </w:rPr>
        <w:t xml:space="preserve"> internal and external operations. Coordinated efforts between R&amp;D and regulatory compliance teams ensure that device testing adheres to MHRA standards before </w:t>
      </w:r>
      <w:proofErr w:type="spellStart"/>
      <w:r w:rsidRPr="000E1989">
        <w:rPr>
          <w:lang w:val="en-US"/>
        </w:rPr>
        <w:t>commercialisation</w:t>
      </w:r>
      <w:proofErr w:type="spellEnd"/>
      <w:r w:rsidRPr="000E1989">
        <w:rPr>
          <w:lang w:val="en-US"/>
        </w:rPr>
        <w:t xml:space="preserve">. Externally, coordination with suppliers and distributors guarantees that components and finished products are delivered within agreed timelines. Establishing shared digital platforms, Gantt charts, and responsibility matrices enhances </w:t>
      </w:r>
      <w:r w:rsidRPr="000E1989">
        <w:rPr>
          <w:lang w:val="en-US"/>
        </w:rPr>
        <w:lastRenderedPageBreak/>
        <w:t>visibility and accountability, enabling Philips to meet its project deadlines while maintaining quality assurance.</w:t>
      </w:r>
    </w:p>
    <w:p w14:paraId="759B162B" w14:textId="77777777" w:rsidR="00DC0E9E" w:rsidRPr="000E1989" w:rsidRDefault="00DC0E9E" w:rsidP="004E2F29">
      <w:pPr>
        <w:pStyle w:val="Heading2"/>
        <w:spacing w:line="480" w:lineRule="auto"/>
        <w:rPr>
          <w:rFonts w:cs="Times New Roman"/>
        </w:rPr>
      </w:pPr>
      <w:bookmarkStart w:id="10" w:name="_Toc210666027"/>
      <w:r w:rsidRPr="000E1989">
        <w:rPr>
          <w:rFonts w:cs="Times New Roman"/>
        </w:rPr>
        <w:t>Cooperation</w:t>
      </w:r>
      <w:bookmarkEnd w:id="10"/>
    </w:p>
    <w:p w14:paraId="770FDDFB" w14:textId="77777777" w:rsidR="00DC0E9E" w:rsidRPr="000E1989" w:rsidRDefault="00DC0E9E" w:rsidP="00E77AAC">
      <w:pPr>
        <w:pStyle w:val="NoSpacing"/>
        <w:rPr>
          <w:lang w:val="en-US"/>
        </w:rPr>
      </w:pPr>
      <w:r w:rsidRPr="000E1989">
        <w:rPr>
          <w:lang w:val="en-US"/>
        </w:rPr>
        <w:t>Cooperation within stakeholder networks fosters mutual understanding and shared responsibility for project outcomes. In the wearable health device project, cooperation between the IT, marketing, and R&amp;D teams ensures that consumer insights are integrated into design improvements, resulting in user-friendly and secure devices. This mutual support extends to external partners such as the NHS, whose cooperation enables clinical validation and early-stage trials (</w:t>
      </w:r>
      <w:r w:rsidR="00C678B3" w:rsidRPr="000E1989">
        <w:rPr>
          <w:bCs/>
        </w:rPr>
        <w:t>Hu</w:t>
      </w:r>
      <w:r w:rsidRPr="000E1989">
        <w:rPr>
          <w:lang w:val="en-US"/>
        </w:rPr>
        <w:t xml:space="preserve"> et al., 202</w:t>
      </w:r>
      <w:r w:rsidR="00C678B3" w:rsidRPr="000E1989">
        <w:rPr>
          <w:lang w:val="en-US"/>
        </w:rPr>
        <w:t>5</w:t>
      </w:r>
      <w:r w:rsidRPr="000E1989">
        <w:rPr>
          <w:lang w:val="en-US"/>
        </w:rPr>
        <w:t xml:space="preserve">). The project manager must cultivate a culture that encourages constructive feedback and active listening, preventing departmental silos. Techniques such as stakeholder workshops and review sessions help identify collective priorities, promote inclusivity, and reduce adversarial attitudes. By reinforcing cooperative </w:t>
      </w:r>
      <w:proofErr w:type="spellStart"/>
      <w:r w:rsidRPr="000E1989">
        <w:rPr>
          <w:lang w:val="en-US"/>
        </w:rPr>
        <w:t>behaviour</w:t>
      </w:r>
      <w:proofErr w:type="spellEnd"/>
      <w:r w:rsidRPr="000E1989">
        <w:rPr>
          <w:lang w:val="en-US"/>
        </w:rPr>
        <w:t>, Philips ensures that stakeholder relationships evolve from transactional to relational, contributing to long-term engagement and trust.</w:t>
      </w:r>
    </w:p>
    <w:p w14:paraId="728D14F2" w14:textId="77777777" w:rsidR="00DC0E9E" w:rsidRPr="000E1989" w:rsidRDefault="00DC0E9E" w:rsidP="004E2F29">
      <w:pPr>
        <w:pStyle w:val="Heading2"/>
        <w:spacing w:line="480" w:lineRule="auto"/>
        <w:rPr>
          <w:rFonts w:cs="Times New Roman"/>
        </w:rPr>
      </w:pPr>
      <w:bookmarkStart w:id="11" w:name="_Toc210666028"/>
      <w:r w:rsidRPr="000E1989">
        <w:rPr>
          <w:rFonts w:cs="Times New Roman"/>
        </w:rPr>
        <w:t>Collaboration</w:t>
      </w:r>
      <w:bookmarkEnd w:id="11"/>
    </w:p>
    <w:p w14:paraId="0F85150D" w14:textId="77777777" w:rsidR="00DC0E9E" w:rsidRPr="000E1989" w:rsidRDefault="00DC0E9E" w:rsidP="00E77AAC">
      <w:pPr>
        <w:pStyle w:val="NoSpacing"/>
        <w:rPr>
          <w:lang w:val="en-US"/>
        </w:rPr>
      </w:pPr>
      <w:r w:rsidRPr="000E1989">
        <w:rPr>
          <w:lang w:val="en-US"/>
        </w:rPr>
        <w:t>Collaboration represents the highest level of stakeholder engagement and is essential for innovation in healthcare technology. Through collaboration, Philips integrates cross-sector expertise</w:t>
      </w:r>
      <w:r w:rsidR="00FF1E5D" w:rsidRPr="000E1989">
        <w:t xml:space="preserve">, </w:t>
      </w:r>
      <w:r w:rsidRPr="000E1989">
        <w:rPr>
          <w:lang w:val="en-US"/>
        </w:rPr>
        <w:t>combining clinical insights from healthcare professionals, engineering innovation from R&amp;D, and consumer perspectives from market research. Collaborative decision-making leads to shared ownership of project success and accelerates problem-solving in dynamic environments (</w:t>
      </w:r>
      <w:r w:rsidR="00542153" w:rsidRPr="000E1989">
        <w:rPr>
          <w:bCs/>
        </w:rPr>
        <w:t>Wen</w:t>
      </w:r>
      <w:r w:rsidR="00542153" w:rsidRPr="000E1989">
        <w:t xml:space="preserve"> et al</w:t>
      </w:r>
      <w:r w:rsidRPr="000E1989">
        <w:rPr>
          <w:lang w:val="en-US"/>
        </w:rPr>
        <w:t>, 201</w:t>
      </w:r>
      <w:r w:rsidR="00542153" w:rsidRPr="000E1989">
        <w:rPr>
          <w:lang w:val="en-US"/>
        </w:rPr>
        <w:t>8</w:t>
      </w:r>
      <w:r w:rsidRPr="000E1989">
        <w:rPr>
          <w:lang w:val="en-US"/>
        </w:rPr>
        <w:t xml:space="preserve">). For instance, joint research with NHS partners enhances the device’s accuracy and ethical compliance, while collaboration with regulators ensures alignment with </w:t>
      </w:r>
      <w:proofErr w:type="gramStart"/>
      <w:r w:rsidRPr="000E1989">
        <w:rPr>
          <w:lang w:val="en-US"/>
        </w:rPr>
        <w:t>data-protection</w:t>
      </w:r>
      <w:proofErr w:type="gramEnd"/>
      <w:r w:rsidRPr="000E1989">
        <w:rPr>
          <w:lang w:val="en-US"/>
        </w:rPr>
        <w:t xml:space="preserve"> and safety requirements. Collaborative digital platforms, co-design workshops, and regular performance reviews facilitate real-time knowledge exchange.</w:t>
      </w:r>
    </w:p>
    <w:p w14:paraId="66602187" w14:textId="77777777" w:rsidR="00DC0E9E" w:rsidRPr="000E1989" w:rsidRDefault="00DC0E9E" w:rsidP="004E2F29">
      <w:pPr>
        <w:pStyle w:val="Heading2"/>
        <w:spacing w:line="480" w:lineRule="auto"/>
        <w:rPr>
          <w:rFonts w:cs="Times New Roman"/>
        </w:rPr>
      </w:pPr>
      <w:bookmarkStart w:id="12" w:name="_Toc210666029"/>
      <w:r w:rsidRPr="000E1989">
        <w:rPr>
          <w:rFonts w:cs="Times New Roman"/>
        </w:rPr>
        <w:lastRenderedPageBreak/>
        <w:t>Conflict Management</w:t>
      </w:r>
      <w:bookmarkEnd w:id="12"/>
    </w:p>
    <w:p w14:paraId="54772F90" w14:textId="77777777" w:rsidR="00DC0E9E" w:rsidRPr="000E1989" w:rsidRDefault="00DC0E9E" w:rsidP="00E77AAC">
      <w:pPr>
        <w:pStyle w:val="NoSpacing"/>
        <w:rPr>
          <w:lang w:val="en-US"/>
        </w:rPr>
      </w:pPr>
      <w:r w:rsidRPr="000E1989">
        <w:rPr>
          <w:lang w:val="en-US"/>
        </w:rPr>
        <w:t>Despite well-structured engagement, conflicts are inevitable in multidisciplinary projects. Common sources include resource allocation, differing departmental priorities, and regulatory constraints. The project manager must apply constructive conflict management strategies such as negotiation, mediation, and compromise to maintain stakeholder harmony. Applying the Thomas–Kilmann model</w:t>
      </w:r>
      <w:r w:rsidRPr="000E1989">
        <w:t xml:space="preserve">, </w:t>
      </w:r>
      <w:r w:rsidRPr="000E1989">
        <w:rPr>
          <w:lang w:val="en-US"/>
        </w:rPr>
        <w:t xml:space="preserve">which </w:t>
      </w:r>
      <w:proofErr w:type="spellStart"/>
      <w:r w:rsidRPr="000E1989">
        <w:rPr>
          <w:lang w:val="en-US"/>
        </w:rPr>
        <w:t>categorises</w:t>
      </w:r>
      <w:proofErr w:type="spellEnd"/>
      <w:r w:rsidRPr="000E1989">
        <w:rPr>
          <w:lang w:val="en-US"/>
        </w:rPr>
        <w:t xml:space="preserve"> conflict responses into competing, avoiding, accommodating, compromising, and collaborating</w:t>
      </w:r>
      <w:r w:rsidR="00FF1E5D" w:rsidRPr="000E1989">
        <w:t xml:space="preserve">, </w:t>
      </w:r>
      <w:r w:rsidRPr="000E1989">
        <w:rPr>
          <w:lang w:val="en-US"/>
        </w:rPr>
        <w:t xml:space="preserve">helps determine the most suitable resolution approach based on context (Rahim, 2022). For example, regulatory disagreements may require collaboration and evidence-based negotiation, while timeline disputes may be resolved through compromise </w:t>
      </w:r>
      <w:proofErr w:type="gramStart"/>
      <w:r w:rsidRPr="000E1989">
        <w:rPr>
          <w:lang w:val="en-US"/>
        </w:rPr>
        <w:t>and workload</w:t>
      </w:r>
      <w:proofErr w:type="gramEnd"/>
      <w:r w:rsidRPr="000E1989">
        <w:rPr>
          <w:lang w:val="en-US"/>
        </w:rPr>
        <w:t xml:space="preserve"> redistribution. Consistent feedback loops, empathy, and transparent reporting play a crucial role in preventing escalation and sustaining productive relationships.</w:t>
      </w:r>
    </w:p>
    <w:p w14:paraId="2EE6B04B" w14:textId="77777777" w:rsidR="00DC0E9E" w:rsidRPr="000E1989" w:rsidRDefault="00193EF8" w:rsidP="00E77AAC">
      <w:pPr>
        <w:pStyle w:val="NoSpacing"/>
        <w:rPr>
          <w:lang w:val="en-US"/>
        </w:rPr>
      </w:pPr>
      <w:r w:rsidRPr="000E1989">
        <w:rPr>
          <w:lang w:val="en-US"/>
        </w:rPr>
        <w:t xml:space="preserve">In conclusion, the process of engaging stakeholders at Philips Healthcare UK incorporates dynamic communication, a system of structured coordination, active collaboration, and cross-functional teamwork; namely, if paired with effective conflict management, confidence in stakeholders, risk mitigation and the successful launch of the wearable health device would be achieved within the </w:t>
      </w:r>
      <w:proofErr w:type="gramStart"/>
      <w:r w:rsidRPr="000E1989">
        <w:rPr>
          <w:lang w:val="en-US"/>
        </w:rPr>
        <w:t>six month</w:t>
      </w:r>
      <w:proofErr w:type="gramEnd"/>
      <w:r w:rsidRPr="000E1989">
        <w:rPr>
          <w:lang w:val="en-US"/>
        </w:rPr>
        <w:t xml:space="preserve"> timeline for deliverable</w:t>
      </w:r>
      <w:r w:rsidR="00DC0E9E" w:rsidRPr="000E1989">
        <w:rPr>
          <w:lang w:val="en-US"/>
        </w:rPr>
        <w:t>.</w:t>
      </w:r>
    </w:p>
    <w:p w14:paraId="14C23F9D" w14:textId="77777777" w:rsidR="00FF1E5D" w:rsidRPr="000E1989" w:rsidRDefault="00FF1E5D" w:rsidP="004E2F29">
      <w:pPr>
        <w:pStyle w:val="Heading1"/>
        <w:spacing w:line="480" w:lineRule="auto"/>
        <w:rPr>
          <w:rFonts w:cs="Times New Roman"/>
        </w:rPr>
      </w:pPr>
      <w:bookmarkStart w:id="13" w:name="_Toc210666030"/>
      <w:r w:rsidRPr="000E1989">
        <w:rPr>
          <w:rFonts w:cs="Times New Roman"/>
        </w:rPr>
        <w:t>7. Evaluation of Stakeholder Engagement Impact</w:t>
      </w:r>
      <w:bookmarkEnd w:id="13"/>
      <w:r w:rsidRPr="000E1989">
        <w:rPr>
          <w:rFonts w:cs="Times New Roman"/>
        </w:rPr>
        <w:t xml:space="preserve"> </w:t>
      </w:r>
    </w:p>
    <w:p w14:paraId="125288AE" w14:textId="77777777" w:rsidR="00FF1E5D" w:rsidRPr="000E1989" w:rsidRDefault="00A62286" w:rsidP="00E77AAC">
      <w:pPr>
        <w:pStyle w:val="NoSpacing"/>
        <w:rPr>
          <w:lang w:val="en-US"/>
        </w:rPr>
      </w:pPr>
      <w:r w:rsidRPr="000E1989">
        <w:rPr>
          <w:lang w:val="en-US"/>
        </w:rPr>
        <w:t xml:space="preserve">It is important to evaluate stakeholder engagement’s impact, to establish </w:t>
      </w:r>
      <w:proofErr w:type="gramStart"/>
      <w:r w:rsidRPr="000E1989">
        <w:rPr>
          <w:lang w:val="en-US"/>
        </w:rPr>
        <w:t>whether or not</w:t>
      </w:r>
      <w:proofErr w:type="gramEnd"/>
      <w:r w:rsidRPr="000E1989">
        <w:rPr>
          <w:lang w:val="en-US"/>
        </w:rPr>
        <w:t xml:space="preserve"> the Philips Healthcare UK project processes support innovation, performance, and sustainability in the longer-term. The successful delivery of a new wearable health device relies upon technical effectiveness, what matters most is the stakeholder relationships to create collaboration, achieve regulatory approval, and ultimately deliver customer satisfaction. Meaningful stakeholder engagement </w:t>
      </w:r>
      <w:r w:rsidRPr="000E1989">
        <w:rPr>
          <w:lang w:val="en-US"/>
        </w:rPr>
        <w:lastRenderedPageBreak/>
        <w:t>enables better-informed decision-making, improved operational efficiency, and enhanced business outcomes (Iandolo et al.</w:t>
      </w:r>
      <w:r w:rsidR="00FF1E5D" w:rsidRPr="000E1989">
        <w:rPr>
          <w:lang w:val="en-US"/>
        </w:rPr>
        <w:t>, 202</w:t>
      </w:r>
      <w:r w:rsidR="00F4549E" w:rsidRPr="000E1989">
        <w:t>5</w:t>
      </w:r>
      <w:r w:rsidR="00FF1E5D" w:rsidRPr="000E1989">
        <w:rPr>
          <w:lang w:val="en-US"/>
        </w:rPr>
        <w:t>).</w:t>
      </w:r>
    </w:p>
    <w:p w14:paraId="68FC9E5C" w14:textId="77777777" w:rsidR="00FF1E5D" w:rsidRPr="000E1989" w:rsidRDefault="00FF1E5D" w:rsidP="004E2F29">
      <w:pPr>
        <w:pStyle w:val="Heading2"/>
        <w:spacing w:line="480" w:lineRule="auto"/>
        <w:rPr>
          <w:rFonts w:cs="Times New Roman"/>
        </w:rPr>
      </w:pPr>
      <w:bookmarkStart w:id="14" w:name="_Toc210666031"/>
      <w:r w:rsidRPr="000E1989">
        <w:rPr>
          <w:rFonts w:cs="Times New Roman"/>
        </w:rPr>
        <w:t>Impact on Organisational Performance</w:t>
      </w:r>
      <w:bookmarkEnd w:id="14"/>
    </w:p>
    <w:p w14:paraId="2D92448B" w14:textId="77777777" w:rsidR="00FF1E5D" w:rsidRPr="000E1989" w:rsidRDefault="00A62286" w:rsidP="00E77AAC">
      <w:pPr>
        <w:pStyle w:val="NoSpacing"/>
      </w:pPr>
      <w:r w:rsidRPr="000E1989">
        <w:rPr>
          <w:lang w:val="en-US"/>
        </w:rPr>
        <w:t xml:space="preserve">Philips’ </w:t>
      </w:r>
      <w:proofErr w:type="spellStart"/>
      <w:r w:rsidRPr="000E1989">
        <w:rPr>
          <w:lang w:val="en-US"/>
        </w:rPr>
        <w:t>organisational</w:t>
      </w:r>
      <w:proofErr w:type="spellEnd"/>
      <w:r w:rsidRPr="000E1989">
        <w:rPr>
          <w:lang w:val="en-US"/>
        </w:rPr>
        <w:t xml:space="preserve"> performance is influenced by effective stakeholder engagement. Firstly, internally, structured communication with R&amp;D, marketing, and regulatory teams </w:t>
      </w:r>
      <w:proofErr w:type="spellStart"/>
      <w:r w:rsidRPr="000E1989">
        <w:rPr>
          <w:lang w:val="en-US"/>
        </w:rPr>
        <w:t>optimises</w:t>
      </w:r>
      <w:proofErr w:type="spellEnd"/>
      <w:r w:rsidRPr="000E1989">
        <w:rPr>
          <w:lang w:val="en-US"/>
        </w:rPr>
        <w:t xml:space="preserve"> coordination that leads to less design mistakes, quicker development timelines, and increased efficiency of resource use (Philips Annual Report, 2024). Secondly, by inviting and engaging stakeholders, Philips </w:t>
      </w:r>
      <w:proofErr w:type="spellStart"/>
      <w:r w:rsidRPr="000E1989">
        <w:rPr>
          <w:lang w:val="en-US"/>
        </w:rPr>
        <w:t>externalises</w:t>
      </w:r>
      <w:proofErr w:type="spellEnd"/>
      <w:r w:rsidRPr="000E1989">
        <w:rPr>
          <w:lang w:val="en-US"/>
        </w:rPr>
        <w:t xml:space="preserve"> its innovation capacity by facilitating multidisciplinary teams to co-create solutions specific to the market conditions.</w:t>
      </w:r>
      <w:r w:rsidR="00FF1E5D" w:rsidRPr="000E1989">
        <w:rPr>
          <w:lang w:val="en-US"/>
        </w:rPr>
        <w:t xml:space="preserve"> Externally, partnerships with the NHS and regulatory bodies foster credibility and accelerate device certification, ensuring the product meets safety and ethical standards. Studies show that firms with higher stakeholder collaboration achieve stronger innovation outcomes and faster time-to-market, particularly in healthcare technology sectors (</w:t>
      </w:r>
      <w:r w:rsidR="006F627E" w:rsidRPr="000E1989">
        <w:t>Ramesh</w:t>
      </w:r>
      <w:r w:rsidR="00FF1E5D" w:rsidRPr="000E1989">
        <w:rPr>
          <w:lang w:val="en-US"/>
        </w:rPr>
        <w:t>, 2023).</w:t>
      </w:r>
    </w:p>
    <w:p w14:paraId="4263C326" w14:textId="77777777" w:rsidR="00FF1E5D" w:rsidRPr="000E1989" w:rsidRDefault="00FF1E5D" w:rsidP="00E77AAC">
      <w:pPr>
        <w:pStyle w:val="NoSpacing"/>
        <w:rPr>
          <w:lang w:val="en-US"/>
        </w:rPr>
      </w:pPr>
      <w:r w:rsidRPr="000E1989">
        <w:rPr>
          <w:lang w:val="en-US"/>
        </w:rPr>
        <w:t>Moreover, engaging customers and end-users early in the development phase improves user experience and satisfaction. Feedback collected from pilot testing with healthcare professionals helps Philips refine design elements such as comfort, data accuracy, and usability. As a result, stakeholder engagement transforms into a performance enabler, positioning Philips as a trusted leader in patient-centric innovation.</w:t>
      </w:r>
    </w:p>
    <w:p w14:paraId="1D9889A0" w14:textId="77777777" w:rsidR="00FF1E5D" w:rsidRPr="000E1989" w:rsidRDefault="00FF1E5D" w:rsidP="004E2F29">
      <w:pPr>
        <w:pStyle w:val="Heading2"/>
        <w:spacing w:line="480" w:lineRule="auto"/>
        <w:rPr>
          <w:rFonts w:cs="Times New Roman"/>
        </w:rPr>
      </w:pPr>
      <w:bookmarkStart w:id="15" w:name="_Toc210666032"/>
      <w:r w:rsidRPr="000E1989">
        <w:rPr>
          <w:rFonts w:cs="Times New Roman"/>
        </w:rPr>
        <w:t>Impact on Risk Management and Compliance</w:t>
      </w:r>
      <w:bookmarkEnd w:id="15"/>
    </w:p>
    <w:p w14:paraId="69666DFA" w14:textId="77777777" w:rsidR="00A43EFE" w:rsidRPr="000E1989" w:rsidRDefault="00FF1E5D" w:rsidP="00A43EFE">
      <w:pPr>
        <w:pStyle w:val="NoSpacing"/>
        <w:rPr>
          <w:lang w:val="en-US"/>
        </w:rPr>
      </w:pPr>
      <w:r w:rsidRPr="000E1989">
        <w:rPr>
          <w:lang w:val="en-US"/>
        </w:rPr>
        <w:t>Stakeholder engagement also plays a critical role in risk management and regulatory compliance. By maintaining continuous dialogue with key stakeholders</w:t>
      </w:r>
      <w:r w:rsidRPr="000E1989">
        <w:t xml:space="preserve">, </w:t>
      </w:r>
      <w:r w:rsidRPr="000E1989">
        <w:rPr>
          <w:lang w:val="en-US"/>
        </w:rPr>
        <w:t>particularly the MHRA, GDPR regulators, and NHS partners</w:t>
      </w:r>
      <w:r w:rsidRPr="000E1989">
        <w:t xml:space="preserve">, </w:t>
      </w:r>
      <w:r w:rsidRPr="000E1989">
        <w:rPr>
          <w:lang w:val="en-US"/>
        </w:rPr>
        <w:t xml:space="preserve">Philips proactively identifies potential compliance issues and mitigates legal risks. Collaborative consultation reduces uncertainty around product approval </w:t>
      </w:r>
      <w:r w:rsidRPr="000E1989">
        <w:rPr>
          <w:lang w:val="en-US"/>
        </w:rPr>
        <w:lastRenderedPageBreak/>
        <w:t xml:space="preserve">timelines and ensures ethical data handling practices are upheld (PwC, 2023). </w:t>
      </w:r>
      <w:r w:rsidR="00A43EFE" w:rsidRPr="000E1989">
        <w:rPr>
          <w:lang w:val="en-US"/>
        </w:rPr>
        <w:t xml:space="preserve">In the context of data-driven health devices, such proactive compliance engagement protects the company's reputation and builds trust with customers. Rahim (2022) and other related literature demonstrate that </w:t>
      </w:r>
      <w:proofErr w:type="spellStart"/>
      <w:r w:rsidR="00A43EFE" w:rsidRPr="000E1989">
        <w:rPr>
          <w:lang w:val="en-US"/>
        </w:rPr>
        <w:t>organisations</w:t>
      </w:r>
      <w:proofErr w:type="spellEnd"/>
      <w:r w:rsidR="00A43EFE" w:rsidRPr="000E1989">
        <w:rPr>
          <w:lang w:val="en-US"/>
        </w:rPr>
        <w:t xml:space="preserve"> that incorporate perspectives from stakeholders in their risk management frameworks are better prepared to face crises, mitigate costly litigation risks, and deliver services in continuity.</w:t>
      </w:r>
    </w:p>
    <w:p w14:paraId="7037B5D4" w14:textId="77777777" w:rsidR="00FF1E5D" w:rsidRPr="000E1989" w:rsidRDefault="00A43EFE" w:rsidP="00A43EFE">
      <w:pPr>
        <w:pStyle w:val="NoSpacing"/>
        <w:rPr>
          <w:lang w:val="en-US"/>
        </w:rPr>
      </w:pPr>
      <w:r w:rsidRPr="000E1989">
        <w:rPr>
          <w:lang w:val="en-US"/>
        </w:rPr>
        <w:t>Furthermore, engaging suppliers and distributors bolsters supply chain resilience. Coordinated meetings and regular reviews can prepare Philips when there is any potential component shortage and allow them to adjust product for operations or reschedule product deliveries. Responsiveness is vital in the healthcare technology market to avoid reputational harm or financial loss</w:t>
      </w:r>
      <w:r w:rsidR="00FF1E5D" w:rsidRPr="000E1989">
        <w:rPr>
          <w:lang w:val="en-US"/>
        </w:rPr>
        <w:t>.</w:t>
      </w:r>
    </w:p>
    <w:p w14:paraId="5BD3817A" w14:textId="77777777" w:rsidR="00FF1E5D" w:rsidRPr="000E1989" w:rsidRDefault="00FF1E5D" w:rsidP="004E2F29">
      <w:pPr>
        <w:pStyle w:val="Heading2"/>
        <w:spacing w:line="480" w:lineRule="auto"/>
        <w:rPr>
          <w:rFonts w:cs="Times New Roman"/>
        </w:rPr>
      </w:pPr>
      <w:bookmarkStart w:id="16" w:name="_Toc210666033"/>
      <w:r w:rsidRPr="000E1989">
        <w:rPr>
          <w:rFonts w:cs="Times New Roman"/>
        </w:rPr>
        <w:t>Impact on Innovation and Competitive Advantage</w:t>
      </w:r>
      <w:bookmarkEnd w:id="16"/>
    </w:p>
    <w:p w14:paraId="56F39FB6" w14:textId="77777777" w:rsidR="002C1B4C" w:rsidRPr="000E1989" w:rsidRDefault="002C1B4C" w:rsidP="002C1B4C">
      <w:pPr>
        <w:pStyle w:val="NoSpacing"/>
        <w:rPr>
          <w:lang w:val="en-US"/>
        </w:rPr>
      </w:pPr>
      <w:r w:rsidRPr="000E1989">
        <w:rPr>
          <w:lang w:val="en-US"/>
        </w:rPr>
        <w:t>Stakeholder engagement is critical to Philips' innovation framework as a means of transferring knowledge and engaging in inter-sector collaboration. Cross-collaboration between internal organizations and external research institutions advances innovative thinking to solve problems and ensures a culture of continuous improvement. Interoperation with health professionals as well as learning institutions also generates clinically applicable observations that inform the development of new product attributes and services (</w:t>
      </w:r>
      <w:proofErr w:type="spellStart"/>
      <w:r w:rsidRPr="000E1989">
        <w:rPr>
          <w:lang w:val="en-US"/>
        </w:rPr>
        <w:t>Kockaya</w:t>
      </w:r>
      <w:proofErr w:type="spellEnd"/>
      <w:r w:rsidRPr="000E1989">
        <w:rPr>
          <w:lang w:val="en-US"/>
        </w:rPr>
        <w:t xml:space="preserve">, 2024). This network-based approach is an open innovation principle where </w:t>
      </w:r>
      <w:proofErr w:type="spellStart"/>
      <w:r w:rsidRPr="000E1989">
        <w:rPr>
          <w:lang w:val="en-US"/>
        </w:rPr>
        <w:t>organisations</w:t>
      </w:r>
      <w:proofErr w:type="spellEnd"/>
      <w:r w:rsidRPr="000E1989">
        <w:rPr>
          <w:lang w:val="en-US"/>
        </w:rPr>
        <w:t xml:space="preserve"> draw on the outside world's expertise to complement their internal innovation processes.</w:t>
      </w:r>
    </w:p>
    <w:p w14:paraId="614EB0E0" w14:textId="77777777" w:rsidR="00FF1E5D" w:rsidRPr="000E1989" w:rsidRDefault="002C1B4C" w:rsidP="002C1B4C">
      <w:pPr>
        <w:pStyle w:val="NoSpacing"/>
      </w:pPr>
      <w:r w:rsidRPr="000E1989">
        <w:rPr>
          <w:lang w:val="en-US"/>
        </w:rPr>
        <w:t xml:space="preserve">Further, stakeholder engagement enhances Philips' competitive advantage since it differentiates its products in the highly competitive industry. Interaction with stakeholders in a rightful manner allows Philips to market the wearable health device not only as a consumer product but also as a medically established, data-secure preventive health management solution. Such strategic </w:t>
      </w:r>
      <w:r w:rsidRPr="000E1989">
        <w:rPr>
          <w:lang w:val="en-US"/>
        </w:rPr>
        <w:lastRenderedPageBreak/>
        <w:t xml:space="preserve">positioning by considering stakeholders' viewpoints is consistent with Freeman's assertion that long-term stakeholder engagement enhances brand equity and </w:t>
      </w:r>
      <w:proofErr w:type="spellStart"/>
      <w:r w:rsidRPr="000E1989">
        <w:rPr>
          <w:lang w:val="en-US"/>
        </w:rPr>
        <w:t>organisational</w:t>
      </w:r>
      <w:proofErr w:type="spellEnd"/>
      <w:r w:rsidRPr="000E1989">
        <w:rPr>
          <w:lang w:val="en-US"/>
        </w:rPr>
        <w:t xml:space="preserve"> resilience.</w:t>
      </w:r>
    </w:p>
    <w:p w14:paraId="6BCE5476" w14:textId="77777777" w:rsidR="00FF1E5D" w:rsidRPr="000E1989" w:rsidRDefault="00FF1E5D" w:rsidP="004E2F29">
      <w:pPr>
        <w:pStyle w:val="Heading2"/>
        <w:spacing w:line="480" w:lineRule="auto"/>
        <w:rPr>
          <w:rFonts w:cs="Times New Roman"/>
        </w:rPr>
      </w:pPr>
      <w:bookmarkStart w:id="17" w:name="_Toc210666034"/>
      <w:r w:rsidRPr="000E1989">
        <w:rPr>
          <w:rFonts w:cs="Times New Roman"/>
        </w:rPr>
        <w:t>Quantitative and Qualitative Indicators of Impact</w:t>
      </w:r>
      <w:bookmarkEnd w:id="17"/>
    </w:p>
    <w:p w14:paraId="3286962E" w14:textId="77777777" w:rsidR="00FF1E5D" w:rsidRPr="000E1989" w:rsidRDefault="003D38EB" w:rsidP="00E77AAC">
      <w:pPr>
        <w:pStyle w:val="NoSpacing"/>
        <w:rPr>
          <w:lang w:val="en-US"/>
        </w:rPr>
      </w:pPr>
      <w:r w:rsidRPr="000E1989">
        <w:rPr>
          <w:lang w:val="en-US"/>
        </w:rPr>
        <w:t>The success of stakeholder engagement can be quantified using a combination of quantitative and qualitative indicators. Quantitative indicators are measured in terms of fewer project delays, improved stakeholder satisfaction scores, improved sales outcomes, and good post-launch media feedback. Qualitative indicators are measured in terms of improved stakeholder relationships, improved team morale, and perceived openness and justice of communication (Ashcroft et al, 2017). These initiatives can be incorporated into Philips' Balanced Scorecard to relate stakeholder satisfaction to business performance objectives. Regular post-project appraisal and survey responses provide further information about the effectiveness of engagement and provide areas for continuous improvement</w:t>
      </w:r>
      <w:r w:rsidR="00FF1E5D" w:rsidRPr="000E1989">
        <w:rPr>
          <w:lang w:val="en-US"/>
        </w:rPr>
        <w:t>.</w:t>
      </w:r>
    </w:p>
    <w:p w14:paraId="0C06590F" w14:textId="77777777" w:rsidR="00FF1E5D" w:rsidRPr="000E1989" w:rsidRDefault="00FF1E5D" w:rsidP="004E2F29">
      <w:pPr>
        <w:pStyle w:val="Heading2"/>
        <w:spacing w:line="480" w:lineRule="auto"/>
        <w:rPr>
          <w:rFonts w:cs="Times New Roman"/>
        </w:rPr>
      </w:pPr>
      <w:bookmarkStart w:id="18" w:name="_Toc210666035"/>
      <w:r w:rsidRPr="000E1989">
        <w:rPr>
          <w:rFonts w:cs="Times New Roman"/>
        </w:rPr>
        <w:t>Summary of Evaluation</w:t>
      </w:r>
      <w:bookmarkEnd w:id="18"/>
    </w:p>
    <w:p w14:paraId="3C5A2ADD" w14:textId="77777777" w:rsidR="00FF1E5D" w:rsidRPr="000E1989" w:rsidRDefault="002F46AC" w:rsidP="00E77AAC">
      <w:pPr>
        <w:pStyle w:val="NoSpacing"/>
        <w:rPr>
          <w:lang w:val="en-US"/>
        </w:rPr>
      </w:pPr>
      <w:r w:rsidRPr="000E1989">
        <w:rPr>
          <w:lang w:val="en-US"/>
        </w:rPr>
        <w:t xml:space="preserve">Overall, stakeholder engagement has been beneficial to Philips Healthcare UK across all dimensions of project performance. It has enhanced operational efficiency, ensured compliance, improved </w:t>
      </w:r>
      <w:proofErr w:type="gramStart"/>
      <w:r w:rsidRPr="000E1989">
        <w:rPr>
          <w:lang w:val="en-US"/>
        </w:rPr>
        <w:t>innovation</w:t>
      </w:r>
      <w:proofErr w:type="gramEnd"/>
      <w:r w:rsidRPr="000E1989">
        <w:rPr>
          <w:lang w:val="en-US"/>
        </w:rPr>
        <w:t xml:space="preserve"> outcomes, and enhanced the company's reputation within the digital health sector. Through institutionalization of engagement as a continuous, measurable process, Philips makes sure that its projects are not only technologically advanced but also ethically rooted and socially responsible. The combined impact of stakeholder collaboration results in sustainable business growth, improved patient outcomes, and improved relationships with healthcare systems and consumers overall</w:t>
      </w:r>
      <w:r w:rsidR="00FF1E5D" w:rsidRPr="000E1989">
        <w:rPr>
          <w:lang w:val="en-US"/>
        </w:rPr>
        <w:t>.</w:t>
      </w:r>
    </w:p>
    <w:p w14:paraId="087089AF" w14:textId="77777777" w:rsidR="00FF1E5D" w:rsidRPr="000E1989" w:rsidRDefault="00FF1E5D" w:rsidP="004E2F29">
      <w:pPr>
        <w:pStyle w:val="Heading1"/>
        <w:spacing w:line="480" w:lineRule="auto"/>
        <w:rPr>
          <w:rFonts w:cs="Times New Roman"/>
        </w:rPr>
      </w:pPr>
      <w:bookmarkStart w:id="19" w:name="_Toc210666036"/>
      <w:r w:rsidRPr="000E1989">
        <w:rPr>
          <w:rFonts w:cs="Times New Roman"/>
        </w:rPr>
        <w:lastRenderedPageBreak/>
        <w:t>8. Recommendations for Future Stakeholder Engagement</w:t>
      </w:r>
      <w:bookmarkEnd w:id="19"/>
      <w:r w:rsidRPr="000E1989">
        <w:rPr>
          <w:rFonts w:cs="Times New Roman"/>
        </w:rPr>
        <w:t xml:space="preserve"> </w:t>
      </w:r>
    </w:p>
    <w:p w14:paraId="096B2AC0" w14:textId="77777777" w:rsidR="00AE43EC" w:rsidRPr="000E1989" w:rsidRDefault="00AE43EC" w:rsidP="00AE43EC">
      <w:pPr>
        <w:pStyle w:val="NoSpacing"/>
        <w:rPr>
          <w:lang w:val="en-US"/>
        </w:rPr>
      </w:pPr>
      <w:proofErr w:type="gramStart"/>
      <w:r w:rsidRPr="000E1989">
        <w:rPr>
          <w:lang w:val="en-US"/>
        </w:rPr>
        <w:t>In order to</w:t>
      </w:r>
      <w:proofErr w:type="gramEnd"/>
      <w:r w:rsidRPr="000E1989">
        <w:rPr>
          <w:lang w:val="en-US"/>
        </w:rPr>
        <w:t xml:space="preserve"> sustain the momentum of success in the wearable health device business, Philips Healthcare UK must become more strategic, technology-enabled, and sustainability-focused in stakeholder engagement. The review of current practices identifies that stakeholder engagement must transition from ad hoc consultation to collaborative engagement. The most effective way to achieve such a transition is by using AI-powered stakeholder mapping and analytics. Artificial intelligence will help Philips identify new sets of stakeholders, track engagement levels, and analyze feedback trends in real-time. Data-driven decision-making enables the project manager to spot potential risks, make changes proactively in communication strategies, and share transparency at all levels of engagement. Decision-making turns into evidence-based and tailored to the </w:t>
      </w:r>
      <w:proofErr w:type="gramStart"/>
      <w:r w:rsidRPr="000E1989">
        <w:rPr>
          <w:lang w:val="en-US"/>
        </w:rPr>
        <w:t>stakeholder</w:t>
      </w:r>
      <w:proofErr w:type="gramEnd"/>
      <w:r w:rsidRPr="000E1989">
        <w:rPr>
          <w:lang w:val="en-US"/>
        </w:rPr>
        <w:t xml:space="preserve"> expectations, and it builds and sustains trust and accountability within the firm.</w:t>
      </w:r>
    </w:p>
    <w:p w14:paraId="547F1A68" w14:textId="77777777" w:rsidR="004E2F29" w:rsidRPr="000E1989" w:rsidRDefault="00AE43EC" w:rsidP="00AE43EC">
      <w:pPr>
        <w:pStyle w:val="NoSpacing"/>
        <w:rPr>
          <w:lang w:val="en-US"/>
        </w:rPr>
      </w:pPr>
      <w:r w:rsidRPr="000E1989">
        <w:rPr>
          <w:lang w:val="en-US"/>
        </w:rPr>
        <w:t>Equally important is the need to enhance partnership with the NHS and universities. Such partnerships not only guarantee research and product testing but also enhance knowledge sharing and ethical compliance in device development. Formalization of long-term partnerships with chosen NHS trusts and universities can guarantee Philips access to clinical experience continuously, with innovation keeping pace with national priorities in healthcare. A partnership with academia will also allow the company to stay ahead of emerging regulatory models, technological trends, and patient expectations, leading to innovation that is sustainable.</w:t>
      </w:r>
    </w:p>
    <w:p w14:paraId="23F7C0AC" w14:textId="77777777" w:rsidR="00AE43EC" w:rsidRPr="000E1989" w:rsidRDefault="00AE43EC" w:rsidP="00AE43EC">
      <w:pPr>
        <w:pStyle w:val="NoSpacing"/>
        <w:rPr>
          <w:lang w:val="en-US"/>
        </w:rPr>
      </w:pPr>
      <w:r w:rsidRPr="000E1989">
        <w:rPr>
          <w:lang w:val="en-US"/>
        </w:rPr>
        <w:t xml:space="preserve">The other critical recommendation is the use of a Stakeholder Relationship Management System (SRMS). </w:t>
      </w:r>
      <w:proofErr w:type="gramStart"/>
      <w:r w:rsidRPr="000E1989">
        <w:rPr>
          <w:lang w:val="en-US"/>
        </w:rPr>
        <w:t>Similar to</w:t>
      </w:r>
      <w:proofErr w:type="gramEnd"/>
      <w:r w:rsidRPr="000E1989">
        <w:rPr>
          <w:lang w:val="en-US"/>
        </w:rPr>
        <w:t xml:space="preserve"> a customer relationship management system, an SRMS would keep stakeholder information in a centralized form, track communication history, and automate follow-up activities. An SRMS would allow Philips to monitor the frequency of interaction, measure stakeholder satisfaction, and have consistency across departments. With appropriate data </w:t>
      </w:r>
      <w:r w:rsidRPr="000E1989">
        <w:rPr>
          <w:lang w:val="en-US"/>
        </w:rPr>
        <w:lastRenderedPageBreak/>
        <w:t>protection procedures and GDPR compliance, the SRMS may be an open repository of stakeholders' opinions to aid governance and auditing activities and enable coordination and efficiency.</w:t>
      </w:r>
    </w:p>
    <w:p w14:paraId="007FD872" w14:textId="77777777" w:rsidR="00FF1E5D" w:rsidRPr="000E1989" w:rsidRDefault="00AE43EC" w:rsidP="00AE43EC">
      <w:pPr>
        <w:pStyle w:val="NoSpacing"/>
      </w:pPr>
      <w:r w:rsidRPr="000E1989">
        <w:rPr>
          <w:lang w:val="en-US"/>
        </w:rPr>
        <w:t xml:space="preserve">Finally, Philips can integrate sustainability and </w:t>
      </w:r>
      <w:proofErr w:type="gramStart"/>
      <w:r w:rsidRPr="000E1989">
        <w:rPr>
          <w:lang w:val="en-US"/>
        </w:rPr>
        <w:t>inclusivity</w:t>
      </w:r>
      <w:proofErr w:type="gramEnd"/>
      <w:r w:rsidRPr="000E1989">
        <w:rPr>
          <w:lang w:val="en-US"/>
        </w:rPr>
        <w:t xml:space="preserve"> in its engagement strategy by integrating Environmental, Social, and Governance (ESG) considerations into decision-making. Regular stakeholder satisfaction surveys every quarter would provide measurable input regarding transparency, fairness, </w:t>
      </w:r>
      <w:proofErr w:type="gramStart"/>
      <w:r w:rsidRPr="000E1989">
        <w:rPr>
          <w:lang w:val="en-US"/>
        </w:rPr>
        <w:t>and communication</w:t>
      </w:r>
      <w:proofErr w:type="gramEnd"/>
      <w:r w:rsidRPr="000E1989">
        <w:rPr>
          <w:lang w:val="en-US"/>
        </w:rPr>
        <w:t xml:space="preserve"> effectiveness. Furthermore, inclusivity through the involvement of diverse stakeholders, such as patients, clinicians, and members of the community, will improve ethical standards, social legitimacy, and design fairness in healthcare technology. Together, these initiatives will transform Philips' stakeholder engagement framework into a </w:t>
      </w:r>
      <w:proofErr w:type="gramStart"/>
      <w:r w:rsidRPr="000E1989">
        <w:rPr>
          <w:lang w:val="en-US"/>
        </w:rPr>
        <w:t>values</w:t>
      </w:r>
      <w:proofErr w:type="gramEnd"/>
      <w:r w:rsidRPr="000E1989">
        <w:rPr>
          <w:lang w:val="en-US"/>
        </w:rPr>
        <w:t xml:space="preserve">-driven, data-informed, and dynamic model that drives long-term innovation, strengthens partnerships, and raises the </w:t>
      </w:r>
      <w:proofErr w:type="spellStart"/>
      <w:r w:rsidRPr="000E1989">
        <w:rPr>
          <w:lang w:val="en-US"/>
        </w:rPr>
        <w:t>organisation's</w:t>
      </w:r>
      <w:proofErr w:type="spellEnd"/>
      <w:r w:rsidRPr="000E1989">
        <w:rPr>
          <w:lang w:val="en-US"/>
        </w:rPr>
        <w:t xml:space="preserve"> reputation worldwide as a responsible healthcare leader</w:t>
      </w:r>
      <w:r w:rsidR="00FF1E5D" w:rsidRPr="000E1989">
        <w:rPr>
          <w:lang w:val="en-US"/>
        </w:rPr>
        <w:t>.</w:t>
      </w:r>
    </w:p>
    <w:p w14:paraId="5D8090F9" w14:textId="77777777" w:rsidR="00FF1E5D" w:rsidRPr="000E1989" w:rsidRDefault="00FF1E5D" w:rsidP="004E2F29">
      <w:pPr>
        <w:pStyle w:val="Heading1"/>
        <w:spacing w:line="480" w:lineRule="auto"/>
        <w:rPr>
          <w:rFonts w:cs="Times New Roman"/>
        </w:rPr>
      </w:pPr>
      <w:bookmarkStart w:id="20" w:name="_Toc210666037"/>
      <w:r w:rsidRPr="000E1989">
        <w:rPr>
          <w:rFonts w:cs="Times New Roman"/>
        </w:rPr>
        <w:t>9. Conclusion</w:t>
      </w:r>
      <w:bookmarkEnd w:id="20"/>
    </w:p>
    <w:p w14:paraId="0B9BEC9A" w14:textId="77777777" w:rsidR="00FF1E5D" w:rsidRPr="000E1989" w:rsidRDefault="002C1B4C" w:rsidP="00E77AAC">
      <w:pPr>
        <w:pStyle w:val="NoSpacing"/>
        <w:rPr>
          <w:lang w:val="en-US"/>
        </w:rPr>
      </w:pPr>
      <w:r w:rsidRPr="000E1989">
        <w:rPr>
          <w:lang w:val="en-US"/>
        </w:rPr>
        <w:t xml:space="preserve">In summary, the success of the wearable health devices project at Philips Healthcare UK depends on </w:t>
      </w:r>
      <w:proofErr w:type="gramStart"/>
      <w:r w:rsidRPr="000E1989">
        <w:rPr>
          <w:lang w:val="en-US"/>
        </w:rPr>
        <w:t>a high</w:t>
      </w:r>
      <w:proofErr w:type="gramEnd"/>
      <w:r w:rsidRPr="000E1989">
        <w:rPr>
          <w:lang w:val="en-US"/>
        </w:rPr>
        <w:t xml:space="preserve">-quality engagement of stakeholders. The project illustrates that when many departments within an </w:t>
      </w:r>
      <w:proofErr w:type="spellStart"/>
      <w:r w:rsidRPr="000E1989">
        <w:rPr>
          <w:lang w:val="en-US"/>
        </w:rPr>
        <w:t>organisation</w:t>
      </w:r>
      <w:proofErr w:type="spellEnd"/>
      <w:r w:rsidRPr="000E1989">
        <w:rPr>
          <w:lang w:val="en-US"/>
        </w:rPr>
        <w:t xml:space="preserve"> work well together, and when external partners such as a regulator, the NHS and customers connect and collaborate, innovation, compliance and sustainable growth can be </w:t>
      </w:r>
      <w:proofErr w:type="spellStart"/>
      <w:r w:rsidRPr="000E1989">
        <w:rPr>
          <w:lang w:val="en-US"/>
        </w:rPr>
        <w:t>realised</w:t>
      </w:r>
      <w:proofErr w:type="spellEnd"/>
      <w:r w:rsidRPr="000E1989">
        <w:rPr>
          <w:lang w:val="en-US"/>
        </w:rPr>
        <w:t xml:space="preserve">. Through </w:t>
      </w:r>
      <w:proofErr w:type="spellStart"/>
      <w:r w:rsidRPr="000E1989">
        <w:rPr>
          <w:lang w:val="en-US"/>
        </w:rPr>
        <w:t>organised</w:t>
      </w:r>
      <w:proofErr w:type="spellEnd"/>
      <w:r w:rsidRPr="000E1989">
        <w:rPr>
          <w:lang w:val="en-US"/>
        </w:rPr>
        <w:t xml:space="preserve"> outcomes </w:t>
      </w:r>
      <w:proofErr w:type="gramStart"/>
      <w:r w:rsidRPr="000E1989">
        <w:rPr>
          <w:lang w:val="en-US"/>
        </w:rPr>
        <w:t>focused</w:t>
      </w:r>
      <w:proofErr w:type="gramEnd"/>
      <w:r w:rsidRPr="000E1989">
        <w:rPr>
          <w:lang w:val="en-US"/>
        </w:rPr>
        <w:t xml:space="preserve"> communication and shared understandings of roles and expectations, Philips was able to coherently engage lay participants to </w:t>
      </w:r>
      <w:proofErr w:type="gramStart"/>
      <w:r w:rsidRPr="000E1989">
        <w:rPr>
          <w:lang w:val="en-US"/>
        </w:rPr>
        <w:t>distinct</w:t>
      </w:r>
      <w:proofErr w:type="gramEnd"/>
      <w:r w:rsidRPr="000E1989">
        <w:rPr>
          <w:lang w:val="en-US"/>
        </w:rPr>
        <w:t xml:space="preserve"> expertise and activities in a collaborative arrangement</w:t>
      </w:r>
      <w:r w:rsidR="00FF1E5D" w:rsidRPr="000E1989">
        <w:rPr>
          <w:lang w:val="en-US"/>
        </w:rPr>
        <w:t>.</w:t>
      </w:r>
    </w:p>
    <w:p w14:paraId="6C6ABAD7" w14:textId="77777777" w:rsidR="00FF1E5D" w:rsidRPr="000E1989" w:rsidRDefault="00FF1E5D" w:rsidP="00E77AAC">
      <w:pPr>
        <w:pStyle w:val="NoSpacing"/>
        <w:rPr>
          <w:lang w:val="en-US"/>
        </w:rPr>
      </w:pPr>
      <w:r w:rsidRPr="000E1989">
        <w:rPr>
          <w:lang w:val="en-US"/>
        </w:rPr>
        <w:t xml:space="preserve">The application of stakeholder engagement frameworks, including the 4C’s model, Mendelow’s Matrix, and RACI analysis, has enabled Philips to manage expectations, mitigate conflicts, and </w:t>
      </w:r>
      <w:r w:rsidRPr="000E1989">
        <w:rPr>
          <w:lang w:val="en-US"/>
        </w:rPr>
        <w:lastRenderedPageBreak/>
        <w:t>deliver a product aligned with market needs and ethical standards. Continuous evaluation and feedback mechanisms have further strengthened accountability and improved project outcomes.</w:t>
      </w:r>
    </w:p>
    <w:p w14:paraId="45950091" w14:textId="77777777" w:rsidR="00FF1E5D" w:rsidRPr="00FF1E5D" w:rsidRDefault="00FF1E5D" w:rsidP="00E77AAC">
      <w:pPr>
        <w:pStyle w:val="NoSpacing"/>
        <w:rPr>
          <w:lang w:val="en-US"/>
        </w:rPr>
      </w:pPr>
      <w:r w:rsidRPr="000E1989">
        <w:rPr>
          <w:lang w:val="en-US"/>
        </w:rPr>
        <w:t xml:space="preserve">Looking forward, the company must enhance engagement through digital stakeholder management systems, AI-supported mapping, and ESG-driven practices to ensure long-term trust and inclusivity. By embedding stakeholder engagement as an </w:t>
      </w:r>
      <w:proofErr w:type="spellStart"/>
      <w:r w:rsidRPr="000E1989">
        <w:rPr>
          <w:lang w:val="en-US"/>
        </w:rPr>
        <w:t>organisational</w:t>
      </w:r>
      <w:proofErr w:type="spellEnd"/>
      <w:r w:rsidRPr="000E1989">
        <w:rPr>
          <w:lang w:val="en-US"/>
        </w:rPr>
        <w:t xml:space="preserve"> culture rather than a project requirement, Philips can sustain competitive advantage, strengthen brand reputation, and contribute meaningfully to the future of connected healthcare in the UK.</w:t>
      </w:r>
    </w:p>
    <w:p w14:paraId="44EAFD9C" w14:textId="77777777" w:rsidR="00FF1E5D" w:rsidRPr="00FF1E5D" w:rsidRDefault="00FF1E5D" w:rsidP="00E77AAC">
      <w:pPr>
        <w:pStyle w:val="NoSpacing"/>
        <w:rPr>
          <w:lang w:val="en-US"/>
        </w:rPr>
      </w:pPr>
    </w:p>
    <w:p w14:paraId="4B94D5A5" w14:textId="77777777" w:rsidR="00DC0E9E" w:rsidRPr="004E2F29" w:rsidRDefault="00DC0E9E" w:rsidP="00E77AAC">
      <w:pPr>
        <w:pStyle w:val="NoSpacing"/>
      </w:pPr>
      <w:r w:rsidRPr="004E2F29">
        <w:br w:type="page"/>
      </w:r>
    </w:p>
    <w:p w14:paraId="459C7026" w14:textId="77777777" w:rsidR="008E57FB" w:rsidRDefault="00DC0E9E" w:rsidP="004E2F29">
      <w:pPr>
        <w:pStyle w:val="Heading1"/>
        <w:spacing w:line="480" w:lineRule="auto"/>
        <w:rPr>
          <w:rFonts w:cs="Times New Roman"/>
        </w:rPr>
      </w:pPr>
      <w:bookmarkStart w:id="21" w:name="_Toc210666038"/>
      <w:r w:rsidRPr="004E2F29">
        <w:rPr>
          <w:rFonts w:cs="Times New Roman"/>
        </w:rPr>
        <w:lastRenderedPageBreak/>
        <w:t>References</w:t>
      </w:r>
      <w:bookmarkEnd w:id="21"/>
      <w:r w:rsidRPr="004E2F29">
        <w:rPr>
          <w:rFonts w:cs="Times New Roman"/>
        </w:rPr>
        <w:t xml:space="preserve"> </w:t>
      </w:r>
    </w:p>
    <w:p w14:paraId="3B8B5F6A" w14:textId="77777777" w:rsidR="001210CF" w:rsidRPr="001210CF" w:rsidRDefault="001210CF" w:rsidP="001210CF">
      <w:pPr>
        <w:pStyle w:val="NoSpacing"/>
        <w:ind w:left="720" w:hanging="720"/>
        <w:rPr>
          <w:lang w:val="en-US"/>
        </w:rPr>
      </w:pPr>
      <w:r w:rsidRPr="001210CF">
        <w:rPr>
          <w:lang w:val="en-US"/>
        </w:rPr>
        <w:t xml:space="preserve">Adepoju, A.H., </w:t>
      </w:r>
      <w:proofErr w:type="spellStart"/>
      <w:r w:rsidRPr="001210CF">
        <w:rPr>
          <w:lang w:val="en-US"/>
        </w:rPr>
        <w:t>Eweje</w:t>
      </w:r>
      <w:proofErr w:type="spellEnd"/>
      <w:r w:rsidRPr="001210CF">
        <w:rPr>
          <w:lang w:val="en-US"/>
        </w:rPr>
        <w:t xml:space="preserve">, A., Collins, A. and Hamza, O. (2023) ‘Developing strategic roadmaps for data-driven organizations: A model for aligning projects with business goals’, </w:t>
      </w:r>
      <w:r w:rsidRPr="001210CF">
        <w:rPr>
          <w:i/>
          <w:iCs/>
          <w:lang w:val="en-US"/>
        </w:rPr>
        <w:t>International Journal of Multidisciplinary Research and Growth Evaluation</w:t>
      </w:r>
      <w:r w:rsidRPr="001210CF">
        <w:rPr>
          <w:lang w:val="en-US"/>
        </w:rPr>
        <w:t>, 4(6), pp. 1128–1140.</w:t>
      </w:r>
    </w:p>
    <w:p w14:paraId="77C2946A" w14:textId="77777777" w:rsidR="001210CF" w:rsidRPr="001210CF" w:rsidRDefault="001210CF" w:rsidP="001210CF">
      <w:pPr>
        <w:pStyle w:val="NoSpacing"/>
        <w:ind w:left="720" w:hanging="720"/>
        <w:rPr>
          <w:lang w:val="en-US"/>
        </w:rPr>
      </w:pPr>
      <w:r w:rsidRPr="001210CF">
        <w:rPr>
          <w:lang w:val="en-US"/>
        </w:rPr>
        <w:t xml:space="preserve">Ashcroft, J., Childs, R., Myers, A. and Schluter, M. (2017) </w:t>
      </w:r>
      <w:r w:rsidRPr="001210CF">
        <w:rPr>
          <w:i/>
          <w:iCs/>
          <w:lang w:val="en-US"/>
        </w:rPr>
        <w:t>The relational lens: Understanding, managing and measuring stakeholder relationships.</w:t>
      </w:r>
      <w:r w:rsidRPr="001210CF">
        <w:rPr>
          <w:lang w:val="en-US"/>
        </w:rPr>
        <w:t xml:space="preserve"> Cambridge: Cambridge University Press.</w:t>
      </w:r>
    </w:p>
    <w:p w14:paraId="2D0A6E45" w14:textId="77777777" w:rsidR="001210CF" w:rsidRPr="001210CF" w:rsidRDefault="001210CF" w:rsidP="001210CF">
      <w:pPr>
        <w:pStyle w:val="NoSpacing"/>
        <w:ind w:left="720" w:hanging="720"/>
        <w:rPr>
          <w:lang w:val="en-US"/>
        </w:rPr>
      </w:pPr>
      <w:r w:rsidRPr="001210CF">
        <w:rPr>
          <w:lang w:val="en-US"/>
        </w:rPr>
        <w:t>da Silva, R.G.L. (</w:t>
      </w:r>
      <w:proofErr w:type="gramStart"/>
      <w:r w:rsidRPr="001210CF">
        <w:rPr>
          <w:lang w:val="en-US"/>
        </w:rPr>
        <w:t>2024) ‘</w:t>
      </w:r>
      <w:proofErr w:type="gramEnd"/>
      <w:r w:rsidRPr="001210CF">
        <w:rPr>
          <w:lang w:val="en-US"/>
        </w:rPr>
        <w:t xml:space="preserve">The advancement of artificial intelligence in biomedical research and health innovation: challenges and opportunities in emerging economies’, </w:t>
      </w:r>
      <w:r w:rsidRPr="001210CF">
        <w:rPr>
          <w:i/>
          <w:iCs/>
          <w:lang w:val="en-US"/>
        </w:rPr>
        <w:t>Globalization and Health</w:t>
      </w:r>
      <w:r w:rsidRPr="001210CF">
        <w:rPr>
          <w:lang w:val="en-US"/>
        </w:rPr>
        <w:t>, 20(1), p. 44.</w:t>
      </w:r>
    </w:p>
    <w:p w14:paraId="5D84A162" w14:textId="77777777" w:rsidR="001210CF" w:rsidRPr="001210CF" w:rsidRDefault="001210CF" w:rsidP="001210CF">
      <w:pPr>
        <w:pStyle w:val="NoSpacing"/>
        <w:ind w:left="720" w:hanging="720"/>
        <w:rPr>
          <w:lang w:val="en-US"/>
        </w:rPr>
      </w:pPr>
      <w:r w:rsidRPr="001210CF">
        <w:rPr>
          <w:lang w:val="en-US"/>
        </w:rPr>
        <w:t xml:space="preserve">de Sousa, J.P.M. (2021) </w:t>
      </w:r>
      <w:r w:rsidRPr="001210CF">
        <w:rPr>
          <w:i/>
          <w:iCs/>
          <w:lang w:val="en-US"/>
        </w:rPr>
        <w:t>Philip Morris International delivering a smoke-free future – becoming a more health-conscious company with limited marketing channels and consumer mistrust.</w:t>
      </w:r>
      <w:r w:rsidRPr="001210CF">
        <w:rPr>
          <w:lang w:val="en-US"/>
        </w:rPr>
        <w:t xml:space="preserve"> Master’s thesis, </w:t>
      </w:r>
      <w:proofErr w:type="spellStart"/>
      <w:r w:rsidRPr="001210CF">
        <w:rPr>
          <w:lang w:val="en-US"/>
        </w:rPr>
        <w:t>Universidade</w:t>
      </w:r>
      <w:proofErr w:type="spellEnd"/>
      <w:r w:rsidRPr="001210CF">
        <w:rPr>
          <w:lang w:val="en-US"/>
        </w:rPr>
        <w:t xml:space="preserve"> NOVA de Lisboa (Portugal).</w:t>
      </w:r>
    </w:p>
    <w:p w14:paraId="25E15D38" w14:textId="77777777" w:rsidR="001210CF" w:rsidRPr="001210CF" w:rsidRDefault="001210CF" w:rsidP="001210CF">
      <w:pPr>
        <w:pStyle w:val="NoSpacing"/>
        <w:ind w:left="720" w:hanging="720"/>
        <w:rPr>
          <w:lang w:val="en-US"/>
        </w:rPr>
      </w:pPr>
      <w:r w:rsidRPr="001210CF">
        <w:rPr>
          <w:lang w:val="en-US"/>
        </w:rPr>
        <w:t xml:space="preserve">Emmanuel, M. (2025) </w:t>
      </w:r>
      <w:r w:rsidRPr="001210CF">
        <w:rPr>
          <w:i/>
          <w:iCs/>
          <w:lang w:val="en-US"/>
        </w:rPr>
        <w:t>Global adoption patterns of medical IoT devices.</w:t>
      </w:r>
    </w:p>
    <w:p w14:paraId="37067166" w14:textId="77777777" w:rsidR="001210CF" w:rsidRPr="001210CF" w:rsidRDefault="001210CF" w:rsidP="001210CF">
      <w:pPr>
        <w:pStyle w:val="NoSpacing"/>
        <w:ind w:left="720" w:hanging="720"/>
        <w:rPr>
          <w:lang w:val="en-US"/>
        </w:rPr>
      </w:pPr>
      <w:r w:rsidRPr="001210CF">
        <w:rPr>
          <w:lang w:val="en-US"/>
        </w:rPr>
        <w:t xml:space="preserve">Evans, R., </w:t>
      </w:r>
      <w:proofErr w:type="spellStart"/>
      <w:r w:rsidRPr="001210CF">
        <w:rPr>
          <w:lang w:val="en-US"/>
        </w:rPr>
        <w:t>Hajli</w:t>
      </w:r>
      <w:proofErr w:type="spellEnd"/>
      <w:r w:rsidRPr="001210CF">
        <w:rPr>
          <w:lang w:val="en-US"/>
        </w:rPr>
        <w:t xml:space="preserve">, N. and Nisar, T.M. (2023) ‘Privacy-enhancing factors and consumer concerns: The moderating effects of the General Data Protection Regulation’, </w:t>
      </w:r>
      <w:r w:rsidRPr="001210CF">
        <w:rPr>
          <w:i/>
          <w:iCs/>
          <w:lang w:val="en-US"/>
        </w:rPr>
        <w:t>British Journal of Management</w:t>
      </w:r>
      <w:r w:rsidRPr="001210CF">
        <w:rPr>
          <w:lang w:val="en-US"/>
        </w:rPr>
        <w:t>, 34(4), pp. 2075–2092.</w:t>
      </w:r>
    </w:p>
    <w:p w14:paraId="79D09B45" w14:textId="77777777" w:rsidR="001210CF" w:rsidRPr="001210CF" w:rsidRDefault="001210CF" w:rsidP="001210CF">
      <w:pPr>
        <w:pStyle w:val="NoSpacing"/>
        <w:ind w:left="720" w:hanging="720"/>
        <w:rPr>
          <w:lang w:val="en-US"/>
        </w:rPr>
      </w:pPr>
      <w:proofErr w:type="spellStart"/>
      <w:r w:rsidRPr="001210CF">
        <w:rPr>
          <w:lang w:val="en-US"/>
        </w:rPr>
        <w:t>Eyieyien</w:t>
      </w:r>
      <w:proofErr w:type="spellEnd"/>
      <w:r w:rsidRPr="001210CF">
        <w:rPr>
          <w:lang w:val="en-US"/>
        </w:rPr>
        <w:t xml:space="preserve">, O.G., Idemudia, C., Paul, P.O. and </w:t>
      </w:r>
      <w:proofErr w:type="spellStart"/>
      <w:r w:rsidRPr="001210CF">
        <w:rPr>
          <w:lang w:val="en-US"/>
        </w:rPr>
        <w:t>Ijomah</w:t>
      </w:r>
      <w:proofErr w:type="spellEnd"/>
      <w:r w:rsidRPr="001210CF">
        <w:rPr>
          <w:lang w:val="en-US"/>
        </w:rPr>
        <w:t xml:space="preserve">, T.I. (2024) ‘Effective stakeholder and risk management strategies for large-scale international project success’, </w:t>
      </w:r>
      <w:r w:rsidRPr="001210CF">
        <w:rPr>
          <w:i/>
          <w:iCs/>
          <w:lang w:val="en-US"/>
        </w:rPr>
        <w:t>International Journal of Frontiers in Science and Technology Research</w:t>
      </w:r>
      <w:r w:rsidRPr="001210CF">
        <w:rPr>
          <w:lang w:val="en-US"/>
        </w:rPr>
        <w:t>, 7(1), pp. 13–24.</w:t>
      </w:r>
    </w:p>
    <w:p w14:paraId="291A971A" w14:textId="77777777" w:rsidR="001210CF" w:rsidRPr="001210CF" w:rsidRDefault="001210CF" w:rsidP="001210CF">
      <w:pPr>
        <w:pStyle w:val="NoSpacing"/>
        <w:ind w:left="720" w:hanging="720"/>
        <w:rPr>
          <w:lang w:val="en-US"/>
        </w:rPr>
      </w:pPr>
      <w:r w:rsidRPr="001210CF">
        <w:rPr>
          <w:lang w:val="en-US"/>
        </w:rPr>
        <w:t xml:space="preserve">Freeman, R.E., Harrison, J.S. and Wicks, A.C. (2021) </w:t>
      </w:r>
      <w:r w:rsidRPr="001210CF">
        <w:rPr>
          <w:i/>
          <w:iCs/>
          <w:lang w:val="en-US"/>
        </w:rPr>
        <w:t>Stakeholder theory: The state of the art revisited.</w:t>
      </w:r>
    </w:p>
    <w:p w14:paraId="023E13B9" w14:textId="77777777" w:rsidR="001210CF" w:rsidRPr="001210CF" w:rsidRDefault="001210CF" w:rsidP="001210CF">
      <w:pPr>
        <w:pStyle w:val="NoSpacing"/>
        <w:ind w:left="720" w:hanging="720"/>
        <w:rPr>
          <w:lang w:val="en-US"/>
        </w:rPr>
      </w:pPr>
      <w:proofErr w:type="spellStart"/>
      <w:r w:rsidRPr="001210CF">
        <w:rPr>
          <w:lang w:val="en-US"/>
        </w:rPr>
        <w:lastRenderedPageBreak/>
        <w:t>Hogendorf</w:t>
      </w:r>
      <w:proofErr w:type="spellEnd"/>
      <w:r w:rsidRPr="001210CF">
        <w:rPr>
          <w:lang w:val="en-US"/>
        </w:rPr>
        <w:t xml:space="preserve">, J. (2024) ‘Management control of sustainability: Integrating sustainability in a performance management system with practical examples from Philips’, in </w:t>
      </w:r>
      <w:proofErr w:type="spellStart"/>
      <w:r w:rsidRPr="001210CF">
        <w:rPr>
          <w:i/>
          <w:iCs/>
          <w:lang w:val="en-US"/>
        </w:rPr>
        <w:t>Strategische</w:t>
      </w:r>
      <w:proofErr w:type="spellEnd"/>
      <w:r w:rsidRPr="001210CF">
        <w:rPr>
          <w:i/>
          <w:iCs/>
          <w:lang w:val="en-US"/>
        </w:rPr>
        <w:t xml:space="preserve"> </w:t>
      </w:r>
      <w:proofErr w:type="spellStart"/>
      <w:r w:rsidRPr="001210CF">
        <w:rPr>
          <w:i/>
          <w:iCs/>
          <w:lang w:val="en-US"/>
        </w:rPr>
        <w:t>Planung</w:t>
      </w:r>
      <w:proofErr w:type="spellEnd"/>
      <w:r w:rsidRPr="001210CF">
        <w:rPr>
          <w:i/>
          <w:iCs/>
          <w:lang w:val="en-US"/>
        </w:rPr>
        <w:t xml:space="preserve"> – Status quo und </w:t>
      </w:r>
      <w:proofErr w:type="spellStart"/>
      <w:r w:rsidRPr="001210CF">
        <w:rPr>
          <w:i/>
          <w:iCs/>
          <w:lang w:val="en-US"/>
        </w:rPr>
        <w:t>zukünftige</w:t>
      </w:r>
      <w:proofErr w:type="spellEnd"/>
      <w:r w:rsidRPr="001210CF">
        <w:rPr>
          <w:i/>
          <w:iCs/>
          <w:lang w:val="en-US"/>
        </w:rPr>
        <w:t xml:space="preserve"> </w:t>
      </w:r>
      <w:proofErr w:type="spellStart"/>
      <w:r w:rsidRPr="001210CF">
        <w:rPr>
          <w:i/>
          <w:iCs/>
          <w:lang w:val="en-US"/>
        </w:rPr>
        <w:t>Entwicklungen</w:t>
      </w:r>
      <w:proofErr w:type="spellEnd"/>
      <w:r w:rsidRPr="001210CF">
        <w:rPr>
          <w:i/>
          <w:iCs/>
          <w:lang w:val="en-US"/>
        </w:rPr>
        <w:t>.</w:t>
      </w:r>
      <w:r w:rsidRPr="001210CF">
        <w:rPr>
          <w:lang w:val="en-US"/>
        </w:rPr>
        <w:t xml:space="preserve"> Wiesbaden: Springer </w:t>
      </w:r>
      <w:proofErr w:type="spellStart"/>
      <w:r w:rsidRPr="001210CF">
        <w:rPr>
          <w:lang w:val="en-US"/>
        </w:rPr>
        <w:t>Fachmedien</w:t>
      </w:r>
      <w:proofErr w:type="spellEnd"/>
      <w:r w:rsidRPr="001210CF">
        <w:rPr>
          <w:lang w:val="en-US"/>
        </w:rPr>
        <w:t xml:space="preserve"> Wiesbaden, pp. 15–33.</w:t>
      </w:r>
    </w:p>
    <w:p w14:paraId="347B553B" w14:textId="77777777" w:rsidR="001210CF" w:rsidRPr="001210CF" w:rsidRDefault="001210CF" w:rsidP="001210CF">
      <w:pPr>
        <w:pStyle w:val="NoSpacing"/>
        <w:ind w:left="720" w:hanging="720"/>
        <w:rPr>
          <w:lang w:val="en-US"/>
        </w:rPr>
      </w:pPr>
      <w:r w:rsidRPr="001210CF">
        <w:rPr>
          <w:lang w:val="en-US"/>
        </w:rPr>
        <w:t xml:space="preserve">Hrabenko, Y. and Chen, Q. (2023) </w:t>
      </w:r>
      <w:r w:rsidRPr="001210CF">
        <w:rPr>
          <w:i/>
          <w:iCs/>
          <w:lang w:val="en-US"/>
        </w:rPr>
        <w:t>Mitigating resistance to change: Face-to-face versus digital communication channels.</w:t>
      </w:r>
    </w:p>
    <w:p w14:paraId="52159930" w14:textId="77777777" w:rsidR="001210CF" w:rsidRPr="001210CF" w:rsidRDefault="001210CF" w:rsidP="001210CF">
      <w:pPr>
        <w:pStyle w:val="NoSpacing"/>
        <w:ind w:left="720" w:hanging="720"/>
        <w:rPr>
          <w:lang w:val="en-US"/>
        </w:rPr>
      </w:pPr>
      <w:r w:rsidRPr="001210CF">
        <w:rPr>
          <w:lang w:val="en-US"/>
        </w:rPr>
        <w:t xml:space="preserve">Hu, L., Chen, Y., Cao, E. and Hu, W. (2025) ‘User experience &amp; usability of wearable health device: A bibliometric analysis of 2014–2023’, </w:t>
      </w:r>
      <w:r w:rsidRPr="001210CF">
        <w:rPr>
          <w:i/>
          <w:iCs/>
          <w:lang w:val="en-US"/>
        </w:rPr>
        <w:t>International Journal of Human–Computer Interaction</w:t>
      </w:r>
      <w:r w:rsidRPr="001210CF">
        <w:rPr>
          <w:lang w:val="en-US"/>
        </w:rPr>
        <w:t>, 41(8), pp. 5100–5119.</w:t>
      </w:r>
    </w:p>
    <w:p w14:paraId="20E57823" w14:textId="77777777" w:rsidR="001210CF" w:rsidRPr="001210CF" w:rsidRDefault="001210CF" w:rsidP="001210CF">
      <w:pPr>
        <w:pStyle w:val="NoSpacing"/>
        <w:ind w:left="720" w:hanging="720"/>
        <w:rPr>
          <w:lang w:val="en-US"/>
        </w:rPr>
      </w:pPr>
      <w:r w:rsidRPr="001210CF">
        <w:rPr>
          <w:lang w:val="en-US"/>
        </w:rPr>
        <w:t xml:space="preserve">Iandolo, F., La Sala, A., </w:t>
      </w:r>
      <w:proofErr w:type="spellStart"/>
      <w:r w:rsidRPr="001210CF">
        <w:rPr>
          <w:lang w:val="en-US"/>
        </w:rPr>
        <w:t>Turriziani</w:t>
      </w:r>
      <w:proofErr w:type="spellEnd"/>
      <w:r w:rsidRPr="001210CF">
        <w:rPr>
          <w:lang w:val="en-US"/>
        </w:rPr>
        <w:t xml:space="preserve">, L. and Caputo, F. (2025) ‘Stakeholder engagement in managing systemic risk management’, </w:t>
      </w:r>
      <w:r w:rsidRPr="001210CF">
        <w:rPr>
          <w:i/>
          <w:iCs/>
          <w:lang w:val="en-US"/>
        </w:rPr>
        <w:t>Business Ethics, the Environment &amp; Responsibility</w:t>
      </w:r>
      <w:r w:rsidRPr="001210CF">
        <w:rPr>
          <w:lang w:val="en-US"/>
        </w:rPr>
        <w:t>, 34(4), pp. 1069–1085.</w:t>
      </w:r>
    </w:p>
    <w:p w14:paraId="2CC009C8" w14:textId="77777777" w:rsidR="001210CF" w:rsidRPr="001210CF" w:rsidRDefault="001210CF" w:rsidP="001210CF">
      <w:pPr>
        <w:pStyle w:val="NoSpacing"/>
        <w:ind w:left="720" w:hanging="720"/>
        <w:rPr>
          <w:lang w:val="en-US"/>
        </w:rPr>
      </w:pPr>
      <w:r w:rsidRPr="001210CF">
        <w:rPr>
          <w:lang w:val="en-US"/>
        </w:rPr>
        <w:t xml:space="preserve">Jacobs, V. (2023) </w:t>
      </w:r>
      <w:r w:rsidRPr="001210CF">
        <w:rPr>
          <w:i/>
          <w:iCs/>
          <w:lang w:val="en-US"/>
        </w:rPr>
        <w:t>Shaping tomorrow’s healthcare technology: A strategic dive into Philips.</w:t>
      </w:r>
      <w:r w:rsidRPr="001210CF">
        <w:rPr>
          <w:lang w:val="en-US"/>
        </w:rPr>
        <w:t xml:space="preserve"> Master’s thesis, </w:t>
      </w:r>
      <w:proofErr w:type="spellStart"/>
      <w:r w:rsidRPr="001210CF">
        <w:rPr>
          <w:lang w:val="en-US"/>
        </w:rPr>
        <w:t>Universidade</w:t>
      </w:r>
      <w:proofErr w:type="spellEnd"/>
      <w:r w:rsidRPr="001210CF">
        <w:rPr>
          <w:lang w:val="en-US"/>
        </w:rPr>
        <w:t xml:space="preserve"> NOVA de Lisboa (Portugal).</w:t>
      </w:r>
    </w:p>
    <w:p w14:paraId="1FA3C355" w14:textId="77777777" w:rsidR="001210CF" w:rsidRPr="001210CF" w:rsidRDefault="001210CF" w:rsidP="001210CF">
      <w:pPr>
        <w:pStyle w:val="NoSpacing"/>
        <w:ind w:left="720" w:hanging="720"/>
        <w:rPr>
          <w:lang w:val="en-US"/>
        </w:rPr>
      </w:pPr>
      <w:proofErr w:type="spellStart"/>
      <w:r w:rsidRPr="001210CF">
        <w:rPr>
          <w:lang w:val="en-US"/>
        </w:rPr>
        <w:t>Kockaya</w:t>
      </w:r>
      <w:proofErr w:type="spellEnd"/>
      <w:r w:rsidRPr="001210CF">
        <w:rPr>
          <w:lang w:val="en-US"/>
        </w:rPr>
        <w:t>, G. (</w:t>
      </w:r>
      <w:proofErr w:type="gramStart"/>
      <w:r w:rsidRPr="001210CF">
        <w:rPr>
          <w:lang w:val="en-US"/>
        </w:rPr>
        <w:t>2024) ‘</w:t>
      </w:r>
      <w:proofErr w:type="gramEnd"/>
      <w:r w:rsidRPr="001210CF">
        <w:rPr>
          <w:lang w:val="en-US"/>
        </w:rPr>
        <w:t xml:space="preserve">Collaborative approach with healthcare providers for market access’, </w:t>
      </w:r>
      <w:r w:rsidRPr="001210CF">
        <w:rPr>
          <w:i/>
          <w:iCs/>
          <w:lang w:val="en-US"/>
        </w:rPr>
        <w:t>Health Policy.</w:t>
      </w:r>
    </w:p>
    <w:p w14:paraId="64C4AA87" w14:textId="77777777" w:rsidR="001210CF" w:rsidRPr="001210CF" w:rsidRDefault="001210CF" w:rsidP="001210CF">
      <w:pPr>
        <w:pStyle w:val="NoSpacing"/>
        <w:ind w:left="720" w:hanging="720"/>
        <w:rPr>
          <w:lang w:val="en-US"/>
        </w:rPr>
      </w:pPr>
      <w:r w:rsidRPr="001210CF">
        <w:rPr>
          <w:lang w:val="en-US"/>
        </w:rPr>
        <w:t xml:space="preserve">MarketLine (2024) </w:t>
      </w:r>
      <w:r w:rsidRPr="001210CF">
        <w:rPr>
          <w:i/>
          <w:iCs/>
          <w:lang w:val="en-US"/>
        </w:rPr>
        <w:t>Healthcare market research reports &amp; analysis page 1 | MarketResearch.com.</w:t>
      </w:r>
      <w:r w:rsidRPr="001210CF">
        <w:rPr>
          <w:lang w:val="en-US"/>
        </w:rPr>
        <w:t xml:space="preserve"> [online] Available at: </w:t>
      </w:r>
      <w:hyperlink r:id="rId8" w:tgtFrame="_new" w:history="1">
        <w:r w:rsidRPr="001210CF">
          <w:rPr>
            <w:rStyle w:val="Hyperlink"/>
            <w:lang w:val="en-US"/>
          </w:rPr>
          <w:t>https://www.marketresearch.com/MarketLine-v3883/Healthcare-c85/1.html</w:t>
        </w:r>
      </w:hyperlink>
      <w:r w:rsidRPr="001210CF">
        <w:rPr>
          <w:lang w:val="en-US"/>
        </w:rPr>
        <w:t xml:space="preserve"> [Accessed 6 Oct. 2025].</w:t>
      </w:r>
    </w:p>
    <w:p w14:paraId="45D6C9EE" w14:textId="77777777" w:rsidR="001210CF" w:rsidRPr="001210CF" w:rsidRDefault="001210CF" w:rsidP="001210CF">
      <w:pPr>
        <w:pStyle w:val="NoSpacing"/>
        <w:ind w:left="720" w:hanging="720"/>
        <w:rPr>
          <w:lang w:val="en-US"/>
        </w:rPr>
      </w:pPr>
      <w:r w:rsidRPr="001210CF">
        <w:rPr>
          <w:lang w:val="en-US"/>
        </w:rPr>
        <w:t xml:space="preserve">Ninan, J., Mahalingam, A. and Clegg, S. (2019) ‘External stakeholder management strategies and resources in megaprojects: An organizational power perspective’, </w:t>
      </w:r>
      <w:r w:rsidRPr="001210CF">
        <w:rPr>
          <w:i/>
          <w:iCs/>
          <w:lang w:val="en-US"/>
        </w:rPr>
        <w:t>Project Management Journal</w:t>
      </w:r>
      <w:r w:rsidRPr="001210CF">
        <w:rPr>
          <w:lang w:val="en-US"/>
        </w:rPr>
        <w:t>, 50(6), pp. 625–640.</w:t>
      </w:r>
    </w:p>
    <w:p w14:paraId="761543E0" w14:textId="77777777" w:rsidR="001210CF" w:rsidRPr="001210CF" w:rsidRDefault="001210CF" w:rsidP="001210CF">
      <w:pPr>
        <w:pStyle w:val="NoSpacing"/>
        <w:ind w:left="720" w:hanging="720"/>
        <w:rPr>
          <w:lang w:val="en-US"/>
        </w:rPr>
      </w:pPr>
      <w:proofErr w:type="spellStart"/>
      <w:r w:rsidRPr="001210CF">
        <w:rPr>
          <w:lang w:val="en-US"/>
        </w:rPr>
        <w:lastRenderedPageBreak/>
        <w:t>Ogbeta</w:t>
      </w:r>
      <w:proofErr w:type="spellEnd"/>
      <w:r w:rsidRPr="001210CF">
        <w:rPr>
          <w:lang w:val="en-US"/>
        </w:rPr>
        <w:t xml:space="preserve">, C.P., Mbata, A.O., Udemezue, K.E.N.N.E.T.H. and Katas, R.G.K. (2023) ‘Advancements in pharmaceutical quality control and clinical research coordination: Bridging gaps in global healthcare standards’, </w:t>
      </w:r>
      <w:r w:rsidRPr="001210CF">
        <w:rPr>
          <w:i/>
          <w:iCs/>
          <w:lang w:val="en-US"/>
        </w:rPr>
        <w:t>IRE Journals</w:t>
      </w:r>
      <w:r w:rsidRPr="001210CF">
        <w:rPr>
          <w:lang w:val="en-US"/>
        </w:rPr>
        <w:t>, 7(3), pp. 678–681.</w:t>
      </w:r>
    </w:p>
    <w:p w14:paraId="62AD25BC" w14:textId="77777777" w:rsidR="001210CF" w:rsidRPr="001210CF" w:rsidRDefault="001210CF" w:rsidP="001210CF">
      <w:pPr>
        <w:pStyle w:val="NoSpacing"/>
        <w:ind w:left="720" w:hanging="720"/>
        <w:rPr>
          <w:lang w:val="en-US"/>
        </w:rPr>
      </w:pPr>
      <w:proofErr w:type="spellStart"/>
      <w:r w:rsidRPr="001210CF">
        <w:rPr>
          <w:lang w:val="en-US"/>
        </w:rPr>
        <w:t>Olajiga</w:t>
      </w:r>
      <w:proofErr w:type="spellEnd"/>
      <w:r w:rsidRPr="001210CF">
        <w:rPr>
          <w:lang w:val="en-US"/>
        </w:rPr>
        <w:t xml:space="preserve">, O.K., Olu-Lawal, K.A., Usman, F.O. and </w:t>
      </w:r>
      <w:proofErr w:type="spellStart"/>
      <w:r w:rsidRPr="001210CF">
        <w:rPr>
          <w:lang w:val="en-US"/>
        </w:rPr>
        <w:t>Ninduwezuor</w:t>
      </w:r>
      <w:proofErr w:type="spellEnd"/>
      <w:r w:rsidRPr="001210CF">
        <w:rPr>
          <w:lang w:val="en-US"/>
        </w:rPr>
        <w:t xml:space="preserve">-Ehiobu, N. (2024) ‘Conceptual framework for effective communication strategies in high-risk industries: Insights from the energy sector’, </w:t>
      </w:r>
      <w:r w:rsidRPr="001210CF">
        <w:rPr>
          <w:i/>
          <w:iCs/>
          <w:lang w:val="en-US"/>
        </w:rPr>
        <w:t>World Journal of Advanced Engineering Technology and Sciences</w:t>
      </w:r>
      <w:r w:rsidRPr="001210CF">
        <w:rPr>
          <w:lang w:val="en-US"/>
        </w:rPr>
        <w:t>, 11(2), pp. 80–90.</w:t>
      </w:r>
    </w:p>
    <w:p w14:paraId="66D24691" w14:textId="77777777" w:rsidR="001210CF" w:rsidRPr="001210CF" w:rsidRDefault="001210CF" w:rsidP="001210CF">
      <w:pPr>
        <w:pStyle w:val="NoSpacing"/>
        <w:ind w:left="720" w:hanging="720"/>
        <w:rPr>
          <w:lang w:val="en-US"/>
        </w:rPr>
      </w:pPr>
      <w:r w:rsidRPr="001210CF">
        <w:rPr>
          <w:lang w:val="en-US"/>
        </w:rPr>
        <w:t>Pacheco, D.A.D.J., Bonato, S.V. and Linck, W. (</w:t>
      </w:r>
      <w:proofErr w:type="gramStart"/>
      <w:r w:rsidRPr="001210CF">
        <w:rPr>
          <w:lang w:val="en-US"/>
        </w:rPr>
        <w:t>2025) ‘</w:t>
      </w:r>
      <w:proofErr w:type="gramEnd"/>
      <w:r w:rsidRPr="001210CF">
        <w:rPr>
          <w:lang w:val="en-US"/>
        </w:rPr>
        <w:t xml:space="preserve">Advancing quality management in the medical devices industry: Strategies for effective ISO 13485 implementation’, </w:t>
      </w:r>
      <w:r w:rsidRPr="001210CF">
        <w:rPr>
          <w:i/>
          <w:iCs/>
          <w:lang w:val="en-US"/>
        </w:rPr>
        <w:t>International Journal for Quality in Health Care</w:t>
      </w:r>
      <w:r w:rsidRPr="001210CF">
        <w:rPr>
          <w:lang w:val="en-US"/>
        </w:rPr>
        <w:t>, 37(1), p. mzaf004.</w:t>
      </w:r>
    </w:p>
    <w:p w14:paraId="06B184EA" w14:textId="77777777" w:rsidR="001210CF" w:rsidRPr="001210CF" w:rsidRDefault="001210CF" w:rsidP="001210CF">
      <w:pPr>
        <w:pStyle w:val="NoSpacing"/>
        <w:ind w:left="720" w:hanging="720"/>
        <w:rPr>
          <w:lang w:val="en-US"/>
        </w:rPr>
      </w:pPr>
      <w:proofErr w:type="spellStart"/>
      <w:r w:rsidRPr="001210CF">
        <w:rPr>
          <w:lang w:val="en-US"/>
        </w:rPr>
        <w:t>Paliszkiewicz</w:t>
      </w:r>
      <w:proofErr w:type="spellEnd"/>
      <w:r w:rsidRPr="001210CF">
        <w:rPr>
          <w:lang w:val="en-US"/>
        </w:rPr>
        <w:t xml:space="preserve">, J. and </w:t>
      </w:r>
      <w:proofErr w:type="spellStart"/>
      <w:r w:rsidRPr="001210CF">
        <w:rPr>
          <w:lang w:val="en-US"/>
        </w:rPr>
        <w:t>Gołuchowski</w:t>
      </w:r>
      <w:proofErr w:type="spellEnd"/>
      <w:r w:rsidRPr="001210CF">
        <w:rPr>
          <w:lang w:val="en-US"/>
        </w:rPr>
        <w:t xml:space="preserve">, J. (2025) ‘The role of trust in media and the economy: Future directions’, in </w:t>
      </w:r>
      <w:r w:rsidRPr="001210CF">
        <w:rPr>
          <w:i/>
          <w:iCs/>
          <w:lang w:val="en-US"/>
        </w:rPr>
        <w:t>Trust, Media and the Economy.</w:t>
      </w:r>
      <w:r w:rsidRPr="001210CF">
        <w:rPr>
          <w:lang w:val="en-US"/>
        </w:rPr>
        <w:t xml:space="preserve"> London: Routledge, pp. 3–14.</w:t>
      </w:r>
    </w:p>
    <w:p w14:paraId="45B33AD9" w14:textId="77777777" w:rsidR="001210CF" w:rsidRPr="001210CF" w:rsidRDefault="001210CF" w:rsidP="001210CF">
      <w:pPr>
        <w:pStyle w:val="NoSpacing"/>
        <w:ind w:left="720" w:hanging="720"/>
        <w:rPr>
          <w:lang w:val="en-US"/>
        </w:rPr>
      </w:pPr>
      <w:r w:rsidRPr="001210CF">
        <w:rPr>
          <w:lang w:val="en-US"/>
        </w:rPr>
        <w:t xml:space="preserve">Philips (2025) </w:t>
      </w:r>
      <w:r w:rsidRPr="001210CF">
        <w:rPr>
          <w:i/>
          <w:iCs/>
          <w:lang w:val="en-US"/>
        </w:rPr>
        <w:t>Philips healthcare.</w:t>
      </w:r>
      <w:r w:rsidRPr="001210CF">
        <w:rPr>
          <w:lang w:val="en-US"/>
        </w:rPr>
        <w:t xml:space="preserve"> [online] Available at: </w:t>
      </w:r>
      <w:hyperlink r:id="rId9" w:tgtFrame="_new" w:history="1">
        <w:r w:rsidRPr="001210CF">
          <w:rPr>
            <w:rStyle w:val="Hyperlink"/>
            <w:lang w:val="en-US"/>
          </w:rPr>
          <w:t>https://www.philips.com.pk/healthcare</w:t>
        </w:r>
      </w:hyperlink>
      <w:r w:rsidRPr="001210CF">
        <w:rPr>
          <w:lang w:val="en-US"/>
        </w:rPr>
        <w:t xml:space="preserve"> [Accessed 6 Oct. 2025].</w:t>
      </w:r>
    </w:p>
    <w:p w14:paraId="23D5BE56" w14:textId="77777777" w:rsidR="001210CF" w:rsidRPr="001210CF" w:rsidRDefault="001210CF" w:rsidP="001210CF">
      <w:pPr>
        <w:pStyle w:val="NoSpacing"/>
        <w:ind w:left="720" w:hanging="720"/>
        <w:rPr>
          <w:lang w:val="en-US"/>
        </w:rPr>
      </w:pPr>
      <w:r w:rsidRPr="001210CF">
        <w:rPr>
          <w:lang w:val="en-US"/>
        </w:rPr>
        <w:t xml:space="preserve">Ramesh, H. (2023) </w:t>
      </w:r>
      <w:r w:rsidRPr="001210CF">
        <w:rPr>
          <w:i/>
          <w:iCs/>
          <w:lang w:val="en-US"/>
        </w:rPr>
        <w:t>A framework for corporate innovation management and managerial innovation in medical devices industry.</w:t>
      </w:r>
    </w:p>
    <w:p w14:paraId="769CF406" w14:textId="77777777" w:rsidR="001210CF" w:rsidRPr="001210CF" w:rsidRDefault="001210CF" w:rsidP="001210CF">
      <w:pPr>
        <w:pStyle w:val="NoSpacing"/>
        <w:ind w:left="720" w:hanging="720"/>
        <w:rPr>
          <w:lang w:val="en-US"/>
        </w:rPr>
      </w:pPr>
      <w:r w:rsidRPr="001210CF">
        <w:rPr>
          <w:lang w:val="en-US"/>
        </w:rPr>
        <w:t xml:space="preserve">Robinson, L.M. et al. (2021) ‘Understanding societal approval of the fishing industry and the influence of third-party sustainability certification’, </w:t>
      </w:r>
      <w:r w:rsidRPr="001210CF">
        <w:rPr>
          <w:i/>
          <w:iCs/>
          <w:lang w:val="en-US"/>
        </w:rPr>
        <w:t>Fish and Fisheries</w:t>
      </w:r>
      <w:r w:rsidRPr="001210CF">
        <w:rPr>
          <w:lang w:val="en-US"/>
        </w:rPr>
        <w:t>, 22(6), pp. 1213–1226.</w:t>
      </w:r>
    </w:p>
    <w:p w14:paraId="78BC2097" w14:textId="77777777" w:rsidR="001210CF" w:rsidRPr="001210CF" w:rsidRDefault="001210CF" w:rsidP="001210CF">
      <w:pPr>
        <w:pStyle w:val="NoSpacing"/>
        <w:ind w:left="720" w:hanging="720"/>
        <w:rPr>
          <w:lang w:val="en-US"/>
        </w:rPr>
      </w:pPr>
      <w:r w:rsidRPr="001210CF">
        <w:rPr>
          <w:lang w:val="en-US"/>
        </w:rPr>
        <w:t xml:space="preserve">Siems, E., </w:t>
      </w:r>
      <w:proofErr w:type="spellStart"/>
      <w:r w:rsidRPr="001210CF">
        <w:rPr>
          <w:lang w:val="en-US"/>
        </w:rPr>
        <w:t>Seuring</w:t>
      </w:r>
      <w:proofErr w:type="spellEnd"/>
      <w:r w:rsidRPr="001210CF">
        <w:rPr>
          <w:lang w:val="en-US"/>
        </w:rPr>
        <w:t xml:space="preserve">, S. and Schilling, L. (2023) ‘Stakeholder roles in sustainable supply chain management: A literature review’, </w:t>
      </w:r>
      <w:r w:rsidRPr="001210CF">
        <w:rPr>
          <w:i/>
          <w:iCs/>
          <w:lang w:val="en-US"/>
        </w:rPr>
        <w:t>Journal of Business Economics</w:t>
      </w:r>
      <w:r w:rsidRPr="001210CF">
        <w:rPr>
          <w:lang w:val="en-US"/>
        </w:rPr>
        <w:t>, 93(4), pp. 747–775.</w:t>
      </w:r>
    </w:p>
    <w:p w14:paraId="257E36D9" w14:textId="77777777" w:rsidR="001210CF" w:rsidRPr="001210CF" w:rsidRDefault="001210CF" w:rsidP="001210CF">
      <w:pPr>
        <w:pStyle w:val="NoSpacing"/>
        <w:ind w:left="720" w:hanging="720"/>
        <w:rPr>
          <w:lang w:val="en-US"/>
        </w:rPr>
      </w:pPr>
      <w:r w:rsidRPr="001210CF">
        <w:rPr>
          <w:lang w:val="en-US"/>
        </w:rPr>
        <w:t xml:space="preserve">Statista (2024) </w:t>
      </w:r>
      <w:r w:rsidRPr="001210CF">
        <w:rPr>
          <w:i/>
          <w:iCs/>
          <w:lang w:val="en-US"/>
        </w:rPr>
        <w:t>Digital health – United Kingdom | Statista market forecast.</w:t>
      </w:r>
      <w:r w:rsidRPr="001210CF">
        <w:rPr>
          <w:lang w:val="en-US"/>
        </w:rPr>
        <w:t xml:space="preserve"> [online] Available at: </w:t>
      </w:r>
      <w:hyperlink r:id="rId10" w:tgtFrame="_new" w:history="1">
        <w:r w:rsidRPr="001210CF">
          <w:rPr>
            <w:rStyle w:val="Hyperlink"/>
            <w:lang w:val="en-US"/>
          </w:rPr>
          <w:t>https://www.statista.com/outlook/hmo/digital-health/united-</w:t>
        </w:r>
        <w:r w:rsidRPr="001210CF">
          <w:rPr>
            <w:rStyle w:val="Hyperlink"/>
            <w:lang w:val="en-US"/>
          </w:rPr>
          <w:lastRenderedPageBreak/>
          <w:t>kingdom?srsltid=AfmBOopmGc42kzFysHfvFHc4RvzLytjdyAW-m3Gsw8FX01uEMvSP6GxX</w:t>
        </w:r>
      </w:hyperlink>
      <w:r w:rsidRPr="001210CF">
        <w:rPr>
          <w:lang w:val="en-US"/>
        </w:rPr>
        <w:t xml:space="preserve"> [Accessed 6 Oct. 2025].</w:t>
      </w:r>
    </w:p>
    <w:p w14:paraId="4D6FC9F6" w14:textId="77777777" w:rsidR="001210CF" w:rsidRPr="001210CF" w:rsidRDefault="001210CF" w:rsidP="001210CF">
      <w:pPr>
        <w:pStyle w:val="NoSpacing"/>
        <w:ind w:left="720" w:hanging="720"/>
        <w:rPr>
          <w:lang w:val="en-US"/>
        </w:rPr>
      </w:pPr>
      <w:r w:rsidRPr="001210CF">
        <w:rPr>
          <w:lang w:val="en-US"/>
        </w:rPr>
        <w:t xml:space="preserve">Wen, Q., Qiang, M. and Gloor, P. (2018) ‘Speeding up decision-making in project environment: The effects of decision makers’ collaboration network dynamics’, </w:t>
      </w:r>
      <w:r w:rsidRPr="001210CF">
        <w:rPr>
          <w:i/>
          <w:iCs/>
          <w:lang w:val="en-US"/>
        </w:rPr>
        <w:t>International Journal of Project Management</w:t>
      </w:r>
      <w:r w:rsidRPr="001210CF">
        <w:rPr>
          <w:lang w:val="en-US"/>
        </w:rPr>
        <w:t>, 36(5), pp. 819–831.</w:t>
      </w:r>
    </w:p>
    <w:sectPr w:rsidR="001210CF" w:rsidRPr="001210C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6D3D82"/>
    <w:multiLevelType w:val="hybridMultilevel"/>
    <w:tmpl w:val="E7B6D5AC"/>
    <w:lvl w:ilvl="0" w:tplc="0B981B4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6F7AC5"/>
    <w:multiLevelType w:val="hybridMultilevel"/>
    <w:tmpl w:val="B2A02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CBC2CCC"/>
    <w:multiLevelType w:val="hybridMultilevel"/>
    <w:tmpl w:val="801669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4936FFB"/>
    <w:multiLevelType w:val="hybridMultilevel"/>
    <w:tmpl w:val="52E8E338"/>
    <w:lvl w:ilvl="0" w:tplc="0B981B4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6E71A04"/>
    <w:multiLevelType w:val="multilevel"/>
    <w:tmpl w:val="A74EF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81151A"/>
    <w:multiLevelType w:val="multilevel"/>
    <w:tmpl w:val="53FE9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2268588">
    <w:abstractNumId w:val="4"/>
  </w:num>
  <w:num w:numId="2" w16cid:durableId="1034814364">
    <w:abstractNumId w:val="5"/>
  </w:num>
  <w:num w:numId="3" w16cid:durableId="1009714576">
    <w:abstractNumId w:val="1"/>
  </w:num>
  <w:num w:numId="4" w16cid:durableId="181673435">
    <w:abstractNumId w:val="3"/>
  </w:num>
  <w:num w:numId="5" w16cid:durableId="814105277">
    <w:abstractNumId w:val="0"/>
  </w:num>
  <w:num w:numId="6" w16cid:durableId="12776405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7FB"/>
    <w:rsid w:val="00020483"/>
    <w:rsid w:val="000218DE"/>
    <w:rsid w:val="000613E1"/>
    <w:rsid w:val="0007478F"/>
    <w:rsid w:val="00076C17"/>
    <w:rsid w:val="000862CF"/>
    <w:rsid w:val="000B5A42"/>
    <w:rsid w:val="000E1989"/>
    <w:rsid w:val="000E79B2"/>
    <w:rsid w:val="001210CF"/>
    <w:rsid w:val="00123F46"/>
    <w:rsid w:val="00160B00"/>
    <w:rsid w:val="00193EF8"/>
    <w:rsid w:val="001C2A52"/>
    <w:rsid w:val="001C7E90"/>
    <w:rsid w:val="00215818"/>
    <w:rsid w:val="002163A8"/>
    <w:rsid w:val="00236271"/>
    <w:rsid w:val="00243B02"/>
    <w:rsid w:val="00274A0B"/>
    <w:rsid w:val="002755EB"/>
    <w:rsid w:val="00276824"/>
    <w:rsid w:val="0029323E"/>
    <w:rsid w:val="002B7130"/>
    <w:rsid w:val="002C1B4C"/>
    <w:rsid w:val="002D673D"/>
    <w:rsid w:val="002F46AC"/>
    <w:rsid w:val="003016F0"/>
    <w:rsid w:val="003037C9"/>
    <w:rsid w:val="00341249"/>
    <w:rsid w:val="00351F60"/>
    <w:rsid w:val="00357DB1"/>
    <w:rsid w:val="003D38EB"/>
    <w:rsid w:val="003D57A2"/>
    <w:rsid w:val="00420C60"/>
    <w:rsid w:val="00434BEE"/>
    <w:rsid w:val="00462E6B"/>
    <w:rsid w:val="00466B7A"/>
    <w:rsid w:val="00486911"/>
    <w:rsid w:val="00486AD8"/>
    <w:rsid w:val="004D05F9"/>
    <w:rsid w:val="004E148F"/>
    <w:rsid w:val="004E2F29"/>
    <w:rsid w:val="005163BF"/>
    <w:rsid w:val="00542153"/>
    <w:rsid w:val="00551499"/>
    <w:rsid w:val="0056189F"/>
    <w:rsid w:val="00573AEF"/>
    <w:rsid w:val="00576821"/>
    <w:rsid w:val="0058764A"/>
    <w:rsid w:val="005A298A"/>
    <w:rsid w:val="006258E1"/>
    <w:rsid w:val="006E5ED4"/>
    <w:rsid w:val="006F627E"/>
    <w:rsid w:val="0071707C"/>
    <w:rsid w:val="007264B4"/>
    <w:rsid w:val="007618FE"/>
    <w:rsid w:val="00765255"/>
    <w:rsid w:val="00767244"/>
    <w:rsid w:val="007B4F11"/>
    <w:rsid w:val="007B56E3"/>
    <w:rsid w:val="007C08FF"/>
    <w:rsid w:val="008020BB"/>
    <w:rsid w:val="0088224C"/>
    <w:rsid w:val="00885860"/>
    <w:rsid w:val="008B0E51"/>
    <w:rsid w:val="008C377B"/>
    <w:rsid w:val="008E57FB"/>
    <w:rsid w:val="008F3851"/>
    <w:rsid w:val="0091044E"/>
    <w:rsid w:val="00923B63"/>
    <w:rsid w:val="00953775"/>
    <w:rsid w:val="009960C5"/>
    <w:rsid w:val="009F00ED"/>
    <w:rsid w:val="00A21E07"/>
    <w:rsid w:val="00A24D00"/>
    <w:rsid w:val="00A35464"/>
    <w:rsid w:val="00A43EFE"/>
    <w:rsid w:val="00A53E85"/>
    <w:rsid w:val="00A57232"/>
    <w:rsid w:val="00A620F8"/>
    <w:rsid w:val="00A62286"/>
    <w:rsid w:val="00AE43EC"/>
    <w:rsid w:val="00B20960"/>
    <w:rsid w:val="00B27E9B"/>
    <w:rsid w:val="00B843C3"/>
    <w:rsid w:val="00B93E25"/>
    <w:rsid w:val="00BA03F9"/>
    <w:rsid w:val="00BC2569"/>
    <w:rsid w:val="00BC6DAD"/>
    <w:rsid w:val="00BD7ADB"/>
    <w:rsid w:val="00BF5574"/>
    <w:rsid w:val="00C528C1"/>
    <w:rsid w:val="00C678B3"/>
    <w:rsid w:val="00C94C02"/>
    <w:rsid w:val="00C9774E"/>
    <w:rsid w:val="00CA1766"/>
    <w:rsid w:val="00CA780F"/>
    <w:rsid w:val="00CA79B5"/>
    <w:rsid w:val="00CB6426"/>
    <w:rsid w:val="00CB747E"/>
    <w:rsid w:val="00CC208B"/>
    <w:rsid w:val="00D01526"/>
    <w:rsid w:val="00D03050"/>
    <w:rsid w:val="00D07C66"/>
    <w:rsid w:val="00D135D9"/>
    <w:rsid w:val="00D20FBD"/>
    <w:rsid w:val="00D44A27"/>
    <w:rsid w:val="00D652A2"/>
    <w:rsid w:val="00D74F93"/>
    <w:rsid w:val="00DA698E"/>
    <w:rsid w:val="00DC0E9E"/>
    <w:rsid w:val="00E44281"/>
    <w:rsid w:val="00E46468"/>
    <w:rsid w:val="00E66B4B"/>
    <w:rsid w:val="00E77AAC"/>
    <w:rsid w:val="00EC0BFB"/>
    <w:rsid w:val="00ED1D29"/>
    <w:rsid w:val="00ED73FE"/>
    <w:rsid w:val="00EE145E"/>
    <w:rsid w:val="00EF6F00"/>
    <w:rsid w:val="00F1789F"/>
    <w:rsid w:val="00F4549E"/>
    <w:rsid w:val="00F55C16"/>
    <w:rsid w:val="00F67483"/>
    <w:rsid w:val="00F94E81"/>
    <w:rsid w:val="00FB38B2"/>
    <w:rsid w:val="00FB7CF5"/>
    <w:rsid w:val="00FD4E7B"/>
    <w:rsid w:val="00FF1E5D"/>
    <w:rsid w:val="05FBE524"/>
    <w:rsid w:val="2391897D"/>
    <w:rsid w:val="33E713EE"/>
    <w:rsid w:val="6CE644F7"/>
    <w:rsid w:val="76E61C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0382F9"/>
  <w15:chartTrackingRefBased/>
  <w15:docId w15:val="{0E75018B-F322-48D0-9D7B-6624D4FC2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Heading two"/>
    <w:qFormat/>
    <w:rsid w:val="00885860"/>
    <w:pPr>
      <w:spacing w:line="360" w:lineRule="auto"/>
      <w:jc w:val="both"/>
    </w:pPr>
    <w:rPr>
      <w:rFonts w:ascii="Times New Roman" w:hAnsi="Times New Roman"/>
      <w:b/>
      <w:sz w:val="24"/>
      <w:lang w:val="en-GB"/>
    </w:rPr>
  </w:style>
  <w:style w:type="paragraph" w:styleId="Heading1">
    <w:name w:val="heading 1"/>
    <w:basedOn w:val="Normal"/>
    <w:next w:val="Normal"/>
    <w:link w:val="Heading1Char"/>
    <w:autoRedefine/>
    <w:uiPriority w:val="9"/>
    <w:qFormat/>
    <w:rsid w:val="00243B02"/>
    <w:pPr>
      <w:keepNext/>
      <w:keepLines/>
      <w:spacing w:before="240" w:after="0" w:line="259" w:lineRule="auto"/>
      <w:jc w:val="left"/>
      <w:outlineLvl w:val="0"/>
    </w:pPr>
    <w:rPr>
      <w:rFonts w:eastAsiaTheme="majorEastAsia" w:cstheme="majorBidi"/>
      <w:kern w:val="0"/>
      <w:sz w:val="28"/>
      <w:szCs w:val="32"/>
      <w:lang w:val="en-US"/>
      <w14:ligatures w14:val="none"/>
    </w:rPr>
  </w:style>
  <w:style w:type="paragraph" w:styleId="Heading2">
    <w:name w:val="heading 2"/>
    <w:basedOn w:val="Normal"/>
    <w:next w:val="Normal"/>
    <w:link w:val="Heading2Char"/>
    <w:unhideWhenUsed/>
    <w:qFormat/>
    <w:rsid w:val="009F00ED"/>
    <w:pPr>
      <w:keepNext/>
      <w:keepLines/>
      <w:shd w:val="clear" w:color="auto" w:fill="FFFFFF"/>
      <w:spacing w:before="160" w:after="80" w:line="259" w:lineRule="auto"/>
      <w:jc w:val="left"/>
      <w:outlineLvl w:val="1"/>
    </w:pPr>
    <w:rPr>
      <w:rFonts w:eastAsiaTheme="majorEastAsia" w:cstheme="majorBidi"/>
      <w:kern w:val="0"/>
      <w:szCs w:val="32"/>
      <w:lang w:val="en-IN" w:eastAsia="en-IN"/>
      <w14:ligatures w14:val="none"/>
    </w:rPr>
  </w:style>
  <w:style w:type="paragraph" w:styleId="Heading3">
    <w:name w:val="heading 3"/>
    <w:basedOn w:val="Normal"/>
    <w:link w:val="Heading3Char"/>
    <w:autoRedefine/>
    <w:uiPriority w:val="9"/>
    <w:qFormat/>
    <w:rsid w:val="00765255"/>
    <w:pPr>
      <w:spacing w:before="100" w:beforeAutospacing="1" w:after="100" w:afterAutospacing="1" w:line="240" w:lineRule="auto"/>
      <w:outlineLvl w:val="2"/>
    </w:pPr>
    <w:rPr>
      <w:rFonts w:eastAsia="Times New Roman" w:cs="Times New Roman"/>
      <w:b w:val="0"/>
      <w:bCs/>
      <w:i/>
      <w:szCs w:val="27"/>
    </w:rPr>
  </w:style>
  <w:style w:type="paragraph" w:styleId="Heading4">
    <w:name w:val="heading 4"/>
    <w:basedOn w:val="Normal"/>
    <w:next w:val="Normal"/>
    <w:link w:val="Heading4Char"/>
    <w:uiPriority w:val="9"/>
    <w:semiHidden/>
    <w:unhideWhenUsed/>
    <w:qFormat/>
    <w:rsid w:val="008E57F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E57F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E57F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E57F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E57F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E57F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3B02"/>
    <w:rPr>
      <w:rFonts w:ascii="Times New Roman" w:eastAsiaTheme="majorEastAsia" w:hAnsi="Times New Roman" w:cstheme="majorBidi"/>
      <w:b/>
      <w:kern w:val="0"/>
      <w:sz w:val="28"/>
      <w:szCs w:val="32"/>
      <w14:ligatures w14:val="none"/>
    </w:rPr>
  </w:style>
  <w:style w:type="character" w:customStyle="1" w:styleId="Heading2Char">
    <w:name w:val="Heading 2 Char"/>
    <w:basedOn w:val="DefaultParagraphFont"/>
    <w:link w:val="Heading2"/>
    <w:rsid w:val="009F00ED"/>
    <w:rPr>
      <w:rFonts w:ascii="Times New Roman" w:eastAsiaTheme="majorEastAsia" w:hAnsi="Times New Roman" w:cstheme="majorBidi"/>
      <w:b/>
      <w:kern w:val="0"/>
      <w:sz w:val="24"/>
      <w:szCs w:val="32"/>
      <w:shd w:val="clear" w:color="auto" w:fill="FFFFFF"/>
      <w:lang w:val="en-IN" w:eastAsia="en-IN"/>
      <w14:ligatures w14:val="none"/>
    </w:rPr>
  </w:style>
  <w:style w:type="character" w:customStyle="1" w:styleId="Heading3Char">
    <w:name w:val="Heading 3 Char"/>
    <w:basedOn w:val="DefaultParagraphFont"/>
    <w:link w:val="Heading3"/>
    <w:uiPriority w:val="9"/>
    <w:rsid w:val="00765255"/>
    <w:rPr>
      <w:rFonts w:ascii="Times New Roman" w:eastAsia="Times New Roman" w:hAnsi="Times New Roman" w:cs="Times New Roman"/>
      <w:b/>
      <w:bCs/>
      <w:i/>
      <w:sz w:val="24"/>
      <w:szCs w:val="27"/>
    </w:rPr>
  </w:style>
  <w:style w:type="paragraph" w:styleId="NoSpacing">
    <w:name w:val="No Spacing"/>
    <w:aliases w:val="normal"/>
    <w:autoRedefine/>
    <w:uiPriority w:val="1"/>
    <w:qFormat/>
    <w:rsid w:val="00E77AAC"/>
    <w:pPr>
      <w:spacing w:after="0" w:line="480" w:lineRule="auto"/>
      <w:jc w:val="both"/>
    </w:pPr>
    <w:rPr>
      <w:rFonts w:ascii="Times New Roman" w:hAnsi="Times New Roman" w:cs="Times New Roman"/>
      <w:sz w:val="24"/>
      <w:szCs w:val="24"/>
      <w:lang w:val="en-GB"/>
    </w:rPr>
  </w:style>
  <w:style w:type="character" w:customStyle="1" w:styleId="Heading4Char">
    <w:name w:val="Heading 4 Char"/>
    <w:basedOn w:val="DefaultParagraphFont"/>
    <w:link w:val="Heading4"/>
    <w:uiPriority w:val="9"/>
    <w:semiHidden/>
    <w:rsid w:val="008E57FB"/>
    <w:rPr>
      <w:rFonts w:eastAsiaTheme="majorEastAsia" w:cstheme="majorBidi"/>
      <w:b/>
      <w:i/>
      <w:iCs/>
      <w:color w:val="2F5496" w:themeColor="accent1" w:themeShade="BF"/>
      <w:sz w:val="24"/>
      <w:lang w:val="en-GB"/>
    </w:rPr>
  </w:style>
  <w:style w:type="character" w:customStyle="1" w:styleId="Heading5Char">
    <w:name w:val="Heading 5 Char"/>
    <w:basedOn w:val="DefaultParagraphFont"/>
    <w:link w:val="Heading5"/>
    <w:uiPriority w:val="9"/>
    <w:semiHidden/>
    <w:rsid w:val="008E57FB"/>
    <w:rPr>
      <w:rFonts w:eastAsiaTheme="majorEastAsia" w:cstheme="majorBidi"/>
      <w:b/>
      <w:color w:val="2F5496" w:themeColor="accent1" w:themeShade="BF"/>
      <w:sz w:val="24"/>
      <w:lang w:val="en-GB"/>
    </w:rPr>
  </w:style>
  <w:style w:type="character" w:customStyle="1" w:styleId="Heading6Char">
    <w:name w:val="Heading 6 Char"/>
    <w:basedOn w:val="DefaultParagraphFont"/>
    <w:link w:val="Heading6"/>
    <w:uiPriority w:val="9"/>
    <w:semiHidden/>
    <w:rsid w:val="008E57FB"/>
    <w:rPr>
      <w:rFonts w:eastAsiaTheme="majorEastAsia" w:cstheme="majorBidi"/>
      <w:b/>
      <w:i/>
      <w:iCs/>
      <w:color w:val="595959" w:themeColor="text1" w:themeTint="A6"/>
      <w:sz w:val="24"/>
      <w:lang w:val="en-GB"/>
    </w:rPr>
  </w:style>
  <w:style w:type="character" w:customStyle="1" w:styleId="Heading7Char">
    <w:name w:val="Heading 7 Char"/>
    <w:basedOn w:val="DefaultParagraphFont"/>
    <w:link w:val="Heading7"/>
    <w:uiPriority w:val="9"/>
    <w:semiHidden/>
    <w:rsid w:val="008E57FB"/>
    <w:rPr>
      <w:rFonts w:eastAsiaTheme="majorEastAsia" w:cstheme="majorBidi"/>
      <w:b/>
      <w:color w:val="595959" w:themeColor="text1" w:themeTint="A6"/>
      <w:sz w:val="24"/>
      <w:lang w:val="en-GB"/>
    </w:rPr>
  </w:style>
  <w:style w:type="character" w:customStyle="1" w:styleId="Heading8Char">
    <w:name w:val="Heading 8 Char"/>
    <w:basedOn w:val="DefaultParagraphFont"/>
    <w:link w:val="Heading8"/>
    <w:uiPriority w:val="9"/>
    <w:semiHidden/>
    <w:rsid w:val="008E57FB"/>
    <w:rPr>
      <w:rFonts w:eastAsiaTheme="majorEastAsia" w:cstheme="majorBidi"/>
      <w:b/>
      <w:i/>
      <w:iCs/>
      <w:color w:val="272727" w:themeColor="text1" w:themeTint="D8"/>
      <w:sz w:val="24"/>
      <w:lang w:val="en-GB"/>
    </w:rPr>
  </w:style>
  <w:style w:type="character" w:customStyle="1" w:styleId="Heading9Char">
    <w:name w:val="Heading 9 Char"/>
    <w:basedOn w:val="DefaultParagraphFont"/>
    <w:link w:val="Heading9"/>
    <w:uiPriority w:val="9"/>
    <w:semiHidden/>
    <w:rsid w:val="008E57FB"/>
    <w:rPr>
      <w:rFonts w:eastAsiaTheme="majorEastAsia" w:cstheme="majorBidi"/>
      <w:b/>
      <w:color w:val="272727" w:themeColor="text1" w:themeTint="D8"/>
      <w:sz w:val="24"/>
      <w:lang w:val="en-GB"/>
    </w:rPr>
  </w:style>
  <w:style w:type="paragraph" w:styleId="Title">
    <w:name w:val="Title"/>
    <w:basedOn w:val="Normal"/>
    <w:next w:val="Normal"/>
    <w:link w:val="TitleChar"/>
    <w:uiPriority w:val="10"/>
    <w:qFormat/>
    <w:rsid w:val="008E57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57FB"/>
    <w:rPr>
      <w:rFonts w:asciiTheme="majorHAnsi" w:eastAsiaTheme="majorEastAsia" w:hAnsiTheme="majorHAnsi" w:cstheme="majorBidi"/>
      <w:b/>
      <w:spacing w:val="-10"/>
      <w:kern w:val="28"/>
      <w:sz w:val="56"/>
      <w:szCs w:val="56"/>
      <w:lang w:val="en-GB"/>
    </w:rPr>
  </w:style>
  <w:style w:type="paragraph" w:styleId="Subtitle">
    <w:name w:val="Subtitle"/>
    <w:basedOn w:val="Normal"/>
    <w:next w:val="Normal"/>
    <w:link w:val="SubtitleChar"/>
    <w:uiPriority w:val="11"/>
    <w:qFormat/>
    <w:rsid w:val="008E57F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57FB"/>
    <w:rPr>
      <w:rFonts w:eastAsiaTheme="majorEastAsia" w:cstheme="majorBidi"/>
      <w:b/>
      <w:color w:val="595959" w:themeColor="text1" w:themeTint="A6"/>
      <w:spacing w:val="15"/>
      <w:sz w:val="28"/>
      <w:szCs w:val="28"/>
      <w:lang w:val="en-GB"/>
    </w:rPr>
  </w:style>
  <w:style w:type="paragraph" w:styleId="Quote">
    <w:name w:val="Quote"/>
    <w:basedOn w:val="Normal"/>
    <w:next w:val="Normal"/>
    <w:link w:val="QuoteChar"/>
    <w:uiPriority w:val="29"/>
    <w:qFormat/>
    <w:rsid w:val="008E57FB"/>
    <w:pPr>
      <w:spacing w:before="160"/>
      <w:jc w:val="center"/>
    </w:pPr>
    <w:rPr>
      <w:i/>
      <w:iCs/>
      <w:color w:val="404040" w:themeColor="text1" w:themeTint="BF"/>
    </w:rPr>
  </w:style>
  <w:style w:type="character" w:customStyle="1" w:styleId="QuoteChar">
    <w:name w:val="Quote Char"/>
    <w:basedOn w:val="DefaultParagraphFont"/>
    <w:link w:val="Quote"/>
    <w:uiPriority w:val="29"/>
    <w:rsid w:val="008E57FB"/>
    <w:rPr>
      <w:rFonts w:ascii="Times New Roman" w:hAnsi="Times New Roman"/>
      <w:b/>
      <w:i/>
      <w:iCs/>
      <w:color w:val="404040" w:themeColor="text1" w:themeTint="BF"/>
      <w:sz w:val="24"/>
      <w:lang w:val="en-GB"/>
    </w:rPr>
  </w:style>
  <w:style w:type="paragraph" w:styleId="ListParagraph">
    <w:name w:val="List Paragraph"/>
    <w:basedOn w:val="Normal"/>
    <w:uiPriority w:val="34"/>
    <w:qFormat/>
    <w:rsid w:val="008E57FB"/>
    <w:pPr>
      <w:ind w:left="720"/>
      <w:contextualSpacing/>
    </w:pPr>
  </w:style>
  <w:style w:type="character" w:styleId="IntenseEmphasis">
    <w:name w:val="Intense Emphasis"/>
    <w:basedOn w:val="DefaultParagraphFont"/>
    <w:uiPriority w:val="21"/>
    <w:qFormat/>
    <w:rsid w:val="008E57FB"/>
    <w:rPr>
      <w:i/>
      <w:iCs/>
      <w:color w:val="2F5496" w:themeColor="accent1" w:themeShade="BF"/>
    </w:rPr>
  </w:style>
  <w:style w:type="paragraph" w:styleId="IntenseQuote">
    <w:name w:val="Intense Quote"/>
    <w:basedOn w:val="Normal"/>
    <w:next w:val="Normal"/>
    <w:link w:val="IntenseQuoteChar"/>
    <w:uiPriority w:val="30"/>
    <w:qFormat/>
    <w:rsid w:val="008E57F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E57FB"/>
    <w:rPr>
      <w:rFonts w:ascii="Times New Roman" w:hAnsi="Times New Roman"/>
      <w:b/>
      <w:i/>
      <w:iCs/>
      <w:color w:val="2F5496" w:themeColor="accent1" w:themeShade="BF"/>
      <w:sz w:val="24"/>
      <w:lang w:val="en-GB"/>
    </w:rPr>
  </w:style>
  <w:style w:type="character" w:styleId="IntenseReference">
    <w:name w:val="Intense Reference"/>
    <w:basedOn w:val="DefaultParagraphFont"/>
    <w:uiPriority w:val="32"/>
    <w:qFormat/>
    <w:rsid w:val="008E57FB"/>
    <w:rPr>
      <w:b/>
      <w:bCs/>
      <w:smallCaps/>
      <w:color w:val="2F5496" w:themeColor="accent1" w:themeShade="BF"/>
      <w:spacing w:val="5"/>
    </w:rPr>
  </w:style>
  <w:style w:type="character" w:styleId="Hyperlink">
    <w:name w:val="Hyperlink"/>
    <w:basedOn w:val="DefaultParagraphFont"/>
    <w:uiPriority w:val="99"/>
    <w:unhideWhenUsed/>
    <w:rsid w:val="008E57FB"/>
    <w:rPr>
      <w:color w:val="0563C1" w:themeColor="hyperlink"/>
      <w:u w:val="single"/>
    </w:rPr>
  </w:style>
  <w:style w:type="character" w:styleId="UnresolvedMention">
    <w:name w:val="Unresolved Mention"/>
    <w:basedOn w:val="DefaultParagraphFont"/>
    <w:uiPriority w:val="99"/>
    <w:semiHidden/>
    <w:unhideWhenUsed/>
    <w:rsid w:val="008E57FB"/>
    <w:rPr>
      <w:color w:val="605E5C"/>
      <w:shd w:val="clear" w:color="auto" w:fill="E1DFDD"/>
    </w:rPr>
  </w:style>
  <w:style w:type="table" w:styleId="TableGrid">
    <w:name w:val="Table Grid"/>
    <w:basedOn w:val="TableNormal"/>
    <w:uiPriority w:val="39"/>
    <w:rsid w:val="008E57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21E07"/>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FF1E5D"/>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FF1E5D"/>
    <w:pPr>
      <w:spacing w:after="100"/>
    </w:pPr>
  </w:style>
  <w:style w:type="paragraph" w:styleId="TOC2">
    <w:name w:val="toc 2"/>
    <w:basedOn w:val="Normal"/>
    <w:next w:val="Normal"/>
    <w:autoRedefine/>
    <w:uiPriority w:val="39"/>
    <w:unhideWhenUsed/>
    <w:rsid w:val="00FF1E5D"/>
    <w:pPr>
      <w:spacing w:after="100"/>
      <w:ind w:left="240"/>
    </w:pPr>
  </w:style>
  <w:style w:type="paragraph" w:styleId="TOC3">
    <w:name w:val="toc 3"/>
    <w:basedOn w:val="Normal"/>
    <w:next w:val="Normal"/>
    <w:autoRedefine/>
    <w:uiPriority w:val="39"/>
    <w:unhideWhenUsed/>
    <w:rsid w:val="00FF1E5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research.com/MarketLine-v3883/Healthcare-c85/1.html"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tatista.com/outlook/hmo/digital-health/united-kingdom?srsltid=AfmBOopmGc42kzFysHfvFHc4RvzLytjdyAW-m3Gsw8FX01uEMvSP6GxX" TargetMode="External"/><Relationship Id="rId4" Type="http://schemas.openxmlformats.org/officeDocument/2006/relationships/settings" Target="settings.xml"/><Relationship Id="rId9" Type="http://schemas.openxmlformats.org/officeDocument/2006/relationships/hyperlink" Target="https://www.philips.com.pk/health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7FC81E-C631-4FA9-8DB1-F089712B4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5951</Words>
  <Characters>33921</Characters>
  <Application>Microsoft Office Word</Application>
  <DocSecurity>0</DocSecurity>
  <Lines>282</Lines>
  <Paragraphs>79</Paragraphs>
  <ScaleCrop>false</ScaleCrop>
  <Company/>
  <LinksUpToDate>false</LinksUpToDate>
  <CharactersWithSpaces>39793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Zoya</dc:creator>
  <cp:keywords/>
  <dc:description/>
  <cp:lastModifiedBy>Muhammad Ali Hussain</cp:lastModifiedBy>
  <cp:revision>2</cp:revision>
  <dcterms:created xsi:type="dcterms:W3CDTF">2025-11-11T18:56:00Z</dcterms:created>
  <dcterms:modified xsi:type="dcterms:W3CDTF">2025-11-11T18:56:00Z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3fd3ef6b-960b-4b97-9ec2-7b38b09eac1d</vt:lpwstr>
  </property>
</Properties>
</file>