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E90CE0F" w14:textId="77777777" w:rsidR="003E1E1C" w:rsidRPr="007729D4" w:rsidRDefault="003E1E1C" w:rsidP="007729D4">
      <w:pPr>
        <w:spacing w:line="360" w:lineRule="auto"/>
        <w:jc w:val="both"/>
        <w:rPr>
          <w:rFonts w:ascii="Times New Roman" w:hAnsi="Times New Roman" w:cs="Times New Roman"/>
          <w:b/>
          <w:bCs/>
        </w:rPr>
      </w:pPr>
      <w:bookmarkStart w:id="0" w:name="_Hlk231562453"/>
      <w:r w:rsidRPr="007729D4">
        <w:rPr>
          <w:rFonts w:ascii="Times New Roman" w:hAnsi="Times New Roman" w:cs="Times New Roman"/>
          <w:b/>
          <w:bCs/>
        </w:rPr>
        <w:t xml:space="preserve">Running Head: ASSIGNMENT </w:t>
      </w:r>
    </w:p>
    <w:p w14:paraId="443DF9EE" w14:textId="77777777" w:rsidR="003E1E1C" w:rsidRPr="007729D4" w:rsidRDefault="003E1E1C" w:rsidP="007729D4">
      <w:pPr>
        <w:spacing w:line="360" w:lineRule="auto"/>
        <w:jc w:val="both"/>
        <w:rPr>
          <w:rFonts w:ascii="Times New Roman" w:hAnsi="Times New Roman" w:cs="Times New Roman"/>
          <w:b/>
          <w:bCs/>
        </w:rPr>
      </w:pPr>
    </w:p>
    <w:p w14:paraId="18A9E945" w14:textId="77777777" w:rsidR="003E1E1C" w:rsidRPr="007729D4" w:rsidRDefault="003E1E1C" w:rsidP="007729D4">
      <w:pPr>
        <w:spacing w:line="360" w:lineRule="auto"/>
        <w:jc w:val="both"/>
        <w:rPr>
          <w:rFonts w:ascii="Times New Roman" w:hAnsi="Times New Roman" w:cs="Times New Roman"/>
          <w:b/>
          <w:bCs/>
        </w:rPr>
      </w:pPr>
    </w:p>
    <w:p w14:paraId="4966AC52" w14:textId="77777777" w:rsidR="003E1E1C" w:rsidRPr="007729D4" w:rsidRDefault="003E1E1C" w:rsidP="007729D4">
      <w:pPr>
        <w:spacing w:line="360" w:lineRule="auto"/>
        <w:jc w:val="both"/>
        <w:rPr>
          <w:rFonts w:ascii="Times New Roman" w:hAnsi="Times New Roman" w:cs="Times New Roman"/>
          <w:b/>
          <w:bCs/>
        </w:rPr>
      </w:pPr>
    </w:p>
    <w:p w14:paraId="02ED9EBC" w14:textId="77777777" w:rsidR="003E1E1C" w:rsidRPr="007729D4" w:rsidRDefault="003E1E1C" w:rsidP="007729D4">
      <w:pPr>
        <w:spacing w:line="360" w:lineRule="auto"/>
        <w:jc w:val="both"/>
        <w:rPr>
          <w:rFonts w:ascii="Times New Roman" w:hAnsi="Times New Roman" w:cs="Times New Roman"/>
          <w:b/>
          <w:bCs/>
          <w:color w:val="000000" w:themeColor="text1"/>
        </w:rPr>
      </w:pPr>
    </w:p>
    <w:p w14:paraId="4E0357FA" w14:textId="77777777" w:rsidR="003E1E1C" w:rsidRPr="007729D4" w:rsidRDefault="003E1E1C" w:rsidP="007729D4">
      <w:pPr>
        <w:spacing w:line="360" w:lineRule="auto"/>
        <w:jc w:val="center"/>
        <w:rPr>
          <w:rFonts w:ascii="Times New Roman" w:hAnsi="Times New Roman" w:cs="Times New Roman"/>
          <w:b/>
          <w:bCs/>
        </w:rPr>
      </w:pPr>
      <w:r w:rsidRPr="007729D4">
        <w:rPr>
          <w:rFonts w:ascii="Times New Roman" w:hAnsi="Times New Roman" w:cs="Times New Roman"/>
          <w:b/>
          <w:bCs/>
        </w:rPr>
        <w:t xml:space="preserve">Health, Wellbeing and Sustainable Development </w:t>
      </w:r>
    </w:p>
    <w:p w14:paraId="40266103" w14:textId="77777777" w:rsidR="003E1E1C" w:rsidRPr="002C3921" w:rsidRDefault="003E1E1C" w:rsidP="007729D4">
      <w:pPr>
        <w:spacing w:line="360" w:lineRule="auto"/>
        <w:jc w:val="center"/>
        <w:rPr>
          <w:rFonts w:ascii="Times New Roman" w:hAnsi="Times New Roman" w:cs="Times New Roman"/>
        </w:rPr>
      </w:pPr>
      <w:r w:rsidRPr="002C3921">
        <w:rPr>
          <w:rFonts w:ascii="Times New Roman" w:hAnsi="Times New Roman" w:cs="Times New Roman"/>
          <w:b/>
          <w:bCs/>
        </w:rPr>
        <w:t>A Critical Analysis of Sustainable Development Goal 3 (Good Health and Wellbeing) and Sustainable Development Goal 10 (Reduced Inequalities) in Improving Health Outcomes in London, UK</w:t>
      </w:r>
    </w:p>
    <w:p w14:paraId="2412C89A" w14:textId="57E647E1" w:rsidR="003E1E1C" w:rsidRDefault="00A07906" w:rsidP="007729D4">
      <w:pPr>
        <w:spacing w:line="360" w:lineRule="auto"/>
        <w:jc w:val="center"/>
        <w:rPr>
          <w:rFonts w:ascii="Times New Roman" w:hAnsi="Times New Roman" w:cs="Times New Roman"/>
          <w:b/>
          <w:bCs/>
        </w:rPr>
      </w:pPr>
      <w:r>
        <w:rPr>
          <w:rFonts w:ascii="Times New Roman" w:hAnsi="Times New Roman" w:cs="Times New Roman"/>
          <w:b/>
          <w:bCs/>
        </w:rPr>
        <w:t>Manpreet Kaur</w:t>
      </w:r>
      <w:r w:rsidR="003E718D">
        <w:rPr>
          <w:rFonts w:ascii="Times New Roman" w:hAnsi="Times New Roman" w:cs="Times New Roman"/>
          <w:b/>
          <w:bCs/>
        </w:rPr>
        <w:t xml:space="preserve">- </w:t>
      </w:r>
      <w:r w:rsidR="00064B8E">
        <w:rPr>
          <w:rFonts w:ascii="Times New Roman" w:hAnsi="Times New Roman" w:cs="Times New Roman"/>
          <w:b/>
          <w:bCs/>
        </w:rPr>
        <w:t>22</w:t>
      </w:r>
      <w:r w:rsidR="00776352">
        <w:rPr>
          <w:rFonts w:ascii="Times New Roman" w:hAnsi="Times New Roman" w:cs="Times New Roman"/>
          <w:b/>
          <w:bCs/>
        </w:rPr>
        <w:t>4</w:t>
      </w:r>
      <w:r w:rsidR="00AC69E5">
        <w:rPr>
          <w:rFonts w:ascii="Times New Roman" w:hAnsi="Times New Roman" w:cs="Times New Roman"/>
          <w:b/>
          <w:bCs/>
        </w:rPr>
        <w:t>6814</w:t>
      </w:r>
    </w:p>
    <w:p w14:paraId="03493B88" w14:textId="3EFDD19D" w:rsidR="00472AE2" w:rsidRPr="007729D4" w:rsidRDefault="00851B5F" w:rsidP="007729D4">
      <w:pPr>
        <w:spacing w:line="360" w:lineRule="auto"/>
        <w:jc w:val="center"/>
        <w:rPr>
          <w:rFonts w:ascii="Times New Roman" w:hAnsi="Times New Roman" w:cs="Times New Roman"/>
          <w:b/>
          <w:bCs/>
        </w:rPr>
      </w:pPr>
      <w:r>
        <w:rPr>
          <w:rFonts w:ascii="Times New Roman" w:hAnsi="Times New Roman" w:cs="Times New Roman"/>
          <w:b/>
          <w:bCs/>
        </w:rPr>
        <w:t>BMHP60</w:t>
      </w:r>
      <w:r w:rsidR="002D68AD">
        <w:rPr>
          <w:rFonts w:ascii="Times New Roman" w:hAnsi="Times New Roman" w:cs="Times New Roman"/>
          <w:b/>
          <w:bCs/>
        </w:rPr>
        <w:t>30</w:t>
      </w:r>
    </w:p>
    <w:p w14:paraId="7FA67650" w14:textId="26BD264D" w:rsidR="003E1E1C" w:rsidRPr="007729D4" w:rsidRDefault="003E1E1C" w:rsidP="00472AE2">
      <w:pPr>
        <w:spacing w:line="360" w:lineRule="auto"/>
        <w:rPr>
          <w:rFonts w:ascii="Times New Roman" w:hAnsi="Times New Roman" w:cs="Times New Roman"/>
          <w:b/>
          <w:bCs/>
        </w:rPr>
      </w:pPr>
    </w:p>
    <w:bookmarkEnd w:id="0"/>
    <w:p w14:paraId="3015C802" w14:textId="7209D12D" w:rsidR="003E1E1C" w:rsidRPr="007729D4" w:rsidRDefault="003E1E1C" w:rsidP="007729D4">
      <w:pPr>
        <w:spacing w:line="360" w:lineRule="auto"/>
        <w:jc w:val="center"/>
        <w:rPr>
          <w:rFonts w:ascii="Times New Roman" w:eastAsiaTheme="majorEastAsia" w:hAnsi="Times New Roman" w:cs="Times New Roman"/>
          <w:b/>
          <w:color w:val="000000" w:themeColor="text1"/>
        </w:rPr>
      </w:pPr>
      <w:r w:rsidRPr="007729D4">
        <w:rPr>
          <w:rFonts w:ascii="Times New Roman" w:hAnsi="Times New Roman" w:cs="Times New Roman"/>
        </w:rPr>
        <w:br w:type="page"/>
      </w:r>
    </w:p>
    <w:sdt>
      <w:sdtPr>
        <w:rPr>
          <w:rFonts w:ascii="Times New Roman" w:eastAsiaTheme="minorHAnsi" w:hAnsi="Times New Roman" w:cs="Times New Roman"/>
          <w:color w:val="auto"/>
          <w:kern w:val="2"/>
          <w:sz w:val="24"/>
          <w:szCs w:val="24"/>
          <w14:ligatures w14:val="standardContextual"/>
        </w:rPr>
        <w:id w:val="-112983512"/>
        <w:docPartObj>
          <w:docPartGallery w:val="Table of Contents"/>
          <w:docPartUnique/>
        </w:docPartObj>
      </w:sdtPr>
      <w:sdtEndPr>
        <w:rPr>
          <w:b/>
          <w:bCs/>
          <w:noProof/>
        </w:rPr>
      </w:sdtEndPr>
      <w:sdtContent>
        <w:p w14:paraId="4FE3F399" w14:textId="49311FEC" w:rsidR="003E1E1C" w:rsidRPr="007729D4" w:rsidRDefault="003E1E1C" w:rsidP="007729D4">
          <w:pPr>
            <w:pStyle w:val="TOCHeading"/>
            <w:spacing w:line="360" w:lineRule="auto"/>
            <w:jc w:val="center"/>
            <w:rPr>
              <w:rFonts w:ascii="Times New Roman" w:hAnsi="Times New Roman" w:cs="Times New Roman"/>
              <w:b/>
              <w:bCs/>
              <w:color w:val="000000" w:themeColor="text1"/>
              <w:sz w:val="24"/>
              <w:szCs w:val="24"/>
            </w:rPr>
          </w:pPr>
          <w:r w:rsidRPr="007729D4">
            <w:rPr>
              <w:rFonts w:ascii="Times New Roman" w:hAnsi="Times New Roman" w:cs="Times New Roman"/>
              <w:b/>
              <w:bCs/>
              <w:color w:val="000000" w:themeColor="text1"/>
              <w:sz w:val="24"/>
              <w:szCs w:val="24"/>
            </w:rPr>
            <w:t>Table of Contents</w:t>
          </w:r>
        </w:p>
        <w:p w14:paraId="132859F8" w14:textId="5E5CA09B" w:rsidR="003E1E1C" w:rsidRPr="007729D4" w:rsidRDefault="003E1E1C" w:rsidP="007729D4">
          <w:pPr>
            <w:pStyle w:val="TOC1"/>
            <w:tabs>
              <w:tab w:val="right" w:leader="dot" w:pos="9350"/>
            </w:tabs>
            <w:spacing w:line="360" w:lineRule="auto"/>
            <w:rPr>
              <w:rFonts w:ascii="Times New Roman" w:eastAsiaTheme="minorEastAsia" w:hAnsi="Times New Roman" w:cs="Times New Roman"/>
              <w:noProof/>
            </w:rPr>
          </w:pPr>
          <w:r w:rsidRPr="007729D4">
            <w:rPr>
              <w:rFonts w:ascii="Times New Roman" w:hAnsi="Times New Roman" w:cs="Times New Roman"/>
            </w:rPr>
            <w:fldChar w:fldCharType="begin"/>
          </w:r>
          <w:r w:rsidRPr="007729D4">
            <w:rPr>
              <w:rFonts w:ascii="Times New Roman" w:hAnsi="Times New Roman" w:cs="Times New Roman"/>
            </w:rPr>
            <w:instrText xml:space="preserve"> TOC \o "1-3" \h \z \u </w:instrText>
          </w:r>
          <w:r w:rsidRPr="007729D4">
            <w:rPr>
              <w:rFonts w:ascii="Times New Roman" w:hAnsi="Times New Roman" w:cs="Times New Roman"/>
            </w:rPr>
            <w:fldChar w:fldCharType="separate"/>
          </w:r>
          <w:hyperlink w:anchor="_Toc232432030" w:history="1">
            <w:r w:rsidRPr="007729D4">
              <w:rPr>
                <w:rStyle w:val="Hyperlink"/>
                <w:rFonts w:ascii="Times New Roman" w:hAnsi="Times New Roman" w:cs="Times New Roman"/>
                <w:noProof/>
              </w:rPr>
              <w:t>1. INTRODUCTION</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_Toc232432030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3</w:t>
            </w:r>
            <w:r w:rsidRPr="007729D4">
              <w:rPr>
                <w:rFonts w:ascii="Times New Roman" w:hAnsi="Times New Roman" w:cs="Times New Roman"/>
                <w:noProof/>
                <w:webHidden/>
              </w:rPr>
              <w:fldChar w:fldCharType="end"/>
            </w:r>
          </w:hyperlink>
        </w:p>
        <w:p w14:paraId="0E10339F" w14:textId="2D60CC10" w:rsidR="003E1E1C" w:rsidRPr="007729D4" w:rsidRDefault="003E1E1C" w:rsidP="007729D4">
          <w:pPr>
            <w:pStyle w:val="TOC1"/>
            <w:tabs>
              <w:tab w:val="right" w:leader="dot" w:pos="9350"/>
            </w:tabs>
            <w:spacing w:line="360" w:lineRule="auto"/>
            <w:rPr>
              <w:rFonts w:ascii="Times New Roman" w:eastAsiaTheme="minorEastAsia" w:hAnsi="Times New Roman" w:cs="Times New Roman"/>
              <w:noProof/>
            </w:rPr>
          </w:pPr>
          <w:hyperlink w:anchor="_Toc232432031" w:history="1">
            <w:r w:rsidRPr="007729D4">
              <w:rPr>
                <w:rStyle w:val="Hyperlink"/>
                <w:rFonts w:ascii="Times New Roman" w:hAnsi="Times New Roman" w:cs="Times New Roman"/>
                <w:noProof/>
              </w:rPr>
              <w:t>2. SDG 3 – GOOD HEALTH AND WELLBEING</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_Toc232432031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3</w:t>
            </w:r>
            <w:r w:rsidRPr="007729D4">
              <w:rPr>
                <w:rFonts w:ascii="Times New Roman" w:hAnsi="Times New Roman" w:cs="Times New Roman"/>
                <w:noProof/>
                <w:webHidden/>
              </w:rPr>
              <w:fldChar w:fldCharType="end"/>
            </w:r>
          </w:hyperlink>
        </w:p>
        <w:p w14:paraId="1E991AE7" w14:textId="7A225B53" w:rsidR="003E1E1C" w:rsidRPr="007729D4" w:rsidRDefault="003E1E1C" w:rsidP="007729D4">
          <w:pPr>
            <w:pStyle w:val="TOC2"/>
            <w:tabs>
              <w:tab w:val="right" w:leader="dot" w:pos="9350"/>
            </w:tabs>
            <w:spacing w:line="360" w:lineRule="auto"/>
            <w:rPr>
              <w:rFonts w:ascii="Times New Roman" w:eastAsiaTheme="minorEastAsia" w:hAnsi="Times New Roman" w:cs="Times New Roman"/>
              <w:noProof/>
            </w:rPr>
          </w:pPr>
          <w:hyperlink w:anchor="_Toc232432032" w:history="1">
            <w:r w:rsidRPr="007729D4">
              <w:rPr>
                <w:rStyle w:val="Hyperlink"/>
                <w:rFonts w:ascii="Times New Roman" w:hAnsi="Times New Roman" w:cs="Times New Roman"/>
                <w:noProof/>
              </w:rPr>
              <w:t>2.1 Definition &amp; Global Context (WHO + UN)</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_Toc232432032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3</w:t>
            </w:r>
            <w:r w:rsidRPr="007729D4">
              <w:rPr>
                <w:rFonts w:ascii="Times New Roman" w:hAnsi="Times New Roman" w:cs="Times New Roman"/>
                <w:noProof/>
                <w:webHidden/>
              </w:rPr>
              <w:fldChar w:fldCharType="end"/>
            </w:r>
          </w:hyperlink>
        </w:p>
        <w:p w14:paraId="72A9D5F9" w14:textId="621D8C6C" w:rsidR="003E1E1C" w:rsidRPr="007729D4" w:rsidRDefault="003E1E1C" w:rsidP="007729D4">
          <w:pPr>
            <w:pStyle w:val="TOC2"/>
            <w:tabs>
              <w:tab w:val="right" w:leader="dot" w:pos="9350"/>
            </w:tabs>
            <w:spacing w:line="360" w:lineRule="auto"/>
            <w:rPr>
              <w:rFonts w:ascii="Times New Roman" w:eastAsiaTheme="minorEastAsia" w:hAnsi="Times New Roman" w:cs="Times New Roman"/>
              <w:noProof/>
            </w:rPr>
          </w:pPr>
          <w:hyperlink w:anchor="_Toc232432033" w:history="1">
            <w:r w:rsidRPr="007729D4">
              <w:rPr>
                <w:rStyle w:val="Hyperlink"/>
                <w:rFonts w:ascii="Times New Roman" w:hAnsi="Times New Roman" w:cs="Times New Roman"/>
                <w:noProof/>
              </w:rPr>
              <w:t>2.2 UK National Context (NHS Focus)</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_Toc232432033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3</w:t>
            </w:r>
            <w:r w:rsidRPr="007729D4">
              <w:rPr>
                <w:rFonts w:ascii="Times New Roman" w:hAnsi="Times New Roman" w:cs="Times New Roman"/>
                <w:noProof/>
                <w:webHidden/>
              </w:rPr>
              <w:fldChar w:fldCharType="end"/>
            </w:r>
          </w:hyperlink>
        </w:p>
        <w:p w14:paraId="7882AB4A" w14:textId="159FCC1D" w:rsidR="003E1E1C" w:rsidRPr="007729D4" w:rsidRDefault="003E1E1C" w:rsidP="007729D4">
          <w:pPr>
            <w:pStyle w:val="TOC2"/>
            <w:tabs>
              <w:tab w:val="right" w:leader="dot" w:pos="9350"/>
            </w:tabs>
            <w:spacing w:line="360" w:lineRule="auto"/>
            <w:rPr>
              <w:rFonts w:ascii="Times New Roman" w:eastAsiaTheme="minorEastAsia" w:hAnsi="Times New Roman" w:cs="Times New Roman"/>
              <w:noProof/>
            </w:rPr>
          </w:pPr>
          <w:hyperlink w:anchor="_Toc232432034" w:history="1">
            <w:r w:rsidRPr="007729D4">
              <w:rPr>
                <w:rStyle w:val="Hyperlink"/>
                <w:rFonts w:ascii="Times New Roman" w:hAnsi="Times New Roman" w:cs="Times New Roman"/>
                <w:noProof/>
              </w:rPr>
              <w:t>2.3 Local Context – London</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_Toc232432034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4</w:t>
            </w:r>
            <w:r w:rsidRPr="007729D4">
              <w:rPr>
                <w:rFonts w:ascii="Times New Roman" w:hAnsi="Times New Roman" w:cs="Times New Roman"/>
                <w:noProof/>
                <w:webHidden/>
              </w:rPr>
              <w:fldChar w:fldCharType="end"/>
            </w:r>
          </w:hyperlink>
        </w:p>
        <w:p w14:paraId="47F21D35" w14:textId="23588763" w:rsidR="003E1E1C" w:rsidRPr="007729D4" w:rsidRDefault="003E1E1C" w:rsidP="007729D4">
          <w:pPr>
            <w:pStyle w:val="TOC2"/>
            <w:tabs>
              <w:tab w:val="right" w:leader="dot" w:pos="9350"/>
            </w:tabs>
            <w:spacing w:line="360" w:lineRule="auto"/>
            <w:rPr>
              <w:rFonts w:ascii="Times New Roman" w:eastAsiaTheme="minorEastAsia" w:hAnsi="Times New Roman" w:cs="Times New Roman"/>
              <w:noProof/>
            </w:rPr>
          </w:pPr>
          <w:hyperlink w:anchor="_Toc232432035" w:history="1">
            <w:r w:rsidRPr="007729D4">
              <w:rPr>
                <w:rStyle w:val="Hyperlink"/>
                <w:rFonts w:ascii="Times New Roman" w:hAnsi="Times New Roman" w:cs="Times New Roman"/>
                <w:noProof/>
              </w:rPr>
              <w:t>2.4 Theoretical Framework</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_Toc232432035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4</w:t>
            </w:r>
            <w:r w:rsidRPr="007729D4">
              <w:rPr>
                <w:rFonts w:ascii="Times New Roman" w:hAnsi="Times New Roman" w:cs="Times New Roman"/>
                <w:noProof/>
                <w:webHidden/>
              </w:rPr>
              <w:fldChar w:fldCharType="end"/>
            </w:r>
          </w:hyperlink>
        </w:p>
        <w:p w14:paraId="2E5766AD" w14:textId="650DE642" w:rsidR="003E1E1C" w:rsidRPr="007729D4" w:rsidRDefault="003E1E1C" w:rsidP="007729D4">
          <w:pPr>
            <w:pStyle w:val="TOC2"/>
            <w:tabs>
              <w:tab w:val="right" w:leader="dot" w:pos="9350"/>
            </w:tabs>
            <w:spacing w:line="360" w:lineRule="auto"/>
            <w:rPr>
              <w:rFonts w:ascii="Times New Roman" w:eastAsiaTheme="minorEastAsia" w:hAnsi="Times New Roman" w:cs="Times New Roman"/>
              <w:noProof/>
            </w:rPr>
          </w:pPr>
          <w:hyperlink w:anchor="_Toc232432036" w:history="1">
            <w:r w:rsidRPr="007729D4">
              <w:rPr>
                <w:rStyle w:val="Hyperlink"/>
                <w:rFonts w:ascii="Times New Roman" w:hAnsi="Times New Roman" w:cs="Times New Roman"/>
                <w:noProof/>
              </w:rPr>
              <w:t>2.5 Critical Evaluation of SDG 3 Implementation</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_Toc232432036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4</w:t>
            </w:r>
            <w:r w:rsidRPr="007729D4">
              <w:rPr>
                <w:rFonts w:ascii="Times New Roman" w:hAnsi="Times New Roman" w:cs="Times New Roman"/>
                <w:noProof/>
                <w:webHidden/>
              </w:rPr>
              <w:fldChar w:fldCharType="end"/>
            </w:r>
          </w:hyperlink>
        </w:p>
        <w:p w14:paraId="6A0ACE51" w14:textId="07CCBBBF" w:rsidR="003E1E1C" w:rsidRPr="007729D4" w:rsidRDefault="003E1E1C" w:rsidP="007729D4">
          <w:pPr>
            <w:pStyle w:val="TOC2"/>
            <w:tabs>
              <w:tab w:val="right" w:leader="dot" w:pos="9350"/>
            </w:tabs>
            <w:spacing w:line="360" w:lineRule="auto"/>
            <w:rPr>
              <w:rFonts w:ascii="Times New Roman" w:eastAsiaTheme="minorEastAsia" w:hAnsi="Times New Roman" w:cs="Times New Roman"/>
              <w:noProof/>
            </w:rPr>
          </w:pPr>
          <w:hyperlink w:anchor="_Toc232432037" w:history="1">
            <w:r w:rsidRPr="007729D4">
              <w:rPr>
                <w:rStyle w:val="Hyperlink"/>
                <w:rFonts w:ascii="Times New Roman" w:hAnsi="Times New Roman" w:cs="Times New Roman"/>
                <w:noProof/>
              </w:rPr>
              <w:t>2.6 Link to SDG 10 (Reduced Inequalities)</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_Toc232432037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5</w:t>
            </w:r>
            <w:r w:rsidRPr="007729D4">
              <w:rPr>
                <w:rFonts w:ascii="Times New Roman" w:hAnsi="Times New Roman" w:cs="Times New Roman"/>
                <w:noProof/>
                <w:webHidden/>
              </w:rPr>
              <w:fldChar w:fldCharType="end"/>
            </w:r>
          </w:hyperlink>
        </w:p>
        <w:p w14:paraId="3B99E09A" w14:textId="67DC996D" w:rsidR="003E1E1C" w:rsidRPr="007729D4" w:rsidRDefault="003E1E1C" w:rsidP="007729D4">
          <w:pPr>
            <w:pStyle w:val="TOC1"/>
            <w:tabs>
              <w:tab w:val="right" w:leader="dot" w:pos="9350"/>
            </w:tabs>
            <w:spacing w:line="360" w:lineRule="auto"/>
            <w:rPr>
              <w:rFonts w:ascii="Times New Roman" w:eastAsiaTheme="minorEastAsia" w:hAnsi="Times New Roman" w:cs="Times New Roman"/>
              <w:noProof/>
            </w:rPr>
          </w:pPr>
          <w:hyperlink w:anchor="_Toc232432038" w:history="1">
            <w:r w:rsidRPr="007729D4">
              <w:rPr>
                <w:rStyle w:val="Hyperlink"/>
                <w:rFonts w:ascii="Times New Roman" w:hAnsi="Times New Roman" w:cs="Times New Roman"/>
                <w:noProof/>
              </w:rPr>
              <w:t>3. SDG 10 – REDUCED INEQUALITIES</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_Toc232432038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5</w:t>
            </w:r>
            <w:r w:rsidRPr="007729D4">
              <w:rPr>
                <w:rFonts w:ascii="Times New Roman" w:hAnsi="Times New Roman" w:cs="Times New Roman"/>
                <w:noProof/>
                <w:webHidden/>
              </w:rPr>
              <w:fldChar w:fldCharType="end"/>
            </w:r>
          </w:hyperlink>
        </w:p>
        <w:p w14:paraId="194A525C" w14:textId="5E447B88" w:rsidR="003E1E1C" w:rsidRPr="007729D4" w:rsidRDefault="003E1E1C" w:rsidP="007729D4">
          <w:pPr>
            <w:pStyle w:val="TOC2"/>
            <w:tabs>
              <w:tab w:val="right" w:leader="dot" w:pos="9350"/>
            </w:tabs>
            <w:spacing w:line="360" w:lineRule="auto"/>
            <w:rPr>
              <w:rFonts w:ascii="Times New Roman" w:eastAsiaTheme="minorEastAsia" w:hAnsi="Times New Roman" w:cs="Times New Roman"/>
              <w:noProof/>
            </w:rPr>
          </w:pPr>
          <w:hyperlink w:anchor="_Toc232432039" w:history="1">
            <w:r w:rsidRPr="007729D4">
              <w:rPr>
                <w:rStyle w:val="Hyperlink"/>
                <w:rFonts w:ascii="Times New Roman" w:hAnsi="Times New Roman" w:cs="Times New Roman"/>
                <w:noProof/>
              </w:rPr>
              <w:t>3.1 Definition (UN + SDG Framework)</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_Toc232432039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5</w:t>
            </w:r>
            <w:r w:rsidRPr="007729D4">
              <w:rPr>
                <w:rFonts w:ascii="Times New Roman" w:hAnsi="Times New Roman" w:cs="Times New Roman"/>
                <w:noProof/>
                <w:webHidden/>
              </w:rPr>
              <w:fldChar w:fldCharType="end"/>
            </w:r>
          </w:hyperlink>
        </w:p>
        <w:p w14:paraId="534641CD" w14:textId="40EDB17A" w:rsidR="003E1E1C" w:rsidRPr="007729D4" w:rsidRDefault="003E1E1C" w:rsidP="007729D4">
          <w:pPr>
            <w:pStyle w:val="TOC2"/>
            <w:tabs>
              <w:tab w:val="right" w:leader="dot" w:pos="9350"/>
            </w:tabs>
            <w:spacing w:line="360" w:lineRule="auto"/>
            <w:rPr>
              <w:rFonts w:ascii="Times New Roman" w:eastAsiaTheme="minorEastAsia" w:hAnsi="Times New Roman" w:cs="Times New Roman"/>
              <w:noProof/>
            </w:rPr>
          </w:pPr>
          <w:hyperlink w:anchor="_Toc232432040" w:history="1">
            <w:r w:rsidRPr="007729D4">
              <w:rPr>
                <w:rStyle w:val="Hyperlink"/>
                <w:rFonts w:ascii="Times New Roman" w:hAnsi="Times New Roman" w:cs="Times New Roman"/>
                <w:noProof/>
              </w:rPr>
              <w:t>3.2 UK Context (Marmot Review)</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_Toc232432040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5</w:t>
            </w:r>
            <w:r w:rsidRPr="007729D4">
              <w:rPr>
                <w:rFonts w:ascii="Times New Roman" w:hAnsi="Times New Roman" w:cs="Times New Roman"/>
                <w:noProof/>
                <w:webHidden/>
              </w:rPr>
              <w:fldChar w:fldCharType="end"/>
            </w:r>
          </w:hyperlink>
        </w:p>
        <w:p w14:paraId="49574005" w14:textId="172EC6ED" w:rsidR="003E1E1C" w:rsidRPr="007729D4" w:rsidRDefault="003E1E1C" w:rsidP="007729D4">
          <w:pPr>
            <w:pStyle w:val="TOC2"/>
            <w:tabs>
              <w:tab w:val="right" w:leader="dot" w:pos="9350"/>
            </w:tabs>
            <w:spacing w:line="360" w:lineRule="auto"/>
            <w:rPr>
              <w:rFonts w:ascii="Times New Roman" w:eastAsiaTheme="minorEastAsia" w:hAnsi="Times New Roman" w:cs="Times New Roman"/>
              <w:noProof/>
            </w:rPr>
          </w:pPr>
          <w:hyperlink w:anchor="_Toc232432041" w:history="1">
            <w:r w:rsidRPr="007729D4">
              <w:rPr>
                <w:rStyle w:val="Hyperlink"/>
                <w:rFonts w:ascii="Times New Roman" w:hAnsi="Times New Roman" w:cs="Times New Roman"/>
                <w:noProof/>
              </w:rPr>
              <w:t>3.3 London Case Study (Local Analysis)</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_Toc232432041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6</w:t>
            </w:r>
            <w:r w:rsidRPr="007729D4">
              <w:rPr>
                <w:rFonts w:ascii="Times New Roman" w:hAnsi="Times New Roman" w:cs="Times New Roman"/>
                <w:noProof/>
                <w:webHidden/>
              </w:rPr>
              <w:fldChar w:fldCharType="end"/>
            </w:r>
          </w:hyperlink>
        </w:p>
        <w:p w14:paraId="333FE4E5" w14:textId="1BE0313F" w:rsidR="003E1E1C" w:rsidRPr="007729D4" w:rsidRDefault="003E1E1C" w:rsidP="007729D4">
          <w:pPr>
            <w:pStyle w:val="TOC2"/>
            <w:tabs>
              <w:tab w:val="right" w:leader="dot" w:pos="9350"/>
            </w:tabs>
            <w:spacing w:line="360" w:lineRule="auto"/>
            <w:rPr>
              <w:rFonts w:ascii="Times New Roman" w:eastAsiaTheme="minorEastAsia" w:hAnsi="Times New Roman" w:cs="Times New Roman"/>
              <w:noProof/>
            </w:rPr>
          </w:pPr>
          <w:hyperlink w:anchor="_Toc232432042" w:history="1">
            <w:r w:rsidRPr="007729D4">
              <w:rPr>
                <w:rStyle w:val="Hyperlink"/>
                <w:rFonts w:ascii="Times New Roman" w:hAnsi="Times New Roman" w:cs="Times New Roman"/>
                <w:noProof/>
              </w:rPr>
              <w:t>3.4 Policies and Initiatives Addressing Inequality</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_Toc232432042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6</w:t>
            </w:r>
            <w:r w:rsidRPr="007729D4">
              <w:rPr>
                <w:rFonts w:ascii="Times New Roman" w:hAnsi="Times New Roman" w:cs="Times New Roman"/>
                <w:noProof/>
                <w:webHidden/>
              </w:rPr>
              <w:fldChar w:fldCharType="end"/>
            </w:r>
          </w:hyperlink>
        </w:p>
        <w:p w14:paraId="353D004E" w14:textId="33CDB625" w:rsidR="003E1E1C" w:rsidRPr="007729D4" w:rsidRDefault="003E1E1C" w:rsidP="007729D4">
          <w:pPr>
            <w:pStyle w:val="TOC2"/>
            <w:tabs>
              <w:tab w:val="right" w:leader="dot" w:pos="9350"/>
            </w:tabs>
            <w:spacing w:line="360" w:lineRule="auto"/>
            <w:rPr>
              <w:rFonts w:ascii="Times New Roman" w:eastAsiaTheme="minorEastAsia" w:hAnsi="Times New Roman" w:cs="Times New Roman"/>
              <w:noProof/>
            </w:rPr>
          </w:pPr>
          <w:hyperlink w:anchor="_Toc232432043" w:history="1">
            <w:r w:rsidRPr="007729D4">
              <w:rPr>
                <w:rStyle w:val="Hyperlink"/>
                <w:rFonts w:ascii="Times New Roman" w:hAnsi="Times New Roman" w:cs="Times New Roman"/>
                <w:noProof/>
              </w:rPr>
              <w:t>3.5 Critical Evaluation of Inequality Policies</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_Toc232432043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6</w:t>
            </w:r>
            <w:r w:rsidRPr="007729D4">
              <w:rPr>
                <w:rFonts w:ascii="Times New Roman" w:hAnsi="Times New Roman" w:cs="Times New Roman"/>
                <w:noProof/>
                <w:webHidden/>
              </w:rPr>
              <w:fldChar w:fldCharType="end"/>
            </w:r>
          </w:hyperlink>
        </w:p>
        <w:p w14:paraId="00418562" w14:textId="0075978B" w:rsidR="003E1E1C" w:rsidRPr="007729D4" w:rsidRDefault="003E1E1C" w:rsidP="007729D4">
          <w:pPr>
            <w:pStyle w:val="TOC2"/>
            <w:tabs>
              <w:tab w:val="right" w:leader="dot" w:pos="9350"/>
            </w:tabs>
            <w:spacing w:line="360" w:lineRule="auto"/>
            <w:rPr>
              <w:rFonts w:ascii="Times New Roman" w:eastAsiaTheme="minorEastAsia" w:hAnsi="Times New Roman" w:cs="Times New Roman"/>
              <w:noProof/>
            </w:rPr>
          </w:pPr>
          <w:hyperlink w:anchor="_Toc232432044" w:history="1">
            <w:r w:rsidRPr="007729D4">
              <w:rPr>
                <w:rStyle w:val="Hyperlink"/>
                <w:rFonts w:ascii="Times New Roman" w:hAnsi="Times New Roman" w:cs="Times New Roman"/>
                <w:noProof/>
              </w:rPr>
              <w:t>3.6 Theoretical Link to Inequality</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_Toc232432044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7</w:t>
            </w:r>
            <w:r w:rsidRPr="007729D4">
              <w:rPr>
                <w:rFonts w:ascii="Times New Roman" w:hAnsi="Times New Roman" w:cs="Times New Roman"/>
                <w:noProof/>
                <w:webHidden/>
              </w:rPr>
              <w:fldChar w:fldCharType="end"/>
            </w:r>
          </w:hyperlink>
        </w:p>
        <w:p w14:paraId="6CA6BA4B" w14:textId="4707B2D2" w:rsidR="003E1E1C" w:rsidRPr="007729D4" w:rsidRDefault="003E1E1C" w:rsidP="007729D4">
          <w:pPr>
            <w:pStyle w:val="TOC2"/>
            <w:tabs>
              <w:tab w:val="right" w:leader="dot" w:pos="9350"/>
            </w:tabs>
            <w:spacing w:line="360" w:lineRule="auto"/>
            <w:rPr>
              <w:rFonts w:ascii="Times New Roman" w:eastAsiaTheme="minorEastAsia" w:hAnsi="Times New Roman" w:cs="Times New Roman"/>
              <w:noProof/>
            </w:rPr>
          </w:pPr>
          <w:hyperlink w:anchor="_Toc232432045" w:history="1">
            <w:r w:rsidRPr="007729D4">
              <w:rPr>
                <w:rStyle w:val="Hyperlink"/>
                <w:rFonts w:ascii="Times New Roman" w:hAnsi="Times New Roman" w:cs="Times New Roman"/>
                <w:noProof/>
              </w:rPr>
              <w:t>3.7 Link to SDG 3 (Critical Integration)</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_Toc232432045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7</w:t>
            </w:r>
            <w:r w:rsidRPr="007729D4">
              <w:rPr>
                <w:rFonts w:ascii="Times New Roman" w:hAnsi="Times New Roman" w:cs="Times New Roman"/>
                <w:noProof/>
                <w:webHidden/>
              </w:rPr>
              <w:fldChar w:fldCharType="end"/>
            </w:r>
          </w:hyperlink>
        </w:p>
        <w:p w14:paraId="5345CA34" w14:textId="4D3A0D46" w:rsidR="003E1E1C" w:rsidRPr="007729D4" w:rsidRDefault="003E1E1C" w:rsidP="007729D4">
          <w:pPr>
            <w:pStyle w:val="TOC1"/>
            <w:tabs>
              <w:tab w:val="right" w:leader="dot" w:pos="9350"/>
            </w:tabs>
            <w:spacing w:line="360" w:lineRule="auto"/>
            <w:rPr>
              <w:rFonts w:ascii="Times New Roman" w:eastAsiaTheme="minorEastAsia" w:hAnsi="Times New Roman" w:cs="Times New Roman"/>
              <w:noProof/>
            </w:rPr>
          </w:pPr>
          <w:hyperlink w:anchor="_Toc232432046" w:history="1">
            <w:r w:rsidRPr="007729D4">
              <w:rPr>
                <w:rStyle w:val="Hyperlink"/>
                <w:rFonts w:ascii="Times New Roman" w:hAnsi="Times New Roman" w:cs="Times New Roman"/>
                <w:noProof/>
              </w:rPr>
              <w:t>4. EVALUATION OF NATIONAL &amp; LOCAL INITIATIVES</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_Toc232432046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7</w:t>
            </w:r>
            <w:r w:rsidRPr="007729D4">
              <w:rPr>
                <w:rFonts w:ascii="Times New Roman" w:hAnsi="Times New Roman" w:cs="Times New Roman"/>
                <w:noProof/>
                <w:webHidden/>
              </w:rPr>
              <w:fldChar w:fldCharType="end"/>
            </w:r>
          </w:hyperlink>
        </w:p>
        <w:p w14:paraId="376B17F7" w14:textId="1E0A31D0" w:rsidR="003E1E1C" w:rsidRPr="007729D4" w:rsidRDefault="003E1E1C" w:rsidP="007729D4">
          <w:pPr>
            <w:pStyle w:val="TOC1"/>
            <w:tabs>
              <w:tab w:val="right" w:leader="dot" w:pos="9350"/>
            </w:tabs>
            <w:spacing w:line="360" w:lineRule="auto"/>
            <w:rPr>
              <w:rFonts w:ascii="Times New Roman" w:eastAsiaTheme="minorEastAsia" w:hAnsi="Times New Roman" w:cs="Times New Roman"/>
              <w:noProof/>
            </w:rPr>
          </w:pPr>
          <w:hyperlink w:anchor="_Toc232432047" w:history="1">
            <w:r w:rsidRPr="007729D4">
              <w:rPr>
                <w:rStyle w:val="Hyperlink"/>
                <w:rFonts w:ascii="Times New Roman" w:hAnsi="Times New Roman" w:cs="Times New Roman"/>
                <w:noProof/>
              </w:rPr>
              <w:t>5. RECOMMENDATIONS</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_Toc232432047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8</w:t>
            </w:r>
            <w:r w:rsidRPr="007729D4">
              <w:rPr>
                <w:rFonts w:ascii="Times New Roman" w:hAnsi="Times New Roman" w:cs="Times New Roman"/>
                <w:noProof/>
                <w:webHidden/>
              </w:rPr>
              <w:fldChar w:fldCharType="end"/>
            </w:r>
          </w:hyperlink>
        </w:p>
        <w:p w14:paraId="228327DD" w14:textId="2C08C1FB" w:rsidR="003E1E1C" w:rsidRPr="007729D4" w:rsidRDefault="003E1E1C" w:rsidP="007729D4">
          <w:pPr>
            <w:pStyle w:val="TOC1"/>
            <w:tabs>
              <w:tab w:val="right" w:leader="dot" w:pos="9350"/>
            </w:tabs>
            <w:spacing w:line="360" w:lineRule="auto"/>
            <w:rPr>
              <w:rFonts w:ascii="Times New Roman" w:eastAsiaTheme="minorEastAsia" w:hAnsi="Times New Roman" w:cs="Times New Roman"/>
              <w:noProof/>
            </w:rPr>
          </w:pPr>
          <w:hyperlink w:anchor="_Toc232432048" w:history="1">
            <w:r w:rsidRPr="007729D4">
              <w:rPr>
                <w:rStyle w:val="Hyperlink"/>
                <w:rFonts w:ascii="Times New Roman" w:hAnsi="Times New Roman" w:cs="Times New Roman"/>
                <w:noProof/>
              </w:rPr>
              <w:t>CONCLUSION</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_Toc232432048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8</w:t>
            </w:r>
            <w:r w:rsidRPr="007729D4">
              <w:rPr>
                <w:rFonts w:ascii="Times New Roman" w:hAnsi="Times New Roman" w:cs="Times New Roman"/>
                <w:noProof/>
                <w:webHidden/>
              </w:rPr>
              <w:fldChar w:fldCharType="end"/>
            </w:r>
          </w:hyperlink>
        </w:p>
        <w:p w14:paraId="1C9D078E" w14:textId="026C5BBA" w:rsidR="003E1E1C" w:rsidRPr="007729D4" w:rsidRDefault="003E1E1C" w:rsidP="007729D4">
          <w:pPr>
            <w:pStyle w:val="TOC1"/>
            <w:tabs>
              <w:tab w:val="right" w:leader="dot" w:pos="9350"/>
            </w:tabs>
            <w:spacing w:line="360" w:lineRule="auto"/>
            <w:rPr>
              <w:rFonts w:ascii="Times New Roman" w:eastAsiaTheme="minorEastAsia" w:hAnsi="Times New Roman" w:cs="Times New Roman"/>
              <w:noProof/>
            </w:rPr>
          </w:pPr>
          <w:hyperlink w:anchor="_Toc232432049" w:history="1">
            <w:r w:rsidRPr="007729D4">
              <w:rPr>
                <w:rStyle w:val="Hyperlink"/>
                <w:rFonts w:ascii="Times New Roman" w:hAnsi="Times New Roman" w:cs="Times New Roman"/>
                <w:noProof/>
              </w:rPr>
              <w:t>References</w:t>
            </w:r>
            <w:r w:rsidRPr="007729D4">
              <w:rPr>
                <w:rFonts w:ascii="Times New Roman" w:hAnsi="Times New Roman" w:cs="Times New Roman"/>
                <w:noProof/>
                <w:webHidden/>
              </w:rPr>
              <w:tab/>
            </w:r>
            <w:r w:rsidRPr="007729D4">
              <w:rPr>
                <w:rFonts w:ascii="Times New Roman" w:hAnsi="Times New Roman" w:cs="Times New Roman"/>
                <w:noProof/>
                <w:webHidden/>
              </w:rPr>
              <w:fldChar w:fldCharType="begin"/>
            </w:r>
            <w:r w:rsidRPr="007729D4">
              <w:rPr>
                <w:rFonts w:ascii="Times New Roman" w:hAnsi="Times New Roman" w:cs="Times New Roman"/>
                <w:noProof/>
                <w:webHidden/>
              </w:rPr>
              <w:instrText xml:space="preserve"> PAGEREF _Toc232432049 \h </w:instrText>
            </w:r>
            <w:r w:rsidRPr="007729D4">
              <w:rPr>
                <w:rFonts w:ascii="Times New Roman" w:hAnsi="Times New Roman" w:cs="Times New Roman"/>
                <w:noProof/>
                <w:webHidden/>
              </w:rPr>
            </w:r>
            <w:r w:rsidRPr="007729D4">
              <w:rPr>
                <w:rFonts w:ascii="Times New Roman" w:hAnsi="Times New Roman" w:cs="Times New Roman"/>
                <w:noProof/>
                <w:webHidden/>
              </w:rPr>
              <w:fldChar w:fldCharType="separate"/>
            </w:r>
            <w:r w:rsidRPr="007729D4">
              <w:rPr>
                <w:rFonts w:ascii="Times New Roman" w:hAnsi="Times New Roman" w:cs="Times New Roman"/>
                <w:noProof/>
                <w:webHidden/>
              </w:rPr>
              <w:t>10</w:t>
            </w:r>
            <w:r w:rsidRPr="007729D4">
              <w:rPr>
                <w:rFonts w:ascii="Times New Roman" w:hAnsi="Times New Roman" w:cs="Times New Roman"/>
                <w:noProof/>
                <w:webHidden/>
              </w:rPr>
              <w:fldChar w:fldCharType="end"/>
            </w:r>
          </w:hyperlink>
        </w:p>
        <w:p w14:paraId="770517DC" w14:textId="12079D7B" w:rsidR="003E1E1C" w:rsidRPr="007729D4" w:rsidRDefault="003E1E1C" w:rsidP="007729D4">
          <w:pPr>
            <w:spacing w:line="360" w:lineRule="auto"/>
            <w:rPr>
              <w:rFonts w:ascii="Times New Roman" w:hAnsi="Times New Roman" w:cs="Times New Roman"/>
            </w:rPr>
          </w:pPr>
          <w:r w:rsidRPr="007729D4">
            <w:rPr>
              <w:rFonts w:ascii="Times New Roman" w:hAnsi="Times New Roman" w:cs="Times New Roman"/>
              <w:b/>
              <w:bCs/>
              <w:noProof/>
            </w:rPr>
            <w:fldChar w:fldCharType="end"/>
          </w:r>
        </w:p>
      </w:sdtContent>
    </w:sdt>
    <w:p w14:paraId="3D6CCDB0" w14:textId="77777777" w:rsidR="003E1E1C" w:rsidRPr="007729D4" w:rsidRDefault="003E1E1C" w:rsidP="007729D4">
      <w:pPr>
        <w:spacing w:line="360" w:lineRule="auto"/>
        <w:rPr>
          <w:rFonts w:ascii="Times New Roman" w:eastAsiaTheme="majorEastAsia" w:hAnsi="Times New Roman" w:cs="Times New Roman"/>
          <w:b/>
          <w:color w:val="000000" w:themeColor="text1"/>
        </w:rPr>
      </w:pPr>
      <w:r w:rsidRPr="007729D4">
        <w:rPr>
          <w:rFonts w:ascii="Times New Roman" w:hAnsi="Times New Roman" w:cs="Times New Roman"/>
        </w:rPr>
        <w:br w:type="page"/>
      </w:r>
    </w:p>
    <w:p w14:paraId="359E470E" w14:textId="121BC044" w:rsidR="00D5295A" w:rsidRPr="007729D4" w:rsidRDefault="00D5295A" w:rsidP="007729D4">
      <w:pPr>
        <w:pStyle w:val="Heading1"/>
        <w:spacing w:line="360" w:lineRule="auto"/>
        <w:rPr>
          <w:rFonts w:cs="Times New Roman"/>
          <w:szCs w:val="24"/>
        </w:rPr>
      </w:pPr>
      <w:bookmarkStart w:id="1" w:name="_Toc232431986"/>
      <w:bookmarkStart w:id="2" w:name="_Toc232432030"/>
      <w:r w:rsidRPr="007729D4">
        <w:rPr>
          <w:rFonts w:cs="Times New Roman"/>
          <w:szCs w:val="24"/>
        </w:rPr>
        <w:t>1. INTRODUCTION</w:t>
      </w:r>
      <w:bookmarkEnd w:id="1"/>
      <w:bookmarkEnd w:id="2"/>
      <w:r w:rsidRPr="007729D4">
        <w:rPr>
          <w:rFonts w:cs="Times New Roman"/>
          <w:szCs w:val="24"/>
        </w:rPr>
        <w:t xml:space="preserve"> </w:t>
      </w:r>
    </w:p>
    <w:p w14:paraId="0DBF9184" w14:textId="77777777" w:rsidR="005C3C56" w:rsidRPr="007729D4" w:rsidRDefault="005C3C56" w:rsidP="007729D4">
      <w:pPr>
        <w:spacing w:line="360" w:lineRule="auto"/>
        <w:ind w:firstLine="720"/>
        <w:jc w:val="both"/>
        <w:rPr>
          <w:rFonts w:ascii="Times New Roman" w:hAnsi="Times New Roman" w:cs="Times New Roman"/>
        </w:rPr>
      </w:pPr>
      <w:r w:rsidRPr="007729D4">
        <w:rPr>
          <w:rFonts w:ascii="Times New Roman" w:hAnsi="Times New Roman" w:cs="Times New Roman"/>
        </w:rPr>
        <w:t>This report critically reviews Sustainable Development Goal (SDG) 3: Good Health and Wellbeing and SDG 10: Reduced Inequalities in the context of health outcomes in London, UK on Global, National and Local levels. It examines the influence of health systems and policies, including that of the NHS, on health, wellbeing and sustainability. According to the World Health Organization (1948), health is a state of complete physical, mental and social wellbeing; and wellbeing is a dynamic experience affected by social, emotional and economic conditions (Dodge et al., 2012). Sustainable development is about meeting the needs of the present without compromising the ability of future generations to meet their own needs (The Brundtland Report 1987). The report assesses and makes suggestions on policy effectiveness.</w:t>
      </w:r>
    </w:p>
    <w:p w14:paraId="62B885A2" w14:textId="6DDB9028" w:rsidR="00D5295A" w:rsidRPr="007729D4" w:rsidRDefault="00D5295A" w:rsidP="007729D4">
      <w:pPr>
        <w:pStyle w:val="Heading1"/>
        <w:spacing w:line="360" w:lineRule="auto"/>
        <w:rPr>
          <w:rFonts w:cs="Times New Roman"/>
          <w:szCs w:val="24"/>
        </w:rPr>
      </w:pPr>
      <w:bookmarkStart w:id="3" w:name="_Toc232431987"/>
      <w:bookmarkStart w:id="4" w:name="_Toc232432031"/>
      <w:r w:rsidRPr="007729D4">
        <w:rPr>
          <w:rFonts w:cs="Times New Roman"/>
          <w:szCs w:val="24"/>
        </w:rPr>
        <w:t>2. SDG 3 – GOOD HEALTH AND WELLBEING</w:t>
      </w:r>
      <w:bookmarkEnd w:id="3"/>
      <w:bookmarkEnd w:id="4"/>
      <w:r w:rsidRPr="007729D4">
        <w:rPr>
          <w:rFonts w:cs="Times New Roman"/>
          <w:szCs w:val="24"/>
        </w:rPr>
        <w:t xml:space="preserve"> </w:t>
      </w:r>
    </w:p>
    <w:p w14:paraId="5BEB8B64" w14:textId="77777777" w:rsidR="00D5295A" w:rsidRPr="007729D4" w:rsidRDefault="00D5295A" w:rsidP="007729D4">
      <w:pPr>
        <w:pStyle w:val="Heading2"/>
        <w:spacing w:line="360" w:lineRule="auto"/>
        <w:rPr>
          <w:rFonts w:cs="Times New Roman"/>
          <w:szCs w:val="24"/>
        </w:rPr>
      </w:pPr>
      <w:bookmarkStart w:id="5" w:name="_Toc232431988"/>
      <w:bookmarkStart w:id="6" w:name="_Toc232432032"/>
      <w:r w:rsidRPr="007729D4">
        <w:rPr>
          <w:rFonts w:cs="Times New Roman"/>
          <w:szCs w:val="24"/>
        </w:rPr>
        <w:t>2.1 Definition &amp; Global Context (WHO + UN)</w:t>
      </w:r>
      <w:bookmarkEnd w:id="5"/>
      <w:bookmarkEnd w:id="6"/>
    </w:p>
    <w:p w14:paraId="0D186923" w14:textId="4167455A" w:rsidR="005C3C56" w:rsidRPr="007729D4" w:rsidRDefault="005C3C56" w:rsidP="007729D4">
      <w:pPr>
        <w:spacing w:line="360" w:lineRule="auto"/>
        <w:ind w:firstLine="720"/>
        <w:jc w:val="both"/>
        <w:rPr>
          <w:rFonts w:ascii="Times New Roman" w:hAnsi="Times New Roman" w:cs="Times New Roman"/>
        </w:rPr>
      </w:pPr>
      <w:r w:rsidRPr="007729D4">
        <w:rPr>
          <w:rFonts w:ascii="Times New Roman" w:hAnsi="Times New Roman" w:cs="Times New Roman"/>
        </w:rPr>
        <w:t>Good health and wellbeing for all ages (SDG 3) is a United Nations Sustainable Development Goal. According to the definition given by the World Health Organization (1948), health is a state of complete physical, mental and social wellbeing and not merely the absence of disease and illness, which is why it is considered to be a holistic phenomenon. SDG 3 aims at better health for all by advancing the Universal Health Coverage, decreasing communicable and non-communicable diseases, improving maternal and child health and bolstering mental health services</w:t>
      </w:r>
      <w:r w:rsidR="00FE1930" w:rsidRPr="007729D4">
        <w:rPr>
          <w:rFonts w:ascii="Times New Roman" w:hAnsi="Times New Roman" w:cs="Times New Roman"/>
        </w:rPr>
        <w:t xml:space="preserve"> (Takian, Raoofi and Haghighi, 2022).</w:t>
      </w:r>
      <w:r w:rsidRPr="007729D4">
        <w:rPr>
          <w:rFonts w:ascii="Times New Roman" w:hAnsi="Times New Roman" w:cs="Times New Roman"/>
        </w:rPr>
        <w:t xml:space="preserve"> It also tackles diseases like HIV/AIDS, tuberculosis, and malaria, and works to ensure access to health care, medicines and vaccines around the globe (UN, 2015).</w:t>
      </w:r>
    </w:p>
    <w:p w14:paraId="7EBB319A" w14:textId="77777777" w:rsidR="00D5295A" w:rsidRPr="007729D4" w:rsidRDefault="00D5295A" w:rsidP="007729D4">
      <w:pPr>
        <w:pStyle w:val="Heading2"/>
        <w:spacing w:line="360" w:lineRule="auto"/>
        <w:rPr>
          <w:rFonts w:cs="Times New Roman"/>
          <w:szCs w:val="24"/>
        </w:rPr>
      </w:pPr>
      <w:bookmarkStart w:id="7" w:name="_Toc232431989"/>
      <w:bookmarkStart w:id="8" w:name="_Toc232432033"/>
      <w:r w:rsidRPr="007729D4">
        <w:rPr>
          <w:rFonts w:cs="Times New Roman"/>
          <w:szCs w:val="24"/>
        </w:rPr>
        <w:t>2.2 UK National Context (NHS Focus)</w:t>
      </w:r>
      <w:bookmarkEnd w:id="7"/>
      <w:bookmarkEnd w:id="8"/>
    </w:p>
    <w:p w14:paraId="066BD549" w14:textId="530512B6" w:rsidR="005C3C56" w:rsidRPr="007729D4" w:rsidRDefault="005C3C56" w:rsidP="007729D4">
      <w:pPr>
        <w:spacing w:line="360" w:lineRule="auto"/>
        <w:ind w:firstLine="720"/>
        <w:jc w:val="both"/>
        <w:rPr>
          <w:rFonts w:ascii="Times New Roman" w:hAnsi="Times New Roman" w:cs="Times New Roman"/>
        </w:rPr>
      </w:pPr>
      <w:r w:rsidRPr="007729D4">
        <w:rPr>
          <w:rFonts w:ascii="Times New Roman" w:hAnsi="Times New Roman" w:cs="Times New Roman"/>
        </w:rPr>
        <w:t>The National Health Service (NHS) which provides universal healthcare free at the point of use, is the primary provider of SDG 3 in the UK</w:t>
      </w:r>
      <w:r w:rsidR="00FE1930" w:rsidRPr="007729D4">
        <w:rPr>
          <w:rFonts w:ascii="Times New Roman" w:hAnsi="Times New Roman" w:cs="Times New Roman"/>
        </w:rPr>
        <w:t xml:space="preserve"> (Aljuaid </w:t>
      </w:r>
      <w:r w:rsidR="00FE1930" w:rsidRPr="007729D4">
        <w:rPr>
          <w:rFonts w:ascii="Times New Roman" w:hAnsi="Times New Roman" w:cs="Times New Roman"/>
          <w:i/>
          <w:iCs/>
        </w:rPr>
        <w:t>et al.</w:t>
      </w:r>
      <w:r w:rsidR="00FE1930" w:rsidRPr="007729D4">
        <w:rPr>
          <w:rFonts w:ascii="Times New Roman" w:hAnsi="Times New Roman" w:cs="Times New Roman"/>
        </w:rPr>
        <w:t>, 2021).</w:t>
      </w:r>
      <w:r w:rsidRPr="007729D4">
        <w:rPr>
          <w:rFonts w:ascii="Times New Roman" w:hAnsi="Times New Roman" w:cs="Times New Roman"/>
        </w:rPr>
        <w:t xml:space="preserve"> The NHS Long Term Plan has a prevention, digital and chronic disease focus. Programs that promote vaccination, smoking cessation, and obesity reduction, specifically “Better Health,” are among the key initiatives in place to increase the health of the population. </w:t>
      </w:r>
      <w:r w:rsidR="00FE1930" w:rsidRPr="007729D4">
        <w:rPr>
          <w:rFonts w:ascii="Times New Roman" w:hAnsi="Times New Roman" w:cs="Times New Roman"/>
        </w:rPr>
        <w:t>T</w:t>
      </w:r>
      <w:r w:rsidRPr="007729D4">
        <w:rPr>
          <w:rFonts w:ascii="Times New Roman" w:hAnsi="Times New Roman" w:cs="Times New Roman"/>
        </w:rPr>
        <w:t>he UK healthcare system is under pressure, due to an ageing population, increasing chronic diseases and a growing demand for mental health treatment. These pressures, alongside a shortage of staff and limited funding, indicate that whilst the NHS provides universal access, service provision and quality is under increasing pressure.</w:t>
      </w:r>
    </w:p>
    <w:p w14:paraId="2C668434" w14:textId="77777777" w:rsidR="00D5295A" w:rsidRPr="007729D4" w:rsidRDefault="00D5295A" w:rsidP="007729D4">
      <w:pPr>
        <w:pStyle w:val="Heading2"/>
        <w:spacing w:line="360" w:lineRule="auto"/>
        <w:rPr>
          <w:rFonts w:cs="Times New Roman"/>
          <w:szCs w:val="24"/>
        </w:rPr>
      </w:pPr>
      <w:bookmarkStart w:id="9" w:name="_Toc232431990"/>
      <w:bookmarkStart w:id="10" w:name="_Toc232432034"/>
      <w:r w:rsidRPr="007729D4">
        <w:rPr>
          <w:rFonts w:cs="Times New Roman"/>
          <w:szCs w:val="24"/>
        </w:rPr>
        <w:t>2.3 Local Context – London</w:t>
      </w:r>
      <w:bookmarkEnd w:id="9"/>
      <w:bookmarkEnd w:id="10"/>
    </w:p>
    <w:p w14:paraId="18CD48D9" w14:textId="7C408BE3" w:rsidR="005C3C56" w:rsidRPr="007729D4" w:rsidRDefault="005C3C56" w:rsidP="007729D4">
      <w:pPr>
        <w:spacing w:line="360" w:lineRule="auto"/>
        <w:ind w:firstLine="720"/>
        <w:jc w:val="both"/>
        <w:rPr>
          <w:rFonts w:ascii="Times New Roman" w:hAnsi="Times New Roman" w:cs="Times New Roman"/>
        </w:rPr>
      </w:pPr>
      <w:r w:rsidRPr="007729D4">
        <w:rPr>
          <w:rFonts w:ascii="Times New Roman" w:hAnsi="Times New Roman" w:cs="Times New Roman"/>
        </w:rPr>
        <w:t>London is a complex healthcare landscape, impacted by inequality and population diversity at a local level, affecting SDG 3. Although there are good advanced health care facilities, there are disparities between the services available in boroughs. Chronic diseases, obesity and mental health issues are more prevalent in deprived areas than in wealthier areas. There are also longer waiting times for mental health services, resulting in many people receiving delayed care. Socioeconomic inequality and high population density put more pressure on the NHS services, burdening hospitals and primary care</w:t>
      </w:r>
      <w:r w:rsidR="00FE1930" w:rsidRPr="007729D4">
        <w:rPr>
          <w:rFonts w:ascii="Times New Roman" w:hAnsi="Times New Roman" w:cs="Times New Roman"/>
        </w:rPr>
        <w:t xml:space="preserve"> (Vereecke </w:t>
      </w:r>
      <w:r w:rsidR="00FE1930" w:rsidRPr="007729D4">
        <w:rPr>
          <w:rFonts w:ascii="Times New Roman" w:hAnsi="Times New Roman" w:cs="Times New Roman"/>
          <w:i/>
          <w:iCs/>
        </w:rPr>
        <w:t>et al.</w:t>
      </w:r>
      <w:r w:rsidR="00FE1930" w:rsidRPr="007729D4">
        <w:rPr>
          <w:rFonts w:ascii="Times New Roman" w:hAnsi="Times New Roman" w:cs="Times New Roman"/>
        </w:rPr>
        <w:t>, 2025).</w:t>
      </w:r>
      <w:r w:rsidRPr="007729D4">
        <w:rPr>
          <w:rFonts w:ascii="Times New Roman" w:hAnsi="Times New Roman" w:cs="Times New Roman"/>
        </w:rPr>
        <w:t xml:space="preserve"> This is an example of a gap in equality and fairness for health across communities in London.</w:t>
      </w:r>
    </w:p>
    <w:p w14:paraId="4FF52C1E" w14:textId="40FFA0E4" w:rsidR="00D5295A" w:rsidRPr="007729D4" w:rsidRDefault="00D5295A" w:rsidP="007729D4">
      <w:pPr>
        <w:pStyle w:val="Heading2"/>
        <w:spacing w:line="360" w:lineRule="auto"/>
        <w:rPr>
          <w:rFonts w:cs="Times New Roman"/>
          <w:szCs w:val="24"/>
        </w:rPr>
      </w:pPr>
      <w:bookmarkStart w:id="11" w:name="_Toc232431991"/>
      <w:bookmarkStart w:id="12" w:name="_Toc232432035"/>
      <w:r w:rsidRPr="007729D4">
        <w:rPr>
          <w:rFonts w:cs="Times New Roman"/>
          <w:szCs w:val="24"/>
        </w:rPr>
        <w:t>2.4 Theoretical Framework</w:t>
      </w:r>
      <w:bookmarkEnd w:id="11"/>
      <w:bookmarkEnd w:id="12"/>
      <w:r w:rsidRPr="007729D4">
        <w:rPr>
          <w:rFonts w:cs="Times New Roman"/>
          <w:szCs w:val="24"/>
        </w:rPr>
        <w:t xml:space="preserve"> </w:t>
      </w:r>
    </w:p>
    <w:p w14:paraId="40EEEFCB" w14:textId="7B67A3B6" w:rsidR="005C3C56" w:rsidRPr="007729D4" w:rsidRDefault="005C3C56" w:rsidP="007729D4">
      <w:pPr>
        <w:spacing w:line="360" w:lineRule="auto"/>
        <w:ind w:firstLine="720"/>
        <w:jc w:val="both"/>
        <w:rPr>
          <w:rFonts w:ascii="Times New Roman" w:hAnsi="Times New Roman" w:cs="Times New Roman"/>
        </w:rPr>
      </w:pPr>
      <w:r w:rsidRPr="007729D4">
        <w:rPr>
          <w:rFonts w:ascii="Times New Roman" w:hAnsi="Times New Roman" w:cs="Times New Roman"/>
        </w:rPr>
        <w:t>Health theories are used to give a more in-depth understanding of health behaviour and inequalities in SDG 3. Biopsychosocial Model: Health is a combination of biological, psychological, and social factors. This model is especially pertinent in relation to chronic conditions and mental health problems among urbanizations, including London, where stress, environment, and lifestyle play a significant part in wellbeing. The Health Belief Model (HBM) implies that healthy behaviour is more likely to happen if a person has a high susceptibility to the illness and sees the behaviour as beneficial</w:t>
      </w:r>
      <w:r w:rsidR="00FE1930" w:rsidRPr="007729D4">
        <w:rPr>
          <w:rFonts w:ascii="Times New Roman" w:hAnsi="Times New Roman" w:cs="Times New Roman"/>
        </w:rPr>
        <w:t xml:space="preserve"> (Rakhshani </w:t>
      </w:r>
      <w:r w:rsidR="00FE1930" w:rsidRPr="007729D4">
        <w:rPr>
          <w:rFonts w:ascii="Times New Roman" w:hAnsi="Times New Roman" w:cs="Times New Roman"/>
          <w:i/>
          <w:iCs/>
        </w:rPr>
        <w:t>et al.</w:t>
      </w:r>
      <w:r w:rsidR="00FE1930" w:rsidRPr="007729D4">
        <w:rPr>
          <w:rFonts w:ascii="Times New Roman" w:hAnsi="Times New Roman" w:cs="Times New Roman"/>
        </w:rPr>
        <w:t xml:space="preserve">, 2024). </w:t>
      </w:r>
      <w:r w:rsidRPr="007729D4">
        <w:rPr>
          <w:rFonts w:ascii="Times New Roman" w:hAnsi="Times New Roman" w:cs="Times New Roman"/>
        </w:rPr>
        <w:t>This can be seen from the vaccination uptake and smoking cessation programmes. Social Cognitive Theory (SCT) suggests that behavior is acquired through social interactions and environmental influences. This is especially true in relation to lifestyle diseases like obesity, where social environment, peer influence and media exposure are important.</w:t>
      </w:r>
    </w:p>
    <w:p w14:paraId="5014E80F" w14:textId="77777777" w:rsidR="00D5295A" w:rsidRPr="007729D4" w:rsidRDefault="00D5295A" w:rsidP="007729D4">
      <w:pPr>
        <w:pStyle w:val="Heading2"/>
        <w:spacing w:line="360" w:lineRule="auto"/>
        <w:rPr>
          <w:rFonts w:cs="Times New Roman"/>
          <w:szCs w:val="24"/>
        </w:rPr>
      </w:pPr>
      <w:bookmarkStart w:id="13" w:name="_Toc232431992"/>
      <w:bookmarkStart w:id="14" w:name="_Toc232432036"/>
      <w:r w:rsidRPr="007729D4">
        <w:rPr>
          <w:rFonts w:cs="Times New Roman"/>
          <w:szCs w:val="24"/>
        </w:rPr>
        <w:t>2.5 Critical Evaluation of SDG 3 Implementation</w:t>
      </w:r>
      <w:bookmarkEnd w:id="13"/>
      <w:bookmarkEnd w:id="14"/>
    </w:p>
    <w:p w14:paraId="3A68E2F9" w14:textId="294C7A95" w:rsidR="005C3C56" w:rsidRPr="007729D4" w:rsidRDefault="005C3C56" w:rsidP="007729D4">
      <w:pPr>
        <w:spacing w:line="360" w:lineRule="auto"/>
        <w:ind w:firstLine="720"/>
        <w:jc w:val="both"/>
        <w:rPr>
          <w:rFonts w:ascii="Times New Roman" w:hAnsi="Times New Roman" w:cs="Times New Roman"/>
        </w:rPr>
      </w:pPr>
      <w:r w:rsidRPr="007729D4">
        <w:rPr>
          <w:rFonts w:ascii="Times New Roman" w:hAnsi="Times New Roman" w:cs="Times New Roman"/>
        </w:rPr>
        <w:t>There are still a number of constraints in achieving SDG 3. The NHS offers free access to health care, but a shortage of health care professionals, increasing demand, and financial pressures limit the efficiency of the health care services. Pressure on the system is being shown by long waiting times for specialist and diagnostic care. Mental health services also have grown, but there is still a disconnect between policy and practice, as demand still outstrips supply, especially in London</w:t>
      </w:r>
      <w:r w:rsidR="00D022D6" w:rsidRPr="007729D4">
        <w:rPr>
          <w:rFonts w:ascii="Times New Roman" w:hAnsi="Times New Roman" w:cs="Times New Roman"/>
        </w:rPr>
        <w:t xml:space="preserve"> (Solar and Smith, 2020).</w:t>
      </w:r>
      <w:r w:rsidRPr="007729D4">
        <w:rPr>
          <w:rFonts w:ascii="Times New Roman" w:hAnsi="Times New Roman" w:cs="Times New Roman"/>
        </w:rPr>
        <w:t xml:space="preserve"> Preventive health programmes (obesity and smoking reduction programmes) demonstrate positive results; however, there are disparities in health across different socioeconomic groups. One of the drawbacks is that resources are not evenly distributed, and so poorer results are seen in deprived areas even with the universal access to healthcare.</w:t>
      </w:r>
    </w:p>
    <w:p w14:paraId="7A6A4E01" w14:textId="6D651AE3" w:rsidR="00D5295A" w:rsidRPr="007729D4" w:rsidRDefault="00D5295A" w:rsidP="007729D4">
      <w:pPr>
        <w:pStyle w:val="Heading2"/>
        <w:spacing w:line="360" w:lineRule="auto"/>
        <w:rPr>
          <w:rFonts w:cs="Times New Roman"/>
          <w:szCs w:val="24"/>
        </w:rPr>
      </w:pPr>
      <w:bookmarkStart w:id="15" w:name="_Toc232431993"/>
      <w:bookmarkStart w:id="16" w:name="_Toc232432037"/>
      <w:r w:rsidRPr="007729D4">
        <w:rPr>
          <w:rFonts w:cs="Times New Roman"/>
          <w:szCs w:val="24"/>
        </w:rPr>
        <w:t>2.6 Link to SDG 10 (Reduced Inequalities)</w:t>
      </w:r>
      <w:bookmarkEnd w:id="15"/>
      <w:bookmarkEnd w:id="16"/>
    </w:p>
    <w:p w14:paraId="60F1C2F5" w14:textId="705D4B4A" w:rsidR="005C3C56" w:rsidRPr="007729D4" w:rsidRDefault="005C3C56" w:rsidP="007729D4">
      <w:pPr>
        <w:spacing w:line="360" w:lineRule="auto"/>
        <w:ind w:firstLine="720"/>
        <w:jc w:val="both"/>
        <w:rPr>
          <w:rFonts w:ascii="Times New Roman" w:hAnsi="Times New Roman" w:cs="Times New Roman"/>
        </w:rPr>
      </w:pPr>
      <w:r w:rsidRPr="007729D4">
        <w:rPr>
          <w:rFonts w:ascii="Times New Roman" w:hAnsi="Times New Roman" w:cs="Times New Roman"/>
        </w:rPr>
        <w:t>SDG 3 has strong linkages with SDG 10, as health consequences are heavily dependent on social and economic inequalities</w:t>
      </w:r>
      <w:r w:rsidR="00D022D6" w:rsidRPr="007729D4">
        <w:rPr>
          <w:rFonts w:ascii="Times New Roman" w:hAnsi="Times New Roman" w:cs="Times New Roman"/>
        </w:rPr>
        <w:t xml:space="preserve"> (Dvulit </w:t>
      </w:r>
      <w:r w:rsidR="00D022D6" w:rsidRPr="007729D4">
        <w:rPr>
          <w:rFonts w:ascii="Times New Roman" w:hAnsi="Times New Roman" w:cs="Times New Roman"/>
          <w:i/>
          <w:iCs/>
        </w:rPr>
        <w:t>et al.</w:t>
      </w:r>
      <w:r w:rsidR="00D022D6" w:rsidRPr="007729D4">
        <w:rPr>
          <w:rFonts w:ascii="Times New Roman" w:hAnsi="Times New Roman" w:cs="Times New Roman"/>
        </w:rPr>
        <w:t xml:space="preserve">, 2025). </w:t>
      </w:r>
      <w:r w:rsidRPr="007729D4">
        <w:rPr>
          <w:rFonts w:ascii="Times New Roman" w:hAnsi="Times New Roman" w:cs="Times New Roman"/>
        </w:rPr>
        <w:t>Health disparities among populations are related to poverty, housing, education, and employment. People in deprived boroughs in London are more likely to suffer from chronic health conditions, have mental health problems and die earlier than people in London's less deprived boroughs. This shows that SDG 3 cannot be realised in its entirety if inequalities as the target of SDG 10 are not tackled. Access to health services, along with social determinants of health, is unequal and directly affects the impact of health policies, underscoring the need to take holistic approaches to achieving population health.</w:t>
      </w:r>
    </w:p>
    <w:p w14:paraId="3EBA4D33" w14:textId="0C26DD9F" w:rsidR="00D5295A" w:rsidRPr="007729D4" w:rsidRDefault="00D5295A" w:rsidP="007729D4">
      <w:pPr>
        <w:pStyle w:val="Heading1"/>
        <w:spacing w:line="360" w:lineRule="auto"/>
        <w:rPr>
          <w:rFonts w:cs="Times New Roman"/>
          <w:szCs w:val="24"/>
        </w:rPr>
      </w:pPr>
      <w:bookmarkStart w:id="17" w:name="_Toc232431994"/>
      <w:bookmarkStart w:id="18" w:name="_Toc232432038"/>
      <w:r w:rsidRPr="007729D4">
        <w:rPr>
          <w:rFonts w:cs="Times New Roman"/>
          <w:szCs w:val="24"/>
        </w:rPr>
        <w:t>3. SDG 10 – REDUCED INEQUALITIES</w:t>
      </w:r>
      <w:bookmarkEnd w:id="17"/>
      <w:bookmarkEnd w:id="18"/>
      <w:r w:rsidRPr="007729D4">
        <w:rPr>
          <w:rFonts w:cs="Times New Roman"/>
          <w:szCs w:val="24"/>
        </w:rPr>
        <w:t xml:space="preserve"> </w:t>
      </w:r>
    </w:p>
    <w:p w14:paraId="0C307353" w14:textId="77777777" w:rsidR="00D5295A" w:rsidRPr="007729D4" w:rsidRDefault="00D5295A" w:rsidP="007729D4">
      <w:pPr>
        <w:pStyle w:val="Heading2"/>
        <w:spacing w:line="360" w:lineRule="auto"/>
        <w:rPr>
          <w:rFonts w:cs="Times New Roman"/>
          <w:szCs w:val="24"/>
        </w:rPr>
      </w:pPr>
      <w:bookmarkStart w:id="19" w:name="_Toc232431995"/>
      <w:bookmarkStart w:id="20" w:name="_Toc232432039"/>
      <w:r w:rsidRPr="007729D4">
        <w:rPr>
          <w:rFonts w:cs="Times New Roman"/>
          <w:szCs w:val="24"/>
        </w:rPr>
        <w:t>3.1 Definition (UN + SDG Framework)</w:t>
      </w:r>
      <w:bookmarkEnd w:id="19"/>
      <w:bookmarkEnd w:id="20"/>
    </w:p>
    <w:p w14:paraId="5BCA5B65" w14:textId="0E244A2C" w:rsidR="005C3C56" w:rsidRPr="007729D4" w:rsidRDefault="005C3C56" w:rsidP="007729D4">
      <w:pPr>
        <w:spacing w:line="360" w:lineRule="auto"/>
        <w:ind w:firstLine="720"/>
        <w:jc w:val="both"/>
        <w:rPr>
          <w:rFonts w:ascii="Times New Roman" w:hAnsi="Times New Roman" w:cs="Times New Roman"/>
        </w:rPr>
      </w:pPr>
      <w:r w:rsidRPr="007729D4">
        <w:rPr>
          <w:rFonts w:ascii="Times New Roman" w:hAnsi="Times New Roman" w:cs="Times New Roman"/>
        </w:rPr>
        <w:t>Sustainable Development Goal 10 (Reduced Inequalities) is about reducing inequality within and between countries, reducing inequalities of income and opportunity and in access to basic services, in particular health care</w:t>
      </w:r>
      <w:r w:rsidR="00D022D6" w:rsidRPr="007729D4">
        <w:rPr>
          <w:rFonts w:ascii="Times New Roman" w:hAnsi="Times New Roman" w:cs="Times New Roman"/>
        </w:rPr>
        <w:t xml:space="preserve"> (Fitawek and Hendriks, 2024). </w:t>
      </w:r>
      <w:r w:rsidRPr="007729D4">
        <w:rPr>
          <w:rFonts w:ascii="Times New Roman" w:hAnsi="Times New Roman" w:cs="Times New Roman"/>
        </w:rPr>
        <w:t>Inequality is not just about economic inequality, but also social and structural inequality, that is, about individuals' access to education, employment, housing and health care (United Nations</w:t>
      </w:r>
      <w:r w:rsidR="00D022D6" w:rsidRPr="007729D4">
        <w:rPr>
          <w:rFonts w:ascii="Times New Roman" w:hAnsi="Times New Roman" w:cs="Times New Roman"/>
        </w:rPr>
        <w:t xml:space="preserve">, </w:t>
      </w:r>
      <w:r w:rsidRPr="007729D4">
        <w:rPr>
          <w:rFonts w:ascii="Times New Roman" w:hAnsi="Times New Roman" w:cs="Times New Roman"/>
        </w:rPr>
        <w:t>2015). SDG 10 is strongly related to the social determinants of health, which are the conditions of life, birth, growth, working, and aging. These factors can have an important impact on health outcomes and are key factors in health inequalities between population groups. Thus, inequality reduction is a critical enabler to equitable health outcomes, as well as to SDG 3 goals.</w:t>
      </w:r>
    </w:p>
    <w:p w14:paraId="08C2157E" w14:textId="77777777" w:rsidR="00D5295A" w:rsidRPr="007729D4" w:rsidRDefault="00D5295A" w:rsidP="007729D4">
      <w:pPr>
        <w:pStyle w:val="Heading2"/>
        <w:spacing w:line="360" w:lineRule="auto"/>
        <w:rPr>
          <w:rFonts w:cs="Times New Roman"/>
          <w:szCs w:val="24"/>
        </w:rPr>
      </w:pPr>
      <w:bookmarkStart w:id="21" w:name="_Toc232431996"/>
      <w:bookmarkStart w:id="22" w:name="_Toc232432040"/>
      <w:r w:rsidRPr="007729D4">
        <w:rPr>
          <w:rFonts w:cs="Times New Roman"/>
          <w:szCs w:val="24"/>
        </w:rPr>
        <w:t>3.2 UK Context (Marmot Review)</w:t>
      </w:r>
      <w:bookmarkEnd w:id="21"/>
      <w:bookmarkEnd w:id="22"/>
    </w:p>
    <w:p w14:paraId="6EFD9820" w14:textId="58B8B371" w:rsidR="003E1E1C" w:rsidRPr="007729D4" w:rsidRDefault="003E1E1C" w:rsidP="007729D4">
      <w:pPr>
        <w:spacing w:line="360" w:lineRule="auto"/>
        <w:ind w:firstLine="720"/>
        <w:jc w:val="both"/>
        <w:rPr>
          <w:rFonts w:ascii="Times New Roman" w:hAnsi="Times New Roman" w:cs="Times New Roman"/>
        </w:rPr>
      </w:pPr>
      <w:r w:rsidRPr="007729D4">
        <w:rPr>
          <w:rFonts w:ascii="Times New Roman" w:hAnsi="Times New Roman" w:cs="Times New Roman"/>
        </w:rPr>
        <w:t>Health inequality is a public health problem in the UK, as outlined in the Marmot Review (2010) which identifies social and economic factors as factors affecting health. Income inequality impacts access to health, nutrition, housing and wellbeing; lower income groups have lower health outcomes and shorter life expectancy. Education is also very important as there is an inverse correlation between level of education and health literacy and employment opportunities. Job insecurity, stress and restricted service access are the ways in which employment status impacts health</w:t>
      </w:r>
      <w:r w:rsidR="00D76DBC" w:rsidRPr="007729D4">
        <w:rPr>
          <w:rFonts w:ascii="Times New Roman" w:hAnsi="Times New Roman" w:cs="Times New Roman"/>
        </w:rPr>
        <w:t xml:space="preserve"> (Russo and Terraneo, 2020).</w:t>
      </w:r>
      <w:r w:rsidRPr="007729D4">
        <w:rPr>
          <w:rFonts w:ascii="Times New Roman" w:hAnsi="Times New Roman" w:cs="Times New Roman"/>
        </w:rPr>
        <w:t xml:space="preserve"> </w:t>
      </w:r>
      <w:r w:rsidR="00D022D6" w:rsidRPr="007729D4">
        <w:rPr>
          <w:rFonts w:ascii="Times New Roman" w:hAnsi="Times New Roman" w:cs="Times New Roman"/>
        </w:rPr>
        <w:t>T</w:t>
      </w:r>
      <w:r w:rsidRPr="007729D4">
        <w:rPr>
          <w:rFonts w:ascii="Times New Roman" w:hAnsi="Times New Roman" w:cs="Times New Roman"/>
        </w:rPr>
        <w:t>here are wider social factors that fuel inequality such as the poor quality of housing, overcrowding and a greater risk of physical and mental health issues.</w:t>
      </w:r>
    </w:p>
    <w:p w14:paraId="36718058" w14:textId="77777777" w:rsidR="00D5295A" w:rsidRPr="007729D4" w:rsidRDefault="00D5295A" w:rsidP="007729D4">
      <w:pPr>
        <w:pStyle w:val="Heading2"/>
        <w:spacing w:line="360" w:lineRule="auto"/>
        <w:rPr>
          <w:rFonts w:cs="Times New Roman"/>
          <w:szCs w:val="24"/>
        </w:rPr>
      </w:pPr>
      <w:bookmarkStart w:id="23" w:name="_Toc232431997"/>
      <w:bookmarkStart w:id="24" w:name="_Toc232432041"/>
      <w:r w:rsidRPr="007729D4">
        <w:rPr>
          <w:rFonts w:cs="Times New Roman"/>
          <w:szCs w:val="24"/>
        </w:rPr>
        <w:t>3.3 London Case Study (Local Analysis)</w:t>
      </w:r>
      <w:bookmarkEnd w:id="23"/>
      <w:bookmarkEnd w:id="24"/>
    </w:p>
    <w:p w14:paraId="2F41E577" w14:textId="3BDE94CC" w:rsidR="003E1E1C" w:rsidRPr="007729D4" w:rsidRDefault="003E1E1C" w:rsidP="007729D4">
      <w:pPr>
        <w:spacing w:line="360" w:lineRule="auto"/>
        <w:ind w:firstLine="720"/>
        <w:jc w:val="both"/>
        <w:rPr>
          <w:rFonts w:ascii="Times New Roman" w:hAnsi="Times New Roman" w:cs="Times New Roman"/>
        </w:rPr>
      </w:pPr>
      <w:r w:rsidRPr="007729D4">
        <w:rPr>
          <w:rFonts w:ascii="Times New Roman" w:hAnsi="Times New Roman" w:cs="Times New Roman"/>
        </w:rPr>
        <w:t>London is a very developed city and still displays high levels of inequalities in health. There are definite differences between affluent West London and deprived areas of East and North London, with life expectancy depending on postcode and socioeconomic status</w:t>
      </w:r>
      <w:r w:rsidR="00D76DBC" w:rsidRPr="007729D4">
        <w:rPr>
          <w:rFonts w:ascii="Times New Roman" w:hAnsi="Times New Roman" w:cs="Times New Roman"/>
        </w:rPr>
        <w:t xml:space="preserve"> (Shrestha </w:t>
      </w:r>
      <w:r w:rsidR="00D76DBC" w:rsidRPr="007729D4">
        <w:rPr>
          <w:rFonts w:ascii="Times New Roman" w:hAnsi="Times New Roman" w:cs="Times New Roman"/>
          <w:i/>
          <w:iCs/>
        </w:rPr>
        <w:t>et al.</w:t>
      </w:r>
      <w:r w:rsidR="00D76DBC" w:rsidRPr="007729D4">
        <w:rPr>
          <w:rFonts w:ascii="Times New Roman" w:hAnsi="Times New Roman" w:cs="Times New Roman"/>
        </w:rPr>
        <w:t>, 2025).</w:t>
      </w:r>
      <w:r w:rsidRPr="007729D4">
        <w:rPr>
          <w:rFonts w:ascii="Times New Roman" w:hAnsi="Times New Roman" w:cs="Times New Roman"/>
        </w:rPr>
        <w:t xml:space="preserve"> Those living in deprived boroughs are more likely to suffer from obesity, diabetes, cardiovascular disease and mental illness, often as a result of diet, unemployment and environmental issues. There are also ethnic health disparities with black and minority ethnic women being at greater risk for certain health problems, such as maternal mortality, than white women. The patterns of chronic ill health are higher in disadvantaged groups, revealing the social roots of health inequalities in London.</w:t>
      </w:r>
    </w:p>
    <w:p w14:paraId="37225E2D" w14:textId="77777777" w:rsidR="00D5295A" w:rsidRPr="007729D4" w:rsidRDefault="00D5295A" w:rsidP="007729D4">
      <w:pPr>
        <w:pStyle w:val="Heading2"/>
        <w:spacing w:line="360" w:lineRule="auto"/>
        <w:rPr>
          <w:rFonts w:cs="Times New Roman"/>
          <w:szCs w:val="24"/>
        </w:rPr>
      </w:pPr>
      <w:bookmarkStart w:id="25" w:name="_Toc232431998"/>
      <w:bookmarkStart w:id="26" w:name="_Toc232432042"/>
      <w:r w:rsidRPr="007729D4">
        <w:rPr>
          <w:rFonts w:cs="Times New Roman"/>
          <w:szCs w:val="24"/>
        </w:rPr>
        <w:t>3.4 Policies and Initiatives Addressing Inequality</w:t>
      </w:r>
      <w:bookmarkEnd w:id="25"/>
      <w:bookmarkEnd w:id="26"/>
    </w:p>
    <w:p w14:paraId="0138EF93" w14:textId="1DC80B84" w:rsidR="003E1E1C" w:rsidRPr="007729D4" w:rsidRDefault="003E1E1C" w:rsidP="007729D4">
      <w:pPr>
        <w:spacing w:line="360" w:lineRule="auto"/>
        <w:ind w:firstLine="720"/>
        <w:jc w:val="both"/>
        <w:rPr>
          <w:rFonts w:ascii="Times New Roman" w:hAnsi="Times New Roman" w:cs="Times New Roman"/>
        </w:rPr>
      </w:pPr>
      <w:r w:rsidRPr="007729D4">
        <w:rPr>
          <w:rFonts w:ascii="Times New Roman" w:hAnsi="Times New Roman" w:cs="Times New Roman"/>
        </w:rPr>
        <w:t>There are a number of UK initiatives that are focused on reducing health inequalities. The NHS Core20PLUS5 approach aims to deliver better outcomes for the 20% most deprived in society as well as other vulnerable groups, through key areas including maternity care, respiratory disease and hypertension. Public Health England programmes mitigate inequalities by preventing them and promoting health. Social prescribing links people to community-based services such as housing and financial help that tackle broader social determinants of health. Making Every Contact Count (MECC) encourages health care professionals to advocate for healthier behaviors, as they interact with others regularly</w:t>
      </w:r>
      <w:r w:rsidR="00D76DBC" w:rsidRPr="007729D4">
        <w:rPr>
          <w:rFonts w:ascii="Times New Roman" w:hAnsi="Times New Roman" w:cs="Times New Roman"/>
        </w:rPr>
        <w:t xml:space="preserve"> (Nichol </w:t>
      </w:r>
      <w:r w:rsidR="00D76DBC" w:rsidRPr="007729D4">
        <w:rPr>
          <w:rFonts w:ascii="Times New Roman" w:hAnsi="Times New Roman" w:cs="Times New Roman"/>
          <w:i/>
          <w:iCs/>
        </w:rPr>
        <w:t>et al.</w:t>
      </w:r>
      <w:r w:rsidR="00D76DBC" w:rsidRPr="007729D4">
        <w:rPr>
          <w:rFonts w:ascii="Times New Roman" w:hAnsi="Times New Roman" w:cs="Times New Roman"/>
        </w:rPr>
        <w:t>, 2024).</w:t>
      </w:r>
      <w:r w:rsidRPr="007729D4">
        <w:rPr>
          <w:rFonts w:ascii="Times New Roman" w:hAnsi="Times New Roman" w:cs="Times New Roman"/>
        </w:rPr>
        <w:t xml:space="preserve"> Implementation, sufficient funding and equity in participation, however, are important factors in determining the effectiveness of these initiatives.</w:t>
      </w:r>
    </w:p>
    <w:p w14:paraId="5E22481B" w14:textId="77777777" w:rsidR="00D5295A" w:rsidRPr="007729D4" w:rsidRDefault="00D5295A" w:rsidP="007729D4">
      <w:pPr>
        <w:pStyle w:val="Heading2"/>
        <w:spacing w:line="360" w:lineRule="auto"/>
        <w:rPr>
          <w:rFonts w:cs="Times New Roman"/>
          <w:szCs w:val="24"/>
        </w:rPr>
      </w:pPr>
      <w:bookmarkStart w:id="27" w:name="_Toc232431999"/>
      <w:bookmarkStart w:id="28" w:name="_Toc232432043"/>
      <w:r w:rsidRPr="007729D4">
        <w:rPr>
          <w:rFonts w:cs="Times New Roman"/>
          <w:szCs w:val="24"/>
        </w:rPr>
        <w:t>3.5 Critical Evaluation of Inequality Policies</w:t>
      </w:r>
      <w:bookmarkEnd w:id="27"/>
      <w:bookmarkEnd w:id="28"/>
    </w:p>
    <w:p w14:paraId="7406A85A" w14:textId="257599EB" w:rsidR="003E1E1C" w:rsidRPr="007729D4" w:rsidRDefault="003E1E1C" w:rsidP="007729D4">
      <w:pPr>
        <w:spacing w:line="360" w:lineRule="auto"/>
        <w:ind w:firstLine="720"/>
        <w:jc w:val="both"/>
        <w:rPr>
          <w:rFonts w:ascii="Times New Roman" w:hAnsi="Times New Roman" w:cs="Times New Roman"/>
        </w:rPr>
      </w:pPr>
      <w:r w:rsidRPr="007729D4">
        <w:rPr>
          <w:rFonts w:ascii="Times New Roman" w:hAnsi="Times New Roman" w:cs="Times New Roman"/>
        </w:rPr>
        <w:t xml:space="preserve">Although there are a number of policies to improve health inequalities, many problems remain. Inequalities persist around the UK suggesting that current interventions are not achieving the full impact that is needed. One of the most important drawbacks is the disparity in funding between the regions and the quality of services and access. But low-income and older adults are also digitally excluded, meaning they have less access to online health care services and information. </w:t>
      </w:r>
      <w:r w:rsidR="00D76DBC" w:rsidRPr="007729D4">
        <w:rPr>
          <w:rFonts w:ascii="Times New Roman" w:hAnsi="Times New Roman" w:cs="Times New Roman"/>
        </w:rPr>
        <w:t>H</w:t>
      </w:r>
      <w:r w:rsidRPr="007729D4">
        <w:rPr>
          <w:rFonts w:ascii="Times New Roman" w:hAnsi="Times New Roman" w:cs="Times New Roman"/>
        </w:rPr>
        <w:t>ealthcare policies cannot address structural problems like poverty, discrimination, and inadequate housing. This indicates that, although social prescribing and Core20PLUS5 are good, they are not enough and need to be more integrated cross-sector.</w:t>
      </w:r>
    </w:p>
    <w:p w14:paraId="1E0A9EEF" w14:textId="77777777" w:rsidR="00D5295A" w:rsidRPr="007729D4" w:rsidRDefault="00D5295A" w:rsidP="007729D4">
      <w:pPr>
        <w:pStyle w:val="Heading2"/>
        <w:spacing w:line="360" w:lineRule="auto"/>
        <w:rPr>
          <w:rFonts w:cs="Times New Roman"/>
          <w:szCs w:val="24"/>
        </w:rPr>
      </w:pPr>
      <w:bookmarkStart w:id="29" w:name="_Toc232432000"/>
      <w:bookmarkStart w:id="30" w:name="_Toc232432044"/>
      <w:r w:rsidRPr="007729D4">
        <w:rPr>
          <w:rFonts w:cs="Times New Roman"/>
          <w:szCs w:val="24"/>
        </w:rPr>
        <w:t>3.6 Theoretical Link to Inequality</w:t>
      </w:r>
      <w:bookmarkEnd w:id="29"/>
      <w:bookmarkEnd w:id="30"/>
    </w:p>
    <w:p w14:paraId="59F14296" w14:textId="23D572A9" w:rsidR="003E1E1C" w:rsidRPr="007729D4" w:rsidRDefault="003E1E1C" w:rsidP="007729D4">
      <w:pPr>
        <w:spacing w:line="360" w:lineRule="auto"/>
        <w:ind w:firstLine="720"/>
        <w:jc w:val="both"/>
        <w:rPr>
          <w:rFonts w:ascii="Times New Roman" w:hAnsi="Times New Roman" w:cs="Times New Roman"/>
        </w:rPr>
      </w:pPr>
      <w:r w:rsidRPr="007729D4">
        <w:rPr>
          <w:rFonts w:ascii="Times New Roman" w:hAnsi="Times New Roman" w:cs="Times New Roman"/>
        </w:rPr>
        <w:t>A major reason that these social determinants have an impact on health outcomes is explained by the Marmot Social determinants of health</w:t>
      </w:r>
      <w:r w:rsidR="007729D4" w:rsidRPr="007729D4">
        <w:rPr>
          <w:rFonts w:ascii="Times New Roman" w:hAnsi="Times New Roman" w:cs="Times New Roman"/>
        </w:rPr>
        <w:t xml:space="preserve"> (Bhat </w:t>
      </w:r>
      <w:r w:rsidR="007729D4" w:rsidRPr="007729D4">
        <w:rPr>
          <w:rFonts w:ascii="Times New Roman" w:hAnsi="Times New Roman" w:cs="Times New Roman"/>
          <w:i/>
          <w:iCs/>
        </w:rPr>
        <w:t>et al.</w:t>
      </w:r>
      <w:r w:rsidR="007729D4" w:rsidRPr="007729D4">
        <w:rPr>
          <w:rFonts w:ascii="Times New Roman" w:hAnsi="Times New Roman" w:cs="Times New Roman"/>
        </w:rPr>
        <w:t>, 2023). It</w:t>
      </w:r>
      <w:r w:rsidRPr="007729D4">
        <w:rPr>
          <w:rFonts w:ascii="Times New Roman" w:hAnsi="Times New Roman" w:cs="Times New Roman"/>
        </w:rPr>
        <w:t xml:space="preserve"> emphasises the need to focus on broader social and economic circumstances to reduce health inequalities and not only on health care services. The Ecological Model further reinforces the idea that individual health is affected by a number of levels of action from individual behaviour to community environment and national policy. </w:t>
      </w:r>
      <w:r w:rsidR="007729D4" w:rsidRPr="007729D4">
        <w:rPr>
          <w:rFonts w:ascii="Times New Roman" w:hAnsi="Times New Roman" w:cs="Times New Roman"/>
        </w:rPr>
        <w:t>S</w:t>
      </w:r>
      <w:r w:rsidRPr="007729D4">
        <w:rPr>
          <w:rFonts w:ascii="Times New Roman" w:hAnsi="Times New Roman" w:cs="Times New Roman"/>
        </w:rPr>
        <w:t>tructural inequality theory accounts for the differential access to resources such as health care that is built into the longstanding social systems and institutional practices. Collectively these theories emphasize the systemic nature of health inequality, which needs multi-level interventions and not only interventions in healthcare.</w:t>
      </w:r>
    </w:p>
    <w:p w14:paraId="1DF8FC8E" w14:textId="77777777" w:rsidR="00D5295A" w:rsidRPr="007729D4" w:rsidRDefault="00D5295A" w:rsidP="007729D4">
      <w:pPr>
        <w:pStyle w:val="Heading2"/>
        <w:spacing w:line="360" w:lineRule="auto"/>
        <w:rPr>
          <w:rFonts w:cs="Times New Roman"/>
          <w:szCs w:val="24"/>
        </w:rPr>
      </w:pPr>
      <w:bookmarkStart w:id="31" w:name="_Toc232432001"/>
      <w:bookmarkStart w:id="32" w:name="_Toc232432045"/>
      <w:r w:rsidRPr="007729D4">
        <w:rPr>
          <w:rFonts w:cs="Times New Roman"/>
          <w:szCs w:val="24"/>
        </w:rPr>
        <w:t>3.7 Link to SDG 3 (Critical Integration)</w:t>
      </w:r>
      <w:bookmarkEnd w:id="31"/>
      <w:bookmarkEnd w:id="32"/>
    </w:p>
    <w:p w14:paraId="1FDC35A2" w14:textId="79E74F5A" w:rsidR="003E1E1C" w:rsidRPr="007729D4" w:rsidRDefault="003E1E1C" w:rsidP="007729D4">
      <w:pPr>
        <w:spacing w:line="360" w:lineRule="auto"/>
        <w:ind w:firstLine="720"/>
        <w:jc w:val="both"/>
        <w:rPr>
          <w:rFonts w:ascii="Times New Roman" w:hAnsi="Times New Roman" w:cs="Times New Roman"/>
        </w:rPr>
      </w:pPr>
      <w:r w:rsidRPr="007729D4">
        <w:rPr>
          <w:rFonts w:ascii="Times New Roman" w:hAnsi="Times New Roman" w:cs="Times New Roman"/>
        </w:rPr>
        <w:t xml:space="preserve">SDG 10 is directly connected to SDG </w:t>
      </w:r>
      <w:r w:rsidR="007729D4" w:rsidRPr="007729D4">
        <w:rPr>
          <w:rFonts w:ascii="Times New Roman" w:hAnsi="Times New Roman" w:cs="Times New Roman"/>
        </w:rPr>
        <w:t>3 good</w:t>
      </w:r>
      <w:r w:rsidRPr="007729D4">
        <w:rPr>
          <w:rFonts w:ascii="Times New Roman" w:hAnsi="Times New Roman" w:cs="Times New Roman"/>
        </w:rPr>
        <w:t xml:space="preserve"> health and wellbeing, since a prerequisite for it is to reduce inequalities. Health outcomes can't be improved without taking into account social and economic conditions. Inequality is one of the most important challenges to overcome to meet SDG 3 targets, and is particularly evident in urban settings like London</w:t>
      </w:r>
      <w:r w:rsidR="007729D4" w:rsidRPr="007729D4">
        <w:rPr>
          <w:rFonts w:ascii="Times New Roman" w:hAnsi="Times New Roman" w:cs="Times New Roman"/>
        </w:rPr>
        <w:t xml:space="preserve"> (Jeevanasai </w:t>
      </w:r>
      <w:r w:rsidR="007729D4" w:rsidRPr="007729D4">
        <w:rPr>
          <w:rFonts w:ascii="Times New Roman" w:hAnsi="Times New Roman" w:cs="Times New Roman"/>
          <w:i/>
          <w:iCs/>
        </w:rPr>
        <w:t>et al.</w:t>
      </w:r>
      <w:r w:rsidR="007729D4" w:rsidRPr="007729D4">
        <w:rPr>
          <w:rFonts w:ascii="Times New Roman" w:hAnsi="Times New Roman" w:cs="Times New Roman"/>
        </w:rPr>
        <w:t>, 2023).</w:t>
      </w:r>
      <w:r w:rsidRPr="007729D4">
        <w:rPr>
          <w:rFonts w:ascii="Times New Roman" w:hAnsi="Times New Roman" w:cs="Times New Roman"/>
        </w:rPr>
        <w:t xml:space="preserve"> If inequality in income, education, housing and access to services is not tackled, the impact of health policies under SDG3 will be constrained. This shows how SDG 3 and SDG 10 are interdependent and should be addressed together to ensure sustainable improvements in population health.</w:t>
      </w:r>
    </w:p>
    <w:p w14:paraId="0E0D078B" w14:textId="22C8C117" w:rsidR="00D5295A" w:rsidRPr="007729D4" w:rsidRDefault="00D5295A" w:rsidP="007729D4">
      <w:pPr>
        <w:pStyle w:val="Heading1"/>
        <w:spacing w:line="360" w:lineRule="auto"/>
        <w:rPr>
          <w:rFonts w:cs="Times New Roman"/>
          <w:szCs w:val="24"/>
        </w:rPr>
      </w:pPr>
      <w:bookmarkStart w:id="33" w:name="_Toc232432002"/>
      <w:bookmarkStart w:id="34" w:name="_Toc232432046"/>
      <w:r w:rsidRPr="007729D4">
        <w:rPr>
          <w:rFonts w:cs="Times New Roman"/>
          <w:szCs w:val="24"/>
        </w:rPr>
        <w:t>4. EVALUATION OF NATIONAL &amp; LOCAL INITIATIVES</w:t>
      </w:r>
      <w:bookmarkEnd w:id="33"/>
      <w:bookmarkEnd w:id="34"/>
      <w:r w:rsidRPr="007729D4">
        <w:rPr>
          <w:rFonts w:cs="Times New Roman"/>
          <w:szCs w:val="24"/>
        </w:rPr>
        <w:t xml:space="preserve"> </w:t>
      </w:r>
    </w:p>
    <w:p w14:paraId="53DE00FF" w14:textId="4ED1D256" w:rsidR="003E1E1C" w:rsidRPr="007729D4" w:rsidRDefault="003E1E1C" w:rsidP="007729D4">
      <w:pPr>
        <w:spacing w:line="360" w:lineRule="auto"/>
        <w:ind w:firstLine="720"/>
        <w:jc w:val="both"/>
        <w:rPr>
          <w:rFonts w:ascii="Times New Roman" w:hAnsi="Times New Roman" w:cs="Times New Roman"/>
        </w:rPr>
      </w:pPr>
      <w:r w:rsidRPr="007729D4">
        <w:rPr>
          <w:rFonts w:ascii="Times New Roman" w:hAnsi="Times New Roman" w:cs="Times New Roman"/>
        </w:rPr>
        <w:t>National policy focuses on prevention, early intervention and service development to enhance population health, such as the NHS Long Term Plan, Mental Health Strategy and Obesity Strategy</w:t>
      </w:r>
      <w:r w:rsidR="007729D4" w:rsidRPr="007729D4">
        <w:rPr>
          <w:rFonts w:ascii="Times New Roman" w:hAnsi="Times New Roman" w:cs="Times New Roman"/>
        </w:rPr>
        <w:t xml:space="preserve"> (Croker </w:t>
      </w:r>
      <w:r w:rsidR="007729D4" w:rsidRPr="007729D4">
        <w:rPr>
          <w:rFonts w:ascii="Times New Roman" w:hAnsi="Times New Roman" w:cs="Times New Roman"/>
          <w:i/>
          <w:iCs/>
        </w:rPr>
        <w:t>et al.</w:t>
      </w:r>
      <w:r w:rsidR="007729D4" w:rsidRPr="007729D4">
        <w:rPr>
          <w:rFonts w:ascii="Times New Roman" w:hAnsi="Times New Roman" w:cs="Times New Roman"/>
        </w:rPr>
        <w:t>, 2020).</w:t>
      </w:r>
      <w:r w:rsidRPr="007729D4">
        <w:rPr>
          <w:rFonts w:ascii="Times New Roman" w:hAnsi="Times New Roman" w:cs="Times New Roman"/>
        </w:rPr>
        <w:t xml:space="preserve"> This has led to better access to health services and tackled some major public health concerns such as immunisations, mental health and lifestyle changes. But they're hampered by staffing issues, funding constraints and growing demand, all of which have an impact on service efficiency. Locally, in London, GP access schemes, community health programmes and smoking cessation services increase access, however there are inequalities as a result of digital exclusion, lack of awareness and socio-economic inequalities. Sustainability and equity challenges are overall constraints to effectiveness.</w:t>
      </w:r>
    </w:p>
    <w:p w14:paraId="048EEAD5" w14:textId="19FE497B" w:rsidR="00D5295A" w:rsidRPr="007729D4" w:rsidRDefault="00D5295A" w:rsidP="007729D4">
      <w:pPr>
        <w:pStyle w:val="Heading1"/>
        <w:spacing w:line="360" w:lineRule="auto"/>
        <w:rPr>
          <w:rFonts w:cs="Times New Roman"/>
          <w:szCs w:val="24"/>
        </w:rPr>
      </w:pPr>
      <w:bookmarkStart w:id="35" w:name="_Toc232432003"/>
      <w:bookmarkStart w:id="36" w:name="_Toc232432047"/>
      <w:r w:rsidRPr="007729D4">
        <w:rPr>
          <w:rFonts w:cs="Times New Roman"/>
          <w:szCs w:val="24"/>
        </w:rPr>
        <w:t>5. RECOMMENDATIONS</w:t>
      </w:r>
      <w:bookmarkEnd w:id="35"/>
      <w:bookmarkEnd w:id="36"/>
      <w:r w:rsidRPr="007729D4">
        <w:rPr>
          <w:rFonts w:cs="Times New Roman"/>
          <w:szCs w:val="24"/>
        </w:rPr>
        <w:t xml:space="preserve"> </w:t>
      </w:r>
    </w:p>
    <w:p w14:paraId="6CB0FF3B" w14:textId="77777777" w:rsidR="003E1E1C" w:rsidRPr="007729D4" w:rsidRDefault="00D5295A" w:rsidP="007729D4">
      <w:pPr>
        <w:spacing w:line="360" w:lineRule="auto"/>
        <w:jc w:val="both"/>
        <w:rPr>
          <w:rFonts w:ascii="Times New Roman" w:hAnsi="Times New Roman" w:cs="Times New Roman"/>
        </w:rPr>
      </w:pPr>
      <w:r w:rsidRPr="00D5295A">
        <w:rPr>
          <w:rFonts w:ascii="Segoe UI Symbol" w:hAnsi="Segoe UI Symbol" w:cs="Segoe UI Symbol"/>
        </w:rPr>
        <w:t>✔</w:t>
      </w:r>
      <w:r w:rsidRPr="00D5295A">
        <w:rPr>
          <w:rFonts w:ascii="Times New Roman" w:hAnsi="Times New Roman" w:cs="Times New Roman"/>
        </w:rPr>
        <w:t xml:space="preserve"> </w:t>
      </w:r>
      <w:r w:rsidRPr="00D5295A">
        <w:rPr>
          <w:rFonts w:ascii="Times New Roman" w:hAnsi="Times New Roman" w:cs="Times New Roman"/>
          <w:b/>
          <w:bCs/>
        </w:rPr>
        <w:t>Improve funding distribution</w:t>
      </w:r>
    </w:p>
    <w:p w14:paraId="76C1AFEA" w14:textId="1904EAD0" w:rsidR="003E1E1C" w:rsidRPr="007729D4" w:rsidRDefault="003E1E1C" w:rsidP="007729D4">
      <w:pPr>
        <w:spacing w:line="360" w:lineRule="auto"/>
        <w:jc w:val="both"/>
        <w:rPr>
          <w:rFonts w:ascii="Times New Roman" w:hAnsi="Times New Roman" w:cs="Times New Roman"/>
        </w:rPr>
      </w:pPr>
      <w:r w:rsidRPr="007729D4">
        <w:rPr>
          <w:rFonts w:ascii="Times New Roman" w:hAnsi="Times New Roman" w:cs="Times New Roman"/>
        </w:rPr>
        <w:t>Greater regional equity of funding should be given to healthcare, to cut across the stubborn health gaps between wealthier and poorer parts of the UK. Access to quality care and essential services will be equal for all populations as a result of fair distribution of resources, especially in underserved communities.</w:t>
      </w:r>
    </w:p>
    <w:p w14:paraId="7632A7D1" w14:textId="77777777" w:rsidR="003E1E1C" w:rsidRPr="007729D4" w:rsidRDefault="00D5295A" w:rsidP="007729D4">
      <w:pPr>
        <w:spacing w:line="360" w:lineRule="auto"/>
        <w:jc w:val="both"/>
        <w:rPr>
          <w:rFonts w:ascii="Times New Roman" w:hAnsi="Times New Roman" w:cs="Times New Roman"/>
        </w:rPr>
      </w:pPr>
      <w:r w:rsidRPr="00D5295A">
        <w:rPr>
          <w:rFonts w:ascii="Segoe UI Symbol" w:hAnsi="Segoe UI Symbol" w:cs="Segoe UI Symbol"/>
        </w:rPr>
        <w:t>✔</w:t>
      </w:r>
      <w:r w:rsidRPr="00D5295A">
        <w:rPr>
          <w:rFonts w:ascii="Times New Roman" w:hAnsi="Times New Roman" w:cs="Times New Roman"/>
        </w:rPr>
        <w:t xml:space="preserve"> </w:t>
      </w:r>
      <w:r w:rsidRPr="00D5295A">
        <w:rPr>
          <w:rFonts w:ascii="Times New Roman" w:hAnsi="Times New Roman" w:cs="Times New Roman"/>
          <w:b/>
          <w:bCs/>
        </w:rPr>
        <w:t>Strengthen mental health services</w:t>
      </w:r>
    </w:p>
    <w:p w14:paraId="7B008174" w14:textId="37B3578E" w:rsidR="003E1E1C" w:rsidRPr="007729D4" w:rsidRDefault="003E1E1C" w:rsidP="007729D4">
      <w:pPr>
        <w:spacing w:line="360" w:lineRule="auto"/>
        <w:jc w:val="both"/>
        <w:rPr>
          <w:rFonts w:ascii="Times New Roman" w:hAnsi="Times New Roman" w:cs="Times New Roman"/>
        </w:rPr>
      </w:pPr>
      <w:r w:rsidRPr="007729D4">
        <w:rPr>
          <w:rFonts w:ascii="Times New Roman" w:hAnsi="Times New Roman" w:cs="Times New Roman"/>
        </w:rPr>
        <w:t>Mental health provision needs to be built up with more staff members recruited and more funding to alleviate the long waiting time. Timely and early intervention and support are crucial to enhance patient outcomes and alleviate strain on the emergency services.</w:t>
      </w:r>
    </w:p>
    <w:p w14:paraId="24C72770" w14:textId="77777777" w:rsidR="003E1E1C" w:rsidRPr="007729D4" w:rsidRDefault="00D5295A" w:rsidP="007729D4">
      <w:pPr>
        <w:spacing w:line="360" w:lineRule="auto"/>
        <w:jc w:val="both"/>
        <w:rPr>
          <w:rFonts w:ascii="Times New Roman" w:hAnsi="Times New Roman" w:cs="Times New Roman"/>
        </w:rPr>
      </w:pPr>
      <w:r w:rsidRPr="00D5295A">
        <w:rPr>
          <w:rFonts w:ascii="Segoe UI Symbol" w:hAnsi="Segoe UI Symbol" w:cs="Segoe UI Symbol"/>
        </w:rPr>
        <w:t>✔</w:t>
      </w:r>
      <w:r w:rsidRPr="00D5295A">
        <w:rPr>
          <w:rFonts w:ascii="Times New Roman" w:hAnsi="Times New Roman" w:cs="Times New Roman"/>
        </w:rPr>
        <w:t xml:space="preserve"> </w:t>
      </w:r>
      <w:r w:rsidRPr="00D5295A">
        <w:rPr>
          <w:rFonts w:ascii="Times New Roman" w:hAnsi="Times New Roman" w:cs="Times New Roman"/>
          <w:b/>
          <w:bCs/>
        </w:rPr>
        <w:t>Expand prevention strategies (MECC implementation)</w:t>
      </w:r>
    </w:p>
    <w:p w14:paraId="552F0E1A" w14:textId="7A2CD3D2" w:rsidR="003E1E1C" w:rsidRPr="007729D4" w:rsidRDefault="003E1E1C" w:rsidP="007729D4">
      <w:pPr>
        <w:spacing w:line="360" w:lineRule="auto"/>
        <w:jc w:val="both"/>
        <w:rPr>
          <w:rFonts w:ascii="Times New Roman" w:hAnsi="Times New Roman" w:cs="Times New Roman"/>
        </w:rPr>
      </w:pPr>
      <w:r w:rsidRPr="007729D4">
        <w:rPr>
          <w:rFonts w:ascii="Times New Roman" w:hAnsi="Times New Roman" w:cs="Times New Roman"/>
        </w:rPr>
        <w:t>MECC should be embraced by all health and social care professionals and be used in all settings to have conversations with people to promote early help and intervention to help people make healthier lifestyle choices to reduce long term disease burden.</w:t>
      </w:r>
    </w:p>
    <w:p w14:paraId="192276A5" w14:textId="77777777" w:rsidR="003E1E1C" w:rsidRPr="007729D4" w:rsidRDefault="00D5295A" w:rsidP="007729D4">
      <w:pPr>
        <w:spacing w:line="360" w:lineRule="auto"/>
        <w:jc w:val="both"/>
        <w:rPr>
          <w:rFonts w:ascii="Times New Roman" w:hAnsi="Times New Roman" w:cs="Times New Roman"/>
        </w:rPr>
      </w:pPr>
      <w:r w:rsidRPr="00D5295A">
        <w:rPr>
          <w:rFonts w:ascii="Segoe UI Symbol" w:hAnsi="Segoe UI Symbol" w:cs="Segoe UI Symbol"/>
        </w:rPr>
        <w:t>✔</w:t>
      </w:r>
      <w:r w:rsidRPr="00D5295A">
        <w:rPr>
          <w:rFonts w:ascii="Times New Roman" w:hAnsi="Times New Roman" w:cs="Times New Roman"/>
        </w:rPr>
        <w:t xml:space="preserve"> </w:t>
      </w:r>
      <w:r w:rsidRPr="00D5295A">
        <w:rPr>
          <w:rFonts w:ascii="Times New Roman" w:hAnsi="Times New Roman" w:cs="Times New Roman"/>
          <w:b/>
          <w:bCs/>
        </w:rPr>
        <w:t>Improve digital inclusion</w:t>
      </w:r>
    </w:p>
    <w:p w14:paraId="053633E3" w14:textId="56551564" w:rsidR="003E1E1C" w:rsidRPr="007729D4" w:rsidRDefault="003E1E1C" w:rsidP="007729D4">
      <w:pPr>
        <w:spacing w:line="360" w:lineRule="auto"/>
        <w:jc w:val="both"/>
        <w:rPr>
          <w:rFonts w:ascii="Times New Roman" w:hAnsi="Times New Roman" w:cs="Times New Roman"/>
        </w:rPr>
      </w:pPr>
      <w:r w:rsidRPr="007729D4">
        <w:rPr>
          <w:rFonts w:ascii="Times New Roman" w:hAnsi="Times New Roman" w:cs="Times New Roman"/>
        </w:rPr>
        <w:t>Digital health services should be made more accessible for elderly and low-income groups, to promote equitable usage of online GP appointments and health services.</w:t>
      </w:r>
    </w:p>
    <w:p w14:paraId="3D4DD731" w14:textId="77777777" w:rsidR="003E1E1C" w:rsidRPr="007729D4" w:rsidRDefault="00D5295A" w:rsidP="007729D4">
      <w:pPr>
        <w:spacing w:line="360" w:lineRule="auto"/>
        <w:jc w:val="both"/>
        <w:rPr>
          <w:rFonts w:ascii="Times New Roman" w:hAnsi="Times New Roman" w:cs="Times New Roman"/>
        </w:rPr>
      </w:pPr>
      <w:r w:rsidRPr="00D5295A">
        <w:rPr>
          <w:rFonts w:ascii="Segoe UI Symbol" w:hAnsi="Segoe UI Symbol" w:cs="Segoe UI Symbol"/>
        </w:rPr>
        <w:t>✔</w:t>
      </w:r>
      <w:r w:rsidRPr="00D5295A">
        <w:rPr>
          <w:rFonts w:ascii="Times New Roman" w:hAnsi="Times New Roman" w:cs="Times New Roman"/>
        </w:rPr>
        <w:t xml:space="preserve"> </w:t>
      </w:r>
      <w:r w:rsidRPr="00D5295A">
        <w:rPr>
          <w:rFonts w:ascii="Times New Roman" w:hAnsi="Times New Roman" w:cs="Times New Roman"/>
          <w:b/>
          <w:bCs/>
        </w:rPr>
        <w:t>Community-based healthcare</w:t>
      </w:r>
    </w:p>
    <w:p w14:paraId="57E40238" w14:textId="01CD554B" w:rsidR="003E1E1C" w:rsidRPr="007729D4" w:rsidRDefault="003E1E1C" w:rsidP="007729D4">
      <w:pPr>
        <w:spacing w:line="360" w:lineRule="auto"/>
        <w:jc w:val="both"/>
        <w:rPr>
          <w:rFonts w:ascii="Times New Roman" w:hAnsi="Times New Roman" w:cs="Times New Roman"/>
        </w:rPr>
      </w:pPr>
      <w:r w:rsidRPr="007729D4">
        <w:rPr>
          <w:rFonts w:ascii="Times New Roman" w:hAnsi="Times New Roman" w:cs="Times New Roman"/>
        </w:rPr>
        <w:t>Local outreach services and social prescribing should be expanded to ensure better reach to deprived populations and reduce the health inequalities.</w:t>
      </w:r>
    </w:p>
    <w:p w14:paraId="169AA106" w14:textId="73DF1525" w:rsidR="00D5295A" w:rsidRPr="007729D4" w:rsidRDefault="00D5295A" w:rsidP="007729D4">
      <w:pPr>
        <w:pStyle w:val="Heading1"/>
        <w:spacing w:line="360" w:lineRule="auto"/>
        <w:rPr>
          <w:rFonts w:cs="Times New Roman"/>
          <w:szCs w:val="24"/>
        </w:rPr>
      </w:pPr>
      <w:bookmarkStart w:id="37" w:name="_Toc232432004"/>
      <w:bookmarkStart w:id="38" w:name="_Toc232432048"/>
      <w:r w:rsidRPr="007729D4">
        <w:rPr>
          <w:rFonts w:cs="Times New Roman"/>
          <w:szCs w:val="24"/>
        </w:rPr>
        <w:t>CONCLUSION</w:t>
      </w:r>
      <w:bookmarkEnd w:id="37"/>
      <w:bookmarkEnd w:id="38"/>
      <w:r w:rsidRPr="007729D4">
        <w:rPr>
          <w:rFonts w:cs="Times New Roman"/>
          <w:szCs w:val="24"/>
        </w:rPr>
        <w:t xml:space="preserve"> </w:t>
      </w:r>
    </w:p>
    <w:p w14:paraId="50A7D2B5" w14:textId="77777777" w:rsidR="003E1E1C" w:rsidRPr="007729D4" w:rsidRDefault="003E1E1C" w:rsidP="007729D4">
      <w:pPr>
        <w:spacing w:line="360" w:lineRule="auto"/>
        <w:ind w:firstLine="720"/>
        <w:jc w:val="both"/>
        <w:rPr>
          <w:rFonts w:ascii="Times New Roman" w:hAnsi="Times New Roman" w:cs="Times New Roman"/>
        </w:rPr>
      </w:pPr>
      <w:r w:rsidRPr="007729D4">
        <w:rPr>
          <w:rFonts w:ascii="Times New Roman" w:hAnsi="Times New Roman" w:cs="Times New Roman"/>
        </w:rPr>
        <w:t>This report has critically explored SDG 3 (Good Health and Wellbeing) and SDG 10 (Reduced Inequalities) relating to healthcare in London. It shows that social and economic inequalities have a strong impact on health, and that those in deprived social and economic circumstances have worse health and access to health services. The UK healthcare system, especially the NHS, has come a long way in relation to making healthcare universal and more preventative, however, there are still issues with financing, skilled workforce and inequalities. Progress has been made overall, but significant gaps remain to achieve both SDGs. For future improvement, there is a need for a more equitable and sustainable healthcare system.</w:t>
      </w:r>
    </w:p>
    <w:p w14:paraId="48718BC9" w14:textId="164C9715" w:rsidR="003E1E1C" w:rsidRPr="007729D4" w:rsidRDefault="003E1E1C" w:rsidP="007729D4">
      <w:pPr>
        <w:spacing w:line="360" w:lineRule="auto"/>
        <w:rPr>
          <w:rFonts w:ascii="Times New Roman" w:hAnsi="Times New Roman" w:cs="Times New Roman"/>
        </w:rPr>
      </w:pPr>
      <w:r w:rsidRPr="007729D4">
        <w:rPr>
          <w:rFonts w:ascii="Times New Roman" w:hAnsi="Times New Roman" w:cs="Times New Roman"/>
        </w:rPr>
        <w:br w:type="page"/>
      </w:r>
    </w:p>
    <w:p w14:paraId="134CADD1" w14:textId="69B8F292" w:rsidR="00D5295A" w:rsidRPr="007729D4" w:rsidRDefault="003E1E1C" w:rsidP="007729D4">
      <w:pPr>
        <w:pStyle w:val="Heading1"/>
        <w:spacing w:line="360" w:lineRule="auto"/>
        <w:rPr>
          <w:rFonts w:cs="Times New Roman"/>
          <w:szCs w:val="24"/>
        </w:rPr>
      </w:pPr>
      <w:bookmarkStart w:id="39" w:name="_Toc232432005"/>
      <w:bookmarkStart w:id="40" w:name="_Toc232432049"/>
      <w:r w:rsidRPr="007729D4">
        <w:rPr>
          <w:rFonts w:cs="Times New Roman"/>
          <w:szCs w:val="24"/>
        </w:rPr>
        <w:t>References</w:t>
      </w:r>
      <w:bookmarkEnd w:id="39"/>
      <w:bookmarkEnd w:id="40"/>
    </w:p>
    <w:p w14:paraId="02EB2DF4" w14:textId="77777777" w:rsidR="007729D4" w:rsidRPr="007729D4" w:rsidRDefault="007729D4" w:rsidP="007729D4">
      <w:pPr>
        <w:spacing w:after="0" w:line="360" w:lineRule="auto"/>
        <w:ind w:left="720" w:hanging="720"/>
        <w:jc w:val="both"/>
        <w:rPr>
          <w:rFonts w:ascii="Times New Roman" w:hAnsi="Times New Roman" w:cs="Times New Roman"/>
        </w:rPr>
      </w:pPr>
      <w:r w:rsidRPr="00AB4DD2">
        <w:rPr>
          <w:rFonts w:ascii="Times New Roman" w:hAnsi="Times New Roman" w:cs="Times New Roman"/>
        </w:rPr>
        <w:t xml:space="preserve">Aljuaid, T.H. </w:t>
      </w:r>
      <w:r w:rsidRPr="00AB4DD2">
        <w:rPr>
          <w:rFonts w:ascii="Times New Roman" w:hAnsi="Times New Roman" w:cs="Times New Roman"/>
          <w:i/>
          <w:iCs/>
        </w:rPr>
        <w:t>et al.</w:t>
      </w:r>
      <w:r w:rsidRPr="00AB4DD2">
        <w:rPr>
          <w:rFonts w:ascii="Times New Roman" w:hAnsi="Times New Roman" w:cs="Times New Roman"/>
        </w:rPr>
        <w:t xml:space="preserve"> (2021) 'The role of public hospitals in providing free healthcare services: Enhancing accessibility and promoting positive health outcomes for communities,' </w:t>
      </w:r>
      <w:r w:rsidRPr="00AB4DD2">
        <w:rPr>
          <w:rFonts w:ascii="Times New Roman" w:hAnsi="Times New Roman" w:cs="Times New Roman"/>
          <w:i/>
          <w:iCs/>
        </w:rPr>
        <w:t>International Journal of Health Sciences</w:t>
      </w:r>
      <w:r w:rsidRPr="00AB4DD2">
        <w:rPr>
          <w:rFonts w:ascii="Times New Roman" w:hAnsi="Times New Roman" w:cs="Times New Roman"/>
        </w:rPr>
        <w:t xml:space="preserve">, 5(S1), pp. 1545–1565. </w:t>
      </w:r>
      <w:hyperlink r:id="rId7" w:history="1">
        <w:r w:rsidRPr="00AB4DD2">
          <w:rPr>
            <w:rStyle w:val="Hyperlink"/>
            <w:rFonts w:ascii="Times New Roman" w:hAnsi="Times New Roman" w:cs="Times New Roman"/>
          </w:rPr>
          <w:t>https://doi.org/10.53730/ijhs.v5ns1.15433</w:t>
        </w:r>
      </w:hyperlink>
      <w:r w:rsidRPr="00AB4DD2">
        <w:rPr>
          <w:rFonts w:ascii="Times New Roman" w:hAnsi="Times New Roman" w:cs="Times New Roman"/>
        </w:rPr>
        <w:t>.</w:t>
      </w:r>
    </w:p>
    <w:p w14:paraId="134E8A9D" w14:textId="77777777" w:rsidR="007729D4" w:rsidRPr="007729D4" w:rsidRDefault="007729D4" w:rsidP="007729D4">
      <w:pPr>
        <w:spacing w:after="0" w:line="360" w:lineRule="auto"/>
        <w:ind w:left="720" w:hanging="720"/>
        <w:jc w:val="both"/>
        <w:rPr>
          <w:rFonts w:ascii="Times New Roman" w:hAnsi="Times New Roman" w:cs="Times New Roman"/>
        </w:rPr>
      </w:pPr>
      <w:r w:rsidRPr="003125BF">
        <w:rPr>
          <w:rFonts w:ascii="Times New Roman" w:hAnsi="Times New Roman" w:cs="Times New Roman"/>
        </w:rPr>
        <w:t xml:space="preserve">Bhat, A.A. </w:t>
      </w:r>
      <w:r w:rsidRPr="003125BF">
        <w:rPr>
          <w:rFonts w:ascii="Times New Roman" w:hAnsi="Times New Roman" w:cs="Times New Roman"/>
          <w:i/>
          <w:iCs/>
        </w:rPr>
        <w:t>et al.</w:t>
      </w:r>
      <w:r w:rsidRPr="003125BF">
        <w:rPr>
          <w:rFonts w:ascii="Times New Roman" w:hAnsi="Times New Roman" w:cs="Times New Roman"/>
        </w:rPr>
        <w:t xml:space="preserve"> (2023) 'Social determinants of health and health outcomes: a bibliographic review of the scientific literature from 2000 to 2021,' </w:t>
      </w:r>
      <w:r w:rsidRPr="003125BF">
        <w:rPr>
          <w:rFonts w:ascii="Times New Roman" w:hAnsi="Times New Roman" w:cs="Times New Roman"/>
          <w:i/>
          <w:iCs/>
        </w:rPr>
        <w:t>Global Knowledge Memory and Communication</w:t>
      </w:r>
      <w:r w:rsidRPr="003125BF">
        <w:rPr>
          <w:rFonts w:ascii="Times New Roman" w:hAnsi="Times New Roman" w:cs="Times New Roman"/>
        </w:rPr>
        <w:t xml:space="preserve">, 74(3–4), pp. 824–844. </w:t>
      </w:r>
      <w:hyperlink r:id="rId8" w:history="1">
        <w:r w:rsidRPr="003125BF">
          <w:rPr>
            <w:rStyle w:val="Hyperlink"/>
            <w:rFonts w:ascii="Times New Roman" w:hAnsi="Times New Roman" w:cs="Times New Roman"/>
          </w:rPr>
          <w:t>https://doi.org/10.1108/gkmc-09-2022-0214</w:t>
        </w:r>
      </w:hyperlink>
      <w:r w:rsidRPr="003125BF">
        <w:rPr>
          <w:rFonts w:ascii="Times New Roman" w:hAnsi="Times New Roman" w:cs="Times New Roman"/>
        </w:rPr>
        <w:t>.</w:t>
      </w:r>
    </w:p>
    <w:p w14:paraId="47285984" w14:textId="77777777" w:rsidR="007729D4" w:rsidRPr="007729D4" w:rsidRDefault="007729D4" w:rsidP="007729D4">
      <w:pPr>
        <w:spacing w:after="0" w:line="360" w:lineRule="auto"/>
        <w:ind w:left="720" w:hanging="720"/>
        <w:jc w:val="both"/>
        <w:rPr>
          <w:rFonts w:ascii="Times New Roman" w:hAnsi="Times New Roman" w:cs="Times New Roman"/>
        </w:rPr>
      </w:pPr>
      <w:r w:rsidRPr="001C6156">
        <w:rPr>
          <w:rFonts w:ascii="Times New Roman" w:hAnsi="Times New Roman" w:cs="Times New Roman"/>
        </w:rPr>
        <w:t xml:space="preserve">Croker, H. </w:t>
      </w:r>
      <w:r w:rsidRPr="001C6156">
        <w:rPr>
          <w:rFonts w:ascii="Times New Roman" w:hAnsi="Times New Roman" w:cs="Times New Roman"/>
          <w:i/>
          <w:iCs/>
        </w:rPr>
        <w:t>et al.</w:t>
      </w:r>
      <w:r w:rsidRPr="001C6156">
        <w:rPr>
          <w:rFonts w:ascii="Times New Roman" w:hAnsi="Times New Roman" w:cs="Times New Roman"/>
        </w:rPr>
        <w:t xml:space="preserve"> (2020) 'Obesity prevention in the early years: A mapping study of national policies in England from a behavioural science perspective,' </w:t>
      </w:r>
      <w:r w:rsidRPr="001C6156">
        <w:rPr>
          <w:rFonts w:ascii="Times New Roman" w:hAnsi="Times New Roman" w:cs="Times New Roman"/>
          <w:i/>
          <w:iCs/>
        </w:rPr>
        <w:t>PLoS ONE</w:t>
      </w:r>
      <w:r w:rsidRPr="001C6156">
        <w:rPr>
          <w:rFonts w:ascii="Times New Roman" w:hAnsi="Times New Roman" w:cs="Times New Roman"/>
        </w:rPr>
        <w:t xml:space="preserve">, 15(9), p. e0239402. </w:t>
      </w:r>
      <w:hyperlink r:id="rId9" w:history="1">
        <w:r w:rsidRPr="001C6156">
          <w:rPr>
            <w:rStyle w:val="Hyperlink"/>
            <w:rFonts w:ascii="Times New Roman" w:hAnsi="Times New Roman" w:cs="Times New Roman"/>
          </w:rPr>
          <w:t>https://doi.org/10.1371/journal.pone.0239402</w:t>
        </w:r>
      </w:hyperlink>
      <w:r w:rsidRPr="001C6156">
        <w:rPr>
          <w:rFonts w:ascii="Times New Roman" w:hAnsi="Times New Roman" w:cs="Times New Roman"/>
        </w:rPr>
        <w:t>.</w:t>
      </w:r>
    </w:p>
    <w:p w14:paraId="71FEFB6F" w14:textId="77777777" w:rsidR="007729D4" w:rsidRPr="007729D4" w:rsidRDefault="007729D4" w:rsidP="007729D4">
      <w:pPr>
        <w:spacing w:after="0" w:line="360" w:lineRule="auto"/>
        <w:ind w:left="720" w:hanging="720"/>
        <w:jc w:val="both"/>
        <w:rPr>
          <w:rFonts w:ascii="Times New Roman" w:hAnsi="Times New Roman" w:cs="Times New Roman"/>
        </w:rPr>
      </w:pPr>
      <w:r w:rsidRPr="007729D4">
        <w:rPr>
          <w:rFonts w:ascii="Times New Roman" w:hAnsi="Times New Roman" w:cs="Times New Roman"/>
        </w:rPr>
        <w:t xml:space="preserve">Dodge, R., Daly, A.P., Huyton, J. and Sanders, L.D. (2012) ‘The challenge of defining wellbeing’, </w:t>
      </w:r>
      <w:r w:rsidRPr="007729D4">
        <w:rPr>
          <w:rFonts w:ascii="Times New Roman" w:hAnsi="Times New Roman" w:cs="Times New Roman"/>
          <w:i/>
          <w:iCs/>
        </w:rPr>
        <w:t>International Journal of Wellbeing</w:t>
      </w:r>
      <w:r w:rsidRPr="007729D4">
        <w:rPr>
          <w:rFonts w:ascii="Times New Roman" w:hAnsi="Times New Roman" w:cs="Times New Roman"/>
        </w:rPr>
        <w:t>, 2(3), pp. 222–235.</w:t>
      </w:r>
      <w:r w:rsidRPr="007729D4">
        <w:rPr>
          <w:rFonts w:ascii="Times New Roman" w:hAnsi="Times New Roman" w:cs="Times New Roman"/>
        </w:rPr>
        <w:br/>
        <w:t xml:space="preserve">Available at: </w:t>
      </w:r>
      <w:hyperlink r:id="rId10" w:tgtFrame="_new" w:history="1">
        <w:r w:rsidRPr="007729D4">
          <w:rPr>
            <w:rStyle w:val="Hyperlink"/>
            <w:rFonts w:ascii="Times New Roman" w:hAnsi="Times New Roman" w:cs="Times New Roman"/>
          </w:rPr>
          <w:t>https://doi.org/10.5502/ijw.v2i3.4</w:t>
        </w:r>
      </w:hyperlink>
    </w:p>
    <w:p w14:paraId="5E00D366" w14:textId="77777777" w:rsidR="007729D4" w:rsidRPr="007729D4" w:rsidRDefault="007729D4" w:rsidP="007729D4">
      <w:pPr>
        <w:spacing w:after="0" w:line="360" w:lineRule="auto"/>
        <w:ind w:left="720" w:hanging="720"/>
        <w:jc w:val="both"/>
        <w:rPr>
          <w:rFonts w:ascii="Times New Roman" w:hAnsi="Times New Roman" w:cs="Times New Roman"/>
        </w:rPr>
      </w:pPr>
      <w:r w:rsidRPr="00BF496F">
        <w:rPr>
          <w:rFonts w:ascii="Times New Roman" w:hAnsi="Times New Roman" w:cs="Times New Roman"/>
        </w:rPr>
        <w:t xml:space="preserve">Dvulit, Z. </w:t>
      </w:r>
      <w:r w:rsidRPr="00BF496F">
        <w:rPr>
          <w:rFonts w:ascii="Times New Roman" w:hAnsi="Times New Roman" w:cs="Times New Roman"/>
          <w:i/>
          <w:iCs/>
        </w:rPr>
        <w:t>et al.</w:t>
      </w:r>
      <w:r w:rsidRPr="00BF496F">
        <w:rPr>
          <w:rFonts w:ascii="Times New Roman" w:hAnsi="Times New Roman" w:cs="Times New Roman"/>
        </w:rPr>
        <w:t xml:space="preserve"> (2025) 'Harmonizing the Interplay Between SDG 3 and SDG 10 in the Context of Income Inequality: Evidence from the EU and Ukraine,' </w:t>
      </w:r>
      <w:r w:rsidRPr="00BF496F">
        <w:rPr>
          <w:rFonts w:ascii="Times New Roman" w:hAnsi="Times New Roman" w:cs="Times New Roman"/>
          <w:i/>
          <w:iCs/>
        </w:rPr>
        <w:t>Sustainability</w:t>
      </w:r>
      <w:r w:rsidRPr="00BF496F">
        <w:rPr>
          <w:rFonts w:ascii="Times New Roman" w:hAnsi="Times New Roman" w:cs="Times New Roman"/>
        </w:rPr>
        <w:t xml:space="preserve">, 17(16), p. 7442. </w:t>
      </w:r>
      <w:hyperlink r:id="rId11" w:history="1">
        <w:r w:rsidRPr="00BF496F">
          <w:rPr>
            <w:rStyle w:val="Hyperlink"/>
            <w:rFonts w:ascii="Times New Roman" w:hAnsi="Times New Roman" w:cs="Times New Roman"/>
          </w:rPr>
          <w:t>https://doi.org/10.3390/su17167442</w:t>
        </w:r>
      </w:hyperlink>
      <w:r w:rsidRPr="00BF496F">
        <w:rPr>
          <w:rFonts w:ascii="Times New Roman" w:hAnsi="Times New Roman" w:cs="Times New Roman"/>
        </w:rPr>
        <w:t>.</w:t>
      </w:r>
    </w:p>
    <w:p w14:paraId="60BAD67B" w14:textId="77777777" w:rsidR="007729D4" w:rsidRPr="007729D4" w:rsidRDefault="007729D4" w:rsidP="007729D4">
      <w:pPr>
        <w:spacing w:after="0" w:line="360" w:lineRule="auto"/>
        <w:ind w:left="720" w:hanging="720"/>
        <w:jc w:val="both"/>
        <w:rPr>
          <w:rFonts w:ascii="Times New Roman" w:hAnsi="Times New Roman" w:cs="Times New Roman"/>
        </w:rPr>
      </w:pPr>
      <w:r w:rsidRPr="00BF496F">
        <w:rPr>
          <w:rFonts w:ascii="Times New Roman" w:hAnsi="Times New Roman" w:cs="Times New Roman"/>
        </w:rPr>
        <w:t xml:space="preserve">Fitawek, W. and Hendriks, S.L. (2024) 'Sustainable Development Goal 10: Reduce inequality within and among countries,' in </w:t>
      </w:r>
      <w:r w:rsidRPr="00BF496F">
        <w:rPr>
          <w:rFonts w:ascii="Times New Roman" w:hAnsi="Times New Roman" w:cs="Times New Roman"/>
          <w:i/>
          <w:iCs/>
        </w:rPr>
        <w:t>Edward Elgar Publishing eBooks</w:t>
      </w:r>
      <w:r w:rsidRPr="00BF496F">
        <w:rPr>
          <w:rFonts w:ascii="Times New Roman" w:hAnsi="Times New Roman" w:cs="Times New Roman"/>
        </w:rPr>
        <w:t xml:space="preserve">, pp. 247–259. </w:t>
      </w:r>
      <w:hyperlink r:id="rId12" w:history="1">
        <w:r w:rsidRPr="00BF496F">
          <w:rPr>
            <w:rStyle w:val="Hyperlink"/>
            <w:rFonts w:ascii="Times New Roman" w:hAnsi="Times New Roman" w:cs="Times New Roman"/>
          </w:rPr>
          <w:t>https://doi.org/10.4337/9781839105449.00029</w:t>
        </w:r>
      </w:hyperlink>
      <w:r w:rsidRPr="00BF496F">
        <w:rPr>
          <w:rFonts w:ascii="Times New Roman" w:hAnsi="Times New Roman" w:cs="Times New Roman"/>
        </w:rPr>
        <w:t>.</w:t>
      </w:r>
    </w:p>
    <w:p w14:paraId="7AC31222" w14:textId="77777777" w:rsidR="007729D4" w:rsidRPr="007729D4" w:rsidRDefault="007729D4" w:rsidP="007729D4">
      <w:pPr>
        <w:spacing w:after="0" w:line="360" w:lineRule="auto"/>
        <w:ind w:left="720" w:hanging="720"/>
        <w:jc w:val="both"/>
        <w:rPr>
          <w:rFonts w:ascii="Times New Roman" w:hAnsi="Times New Roman" w:cs="Times New Roman"/>
        </w:rPr>
      </w:pPr>
      <w:r w:rsidRPr="003125BF">
        <w:rPr>
          <w:rFonts w:ascii="Times New Roman" w:hAnsi="Times New Roman" w:cs="Times New Roman"/>
        </w:rPr>
        <w:t xml:space="preserve">Jeevanasai, S.A. </w:t>
      </w:r>
      <w:r w:rsidRPr="003125BF">
        <w:rPr>
          <w:rFonts w:ascii="Times New Roman" w:hAnsi="Times New Roman" w:cs="Times New Roman"/>
          <w:i/>
          <w:iCs/>
        </w:rPr>
        <w:t>et al.</w:t>
      </w:r>
      <w:r w:rsidRPr="003125BF">
        <w:rPr>
          <w:rFonts w:ascii="Times New Roman" w:hAnsi="Times New Roman" w:cs="Times New Roman"/>
        </w:rPr>
        <w:t xml:space="preserve"> (2023) 'Shades &amp; shines of gender equality with respect to sustainable development goals (SDGs): The environmental performance perspectives,' </w:t>
      </w:r>
      <w:r w:rsidRPr="003125BF">
        <w:rPr>
          <w:rFonts w:ascii="Times New Roman" w:hAnsi="Times New Roman" w:cs="Times New Roman"/>
          <w:i/>
          <w:iCs/>
        </w:rPr>
        <w:t>Total Environment Research Themes</w:t>
      </w:r>
      <w:r w:rsidRPr="003125BF">
        <w:rPr>
          <w:rFonts w:ascii="Times New Roman" w:hAnsi="Times New Roman" w:cs="Times New Roman"/>
        </w:rPr>
        <w:t xml:space="preserve">, 8, p. 100082. </w:t>
      </w:r>
      <w:hyperlink r:id="rId13" w:history="1">
        <w:r w:rsidRPr="003125BF">
          <w:rPr>
            <w:rStyle w:val="Hyperlink"/>
            <w:rFonts w:ascii="Times New Roman" w:hAnsi="Times New Roman" w:cs="Times New Roman"/>
          </w:rPr>
          <w:t>https://doi.org/10.1016/j.totert.2023.100082</w:t>
        </w:r>
      </w:hyperlink>
      <w:r w:rsidRPr="003125BF">
        <w:rPr>
          <w:rFonts w:ascii="Times New Roman" w:hAnsi="Times New Roman" w:cs="Times New Roman"/>
        </w:rPr>
        <w:t>.</w:t>
      </w:r>
    </w:p>
    <w:p w14:paraId="289BA04F" w14:textId="77777777" w:rsidR="007729D4" w:rsidRPr="007729D4" w:rsidRDefault="007729D4" w:rsidP="007729D4">
      <w:pPr>
        <w:spacing w:after="0" w:line="360" w:lineRule="auto"/>
        <w:ind w:left="720" w:hanging="720"/>
        <w:jc w:val="both"/>
        <w:rPr>
          <w:rFonts w:ascii="Times New Roman" w:hAnsi="Times New Roman" w:cs="Times New Roman"/>
        </w:rPr>
      </w:pPr>
      <w:r w:rsidRPr="007729D4">
        <w:rPr>
          <w:rFonts w:ascii="Times New Roman" w:hAnsi="Times New Roman" w:cs="Times New Roman"/>
        </w:rPr>
        <w:t xml:space="preserve">Marmot, M. (2010) </w:t>
      </w:r>
      <w:r w:rsidRPr="007729D4">
        <w:rPr>
          <w:rFonts w:ascii="Times New Roman" w:hAnsi="Times New Roman" w:cs="Times New Roman"/>
          <w:i/>
          <w:iCs/>
        </w:rPr>
        <w:t>Fair Society, Healthy Lives: The Marmot Review</w:t>
      </w:r>
      <w:r w:rsidRPr="007729D4">
        <w:rPr>
          <w:rFonts w:ascii="Times New Roman" w:hAnsi="Times New Roman" w:cs="Times New Roman"/>
        </w:rPr>
        <w:t xml:space="preserve">. London: Institute of Health Equity. Available at: </w:t>
      </w:r>
      <w:hyperlink r:id="rId14" w:tgtFrame="_new" w:history="1">
        <w:r w:rsidRPr="007729D4">
          <w:rPr>
            <w:rStyle w:val="Hyperlink"/>
            <w:rFonts w:ascii="Times New Roman" w:hAnsi="Times New Roman" w:cs="Times New Roman"/>
          </w:rPr>
          <w:t>https://www.instituteofhealthequity.org/resources-reports/fair-society-healthy-lives-the-marmot-review</w:t>
        </w:r>
      </w:hyperlink>
    </w:p>
    <w:p w14:paraId="7561B736" w14:textId="77777777" w:rsidR="007729D4" w:rsidRPr="007729D4" w:rsidRDefault="007729D4" w:rsidP="007729D4">
      <w:pPr>
        <w:spacing w:after="0" w:line="360" w:lineRule="auto"/>
        <w:ind w:left="720" w:hanging="720"/>
        <w:jc w:val="both"/>
        <w:rPr>
          <w:rFonts w:ascii="Times New Roman" w:hAnsi="Times New Roman" w:cs="Times New Roman"/>
        </w:rPr>
      </w:pPr>
      <w:r w:rsidRPr="003125BF">
        <w:rPr>
          <w:rFonts w:ascii="Times New Roman" w:hAnsi="Times New Roman" w:cs="Times New Roman"/>
        </w:rPr>
        <w:t xml:space="preserve">Nichol, B. </w:t>
      </w:r>
      <w:r w:rsidRPr="003125BF">
        <w:rPr>
          <w:rFonts w:ascii="Times New Roman" w:hAnsi="Times New Roman" w:cs="Times New Roman"/>
          <w:i/>
          <w:iCs/>
        </w:rPr>
        <w:t>et al.</w:t>
      </w:r>
      <w:r w:rsidRPr="003125BF">
        <w:rPr>
          <w:rFonts w:ascii="Times New Roman" w:hAnsi="Times New Roman" w:cs="Times New Roman"/>
        </w:rPr>
        <w:t xml:space="preserve"> (2024) 'Enhancing making every contact count (MECC) training and delivery for the third and social economy (TSE) sector: a strategic behavioural analysis,' </w:t>
      </w:r>
      <w:r w:rsidRPr="003125BF">
        <w:rPr>
          <w:rFonts w:ascii="Times New Roman" w:hAnsi="Times New Roman" w:cs="Times New Roman"/>
          <w:i/>
          <w:iCs/>
        </w:rPr>
        <w:t>Psychology and Health</w:t>
      </w:r>
      <w:r w:rsidRPr="003125BF">
        <w:rPr>
          <w:rFonts w:ascii="Times New Roman" w:hAnsi="Times New Roman" w:cs="Times New Roman"/>
        </w:rPr>
        <w:t xml:space="preserve">, 40(12), pp. 2114–2145. </w:t>
      </w:r>
      <w:hyperlink r:id="rId15" w:history="1">
        <w:r w:rsidRPr="003125BF">
          <w:rPr>
            <w:rStyle w:val="Hyperlink"/>
            <w:rFonts w:ascii="Times New Roman" w:hAnsi="Times New Roman" w:cs="Times New Roman"/>
          </w:rPr>
          <w:t>https://doi.org/10.1080/08870446.2024.2386289</w:t>
        </w:r>
      </w:hyperlink>
      <w:r w:rsidRPr="003125BF">
        <w:rPr>
          <w:rFonts w:ascii="Times New Roman" w:hAnsi="Times New Roman" w:cs="Times New Roman"/>
        </w:rPr>
        <w:t>.</w:t>
      </w:r>
    </w:p>
    <w:p w14:paraId="40BE7B84" w14:textId="77777777" w:rsidR="007729D4" w:rsidRPr="007729D4" w:rsidRDefault="007729D4" w:rsidP="007729D4">
      <w:pPr>
        <w:spacing w:after="0" w:line="360" w:lineRule="auto"/>
        <w:ind w:left="720" w:hanging="720"/>
        <w:jc w:val="both"/>
        <w:rPr>
          <w:rFonts w:ascii="Times New Roman" w:hAnsi="Times New Roman" w:cs="Times New Roman"/>
        </w:rPr>
      </w:pPr>
      <w:r w:rsidRPr="00AB4DD2">
        <w:rPr>
          <w:rFonts w:ascii="Times New Roman" w:hAnsi="Times New Roman" w:cs="Times New Roman"/>
        </w:rPr>
        <w:t xml:space="preserve">Rakhshani, T. </w:t>
      </w:r>
      <w:r w:rsidRPr="00AB4DD2">
        <w:rPr>
          <w:rFonts w:ascii="Times New Roman" w:hAnsi="Times New Roman" w:cs="Times New Roman"/>
          <w:i/>
          <w:iCs/>
        </w:rPr>
        <w:t>et al.</w:t>
      </w:r>
      <w:r w:rsidRPr="00AB4DD2">
        <w:rPr>
          <w:rFonts w:ascii="Times New Roman" w:hAnsi="Times New Roman" w:cs="Times New Roman"/>
        </w:rPr>
        <w:t xml:space="preserve"> (2024) 'The effect of educational intervention based on health belief model on colorectal cancer screening behaviors,' </w:t>
      </w:r>
      <w:r w:rsidRPr="00AB4DD2">
        <w:rPr>
          <w:rFonts w:ascii="Times New Roman" w:hAnsi="Times New Roman" w:cs="Times New Roman"/>
          <w:i/>
          <w:iCs/>
        </w:rPr>
        <w:t>BMC Public Health</w:t>
      </w:r>
      <w:r w:rsidRPr="00AB4DD2">
        <w:rPr>
          <w:rFonts w:ascii="Times New Roman" w:hAnsi="Times New Roman" w:cs="Times New Roman"/>
        </w:rPr>
        <w:t xml:space="preserve">, 24(1), p. 1640. </w:t>
      </w:r>
      <w:hyperlink r:id="rId16" w:history="1">
        <w:r w:rsidRPr="00AB4DD2">
          <w:rPr>
            <w:rStyle w:val="Hyperlink"/>
            <w:rFonts w:ascii="Times New Roman" w:hAnsi="Times New Roman" w:cs="Times New Roman"/>
          </w:rPr>
          <w:t>https://doi.org/10.1186/s12889-024-19180-8</w:t>
        </w:r>
      </w:hyperlink>
      <w:r w:rsidRPr="00AB4DD2">
        <w:rPr>
          <w:rFonts w:ascii="Times New Roman" w:hAnsi="Times New Roman" w:cs="Times New Roman"/>
        </w:rPr>
        <w:t>.</w:t>
      </w:r>
    </w:p>
    <w:p w14:paraId="66955C2E" w14:textId="77777777" w:rsidR="007729D4" w:rsidRPr="007729D4" w:rsidRDefault="007729D4" w:rsidP="007729D4">
      <w:pPr>
        <w:spacing w:after="0" w:line="360" w:lineRule="auto"/>
        <w:ind w:left="720" w:hanging="720"/>
        <w:jc w:val="both"/>
        <w:rPr>
          <w:rFonts w:ascii="Times New Roman" w:hAnsi="Times New Roman" w:cs="Times New Roman"/>
        </w:rPr>
      </w:pPr>
      <w:r w:rsidRPr="003125BF">
        <w:rPr>
          <w:rFonts w:ascii="Times New Roman" w:hAnsi="Times New Roman" w:cs="Times New Roman"/>
        </w:rPr>
        <w:t xml:space="preserve">Shrestha, D. </w:t>
      </w:r>
      <w:r w:rsidRPr="003125BF">
        <w:rPr>
          <w:rFonts w:ascii="Times New Roman" w:hAnsi="Times New Roman" w:cs="Times New Roman"/>
          <w:i/>
          <w:iCs/>
        </w:rPr>
        <w:t>et al.</w:t>
      </w:r>
      <w:r w:rsidRPr="003125BF">
        <w:rPr>
          <w:rFonts w:ascii="Times New Roman" w:hAnsi="Times New Roman" w:cs="Times New Roman"/>
        </w:rPr>
        <w:t xml:space="preserve"> (2025) 'Exploring the association between socioeconomic status and cardiopulmonary exercise testing measures: A cohort study based on routinely collected data,' </w:t>
      </w:r>
      <w:r w:rsidRPr="003125BF">
        <w:rPr>
          <w:rFonts w:ascii="Times New Roman" w:hAnsi="Times New Roman" w:cs="Times New Roman"/>
          <w:i/>
          <w:iCs/>
        </w:rPr>
        <w:t>PLoS ONE</w:t>
      </w:r>
      <w:r w:rsidRPr="003125BF">
        <w:rPr>
          <w:rFonts w:ascii="Times New Roman" w:hAnsi="Times New Roman" w:cs="Times New Roman"/>
        </w:rPr>
        <w:t xml:space="preserve">, 20(8), p. e0328056. </w:t>
      </w:r>
      <w:hyperlink r:id="rId17" w:history="1">
        <w:r w:rsidRPr="003125BF">
          <w:rPr>
            <w:rStyle w:val="Hyperlink"/>
            <w:rFonts w:ascii="Times New Roman" w:hAnsi="Times New Roman" w:cs="Times New Roman"/>
          </w:rPr>
          <w:t>https://doi.org/10.1371/journal.pone.0328056</w:t>
        </w:r>
      </w:hyperlink>
      <w:r w:rsidRPr="003125BF">
        <w:rPr>
          <w:rFonts w:ascii="Times New Roman" w:hAnsi="Times New Roman" w:cs="Times New Roman"/>
        </w:rPr>
        <w:t>.</w:t>
      </w:r>
    </w:p>
    <w:p w14:paraId="0AFE39C4" w14:textId="77777777" w:rsidR="007729D4" w:rsidRPr="007729D4" w:rsidRDefault="007729D4" w:rsidP="007729D4">
      <w:pPr>
        <w:spacing w:after="0" w:line="360" w:lineRule="auto"/>
        <w:ind w:left="720" w:hanging="720"/>
        <w:jc w:val="both"/>
        <w:rPr>
          <w:rFonts w:ascii="Times New Roman" w:hAnsi="Times New Roman" w:cs="Times New Roman"/>
        </w:rPr>
      </w:pPr>
      <w:r w:rsidRPr="00BF496F">
        <w:rPr>
          <w:rFonts w:ascii="Times New Roman" w:hAnsi="Times New Roman" w:cs="Times New Roman"/>
        </w:rPr>
        <w:t xml:space="preserve">Solar, C. and Smith, M. (2020) 'Austerity and governance: coordinating policing and mental health policy in the UK,' </w:t>
      </w:r>
      <w:r w:rsidRPr="00BF496F">
        <w:rPr>
          <w:rFonts w:ascii="Times New Roman" w:hAnsi="Times New Roman" w:cs="Times New Roman"/>
          <w:i/>
          <w:iCs/>
        </w:rPr>
        <w:t>Policy Studies</w:t>
      </w:r>
      <w:r w:rsidRPr="00BF496F">
        <w:rPr>
          <w:rFonts w:ascii="Times New Roman" w:hAnsi="Times New Roman" w:cs="Times New Roman"/>
        </w:rPr>
        <w:t xml:space="preserve">, 43(2), pp. 352–369. </w:t>
      </w:r>
      <w:hyperlink r:id="rId18" w:history="1">
        <w:r w:rsidRPr="00BF496F">
          <w:rPr>
            <w:rStyle w:val="Hyperlink"/>
            <w:rFonts w:ascii="Times New Roman" w:hAnsi="Times New Roman" w:cs="Times New Roman"/>
          </w:rPr>
          <w:t>https://doi.org/10.1080/01442872.2020.1711876</w:t>
        </w:r>
      </w:hyperlink>
      <w:r w:rsidRPr="00BF496F">
        <w:rPr>
          <w:rFonts w:ascii="Times New Roman" w:hAnsi="Times New Roman" w:cs="Times New Roman"/>
        </w:rPr>
        <w:t>.</w:t>
      </w:r>
    </w:p>
    <w:p w14:paraId="55FABAA4" w14:textId="77777777" w:rsidR="007729D4" w:rsidRPr="007729D4" w:rsidRDefault="007729D4" w:rsidP="007729D4">
      <w:pPr>
        <w:spacing w:after="0" w:line="360" w:lineRule="auto"/>
        <w:ind w:left="720" w:hanging="720"/>
        <w:jc w:val="both"/>
        <w:rPr>
          <w:rFonts w:ascii="Times New Roman" w:hAnsi="Times New Roman" w:cs="Times New Roman"/>
        </w:rPr>
      </w:pPr>
      <w:r w:rsidRPr="00AB4DD2">
        <w:rPr>
          <w:rFonts w:ascii="Times New Roman" w:hAnsi="Times New Roman" w:cs="Times New Roman"/>
        </w:rPr>
        <w:t xml:space="preserve">Takian, A., Raoofi, A. and Haghighi, H. (2022) 'COVID-19 pandemic: The fears and hopes for SDG 3, with focus on prevention and control of noncommunicable diseases (SDG 3.4) and universal health coverage (SDG 3.8),' in </w:t>
      </w:r>
      <w:r w:rsidRPr="00AB4DD2">
        <w:rPr>
          <w:rFonts w:ascii="Times New Roman" w:hAnsi="Times New Roman" w:cs="Times New Roman"/>
          <w:i/>
          <w:iCs/>
        </w:rPr>
        <w:t>Elsevier eBooks</w:t>
      </w:r>
      <w:r w:rsidRPr="00AB4DD2">
        <w:rPr>
          <w:rFonts w:ascii="Times New Roman" w:hAnsi="Times New Roman" w:cs="Times New Roman"/>
        </w:rPr>
        <w:t xml:space="preserve">, pp. 211–234. </w:t>
      </w:r>
      <w:hyperlink r:id="rId19" w:history="1">
        <w:r w:rsidRPr="00AB4DD2">
          <w:rPr>
            <w:rStyle w:val="Hyperlink"/>
            <w:rFonts w:ascii="Times New Roman" w:hAnsi="Times New Roman" w:cs="Times New Roman"/>
          </w:rPr>
          <w:t>https://doi.org/10.1016/b978-0-323-91307-2.00014-6</w:t>
        </w:r>
      </w:hyperlink>
      <w:r w:rsidRPr="00AB4DD2">
        <w:rPr>
          <w:rFonts w:ascii="Times New Roman" w:hAnsi="Times New Roman" w:cs="Times New Roman"/>
        </w:rPr>
        <w:t>.</w:t>
      </w:r>
    </w:p>
    <w:p w14:paraId="0ED70664" w14:textId="77777777" w:rsidR="007729D4" w:rsidRPr="007729D4" w:rsidRDefault="007729D4" w:rsidP="007729D4">
      <w:pPr>
        <w:spacing w:after="0" w:line="360" w:lineRule="auto"/>
        <w:ind w:left="720" w:hanging="720"/>
        <w:jc w:val="both"/>
        <w:rPr>
          <w:rFonts w:ascii="Times New Roman" w:hAnsi="Times New Roman" w:cs="Times New Roman"/>
        </w:rPr>
      </w:pPr>
      <w:r w:rsidRPr="007729D4">
        <w:rPr>
          <w:rFonts w:ascii="Times New Roman" w:hAnsi="Times New Roman" w:cs="Times New Roman"/>
        </w:rPr>
        <w:t xml:space="preserve">United Nations (2015) </w:t>
      </w:r>
      <w:r w:rsidRPr="007729D4">
        <w:rPr>
          <w:rFonts w:ascii="Times New Roman" w:hAnsi="Times New Roman" w:cs="Times New Roman"/>
          <w:i/>
          <w:iCs/>
        </w:rPr>
        <w:t>Sustainable Development Goal 3: Ensure healthy lives and promote well-being for all at all ages</w:t>
      </w:r>
      <w:r w:rsidRPr="007729D4">
        <w:rPr>
          <w:rFonts w:ascii="Times New Roman" w:hAnsi="Times New Roman" w:cs="Times New Roman"/>
        </w:rPr>
        <w:t xml:space="preserve">. Available at: </w:t>
      </w:r>
      <w:hyperlink r:id="rId20" w:tgtFrame="_new" w:history="1">
        <w:r w:rsidRPr="007729D4">
          <w:rPr>
            <w:rStyle w:val="Hyperlink"/>
            <w:rFonts w:ascii="Times New Roman" w:hAnsi="Times New Roman" w:cs="Times New Roman"/>
          </w:rPr>
          <w:t>https://sdgs.un.org/goals/goal3</w:t>
        </w:r>
      </w:hyperlink>
    </w:p>
    <w:p w14:paraId="6A1CD183" w14:textId="77777777" w:rsidR="007729D4" w:rsidRPr="007729D4" w:rsidRDefault="007729D4" w:rsidP="007729D4">
      <w:pPr>
        <w:spacing w:after="0" w:line="360" w:lineRule="auto"/>
        <w:ind w:left="720" w:hanging="720"/>
        <w:jc w:val="both"/>
        <w:rPr>
          <w:rFonts w:ascii="Times New Roman" w:hAnsi="Times New Roman" w:cs="Times New Roman"/>
        </w:rPr>
      </w:pPr>
      <w:r w:rsidRPr="00AB4DD2">
        <w:rPr>
          <w:rFonts w:ascii="Times New Roman" w:hAnsi="Times New Roman" w:cs="Times New Roman"/>
        </w:rPr>
        <w:t xml:space="preserve">Vereecke, S. </w:t>
      </w:r>
      <w:r w:rsidRPr="00AB4DD2">
        <w:rPr>
          <w:rFonts w:ascii="Times New Roman" w:hAnsi="Times New Roman" w:cs="Times New Roman"/>
          <w:i/>
          <w:iCs/>
        </w:rPr>
        <w:t>et al.</w:t>
      </w:r>
      <w:r w:rsidRPr="00AB4DD2">
        <w:rPr>
          <w:rFonts w:ascii="Times New Roman" w:hAnsi="Times New Roman" w:cs="Times New Roman"/>
        </w:rPr>
        <w:t xml:space="preserve"> (2025) 'The Intersection of Socioeconomic and Environmental Factors in Aging: Insights from a Narrative Review,' </w:t>
      </w:r>
      <w:r w:rsidRPr="00AB4DD2">
        <w:rPr>
          <w:rFonts w:ascii="Times New Roman" w:hAnsi="Times New Roman" w:cs="Times New Roman"/>
          <w:i/>
          <w:iCs/>
        </w:rPr>
        <w:t>International Journal of Environmental Research and Public Health</w:t>
      </w:r>
      <w:r w:rsidRPr="00AB4DD2">
        <w:rPr>
          <w:rFonts w:ascii="Times New Roman" w:hAnsi="Times New Roman" w:cs="Times New Roman"/>
        </w:rPr>
        <w:t xml:space="preserve">, 22(8), p. 1241. </w:t>
      </w:r>
      <w:hyperlink r:id="rId21" w:history="1">
        <w:r w:rsidRPr="00AB4DD2">
          <w:rPr>
            <w:rStyle w:val="Hyperlink"/>
            <w:rFonts w:ascii="Times New Roman" w:hAnsi="Times New Roman" w:cs="Times New Roman"/>
          </w:rPr>
          <w:t>https://doi.org/10.3390/ijerph22081241</w:t>
        </w:r>
      </w:hyperlink>
      <w:r w:rsidRPr="00AB4DD2">
        <w:rPr>
          <w:rFonts w:ascii="Times New Roman" w:hAnsi="Times New Roman" w:cs="Times New Roman"/>
        </w:rPr>
        <w:t>.</w:t>
      </w:r>
    </w:p>
    <w:p w14:paraId="6E9E8EB7" w14:textId="77777777" w:rsidR="007729D4" w:rsidRPr="007729D4" w:rsidRDefault="007729D4" w:rsidP="007729D4">
      <w:pPr>
        <w:spacing w:after="0" w:line="360" w:lineRule="auto"/>
        <w:ind w:left="720" w:hanging="720"/>
        <w:jc w:val="both"/>
        <w:rPr>
          <w:rFonts w:ascii="Times New Roman" w:hAnsi="Times New Roman" w:cs="Times New Roman"/>
        </w:rPr>
      </w:pPr>
      <w:r w:rsidRPr="007729D4">
        <w:rPr>
          <w:rFonts w:ascii="Times New Roman" w:hAnsi="Times New Roman" w:cs="Times New Roman"/>
        </w:rPr>
        <w:t xml:space="preserve">World Commission on Environment and Development (1987) </w:t>
      </w:r>
      <w:r w:rsidRPr="007729D4">
        <w:rPr>
          <w:rFonts w:ascii="Times New Roman" w:hAnsi="Times New Roman" w:cs="Times New Roman"/>
          <w:i/>
          <w:iCs/>
        </w:rPr>
        <w:t>Our Common Future</w:t>
      </w:r>
      <w:r w:rsidRPr="007729D4">
        <w:rPr>
          <w:rFonts w:ascii="Times New Roman" w:hAnsi="Times New Roman" w:cs="Times New Roman"/>
        </w:rPr>
        <w:t>. Oxford: Oxford University Press.</w:t>
      </w:r>
    </w:p>
    <w:p w14:paraId="53D5F38C" w14:textId="77777777" w:rsidR="007729D4" w:rsidRPr="007729D4" w:rsidRDefault="007729D4" w:rsidP="007729D4">
      <w:pPr>
        <w:spacing w:after="0" w:line="360" w:lineRule="auto"/>
        <w:ind w:left="720" w:hanging="720"/>
        <w:jc w:val="both"/>
        <w:rPr>
          <w:rFonts w:ascii="Times New Roman" w:hAnsi="Times New Roman" w:cs="Times New Roman"/>
        </w:rPr>
      </w:pPr>
      <w:r w:rsidRPr="007729D4">
        <w:rPr>
          <w:rFonts w:ascii="Times New Roman" w:hAnsi="Times New Roman" w:cs="Times New Roman"/>
        </w:rPr>
        <w:t xml:space="preserve">World Health Organization (1948) </w:t>
      </w:r>
      <w:r w:rsidRPr="007729D4">
        <w:rPr>
          <w:rFonts w:ascii="Times New Roman" w:hAnsi="Times New Roman" w:cs="Times New Roman"/>
          <w:i/>
          <w:iCs/>
        </w:rPr>
        <w:t>Constitution of the World Health Organization</w:t>
      </w:r>
      <w:r w:rsidRPr="007729D4">
        <w:rPr>
          <w:rFonts w:ascii="Times New Roman" w:hAnsi="Times New Roman" w:cs="Times New Roman"/>
        </w:rPr>
        <w:t xml:space="preserve">. Geneva: WHO. Available at: </w:t>
      </w:r>
      <w:hyperlink r:id="rId22" w:tgtFrame="_new" w:history="1">
        <w:r w:rsidRPr="007729D4">
          <w:rPr>
            <w:rStyle w:val="Hyperlink"/>
            <w:rFonts w:ascii="Times New Roman" w:hAnsi="Times New Roman" w:cs="Times New Roman"/>
          </w:rPr>
          <w:t>https://www.who.int/about/governance/constitution</w:t>
        </w:r>
      </w:hyperlink>
    </w:p>
    <w:p w14:paraId="3F02F982" w14:textId="77777777" w:rsidR="007729D4" w:rsidRPr="007729D4" w:rsidRDefault="007729D4" w:rsidP="007729D4">
      <w:pPr>
        <w:spacing w:line="360" w:lineRule="auto"/>
        <w:rPr>
          <w:rFonts w:ascii="Times New Roman" w:hAnsi="Times New Roman" w:cs="Times New Roman"/>
        </w:rPr>
      </w:pPr>
    </w:p>
    <w:sectPr w:rsidR="007729D4" w:rsidRPr="007729D4">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4E15DBD" w14:textId="77777777" w:rsidR="004A73A6" w:rsidRDefault="004A73A6" w:rsidP="003E1E1C">
      <w:pPr>
        <w:spacing w:after="0" w:line="240" w:lineRule="auto"/>
      </w:pPr>
      <w:r>
        <w:separator/>
      </w:r>
    </w:p>
  </w:endnote>
  <w:endnote w:type="continuationSeparator" w:id="0">
    <w:p w14:paraId="5EA567C4" w14:textId="77777777" w:rsidR="004A73A6" w:rsidRDefault="004A73A6" w:rsidP="003E1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5866064"/>
      <w:docPartObj>
        <w:docPartGallery w:val="Page Numbers (Bottom of Page)"/>
        <w:docPartUnique/>
      </w:docPartObj>
    </w:sdtPr>
    <w:sdtEndPr>
      <w:rPr>
        <w:noProof/>
      </w:rPr>
    </w:sdtEndPr>
    <w:sdtContent>
      <w:p w14:paraId="0C710D63" w14:textId="79607441" w:rsidR="003E1E1C" w:rsidRDefault="003E1E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2A8FC1" w14:textId="77777777" w:rsidR="003E1E1C" w:rsidRDefault="003E1E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FF9F83A" w14:textId="77777777" w:rsidR="004A73A6" w:rsidRDefault="004A73A6" w:rsidP="003E1E1C">
      <w:pPr>
        <w:spacing w:after="0" w:line="240" w:lineRule="auto"/>
      </w:pPr>
      <w:r>
        <w:separator/>
      </w:r>
    </w:p>
  </w:footnote>
  <w:footnote w:type="continuationSeparator" w:id="0">
    <w:p w14:paraId="277DEC7E" w14:textId="77777777" w:rsidR="004A73A6" w:rsidRDefault="004A73A6" w:rsidP="003E1E1C">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34"/>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95A"/>
    <w:rsid w:val="00064B8E"/>
    <w:rsid w:val="00150498"/>
    <w:rsid w:val="002D68AD"/>
    <w:rsid w:val="003E1E1C"/>
    <w:rsid w:val="003E718D"/>
    <w:rsid w:val="00472AE2"/>
    <w:rsid w:val="004A73A6"/>
    <w:rsid w:val="00570397"/>
    <w:rsid w:val="005C3C56"/>
    <w:rsid w:val="007729D4"/>
    <w:rsid w:val="00776352"/>
    <w:rsid w:val="007D07A3"/>
    <w:rsid w:val="00851B5F"/>
    <w:rsid w:val="00A07906"/>
    <w:rsid w:val="00AC69E5"/>
    <w:rsid w:val="00B274DE"/>
    <w:rsid w:val="00C92590"/>
    <w:rsid w:val="00D022D6"/>
    <w:rsid w:val="00D5295A"/>
    <w:rsid w:val="00D76DBC"/>
    <w:rsid w:val="00F217C7"/>
    <w:rsid w:val="00FC725E"/>
    <w:rsid w:val="00FE1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7E10D"/>
  <w15:chartTrackingRefBased/>
  <w15:docId w15:val="{C0C39EAB-345A-4D8E-BEE8-DDCDE2A4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E1E1C"/>
    <w:pPr>
      <w:keepNext/>
      <w:keepLines/>
      <w:spacing w:before="360" w:after="80"/>
      <w:outlineLvl w:val="0"/>
    </w:pPr>
    <w:rPr>
      <w:rFonts w:ascii="Times New Roman" w:eastAsiaTheme="majorEastAsia" w:hAnsi="Times New Roman" w:cstheme="majorBidi"/>
      <w:b/>
      <w:color w:val="000000" w:themeColor="text1"/>
      <w:szCs w:val="40"/>
    </w:rPr>
  </w:style>
  <w:style w:type="paragraph" w:styleId="Heading2">
    <w:name w:val="heading 2"/>
    <w:basedOn w:val="Normal"/>
    <w:next w:val="Normal"/>
    <w:link w:val="Heading2Char"/>
    <w:autoRedefine/>
    <w:uiPriority w:val="9"/>
    <w:unhideWhenUsed/>
    <w:qFormat/>
    <w:rsid w:val="003E1E1C"/>
    <w:pPr>
      <w:keepNext/>
      <w:keepLines/>
      <w:spacing w:before="160" w:after="80"/>
      <w:outlineLvl w:val="1"/>
    </w:pPr>
    <w:rPr>
      <w:rFonts w:ascii="Times New Roman" w:eastAsiaTheme="majorEastAsia" w:hAnsi="Times New Roman" w:cstheme="majorBidi"/>
      <w:b/>
      <w:i/>
      <w:color w:val="000000" w:themeColor="text1"/>
      <w:szCs w:val="32"/>
    </w:rPr>
  </w:style>
  <w:style w:type="paragraph" w:styleId="Heading3">
    <w:name w:val="heading 3"/>
    <w:basedOn w:val="Normal"/>
    <w:next w:val="Normal"/>
    <w:link w:val="Heading3Char"/>
    <w:uiPriority w:val="9"/>
    <w:semiHidden/>
    <w:unhideWhenUsed/>
    <w:qFormat/>
    <w:rsid w:val="00D529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529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529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529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29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29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29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E1C"/>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3E1E1C"/>
    <w:rPr>
      <w:rFonts w:ascii="Times New Roman" w:eastAsiaTheme="majorEastAsia" w:hAnsi="Times New Roman" w:cstheme="majorBidi"/>
      <w:b/>
      <w:i/>
      <w:color w:val="000000" w:themeColor="text1"/>
      <w:szCs w:val="32"/>
    </w:rPr>
  </w:style>
  <w:style w:type="character" w:customStyle="1" w:styleId="Heading3Char">
    <w:name w:val="Heading 3 Char"/>
    <w:basedOn w:val="DefaultParagraphFont"/>
    <w:link w:val="Heading3"/>
    <w:uiPriority w:val="9"/>
    <w:semiHidden/>
    <w:rsid w:val="00D529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529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529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529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29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29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295A"/>
    <w:rPr>
      <w:rFonts w:eastAsiaTheme="majorEastAsia" w:cstheme="majorBidi"/>
      <w:color w:val="272727" w:themeColor="text1" w:themeTint="D8"/>
    </w:rPr>
  </w:style>
  <w:style w:type="paragraph" w:styleId="Title">
    <w:name w:val="Title"/>
    <w:basedOn w:val="Normal"/>
    <w:next w:val="Normal"/>
    <w:link w:val="TitleChar"/>
    <w:uiPriority w:val="10"/>
    <w:qFormat/>
    <w:rsid w:val="00D529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29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29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29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295A"/>
    <w:pPr>
      <w:spacing w:before="160"/>
      <w:jc w:val="center"/>
    </w:pPr>
    <w:rPr>
      <w:i/>
      <w:iCs/>
      <w:color w:val="404040" w:themeColor="text1" w:themeTint="BF"/>
    </w:rPr>
  </w:style>
  <w:style w:type="character" w:customStyle="1" w:styleId="QuoteChar">
    <w:name w:val="Quote Char"/>
    <w:basedOn w:val="DefaultParagraphFont"/>
    <w:link w:val="Quote"/>
    <w:uiPriority w:val="29"/>
    <w:rsid w:val="00D5295A"/>
    <w:rPr>
      <w:i/>
      <w:iCs/>
      <w:color w:val="404040" w:themeColor="text1" w:themeTint="BF"/>
    </w:rPr>
  </w:style>
  <w:style w:type="paragraph" w:styleId="ListParagraph">
    <w:name w:val="List Paragraph"/>
    <w:basedOn w:val="Normal"/>
    <w:uiPriority w:val="34"/>
    <w:qFormat/>
    <w:rsid w:val="00D5295A"/>
    <w:pPr>
      <w:ind w:left="720"/>
      <w:contextualSpacing/>
    </w:pPr>
  </w:style>
  <w:style w:type="character" w:styleId="IntenseEmphasis">
    <w:name w:val="Intense Emphasis"/>
    <w:basedOn w:val="DefaultParagraphFont"/>
    <w:uiPriority w:val="21"/>
    <w:qFormat/>
    <w:rsid w:val="00D5295A"/>
    <w:rPr>
      <w:i/>
      <w:iCs/>
      <w:color w:val="2F5496" w:themeColor="accent1" w:themeShade="BF"/>
    </w:rPr>
  </w:style>
  <w:style w:type="paragraph" w:styleId="IntenseQuote">
    <w:name w:val="Intense Quote"/>
    <w:basedOn w:val="Normal"/>
    <w:next w:val="Normal"/>
    <w:link w:val="IntenseQuoteChar"/>
    <w:uiPriority w:val="30"/>
    <w:qFormat/>
    <w:rsid w:val="00D529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295A"/>
    <w:rPr>
      <w:i/>
      <w:iCs/>
      <w:color w:val="2F5496" w:themeColor="accent1" w:themeShade="BF"/>
    </w:rPr>
  </w:style>
  <w:style w:type="character" w:styleId="IntenseReference">
    <w:name w:val="Intense Reference"/>
    <w:basedOn w:val="DefaultParagraphFont"/>
    <w:uiPriority w:val="32"/>
    <w:qFormat/>
    <w:rsid w:val="00D5295A"/>
    <w:rPr>
      <w:b/>
      <w:bCs/>
      <w:smallCaps/>
      <w:color w:val="2F5496" w:themeColor="accent1" w:themeShade="BF"/>
      <w:spacing w:val="5"/>
    </w:rPr>
  </w:style>
  <w:style w:type="paragraph" w:styleId="TOCHeading">
    <w:name w:val="TOC Heading"/>
    <w:basedOn w:val="Heading1"/>
    <w:next w:val="Normal"/>
    <w:uiPriority w:val="39"/>
    <w:unhideWhenUsed/>
    <w:qFormat/>
    <w:rsid w:val="003E1E1C"/>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E1E1C"/>
    <w:pPr>
      <w:spacing w:after="100"/>
    </w:pPr>
  </w:style>
  <w:style w:type="paragraph" w:styleId="TOC2">
    <w:name w:val="toc 2"/>
    <w:basedOn w:val="Normal"/>
    <w:next w:val="Normal"/>
    <w:autoRedefine/>
    <w:uiPriority w:val="39"/>
    <w:unhideWhenUsed/>
    <w:rsid w:val="003E1E1C"/>
    <w:pPr>
      <w:spacing w:after="100"/>
      <w:ind w:left="240"/>
    </w:pPr>
  </w:style>
  <w:style w:type="character" w:styleId="Hyperlink">
    <w:name w:val="Hyperlink"/>
    <w:basedOn w:val="DefaultParagraphFont"/>
    <w:uiPriority w:val="99"/>
    <w:unhideWhenUsed/>
    <w:rsid w:val="003E1E1C"/>
    <w:rPr>
      <w:color w:val="0563C1" w:themeColor="hyperlink"/>
      <w:u w:val="single"/>
    </w:rPr>
  </w:style>
  <w:style w:type="paragraph" w:styleId="Header">
    <w:name w:val="header"/>
    <w:basedOn w:val="Normal"/>
    <w:link w:val="HeaderChar"/>
    <w:uiPriority w:val="99"/>
    <w:unhideWhenUsed/>
    <w:rsid w:val="003E1E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1E1C"/>
  </w:style>
  <w:style w:type="paragraph" w:styleId="Footer">
    <w:name w:val="footer"/>
    <w:basedOn w:val="Normal"/>
    <w:link w:val="FooterChar"/>
    <w:uiPriority w:val="99"/>
    <w:unhideWhenUsed/>
    <w:rsid w:val="003E1E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1E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gkmc-09-2022-0214" TargetMode="External"/><Relationship Id="rId13" Type="http://schemas.openxmlformats.org/officeDocument/2006/relationships/hyperlink" Target="https://doi.org/10.1016/j.totert.2023.100082" TargetMode="External"/><Relationship Id="rId18" Type="http://schemas.openxmlformats.org/officeDocument/2006/relationships/hyperlink" Target="https://doi.org/10.1080/01442872.2020.1711876" TargetMode="External"/><Relationship Id="rId3" Type="http://schemas.openxmlformats.org/officeDocument/2006/relationships/settings" Target="settings.xml"/><Relationship Id="rId21" Type="http://schemas.openxmlformats.org/officeDocument/2006/relationships/hyperlink" Target="https://doi.org/10.3390/ijerph22081241" TargetMode="External"/><Relationship Id="rId7" Type="http://schemas.openxmlformats.org/officeDocument/2006/relationships/hyperlink" Target="https://doi.org/10.53730/ijhs.v5ns1.15433" TargetMode="External"/><Relationship Id="rId12" Type="http://schemas.openxmlformats.org/officeDocument/2006/relationships/hyperlink" Target="https://doi.org/10.4337/9781839105449.00029" TargetMode="External"/><Relationship Id="rId17" Type="http://schemas.openxmlformats.org/officeDocument/2006/relationships/hyperlink" Target="https://doi.org/10.1371/journal.pone.032805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86/s12889-024-19180-8" TargetMode="External"/><Relationship Id="rId20" Type="http://schemas.openxmlformats.org/officeDocument/2006/relationships/hyperlink" Target="https://sdgs.un.org/goals/goal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90/su1716744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80/08870446.2024.2386289" TargetMode="External"/><Relationship Id="rId23" Type="http://schemas.openxmlformats.org/officeDocument/2006/relationships/footer" Target="footer1.xml"/><Relationship Id="rId10" Type="http://schemas.openxmlformats.org/officeDocument/2006/relationships/hyperlink" Target="https://doi.org/10.5502/ijw.v2i3.4" TargetMode="External"/><Relationship Id="rId19" Type="http://schemas.openxmlformats.org/officeDocument/2006/relationships/hyperlink" Target="https://doi.org/10.1016/b978-0-323-91307-2.00014-6" TargetMode="External"/><Relationship Id="rId4" Type="http://schemas.openxmlformats.org/officeDocument/2006/relationships/webSettings" Target="webSettings.xml"/><Relationship Id="rId9" Type="http://schemas.openxmlformats.org/officeDocument/2006/relationships/hyperlink" Target="https://doi.org/10.1371/journal.pone.0239402" TargetMode="External"/><Relationship Id="rId14" Type="http://schemas.openxmlformats.org/officeDocument/2006/relationships/hyperlink" Target="https://www.instituteofhealthequity.org/resources-reports/fair-society-healthy-lives-the-marmot-review" TargetMode="External"/><Relationship Id="rId22" Type="http://schemas.openxmlformats.org/officeDocument/2006/relationships/hyperlink" Target="https://www.who.int/about/governance/constit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04A41-81B4-47E3-9575-1DDCC0BC7E9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3252</Words>
  <Characters>18540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dc:creator>
  <cp:keywords/>
  <dc:description/>
  <cp:lastModifiedBy>Manpreet Kaur (2246813)</cp:lastModifiedBy>
  <cp:revision>2</cp:revision>
  <dcterms:created xsi:type="dcterms:W3CDTF">2026-07-14T09:31:00Z</dcterms:created>
  <dcterms:modified xsi:type="dcterms:W3CDTF">2026-07-14T09:31:00Z</dcterms:modified>
</cp:coreProperties>
</file>