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u w:val="single"/>
        </w:rPr>
      </w:pPr>
      <w:r w:rsidDel="00000000" w:rsidR="00000000" w:rsidRPr="00000000">
        <w:rPr>
          <w:b w:val="1"/>
          <w:u w:val="single"/>
          <w:rtl w:val="0"/>
        </w:rPr>
        <w:t xml:space="preserve">Commentary on the Description of William Cragh’s dead body</w:t>
      </w:r>
    </w:p>
    <w:p w:rsidR="00000000" w:rsidDel="00000000" w:rsidP="00000000" w:rsidRDefault="00000000" w:rsidRPr="00000000" w14:paraId="00000002">
      <w:pPr>
        <w:ind w:left="720.0000000000001" w:right="720.0000000000001" w:firstLine="0"/>
        <w:jc w:val="both"/>
        <w:rPr/>
      </w:pPr>
      <w:r w:rsidDel="00000000" w:rsidR="00000000" w:rsidRPr="00000000">
        <w:rPr>
          <w:rtl w:val="0"/>
        </w:rPr>
        <w:t xml:space="preserve">And the at that time when the said witness saw the aforesaid William Cragh, he had a totally black face, and with bloodied or blood encrusted parts, and the eyes of William himself had popped out of their place, hanging down outside the eyelids of the said eyes, and the hollows of the eyes themselves were filled with blood. Moreover, the mouth of the said William Cragh and [his] neck and throat and all other parts situated around about, and even [his] nostrils were full of blood. When they questioned him, the same witness answered in this way: that it was impossible that the said William Cragh would have been able to breathe in or breathe out air through his said nostrils or though his mouth, or through his throat, or through his neck according to the way of nature, because it was inflamed and swollen and misshapen on account of the aforesaid hanging. Foremost he said he believed that (according to the way of nature) he was not able to breathe in and breathe out air through the mouth, and through his throat, and also through the neck, or the neck veins, because the tongue of the said William was hanging outside of his mouth further than if it was the length of the middle finger of a man’s hand; and the said tongue was black and inflamed with his own blood, and as swollen as if an ordinary man was holding two fists together at the same time; that therefore if he had been alive the said William would not have been able to withdraw his said tongue naturally for it was so swollen and inflamed, nor would he have been able to breathe in or even breathe out air through his mouth. This had been seen by the witness at that time, and it seemed the same to him up until this point, just as he said.</w:t>
      </w:r>
    </w:p>
    <w:p w:rsidR="00000000" w:rsidDel="00000000" w:rsidP="00000000" w:rsidRDefault="00000000" w:rsidRPr="00000000" w14:paraId="00000003">
      <w:pPr>
        <w:rPr>
          <w:i w:val="1"/>
        </w:rPr>
      </w:pPr>
      <w:r w:rsidDel="00000000" w:rsidR="00000000" w:rsidRPr="00000000">
        <w:rPr>
          <w:i w:val="1"/>
          <w:rtl w:val="0"/>
        </w:rPr>
        <w:t xml:space="preserve">Vatican City, Vatican MS Latin. 4015, fol. 11r, trans. H. Webster</w:t>
      </w:r>
      <w:r w:rsidDel="00000000" w:rsidR="00000000" w:rsidRPr="00000000">
        <w:rPr>
          <w:i w:val="1"/>
          <w:vertAlign w:val="superscript"/>
        </w:rPr>
        <w:footnoteReference w:customMarkFollows="0" w:id="0"/>
      </w: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William Cragh, also known as William ap Rhys or William the Scabby</w:t>
      </w:r>
      <w:r w:rsidDel="00000000" w:rsidR="00000000" w:rsidRPr="00000000">
        <w:rPr>
          <w:vertAlign w:val="superscript"/>
        </w:rPr>
        <w:footnoteReference w:customMarkFollows="0" w:id="1"/>
      </w:r>
      <w:r w:rsidDel="00000000" w:rsidR="00000000" w:rsidRPr="00000000">
        <w:rPr>
          <w:rtl w:val="0"/>
        </w:rPr>
        <w:t xml:space="preserve">, was a welsh warrior who despite the miracle of having been resurrected after being hanged, allegedly going on to live another 18 years</w:t>
      </w:r>
      <w:r w:rsidDel="00000000" w:rsidR="00000000" w:rsidRPr="00000000">
        <w:rPr>
          <w:vertAlign w:val="superscript"/>
        </w:rPr>
        <w:footnoteReference w:customMarkFollows="0" w:id="2"/>
      </w:r>
      <w:r w:rsidDel="00000000" w:rsidR="00000000" w:rsidRPr="00000000">
        <w:rPr>
          <w:rtl w:val="0"/>
        </w:rPr>
        <w:t xml:space="preserve">,  cannot truly be described as a significant historical figure. His miracle was one among 38 other miracles whose witnesses were interviewed by papal commission and, of those, 26 came to be scrutinised by the cardinals and even the pope; yet, Cragh’s was not among them</w:t>
      </w:r>
      <w:r w:rsidDel="00000000" w:rsidR="00000000" w:rsidRPr="00000000">
        <w:rPr>
          <w:vertAlign w:val="superscript"/>
        </w:rPr>
        <w:footnoteReference w:customMarkFollows="0" w:id="3"/>
      </w:r>
      <w:r w:rsidDel="00000000" w:rsidR="00000000" w:rsidRPr="00000000">
        <w:rPr>
          <w:rtl w:val="0"/>
        </w:rPr>
        <w:t xml:space="preserve">, having been rejected in the final phase</w:t>
      </w:r>
      <w:r w:rsidDel="00000000" w:rsidR="00000000" w:rsidRPr="00000000">
        <w:rPr>
          <w:vertAlign w:val="superscript"/>
        </w:rPr>
        <w:footnoteReference w:customMarkFollows="0" w:id="4"/>
      </w:r>
      <w:r w:rsidDel="00000000" w:rsidR="00000000" w:rsidRPr="00000000">
        <w:rPr>
          <w:rtl w:val="0"/>
        </w:rPr>
        <w:t xml:space="preserve">. Many of those involved are also unknown and absent from other sources</w:t>
      </w:r>
      <w:r w:rsidDel="00000000" w:rsidR="00000000" w:rsidRPr="00000000">
        <w:rPr>
          <w:vertAlign w:val="superscript"/>
        </w:rPr>
        <w:footnoteReference w:customMarkFollows="0" w:id="5"/>
      </w:r>
      <w:r w:rsidDel="00000000" w:rsidR="00000000" w:rsidRPr="00000000">
        <w:rPr>
          <w:rtl w:val="0"/>
        </w:rPr>
        <w:t xml:space="preserve">. Nevertheless, Cragh’s miracle remains a fascinating source on medieval miracles, offering insight into, among other things, the importance of ascertaining whether or not a body was truly dead in cases of resurrection or resuscitation.</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Cragh’s miracle, however, came about due to the unrest around him between the English and the Welsh.</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Having briefly been under Welsh rule, in 1220 John de Breos reclaimed lordship of the Gower and repaired the castle, passing his lordship to William de Breos II on his death in 1232, where it reverted to royal custody as William de Breos II was at the time a minor until he was of age</w:t>
      </w:r>
      <w:r w:rsidDel="00000000" w:rsidR="00000000" w:rsidRPr="00000000">
        <w:rPr>
          <w:vertAlign w:val="superscript"/>
        </w:rPr>
        <w:footnoteReference w:customMarkFollows="0" w:id="6"/>
      </w:r>
      <w:r w:rsidDel="00000000" w:rsidR="00000000" w:rsidRPr="00000000">
        <w:rPr>
          <w:rtl w:val="0"/>
        </w:rPr>
        <w:t xml:space="preserve">. William himself held lordship of the Gower for nearly 50 years, despite his lordship taking place during a period of almost continuous discord with the Welsh Princes</w:t>
      </w:r>
      <w:r w:rsidDel="00000000" w:rsidR="00000000" w:rsidRPr="00000000">
        <w:rPr>
          <w:vertAlign w:val="superscript"/>
        </w:rPr>
        <w:footnoteReference w:customMarkFollows="0" w:id="7"/>
      </w:r>
      <w:r w:rsidDel="00000000" w:rsidR="00000000" w:rsidRPr="00000000">
        <w:rPr>
          <w:rtl w:val="0"/>
        </w:rPr>
        <w:t xml:space="preserve">; for example, a dispute about the lineage of of the Lordship was sparked and took many years to settle due to a challenge to William’s power by the Earl of Warwick William Beauchamp, who alleged he had a claim by descent to Swansea castle and the Gower as a whole</w:t>
      </w:r>
      <w:r w:rsidDel="00000000" w:rsidR="00000000" w:rsidRPr="00000000">
        <w:rPr>
          <w:vertAlign w:val="superscript"/>
        </w:rPr>
        <w:footnoteReference w:customMarkFollows="0" w:id="8"/>
      </w:r>
      <w:r w:rsidDel="00000000" w:rsidR="00000000" w:rsidRPr="00000000">
        <w:rPr>
          <w:rtl w:val="0"/>
        </w:rPr>
        <w:t xml:space="preserve">.</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The lordship of the Gower, however, remained the focus of physical attacks, particularly on the castle itself, and in 1287 the Welsh launched an attack that resulted in the capture of Oystermouth castle nearby and the burning of the town</w:t>
      </w:r>
      <w:r w:rsidDel="00000000" w:rsidR="00000000" w:rsidRPr="00000000">
        <w:rPr>
          <w:vertAlign w:val="superscript"/>
        </w:rPr>
        <w:footnoteReference w:customMarkFollows="0" w:id="9"/>
      </w:r>
      <w:r w:rsidDel="00000000" w:rsidR="00000000" w:rsidRPr="00000000">
        <w:rPr>
          <w:rtl w:val="0"/>
        </w:rPr>
        <w:t xml:space="preserve">. A warrior caught in the attack was welshman William Cragh, also known as William ap Rhys or William the Scabby</w:t>
      </w:r>
      <w:r w:rsidDel="00000000" w:rsidR="00000000" w:rsidRPr="00000000">
        <w:rPr>
          <w:vertAlign w:val="superscript"/>
        </w:rPr>
        <w:footnoteReference w:customMarkFollows="0" w:id="10"/>
      </w:r>
      <w:r w:rsidDel="00000000" w:rsidR="00000000" w:rsidRPr="00000000">
        <w:rPr>
          <w:rtl w:val="0"/>
        </w:rPr>
        <w:t xml:space="preserve">; fighting alongside Rhys ap Maredudd, who was believed to be the great grandson of the Prince of Deheubarth, William was apprehended and held at Swansea Castle in 1290, and eventually sentenced to death after having been found guilty of the murder of 13 men</w:t>
      </w:r>
      <w:r w:rsidDel="00000000" w:rsidR="00000000" w:rsidRPr="00000000">
        <w:rPr>
          <w:vertAlign w:val="superscript"/>
        </w:rPr>
        <w:footnoteReference w:customMarkFollows="0" w:id="11"/>
      </w:r>
      <w:r w:rsidDel="00000000" w:rsidR="00000000" w:rsidRPr="00000000">
        <w:rPr>
          <w:rtl w:val="0"/>
        </w:rPr>
        <w:t xml:space="preserve">. Despite Welsh law allowing him to pay compensation, William and his family’s offer of payment of a hundred cows to William de Breos II were refused</w:t>
      </w:r>
      <w:r w:rsidDel="00000000" w:rsidR="00000000" w:rsidRPr="00000000">
        <w:rPr>
          <w:vertAlign w:val="superscript"/>
        </w:rPr>
        <w:footnoteReference w:customMarkFollows="0" w:id="12"/>
      </w:r>
      <w:r w:rsidDel="00000000" w:rsidR="00000000" w:rsidRPr="00000000">
        <w:rPr>
          <w:rtl w:val="0"/>
        </w:rPr>
        <w:t xml:space="preserve">.</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In 1291 William Cragh and a fellow rebel and prisoner Traharn ap Howel were hanged</w:t>
      </w:r>
      <w:r w:rsidDel="00000000" w:rsidR="00000000" w:rsidRPr="00000000">
        <w:rPr>
          <w:vertAlign w:val="superscript"/>
        </w:rPr>
        <w:footnoteReference w:customMarkFollows="0" w:id="13"/>
      </w:r>
      <w:r w:rsidDel="00000000" w:rsidR="00000000" w:rsidRPr="00000000">
        <w:rPr>
          <w:rtl w:val="0"/>
        </w:rPr>
        <w:t xml:space="preserve"> on the nearby Gallows on Gibbet Hill</w:t>
      </w:r>
      <w:r w:rsidDel="00000000" w:rsidR="00000000" w:rsidRPr="00000000">
        <w:rPr>
          <w:vertAlign w:val="superscript"/>
        </w:rPr>
        <w:footnoteReference w:customMarkFollows="0" w:id="14"/>
      </w:r>
      <w:r w:rsidDel="00000000" w:rsidR="00000000" w:rsidRPr="00000000">
        <w:rPr>
          <w:rtl w:val="0"/>
        </w:rPr>
        <w:t xml:space="preserve">. Supposedly, the beam snapped under their combined weight and, as Cragh was still alive, William de Breos II ordered that Cragh was to be hanged a second time and left hanging until sunset, when friends took down his body and returned it to a house in Swansea</w:t>
      </w:r>
      <w:r w:rsidDel="00000000" w:rsidR="00000000" w:rsidRPr="00000000">
        <w:rPr>
          <w:vertAlign w:val="superscript"/>
        </w:rPr>
        <w:footnoteReference w:customMarkFollows="0" w:id="15"/>
      </w:r>
      <w:r w:rsidDel="00000000" w:rsidR="00000000" w:rsidRPr="00000000">
        <w:rPr>
          <w:rtl w:val="0"/>
        </w:rPr>
        <w:t xml:space="preserve">. Traharn ap Howel died, yet William Cragh survived and supposedly lived for many years after</w:t>
      </w:r>
      <w:r w:rsidDel="00000000" w:rsidR="00000000" w:rsidRPr="00000000">
        <w:rPr>
          <w:vertAlign w:val="superscript"/>
        </w:rPr>
        <w:footnoteReference w:customMarkFollows="0" w:id="16"/>
      </w:r>
      <w:r w:rsidDel="00000000" w:rsidR="00000000" w:rsidRPr="00000000">
        <w:rPr>
          <w:rtl w:val="0"/>
        </w:rPr>
        <w:t xml:space="preserve">, even having been interviewed by the commission created by Pope Clement in Hereford in 1307</w:t>
      </w:r>
      <w:r w:rsidDel="00000000" w:rsidR="00000000" w:rsidRPr="00000000">
        <w:rPr>
          <w:vertAlign w:val="superscript"/>
        </w:rPr>
        <w:footnoteReference w:customMarkFollows="0" w:id="17"/>
      </w:r>
      <w:r w:rsidDel="00000000" w:rsidR="00000000" w:rsidRPr="00000000">
        <w:rPr>
          <w:rtl w:val="0"/>
        </w:rPr>
        <w:t xml:space="preserve">. In testimonies of the witnesses, despite numerous contradictions, a few points remained notably consistent; that William Cragh, without doubt, had died</w:t>
      </w:r>
      <w:r w:rsidDel="00000000" w:rsidR="00000000" w:rsidRPr="00000000">
        <w:rPr>
          <w:vertAlign w:val="superscript"/>
        </w:rPr>
        <w:footnoteReference w:customMarkFollows="0" w:id="18"/>
      </w:r>
      <w:r w:rsidDel="00000000" w:rsidR="00000000" w:rsidRPr="00000000">
        <w:rPr>
          <w:rtl w:val="0"/>
        </w:rPr>
        <w:t xml:space="preserve">; that his body had been measured for the saint Thomas of Cantilupe</w:t>
      </w:r>
      <w:r w:rsidDel="00000000" w:rsidR="00000000" w:rsidRPr="00000000">
        <w:rPr>
          <w:vertAlign w:val="superscript"/>
        </w:rPr>
        <w:footnoteReference w:customMarkFollows="0" w:id="19"/>
      </w:r>
      <w:r w:rsidDel="00000000" w:rsidR="00000000" w:rsidRPr="00000000">
        <w:rPr>
          <w:rtl w:val="0"/>
        </w:rPr>
        <w:t xml:space="preserve">; and that sometime around midnight Cragh had been resurrected</w:t>
      </w:r>
      <w:r w:rsidDel="00000000" w:rsidR="00000000" w:rsidRPr="00000000">
        <w:rPr>
          <w:vertAlign w:val="superscript"/>
        </w:rPr>
        <w:footnoteReference w:customMarkFollows="0" w:id="20"/>
      </w:r>
      <w:r w:rsidDel="00000000" w:rsidR="00000000" w:rsidRPr="00000000">
        <w:rPr>
          <w:rtl w:val="0"/>
        </w:rPr>
        <w:t xml:space="preserve">.</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The first notable point - that William Cragh was unequivocally dead - is expressed in a witness testimony describing William Cragh’s body.</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Throughout the extract of the recorded testimony from the witness above is the repeated description of blood and from where on Cragh’s body it had been found or oozed from, and the numerous swellings that had resulted from his hanging. The hollows of his eyes and the inside of his nose, for example, were described to have been “filled with blood”</w:t>
      </w:r>
      <w:r w:rsidDel="00000000" w:rsidR="00000000" w:rsidRPr="00000000">
        <w:rPr>
          <w:vertAlign w:val="superscript"/>
        </w:rPr>
        <w:footnoteReference w:customMarkFollows="0" w:id="21"/>
      </w:r>
      <w:r w:rsidDel="00000000" w:rsidR="00000000" w:rsidRPr="00000000">
        <w:rPr>
          <w:rtl w:val="0"/>
        </w:rPr>
        <w:t xml:space="preserve">, while the eyes themselves were said to have been hanging “outside the eyelids”</w:t>
      </w:r>
      <w:r w:rsidDel="00000000" w:rsidR="00000000" w:rsidRPr="00000000">
        <w:rPr>
          <w:vertAlign w:val="superscript"/>
        </w:rPr>
        <w:footnoteReference w:customMarkFollows="0" w:id="22"/>
      </w:r>
      <w:r w:rsidDel="00000000" w:rsidR="00000000" w:rsidRPr="00000000">
        <w:rPr>
          <w:rtl w:val="0"/>
        </w:rPr>
        <w:t xml:space="preserve">. His throat, too, was said to be both extremely swollen as well as full of blood, and his neck as being “inflamed and swollen and misshapen”</w:t>
      </w:r>
      <w:r w:rsidDel="00000000" w:rsidR="00000000" w:rsidRPr="00000000">
        <w:rPr>
          <w:vertAlign w:val="superscript"/>
        </w:rPr>
        <w:footnoteReference w:customMarkFollows="0" w:id="23"/>
      </w:r>
      <w:r w:rsidDel="00000000" w:rsidR="00000000" w:rsidRPr="00000000">
        <w:rPr>
          <w:rtl w:val="0"/>
        </w:rPr>
        <w:t xml:space="preserve">. His tongue was also described as being swollen, to such an extent it resembled an average man who was “holding two fists together at the same time”</w:t>
      </w:r>
      <w:r w:rsidDel="00000000" w:rsidR="00000000" w:rsidRPr="00000000">
        <w:rPr>
          <w:vertAlign w:val="superscript"/>
        </w:rPr>
        <w:footnoteReference w:customMarkFollows="0" w:id="24"/>
      </w:r>
      <w:r w:rsidDel="00000000" w:rsidR="00000000" w:rsidRPr="00000000">
        <w:rPr>
          <w:rtl w:val="0"/>
        </w:rPr>
        <w:t xml:space="preserve">, with William Cragh’s face also having been described as black.</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These repeated references to the various areas in which blood was found to have pooled, where generally blood should not, as well as the swellings the record reports to have arisen from the hanging all serve to emphasise the point that William Cragh was at the time, without doubt, utterly dead; this is further reinforced by the repeated assertions that William Cragh could have been able to breathe, neither through his “nostrils or though his mouth, or through his throat, or through his neck according to the way of nature”</w:t>
      </w:r>
      <w:r w:rsidDel="00000000" w:rsidR="00000000" w:rsidRPr="00000000">
        <w:rPr>
          <w:vertAlign w:val="superscript"/>
        </w:rPr>
        <w:footnoteReference w:customMarkFollows="0" w:id="25"/>
      </w:r>
      <w:r w:rsidDel="00000000" w:rsidR="00000000" w:rsidRPr="00000000">
        <w:rPr>
          <w:rtl w:val="0"/>
        </w:rPr>
        <w:t xml:space="preserve">.</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The repeated assertions that William Cragh would not have in any way been able to breathe also serve to imply that there was no way William Cragh could have cheated death in some way and been alive the entire time, as the descriptions consistently point to an inability to breathe not only while William Cragh was being hung but also afterwards when his body was moved elsewhere. This is especially poignant as the medieval understanding and definition of death was “the moment the soul left the body”</w:t>
      </w:r>
      <w:r w:rsidDel="00000000" w:rsidR="00000000" w:rsidRPr="00000000">
        <w:rPr>
          <w:vertAlign w:val="superscript"/>
        </w:rPr>
        <w:footnoteReference w:customMarkFollows="0" w:id="26"/>
      </w:r>
      <w:r w:rsidDel="00000000" w:rsidR="00000000" w:rsidRPr="00000000">
        <w:rPr>
          <w:rtl w:val="0"/>
        </w:rPr>
        <w:t xml:space="preserve">, as according to medieval understanding humans were substances of balanced matter and form, the body and the soul, and as such a “A body cannot be fully human without the presence of the soul because ‘matter alone is not the substance of the real thing’” </w:t>
      </w:r>
      <w:r w:rsidDel="00000000" w:rsidR="00000000" w:rsidRPr="00000000">
        <w:rPr>
          <w:vertAlign w:val="superscript"/>
        </w:rPr>
        <w:footnoteReference w:customMarkFollows="0" w:id="27"/>
      </w:r>
      <w:r w:rsidDel="00000000" w:rsidR="00000000" w:rsidRPr="00000000">
        <w:rPr>
          <w:rtl w:val="0"/>
        </w:rPr>
        <w:t xml:space="preserve">. As such, “in the context of miracles, matter itself has no agency until it is given form”</w:t>
      </w:r>
      <w:r w:rsidDel="00000000" w:rsidR="00000000" w:rsidRPr="00000000">
        <w:rPr>
          <w:vertAlign w:val="superscript"/>
        </w:rPr>
        <w:footnoteReference w:customMarkFollows="0" w:id="28"/>
      </w:r>
      <w:r w:rsidDel="00000000" w:rsidR="00000000" w:rsidRPr="00000000">
        <w:rPr>
          <w:rtl w:val="0"/>
        </w:rPr>
        <w:t xml:space="preserve"> and in terms of Cragh himself, without his soul his body was truly dead, and as such only divine intervention could have resuscitated him</w:t>
      </w:r>
      <w:r w:rsidDel="00000000" w:rsidR="00000000" w:rsidRPr="00000000">
        <w:rPr>
          <w:vertAlign w:val="superscript"/>
        </w:rPr>
        <w:footnoteReference w:customMarkFollows="0" w:id="29"/>
      </w:r>
      <w:r w:rsidDel="00000000" w:rsidR="00000000" w:rsidRPr="00000000">
        <w:rPr>
          <w:rtl w:val="0"/>
        </w:rPr>
        <w:t xml:space="preserve">.</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The record itself was intended to support or deny the assertion that the survival of William Cragh was a miracle, especially given that the Hereford chapter would have stood to gain from the canonisation of William Cragh for his miracle</w:t>
      </w:r>
      <w:r w:rsidDel="00000000" w:rsidR="00000000" w:rsidRPr="00000000">
        <w:rPr>
          <w:vertAlign w:val="superscript"/>
        </w:rPr>
        <w:footnoteReference w:customMarkFollows="0" w:id="30"/>
      </w:r>
      <w:r w:rsidDel="00000000" w:rsidR="00000000" w:rsidRPr="00000000">
        <w:rPr>
          <w:rtl w:val="0"/>
        </w:rPr>
        <w:t xml:space="preserve">, though there’s no evidence to support any manipulation</w:t>
      </w:r>
      <w:r w:rsidDel="00000000" w:rsidR="00000000" w:rsidRPr="00000000">
        <w:rPr>
          <w:vertAlign w:val="superscript"/>
        </w:rPr>
        <w:footnoteReference w:customMarkFollows="0" w:id="31"/>
      </w:r>
      <w:r w:rsidDel="00000000" w:rsidR="00000000" w:rsidRPr="00000000">
        <w:rPr>
          <w:rtl w:val="0"/>
        </w:rPr>
        <w:t xml:space="preserve">; to stress that William Cragh was truly dead in all senses of the word, from physical </w:t>
      </w:r>
      <w:r w:rsidDel="00000000" w:rsidR="00000000" w:rsidRPr="00000000">
        <w:rPr>
          <w:rtl w:val="0"/>
        </w:rPr>
        <w:t xml:space="preserve">inanimation</w:t>
      </w:r>
      <w:r w:rsidDel="00000000" w:rsidR="00000000" w:rsidRPr="00000000">
        <w:rPr>
          <w:rtl w:val="0"/>
        </w:rPr>
        <w:t xml:space="preserve"> to the absence of a soul which to medieval understanding would have rendered him equally as dead, would support that Cragh’s resurrection was a miracle. Perhaps especially so given that there are testimonies from other witnesses which state that Cragh had been contrite on the day of his hanging, “shedding tears for his sins” as well as begging those witnessing his execution to pray for forgiveness for him</w:t>
      </w:r>
      <w:r w:rsidDel="00000000" w:rsidR="00000000" w:rsidRPr="00000000">
        <w:rPr>
          <w:vertAlign w:val="superscript"/>
        </w:rPr>
        <w:footnoteReference w:customMarkFollows="0" w:id="32"/>
      </w:r>
      <w:r w:rsidDel="00000000" w:rsidR="00000000" w:rsidRPr="00000000">
        <w:rPr>
          <w:rtl w:val="0"/>
        </w:rPr>
        <w:t xml:space="preserve">, and that William de Breos II’s third wife, Lady Mary de Breos, also prayed for Cragh’s survival</w:t>
      </w:r>
      <w:r w:rsidDel="00000000" w:rsidR="00000000" w:rsidRPr="00000000">
        <w:rPr>
          <w:vertAlign w:val="superscript"/>
        </w:rPr>
        <w:footnoteReference w:customMarkFollows="0" w:id="33"/>
      </w:r>
      <w:r w:rsidDel="00000000" w:rsidR="00000000" w:rsidRPr="00000000">
        <w:rPr>
          <w:rtl w:val="0"/>
        </w:rPr>
        <w:t xml:space="preserve">.</w:t>
      </w:r>
      <w:r w:rsidDel="00000000" w:rsidR="00000000" w:rsidRPr="00000000">
        <w:br w:type="page"/>
      </w:r>
      <w:r w:rsidDel="00000000" w:rsidR="00000000" w:rsidRPr="00000000">
        <w:rPr>
          <w:rtl w:val="0"/>
        </w:rPr>
      </w:r>
    </w:p>
    <w:p w:rsidR="00000000" w:rsidDel="00000000" w:rsidP="00000000" w:rsidRDefault="00000000" w:rsidRPr="00000000" w14:paraId="00000018">
      <w:pPr>
        <w:rPr/>
      </w:pPr>
      <w:r w:rsidDel="00000000" w:rsidR="00000000" w:rsidRPr="00000000">
        <w:rPr>
          <w:b w:val="1"/>
          <w:rtl w:val="0"/>
        </w:rPr>
        <w:t xml:space="preserve">Bibliography</w:t>
      </w:r>
      <w:r w:rsidDel="00000000" w:rsidR="00000000" w:rsidRPr="00000000">
        <w:rPr>
          <w:rtl w:val="0"/>
        </w:rPr>
      </w:r>
    </w:p>
    <w:p w:rsidR="00000000" w:rsidDel="00000000" w:rsidP="00000000" w:rsidRDefault="00000000" w:rsidRPr="00000000" w14:paraId="00000019">
      <w:pPr>
        <w:ind w:left="0" w:firstLine="0"/>
        <w:rPr/>
      </w:pPr>
      <w:r w:rsidDel="00000000" w:rsidR="00000000" w:rsidRPr="00000000">
        <w:rPr>
          <w:rtl w:val="0"/>
        </w:rPr>
        <w:t xml:space="preserve">Primary</w:t>
      </w:r>
    </w:p>
    <w:p w:rsidR="00000000" w:rsidDel="00000000" w:rsidP="00000000" w:rsidRDefault="00000000" w:rsidRPr="00000000" w14:paraId="0000001A">
      <w:pPr>
        <w:numPr>
          <w:ilvl w:val="0"/>
          <w:numId w:val="1"/>
        </w:numPr>
        <w:ind w:left="720" w:hanging="360"/>
      </w:pPr>
      <w:r w:rsidDel="00000000" w:rsidR="00000000" w:rsidRPr="00000000">
        <w:rPr>
          <w:rtl w:val="0"/>
        </w:rPr>
        <w:t xml:space="preserve">H. Webster (n.d a), Vatican City, Vatican MS Latin. 4015, fol. 11r, trans. H. Webster, Provided in course reading</w:t>
      </w:r>
    </w:p>
    <w:p w:rsidR="00000000" w:rsidDel="00000000" w:rsidP="00000000" w:rsidRDefault="00000000" w:rsidRPr="00000000" w14:paraId="0000001B">
      <w:pPr>
        <w:ind w:left="0" w:firstLine="0"/>
        <w:rPr/>
      </w:pPr>
      <w:r w:rsidDel="00000000" w:rsidR="00000000" w:rsidRPr="00000000">
        <w:rPr>
          <w:rtl w:val="0"/>
        </w:rPr>
      </w:r>
    </w:p>
    <w:p w:rsidR="00000000" w:rsidDel="00000000" w:rsidP="00000000" w:rsidRDefault="00000000" w:rsidRPr="00000000" w14:paraId="0000001C">
      <w:pPr>
        <w:ind w:left="0" w:firstLine="0"/>
        <w:rPr/>
      </w:pPr>
      <w:r w:rsidDel="00000000" w:rsidR="00000000" w:rsidRPr="00000000">
        <w:rPr>
          <w:rtl w:val="0"/>
        </w:rPr>
        <w:t xml:space="preserve">Secondary</w:t>
      </w:r>
    </w:p>
    <w:p w:rsidR="00000000" w:rsidDel="00000000" w:rsidP="00000000" w:rsidRDefault="00000000" w:rsidRPr="00000000" w14:paraId="0000001D">
      <w:pPr>
        <w:numPr>
          <w:ilvl w:val="0"/>
          <w:numId w:val="2"/>
        </w:numPr>
        <w:ind w:left="720" w:hanging="360"/>
      </w:pPr>
      <w:r w:rsidDel="00000000" w:rsidR="00000000" w:rsidRPr="00000000">
        <w:rPr>
          <w:rtl w:val="0"/>
        </w:rPr>
        <w:t xml:space="preserve">Swansea Council (n.d), </w:t>
      </w:r>
      <w:r w:rsidDel="00000000" w:rsidR="00000000" w:rsidRPr="00000000">
        <w:rPr>
          <w:i w:val="1"/>
          <w:rtl w:val="0"/>
        </w:rPr>
        <w:t xml:space="preserve">1200 - 1320 - The De Breos Years</w:t>
      </w:r>
      <w:r w:rsidDel="00000000" w:rsidR="00000000" w:rsidRPr="00000000">
        <w:rPr>
          <w:rtl w:val="0"/>
        </w:rPr>
        <w:t xml:space="preserve">, Available at: </w:t>
      </w:r>
      <w:hyperlink r:id="rId7">
        <w:r w:rsidDel="00000000" w:rsidR="00000000" w:rsidRPr="00000000">
          <w:rPr>
            <w:color w:val="1155cc"/>
            <w:u w:val="single"/>
            <w:rtl w:val="0"/>
          </w:rPr>
          <w:t xml:space="preserve">https://www.swansea.gov.uk/debreosyears</w:t>
        </w:r>
      </w:hyperlink>
      <w:r w:rsidDel="00000000" w:rsidR="00000000" w:rsidRPr="00000000">
        <w:rPr>
          <w:rtl w:val="0"/>
        </w:rPr>
        <w:t xml:space="preserve">, Accessed: 2/6/21</w:t>
      </w:r>
    </w:p>
    <w:p w:rsidR="00000000" w:rsidDel="00000000" w:rsidP="00000000" w:rsidRDefault="00000000" w:rsidRPr="00000000" w14:paraId="0000001E">
      <w:pPr>
        <w:numPr>
          <w:ilvl w:val="0"/>
          <w:numId w:val="2"/>
        </w:numPr>
        <w:ind w:left="720" w:hanging="360"/>
      </w:pPr>
      <w:r w:rsidDel="00000000" w:rsidR="00000000" w:rsidRPr="00000000">
        <w:rPr>
          <w:rtl w:val="0"/>
        </w:rPr>
        <w:t xml:space="preserve">Hanska, J (2001), </w:t>
      </w:r>
      <w:r w:rsidDel="00000000" w:rsidR="00000000" w:rsidRPr="00000000">
        <w:rPr>
          <w:i w:val="1"/>
          <w:rtl w:val="0"/>
        </w:rPr>
        <w:t xml:space="preserve">The hanging of William Cragh: anatomy of a miracle</w:t>
      </w:r>
      <w:r w:rsidDel="00000000" w:rsidR="00000000" w:rsidRPr="00000000">
        <w:rPr>
          <w:rtl w:val="0"/>
        </w:rPr>
        <w:t xml:space="preserve">, Journal of Medieval History 27, Pp. 121–138</w:t>
      </w:r>
    </w:p>
    <w:p w:rsidR="00000000" w:rsidDel="00000000" w:rsidP="00000000" w:rsidRDefault="00000000" w:rsidRPr="00000000" w14:paraId="0000001F">
      <w:pPr>
        <w:numPr>
          <w:ilvl w:val="0"/>
          <w:numId w:val="2"/>
        </w:numPr>
        <w:ind w:left="720" w:hanging="360"/>
        <w:rPr>
          <w:u w:val="none"/>
        </w:rPr>
      </w:pPr>
      <w:r w:rsidDel="00000000" w:rsidR="00000000" w:rsidRPr="00000000">
        <w:rPr>
          <w:rtl w:val="0"/>
        </w:rPr>
        <w:t xml:space="preserve">H. Webster (n.d b), </w:t>
      </w:r>
      <w:r w:rsidDel="00000000" w:rsidR="00000000" w:rsidRPr="00000000">
        <w:rPr>
          <w:i w:val="1"/>
          <w:rtl w:val="0"/>
        </w:rPr>
        <w:t xml:space="preserve">7: The resuscitation of the twice-hanged man: miracles and the body in medieval Swansea</w:t>
      </w:r>
      <w:r w:rsidDel="00000000" w:rsidR="00000000" w:rsidRPr="00000000">
        <w:rPr>
          <w:rtl w:val="0"/>
        </w:rPr>
        <w:t xml:space="preserve">, Provided in course reading</w:t>
      </w:r>
    </w:p>
    <w:p w:rsidR="00000000" w:rsidDel="00000000" w:rsidP="00000000" w:rsidRDefault="00000000" w:rsidRPr="00000000" w14:paraId="00000020">
      <w:pPr>
        <w:ind w:left="720" w:firstLine="0"/>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2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a)</w:t>
      </w:r>
    </w:p>
  </w:footnote>
  <w:footnote w:id="8">
    <w:p w:rsidR="00000000" w:rsidDel="00000000" w:rsidP="00000000" w:rsidRDefault="00000000" w:rsidRPr="00000000" w14:paraId="0000002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6">
    <w:p w:rsidR="00000000" w:rsidDel="00000000" w:rsidP="00000000" w:rsidRDefault="00000000" w:rsidRPr="00000000" w14:paraId="0000002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7">
    <w:p w:rsidR="00000000" w:rsidDel="00000000" w:rsidP="00000000" w:rsidRDefault="00000000" w:rsidRPr="00000000" w14:paraId="0000002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9">
    <w:p w:rsidR="00000000" w:rsidDel="00000000" w:rsidP="00000000" w:rsidRDefault="00000000" w:rsidRPr="00000000" w14:paraId="0000002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10">
    <w:p w:rsidR="00000000" w:rsidDel="00000000" w:rsidP="00000000" w:rsidRDefault="00000000" w:rsidRPr="00000000" w14:paraId="0000002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11">
    <w:p w:rsidR="00000000" w:rsidDel="00000000" w:rsidP="00000000" w:rsidRDefault="00000000" w:rsidRPr="00000000" w14:paraId="0000002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12">
    <w:p w:rsidR="00000000" w:rsidDel="00000000" w:rsidP="00000000" w:rsidRDefault="00000000" w:rsidRPr="00000000" w14:paraId="0000002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14">
    <w:p w:rsidR="00000000" w:rsidDel="00000000" w:rsidP="00000000" w:rsidRDefault="00000000" w:rsidRPr="00000000" w14:paraId="0000002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15">
    <w:p w:rsidR="00000000" w:rsidDel="00000000" w:rsidP="00000000" w:rsidRDefault="00000000" w:rsidRPr="00000000" w14:paraId="0000002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13">
    <w:p w:rsidR="00000000" w:rsidDel="00000000" w:rsidP="00000000" w:rsidRDefault="00000000" w:rsidRPr="00000000" w14:paraId="0000002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121</w:t>
      </w:r>
    </w:p>
  </w:footnote>
  <w:footnote w:id="16">
    <w:p w:rsidR="00000000" w:rsidDel="00000000" w:rsidP="00000000" w:rsidRDefault="00000000" w:rsidRPr="00000000" w14:paraId="0000002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121</w:t>
      </w:r>
    </w:p>
  </w:footnote>
  <w:footnote w:id="17">
    <w:p w:rsidR="00000000" w:rsidDel="00000000" w:rsidP="00000000" w:rsidRDefault="00000000" w:rsidRPr="00000000" w14:paraId="0000002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121</w:t>
      </w:r>
    </w:p>
  </w:footnote>
  <w:footnote w:id="18">
    <w:p w:rsidR="00000000" w:rsidDel="00000000" w:rsidP="00000000" w:rsidRDefault="00000000" w:rsidRPr="00000000" w14:paraId="0000002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128</w:t>
      </w:r>
    </w:p>
  </w:footnote>
  <w:footnote w:id="19">
    <w:p w:rsidR="00000000" w:rsidDel="00000000" w:rsidP="00000000" w:rsidRDefault="00000000" w:rsidRPr="00000000" w14:paraId="0000002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128</w:t>
      </w:r>
    </w:p>
  </w:footnote>
  <w:footnote w:id="20">
    <w:p w:rsidR="00000000" w:rsidDel="00000000" w:rsidP="00000000" w:rsidRDefault="00000000" w:rsidRPr="00000000" w14:paraId="0000003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128</w:t>
      </w:r>
    </w:p>
  </w:footnote>
  <w:footnote w:id="21">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a)</w:t>
      </w:r>
    </w:p>
  </w:footnote>
  <w:footnote w:id="22">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a)</w:t>
      </w:r>
    </w:p>
  </w:footnote>
  <w:footnote w:id="23">
    <w:p w:rsidR="00000000" w:rsidDel="00000000" w:rsidP="00000000" w:rsidRDefault="00000000" w:rsidRPr="00000000" w14:paraId="0000003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a)</w:t>
      </w:r>
    </w:p>
  </w:footnote>
  <w:footnote w:id="24">
    <w:p w:rsidR="00000000" w:rsidDel="00000000" w:rsidP="00000000" w:rsidRDefault="00000000" w:rsidRPr="00000000" w14:paraId="0000003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a)</w:t>
      </w:r>
    </w:p>
  </w:footnote>
  <w:footnote w:id="25">
    <w:p w:rsidR="00000000" w:rsidDel="00000000" w:rsidP="00000000" w:rsidRDefault="00000000" w:rsidRPr="00000000" w14:paraId="0000003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a)</w:t>
      </w:r>
    </w:p>
  </w:footnote>
  <w:footnote w:id="26">
    <w:p w:rsidR="00000000" w:rsidDel="00000000" w:rsidP="00000000" w:rsidRDefault="00000000" w:rsidRPr="00000000" w14:paraId="000000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b), P. 7</w:t>
      </w:r>
    </w:p>
  </w:footnote>
  <w:footnote w:id="27">
    <w:p w:rsidR="00000000" w:rsidDel="00000000" w:rsidP="00000000" w:rsidRDefault="00000000" w:rsidRPr="00000000" w14:paraId="0000003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b), P. 7</w:t>
      </w:r>
    </w:p>
  </w:footnote>
  <w:footnote w:id="28">
    <w:p w:rsidR="00000000" w:rsidDel="00000000" w:rsidP="00000000" w:rsidRDefault="00000000" w:rsidRPr="00000000" w14:paraId="0000003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b), P. 7</w:t>
      </w:r>
    </w:p>
  </w:footnote>
  <w:footnote w:id="29">
    <w:p w:rsidR="00000000" w:rsidDel="00000000" w:rsidP="00000000" w:rsidRDefault="00000000" w:rsidRPr="00000000" w14:paraId="000000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 Webster (n.d b), P. 8</w:t>
      </w:r>
    </w:p>
  </w:footnote>
  <w:footnote w:id="30">
    <w:p w:rsidR="00000000" w:rsidDel="00000000" w:rsidP="00000000" w:rsidRDefault="00000000" w:rsidRPr="00000000" w14:paraId="000000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121</w:t>
      </w:r>
    </w:p>
  </w:footnote>
  <w:footnote w:id="31">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121</w:t>
      </w:r>
    </w:p>
  </w:footnote>
  <w:footnote w:id="32">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126</w:t>
      </w:r>
    </w:p>
  </w:footnote>
  <w:footnote w:id="33">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1">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 w:id="3">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122</w:t>
      </w:r>
    </w:p>
  </w:footnote>
  <w:footnote w:id="4">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121</w:t>
      </w:r>
    </w:p>
  </w:footnote>
  <w:footnote w:id="5">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Hanska, J (2001), P. 121</w:t>
      </w:r>
    </w:p>
  </w:footnote>
  <w:footnote w:id="2">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Swansea Council (n.d)</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sz w:val="36"/>
      <w:szCs w:val="36"/>
    </w:rPr>
  </w:style>
  <w:style w:type="paragraph" w:styleId="Heading2">
    <w:name w:val="heading 2"/>
    <w:basedOn w:val="Normal"/>
    <w:next w:val="Normal"/>
    <w:pPr>
      <w:keepNext w:val="1"/>
      <w:keepLines w:val="1"/>
    </w:pPr>
    <w:rPr>
      <w:sz w:val="28"/>
      <w:szCs w:val="28"/>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jc w:val="center"/>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swansea.gov.uk/debreosye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