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color="FFFFFF" w:sz="0"/>
              <w:bottom w:color="FFFFFF" w:sz="0"/>
              <w:right w:color="FFFFFF" w:sz="0"/>
            </w:tcBorders>
            <w:shd w:fill="0A3D55" w:color="auto" w:val="clear"/>
            <w:tcMar>
              <w:top w:type="dxa" w:w="220"/>
              <w:left w:type="dxa" w:w="200"/>
              <w:bottom w:type="dxa" w:w="220"/>
              <w:right w:type="dxa" w:w="200"/>
            </w:tcMar>
            <w:vAlign w:val="top"/>
          </w:tcPr>
          <w:p>
            <w:pPr>
              <w:spacing w:after="60" w:before="60"/>
              <w:jc w:val="center"/>
            </w:pPr>
            <w:r>
              <w:rPr>
                <w:rFonts w:ascii="Calibri" w:cs="Calibri" w:eastAsia="Calibri" w:hAnsi="Calibri"/>
                <w:b w:val="false"/>
                <w:bCs w:val="false"/>
                <w:i w:val="false"/>
                <w:iCs w:val="false"/>
                <w:strike w:val="false"/>
                <w:color w:val="8ECFDA"/>
                <w:sz w:val="22"/>
                <w:szCs w:val="22"/>
              </w:rPr>
              <w:t xml:space="preserve">ACCB6020  ·  Usability Engineering</w:t>
            </w:r>
          </w:p>
          <w:p>
            <w:pPr>
              <w:spacing w:after="60" w:before="60"/>
              <w:jc w:val="center"/>
            </w:pPr>
            <w:r>
              <w:rPr>
                <w:rFonts w:ascii="Cambria" w:cs="Cambria" w:eastAsia="Cambria" w:hAnsi="Cambria"/>
                <w:b/>
                <w:bCs/>
                <w:i w:val="false"/>
                <w:iCs w:val="false"/>
                <w:strike w:val="false"/>
                <w:color w:val="FFFFFF"/>
                <w:sz w:val="84"/>
                <w:szCs w:val="84"/>
              </w:rPr>
              <w:t xml:space="preserve">Lab Exercise Sheet</w:t>
            </w:r>
          </w:p>
          <w:p>
            <w:pPr>
              <w:spacing w:after="60" w:before="60"/>
              <w:jc w:val="center"/>
            </w:pPr>
            <w:r>
              <w:rPr>
                <w:rFonts w:ascii="Calibri" w:cs="Calibri" w:eastAsia="Calibri" w:hAnsi="Calibri"/>
                <w:b w:val="false"/>
                <w:bCs w:val="false"/>
                <w:i w:val="false"/>
                <w:iCs w:val="false"/>
                <w:strike w:val="false"/>
                <w:color w:val="02C39A"/>
                <w:sz w:val="40"/>
                <w:szCs w:val="40"/>
              </w:rPr>
              <w:t xml:space="preserve">Lecture 6 — Evaluating the Interfaces I</w:t>
            </w:r>
          </w:p>
          <w:p>
            <w:pPr>
              <w:spacing w:after="0" w:before="60"/>
              <w:jc w:val="center"/>
            </w:pPr>
            <w:r>
              <w:rPr>
                <w:rFonts w:ascii="Calibri" w:cs="Calibri" w:eastAsia="Calibri" w:hAnsi="Calibri"/>
                <w:b w:val="false"/>
                <w:bCs w:val="false"/>
                <w:i w:val="false"/>
                <w:iCs w:val="false"/>
                <w:strike w:val="false"/>
                <w:color w:val="8ECFDA"/>
                <w:sz w:val="28"/>
                <w:szCs w:val="28"/>
              </w:rPr>
              <w:t xml:space="preserve">Personas  ·  Heuristic Evaluation  ·  Quantitative Analysis  ·  Thematic Analysis</w:t>
            </w:r>
          </w:p>
        </w:tc>
      </w:tr>
    </w:tbl>
    <w:p>
      <w:pPr>
        <w:spacing w:after="0" w:before="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color="FFFFFF" w:sz="0"/>
              <w:left w:color="FFFFFF" w:sz="0"/>
              <w:bottom w:color="FFFFFF" w:sz="0"/>
              <w:right w:color="FFFFFF" w:sz="0"/>
            </w:tcBorders>
            <w:shd w:fill="F2F4F5"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Name: _________________________________</w:t>
            </w:r>
          </w:p>
        </w:tc>
        <w:tc>
          <w:tcPr>
            <w:tcW w:type="dxa" w:w="3120"/>
            <w:tcBorders>
              <w:top w:color="FFFFFF" w:sz="0"/>
              <w:left w:color="FFFFFF" w:sz="0"/>
              <w:bottom w:color="FFFFFF" w:sz="0"/>
              <w:right w:color="FFFFFF" w:sz="0"/>
            </w:tcBorders>
            <w:shd w:fill="F2F4F5"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Student ID: ____________________</w:t>
            </w:r>
          </w:p>
        </w:tc>
        <w:tc>
          <w:tcPr>
            <w:tcW w:type="dxa" w:w="3120"/>
            <w:tcBorders>
              <w:top w:color="FFFFFF" w:sz="0"/>
              <w:left w:color="FFFFFF" w:sz="0"/>
              <w:bottom w:color="FFFFFF" w:sz="0"/>
              <w:right w:color="FFFFFF" w:sz="0"/>
            </w:tcBorders>
            <w:shd w:fill="F2F4F5"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Date: ___________________________</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28090" w:sz="10"/>
              <w:bottom w:color="FFFFFF" w:sz="0"/>
              <w:right w:color="FFFFFF" w:sz="0"/>
            </w:tcBorders>
            <w:shd w:fill="EBF8FF"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028090"/>
                <w:sz w:val="22"/>
                <w:szCs w:val="22"/>
              </w:rPr>
              <w:t xml:space="preserve">Instructions</w:t>
            </w:r>
          </w:p>
          <w:p>
            <w:pPr>
              <w:spacing w:after="40" w:before="40"/>
              <w:jc w:val="left"/>
            </w:pPr>
            <w:r>
              <w:rPr>
                <w:rFonts w:ascii="Calibri" w:cs="Calibri" w:eastAsia="Calibri" w:hAnsi="Calibri"/>
                <w:b w:val="false"/>
                <w:bCs w:val="false"/>
                <w:i w:val="false"/>
                <w:iCs w:val="false"/>
                <w:strike w:val="false"/>
                <w:color w:val="1E293B"/>
                <w:sz w:val="22"/>
                <w:szCs w:val="22"/>
              </w:rPr>
              <w:t xml:space="preserve">This exercise sheet accompanies Lecture 6. Complete all exercises in the spaces provided.</w:t>
            </w:r>
          </w:p>
          <w:p>
            <w:pPr>
              <w:spacing w:after="40" w:before="40"/>
              <w:jc w:val="left"/>
            </w:pPr>
            <w:r>
              <w:rPr>
                <w:rFonts w:ascii="Calibri" w:cs="Calibri" w:eastAsia="Calibri" w:hAnsi="Calibri"/>
                <w:b w:val="false"/>
                <w:bCs w:val="false"/>
                <w:i w:val="false"/>
                <w:iCs w:val="false"/>
                <w:strike w:val="false"/>
                <w:color w:val="1E293B"/>
                <w:sz w:val="22"/>
                <w:szCs w:val="22"/>
              </w:rPr>
              <w:t xml:space="preserve">Exercises use the WardWatch patient handover system as the running case study — refer to the lecture slides for context.</w:t>
            </w:r>
          </w:p>
          <w:p>
            <w:pPr>
              <w:spacing w:after="40" w:before="40"/>
              <w:jc w:val="left"/>
            </w:pPr>
            <w:r>
              <w:rPr>
                <w:rFonts w:ascii="Calibri" w:cs="Calibri" w:eastAsia="Calibri" w:hAnsi="Calibri"/>
                <w:b w:val="false"/>
                <w:bCs w:val="false"/>
                <w:i w:val="false"/>
                <w:iCs w:val="false"/>
                <w:strike w:val="false"/>
                <w:color w:val="1E293B"/>
                <w:sz w:val="22"/>
                <w:szCs w:val="22"/>
              </w:rPr>
              <w:t xml:space="preserve">Show your working in quantitative exercises. For qualitative exercises, brief but precise answers are preferred.</w:t>
            </w:r>
          </w:p>
          <w:p>
            <w:pPr>
              <w:spacing w:after="40" w:before="40"/>
              <w:jc w:val="left"/>
            </w:pPr>
            <w:r>
              <w:rPr>
                <w:rFonts w:ascii="Calibri" w:cs="Calibri" w:eastAsia="Calibri" w:hAnsi="Calibri"/>
                <w:b w:val="false"/>
                <w:bCs w:val="false"/>
                <w:i w:val="false"/>
                <w:iCs w:val="false"/>
                <w:strike w:val="false"/>
                <w:color w:val="1E293B"/>
                <w:sz w:val="22"/>
                <w:szCs w:val="22"/>
              </w:rPr>
              <w:t xml:space="preserve">Time allowance: approximately 2 hours across all four sections.</w:t>
            </w:r>
          </w:p>
        </w:tc>
      </w:tr>
    </w:tbl>
    <w:p>
      <w:pPr>
        <w:spacing w:after="0" w:before="1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28090" w:sz="10"/>
              <w:bottom w:val="single" w:color="028090" w:sz="4"/>
              <w:right w:color="FFFFFF" w:sz="0"/>
            </w:tcBorders>
            <w:shd w:fill="F2F4F5" w:color="auto" w:val="clear"/>
            <w:tcMar>
              <w:top w:type="dxa" w:w="80"/>
              <w:left w:type="dxa" w:w="120"/>
              <w:bottom w:type="dxa" w:w="80"/>
              <w:right w:type="dxa" w:w="120"/>
            </w:tcMar>
            <w:vAlign w:val="top"/>
          </w:tcPr>
          <w:p>
            <w:pPr>
              <w:spacing w:after="60" w:before="60"/>
              <w:jc w:val="left"/>
            </w:pPr>
            <w:r>
              <w:rPr>
                <w:rFonts w:ascii="Cambria" w:cs="Cambria" w:eastAsia="Cambria" w:hAnsi="Cambria"/>
                <w:b/>
                <w:bCs/>
                <w:i w:val="false"/>
                <w:iCs w:val="false"/>
                <w:strike w:val="false"/>
                <w:color w:val="028090"/>
                <w:sz w:val="28"/>
                <w:szCs w:val="28"/>
              </w:rPr>
              <w:t xml:space="preserve">Section A:  </w:t>
            </w:r>
            <w:r>
              <w:rPr>
                <w:rFonts w:ascii="Cambria" w:cs="Cambria" w:eastAsia="Cambria" w:hAnsi="Cambria"/>
                <w:b/>
                <w:bCs/>
                <w:i w:val="false"/>
                <w:iCs w:val="false"/>
                <w:strike w:val="false"/>
                <w:color w:val="0A3D55"/>
                <w:sz w:val="28"/>
                <w:szCs w:val="28"/>
              </w:rPr>
              <w:t xml:space="preserve">Personas</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20"/>
        <w:gridCol w:w="1640"/>
      </w:tblGrid>
      <w:tr>
        <w:tc>
          <w:tcPr>
            <w:tcBorders>
              <w:top w:color="FFFFFF" w:sz="0"/>
              <w:left w:color="FFFFFF" w:sz="0"/>
              <w:bottom w:color="FFFFFF" w:sz="0"/>
              <w:right w:color="FFFFFF" w:sz="0"/>
            </w:tcBorders>
            <w:shd w:fill="028090" w:color="auto" w:val="clear"/>
            <w:tcMar>
              <w:top w:type="dxa" w:w="80"/>
              <w:left w:type="dxa" w:w="160"/>
              <w:bottom w:type="dxa" w:w="80"/>
              <w:right w:type="dxa" w:w="120"/>
            </w:tcMar>
            <w:vAlign w:val="top"/>
          </w:tcPr>
          <w:p>
            <w:pPr>
              <w:spacing w:after="60" w:before="60"/>
              <w:jc w:val="left"/>
            </w:pPr>
            <w:r>
              <w:rPr>
                <w:rFonts w:ascii="Cambria" w:cs="Cambria" w:eastAsia="Cambria" w:hAnsi="Cambria"/>
                <w:b/>
                <w:bCs/>
                <w:i w:val="false"/>
                <w:iCs w:val="false"/>
                <w:strike w:val="false"/>
                <w:color w:val="FFFFFF"/>
                <w:sz w:val="24"/>
                <w:szCs w:val="24"/>
              </w:rPr>
              <w:t xml:space="preserve">Exercise 1:  </w:t>
            </w:r>
            <w:r>
              <w:rPr>
                <w:rFonts w:ascii="Cambria" w:cs="Cambria" w:eastAsia="Cambria" w:hAnsi="Cambria"/>
                <w:b/>
                <w:bCs/>
                <w:i w:val="false"/>
                <w:iCs w:val="false"/>
                <w:strike w:val="false"/>
                <w:color w:val="FFFFFF"/>
                <w:sz w:val="24"/>
                <w:szCs w:val="24"/>
              </w:rPr>
              <w:t xml:space="preserve">Analysing a Persona</w:t>
            </w:r>
          </w:p>
        </w:tc>
        <w:tc>
          <w:tcPr>
            <w:tcBorders>
              <w:top w:color="FFFFFF" w:sz="0"/>
              <w:left w:color="FFFFFF" w:sz="0"/>
              <w:bottom w:color="FFFFFF" w:sz="0"/>
              <w:right w:color="FFFFFF" w:sz="0"/>
            </w:tcBorders>
            <w:shd w:fill="EBF8FF" w:color="auto" w:val="clear"/>
            <w:tcMar>
              <w:top w:type="dxa" w:w="80"/>
              <w:left w:type="dxa" w:w="120"/>
              <w:bottom w:type="dxa" w:w="80"/>
              <w:right w:type="dxa" w:w="120"/>
            </w:tcMar>
            <w:vAlign w:val="center"/>
          </w:tcPr>
          <w:p>
            <w:pPr>
              <w:spacing w:after="60" w:before="60"/>
              <w:jc w:val="center"/>
            </w:pPr>
            <w:r>
              <w:rPr>
                <w:rFonts w:ascii="Calibri" w:cs="Calibri" w:eastAsia="Calibri" w:hAnsi="Calibri"/>
                <w:b/>
                <w:bCs/>
                <w:i w:val="false"/>
                <w:iCs w:val="false"/>
                <w:strike w:val="false"/>
                <w:color w:val="028090"/>
                <w:sz w:val="22"/>
                <w:szCs w:val="22"/>
              </w:rPr>
              <w:t xml:space="preserve">[10 marks]</w:t>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28090" w:sz="10"/>
              <w:bottom w:color="FFFFFF" w:sz="0"/>
              <w:right w:color="FFFFFF" w:sz="0"/>
            </w:tcBorders>
            <w:shd w:fill="EBF8FF"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028090"/>
                <w:sz w:val="22"/>
                <w:szCs w:val="22"/>
              </w:rPr>
              <w:t xml:space="preserve">Scenario</w:t>
            </w:r>
          </w:p>
          <w:p>
            <w:pPr>
              <w:spacing w:after="40" w:before="40"/>
              <w:jc w:val="left"/>
            </w:pPr>
            <w:r>
              <w:rPr>
                <w:rFonts w:ascii="Calibri" w:cs="Calibri" w:eastAsia="Calibri" w:hAnsi="Calibri"/>
                <w:b w:val="false"/>
                <w:bCs w:val="false"/>
                <w:i w:val="false"/>
                <w:iCs w:val="false"/>
                <w:strike w:val="false"/>
                <w:color w:val="1E293B"/>
                <w:sz w:val="22"/>
                <w:szCs w:val="22"/>
              </w:rPr>
              <w:t xml:space="preserve">Review the Brenda Okafor persona from the lecture (Senior Ward Nurse, 14 years NHS experience, Age 38).</w:t>
            </w:r>
          </w:p>
          <w:p>
            <w:pPr>
              <w:spacing w:after="40" w:before="40"/>
              <w:jc w:val="left"/>
            </w:pPr>
            <w:r>
              <w:rPr>
                <w:rFonts w:ascii="Calibri" w:cs="Calibri" w:eastAsia="Calibri" w:hAnsi="Calibri"/>
                <w:b w:val="false"/>
                <w:bCs w:val="false"/>
                <w:i w:val="false"/>
                <w:iCs w:val="false"/>
                <w:strike w:val="false"/>
                <w:color w:val="1E293B"/>
                <w:sz w:val="22"/>
                <w:szCs w:val="22"/>
              </w:rPr>
              <w:t xml:space="preserve">Primary goal: Complete handovers accurately in under 5 minutes. Pain points: risk flag invisible; audit export too slow; navigation causes errors.</w:t>
            </w:r>
          </w:p>
          <w:p>
            <w:pPr>
              <w:spacing w:after="40" w:before="40"/>
              <w:jc w:val="left"/>
            </w:pPr>
            <w:r>
              <w:rPr>
                <w:rFonts w:ascii="Calibri" w:cs="Calibri" w:eastAsia="Calibri" w:hAnsi="Calibri"/>
                <w:b w:val="false"/>
                <w:bCs w:val="false"/>
                <w:i w:val="false"/>
                <w:iCs w:val="false"/>
                <w:strike w:val="false"/>
                <w:color w:val="1E293B"/>
                <w:sz w:val="22"/>
                <w:szCs w:val="22"/>
              </w:rPr>
              <w:t xml:space="preserve">Observed behaviour: keeps paper backup; uses keyboard shortcuts exclusively; teaches workarounds to new staff before teaching the system.</w:t>
            </w:r>
          </w:p>
        </w:tc>
      </w:tr>
    </w:tbl>
    <w:p>
      <w:pPr>
        <w:spacing w:after="0" w:before="80"/>
      </w:pPr>
    </w:p>
    <w:p>
      <w:pPr>
        <w:spacing w:after="60" w:before="60"/>
        <w:jc w:val="left"/>
      </w:pPr>
      <w:r>
        <w:rPr>
          <w:rFonts w:ascii="Calibri" w:cs="Calibri" w:eastAsia="Calibri" w:hAnsi="Calibri"/>
          <w:b/>
          <w:bCs/>
          <w:i w:val="false"/>
          <w:iCs w:val="false"/>
          <w:strike w:val="false"/>
          <w:color w:val="028090"/>
          <w:sz w:val="22"/>
          <w:szCs w:val="22"/>
        </w:rPr>
        <w:t xml:space="preserve">1a.</w:t>
      </w:r>
      <w:r>
        <w:rPr>
          <w:rFonts w:ascii="Calibri" w:cs="Calibri" w:eastAsia="Calibri" w:hAnsi="Calibri"/>
          <w:b w:val="false"/>
          <w:bCs w:val="false"/>
          <w:i w:val="false"/>
          <w:iCs w:val="false"/>
          <w:strike w:val="false"/>
          <w:color w:val="1E293B"/>
          <w:sz w:val="22"/>
          <w:szCs w:val="22"/>
        </w:rPr>
        <w:t xml:space="preserve">  Identify FOUR components present in the Brenda Okafor persona that make it a valid research-based persona rather than a stereotype. For each, explain what it contributes to the design process.  [4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Component 1:</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Component 2:</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Component 3:</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Component 4:</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80"/>
      </w:pPr>
    </w:p>
    <w:p>
      <w:pPr>
        <w:spacing w:after="60" w:before="60"/>
        <w:jc w:val="left"/>
      </w:pPr>
      <w:r>
        <w:rPr>
          <w:rFonts w:ascii="Calibri" w:cs="Calibri" w:eastAsia="Calibri" w:hAnsi="Calibri"/>
          <w:b/>
          <w:bCs/>
          <w:i w:val="false"/>
          <w:iCs w:val="false"/>
          <w:strike w:val="false"/>
          <w:color w:val="028090"/>
          <w:sz w:val="22"/>
          <w:szCs w:val="22"/>
        </w:rPr>
        <w:t xml:space="preserve">1b.</w:t>
      </w:r>
      <w:r>
        <w:rPr>
          <w:rFonts w:ascii="Calibri" w:cs="Calibri" w:eastAsia="Calibri" w:hAnsi="Calibri"/>
          <w:b w:val="false"/>
          <w:bCs w:val="false"/>
          <w:i w:val="false"/>
          <w:iCs w:val="false"/>
          <w:strike w:val="false"/>
          <w:color w:val="1E293B"/>
          <w:sz w:val="22"/>
          <w:szCs w:val="22"/>
        </w:rPr>
        <w:t xml:space="preserve">  Brenda "teaches workarounds to new staff before she teaches them the system itself." What does this observed behaviour tell a designer about WardWatch? Write a single design implication derived from this finding.  [2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Design implication: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80"/>
      </w:pPr>
    </w:p>
    <w:p>
      <w:pPr>
        <w:spacing w:after="60" w:before="60"/>
        <w:jc w:val="left"/>
      </w:pPr>
      <w:r>
        <w:rPr>
          <w:rFonts w:ascii="Calibri" w:cs="Calibri" w:eastAsia="Calibri" w:hAnsi="Calibri"/>
          <w:b/>
          <w:bCs/>
          <w:i w:val="false"/>
          <w:iCs w:val="false"/>
          <w:strike w:val="false"/>
          <w:color w:val="028090"/>
          <w:sz w:val="22"/>
          <w:szCs w:val="22"/>
        </w:rPr>
        <w:t xml:space="preserve">1c.</w:t>
      </w:r>
      <w:r>
        <w:rPr>
          <w:rFonts w:ascii="Calibri" w:cs="Calibri" w:eastAsia="Calibri" w:hAnsi="Calibri"/>
          <w:b w:val="false"/>
          <w:bCs w:val="false"/>
          <w:i w:val="false"/>
          <w:iCs w:val="false"/>
          <w:strike w:val="false"/>
          <w:color w:val="1E293B"/>
          <w:sz w:val="22"/>
          <w:szCs w:val="22"/>
        </w:rPr>
        <w:t xml:space="preserve">  A teammate argues: "We should create an average persona — combine all participants' ages, experience levels, and goals into one." Give TWO reasons why this approach would produce an ineffective persona.  [2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Reason 1:</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Reason 2:</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80"/>
      </w:pPr>
    </w:p>
    <w:p>
      <w:pPr>
        <w:spacing w:after="60" w:before="60"/>
        <w:jc w:val="left"/>
      </w:pPr>
      <w:r>
        <w:rPr>
          <w:rFonts w:ascii="Calibri" w:cs="Calibri" w:eastAsia="Calibri" w:hAnsi="Calibri"/>
          <w:b/>
          <w:bCs/>
          <w:i w:val="false"/>
          <w:iCs w:val="false"/>
          <w:strike w:val="false"/>
          <w:color w:val="028090"/>
          <w:sz w:val="22"/>
          <w:szCs w:val="22"/>
        </w:rPr>
        <w:t xml:space="preserve">1d.</w:t>
      </w:r>
      <w:r>
        <w:rPr>
          <w:rFonts w:ascii="Calibri" w:cs="Calibri" w:eastAsia="Calibri" w:hAnsi="Calibri"/>
          <w:b w:val="false"/>
          <w:bCs w:val="false"/>
          <w:i w:val="false"/>
          <w:iCs w:val="false"/>
          <w:strike w:val="false"/>
          <w:color w:val="1E293B"/>
          <w:sz w:val="22"/>
          <w:szCs w:val="22"/>
        </w:rPr>
        <w:t xml:space="preserve">  Where does persona creation sit in the Double Diamond? Name the phase and explain in one sentence how personas are used differently in the Develop phase compared to the Define phase.  [2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Answer:</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20"/>
        <w:gridCol w:w="1640"/>
      </w:tblGrid>
      <w:tr>
        <w:tc>
          <w:tcPr>
            <w:tcBorders>
              <w:top w:color="FFFFFF" w:sz="0"/>
              <w:left w:color="FFFFFF" w:sz="0"/>
              <w:bottom w:color="FFFFFF" w:sz="0"/>
              <w:right w:color="FFFFFF" w:sz="0"/>
            </w:tcBorders>
            <w:shd w:fill="028090" w:color="auto" w:val="clear"/>
            <w:tcMar>
              <w:top w:type="dxa" w:w="80"/>
              <w:left w:type="dxa" w:w="160"/>
              <w:bottom w:type="dxa" w:w="80"/>
              <w:right w:type="dxa" w:w="120"/>
            </w:tcMar>
            <w:vAlign w:val="top"/>
          </w:tcPr>
          <w:p>
            <w:pPr>
              <w:spacing w:after="60" w:before="60"/>
              <w:jc w:val="left"/>
            </w:pPr>
            <w:r>
              <w:rPr>
                <w:rFonts w:ascii="Cambria" w:cs="Cambria" w:eastAsia="Cambria" w:hAnsi="Cambria"/>
                <w:b/>
                <w:bCs/>
                <w:i w:val="false"/>
                <w:iCs w:val="false"/>
                <w:strike w:val="false"/>
                <w:color w:val="FFFFFF"/>
                <w:sz w:val="24"/>
                <w:szCs w:val="24"/>
              </w:rPr>
              <w:t xml:space="preserve">Exercise 2:  </w:t>
            </w:r>
            <w:r>
              <w:rPr>
                <w:rFonts w:ascii="Cambria" w:cs="Cambria" w:eastAsia="Cambria" w:hAnsi="Cambria"/>
                <w:b/>
                <w:bCs/>
                <w:i w:val="false"/>
                <w:iCs w:val="false"/>
                <w:strike w:val="false"/>
                <w:color w:val="FFFFFF"/>
                <w:sz w:val="24"/>
                <w:szCs w:val="24"/>
              </w:rPr>
              <w:t xml:space="preserve">Creating a Persona</w:t>
            </w:r>
          </w:p>
        </w:tc>
        <w:tc>
          <w:tcPr>
            <w:tcBorders>
              <w:top w:color="FFFFFF" w:sz="0"/>
              <w:left w:color="FFFFFF" w:sz="0"/>
              <w:bottom w:color="FFFFFF" w:sz="0"/>
              <w:right w:color="FFFFFF" w:sz="0"/>
            </w:tcBorders>
            <w:shd w:fill="EBF8FF" w:color="auto" w:val="clear"/>
            <w:tcMar>
              <w:top w:type="dxa" w:w="80"/>
              <w:left w:type="dxa" w:w="120"/>
              <w:bottom w:type="dxa" w:w="80"/>
              <w:right w:type="dxa" w:w="120"/>
            </w:tcMar>
            <w:vAlign w:val="center"/>
          </w:tcPr>
          <w:p>
            <w:pPr>
              <w:spacing w:after="60" w:before="60"/>
              <w:jc w:val="center"/>
            </w:pPr>
            <w:r>
              <w:rPr>
                <w:rFonts w:ascii="Calibri" w:cs="Calibri" w:eastAsia="Calibri" w:hAnsi="Calibri"/>
                <w:b/>
                <w:bCs/>
                <w:i w:val="false"/>
                <w:iCs w:val="false"/>
                <w:strike w:val="false"/>
                <w:color w:val="028090"/>
                <w:sz w:val="22"/>
                <w:szCs w:val="22"/>
              </w:rPr>
              <w:t xml:space="preserve">[15 marks]</w:t>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28090" w:sz="10"/>
              <w:bottom w:color="FFFFFF" w:sz="0"/>
              <w:right w:color="FFFFFF" w:sz="0"/>
            </w:tcBorders>
            <w:shd w:fill="EBF8FF"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028090"/>
                <w:sz w:val="22"/>
                <w:szCs w:val="22"/>
              </w:rPr>
              <w:t xml:space="preserve">Scenario</w:t>
            </w:r>
          </w:p>
          <w:p>
            <w:pPr>
              <w:spacing w:after="40" w:before="40"/>
              <w:jc w:val="left"/>
            </w:pPr>
            <w:r>
              <w:rPr>
                <w:rFonts w:ascii="Calibri" w:cs="Calibri" w:eastAsia="Calibri" w:hAnsi="Calibri"/>
                <w:b w:val="false"/>
                <w:bCs w:val="false"/>
                <w:i w:val="false"/>
                <w:iCs w:val="false"/>
                <w:strike w:val="false"/>
                <w:color w:val="1E293B"/>
                <w:sz w:val="22"/>
                <w:szCs w:val="22"/>
              </w:rPr>
              <w:t xml:space="preserve">WardWatch also has a secondary user group: Foundation Year (FY1) doctors who are new to the ward and use the system to check patient records, add clinical notes, and counter-sign handovers.</w:t>
            </w:r>
          </w:p>
          <w:p>
            <w:pPr>
              <w:spacing w:after="40" w:before="40"/>
              <w:jc w:val="left"/>
            </w:pPr>
            <w:r>
              <w:rPr>
                <w:rFonts w:ascii="Calibri" w:cs="Calibri" w:eastAsia="Calibri" w:hAnsi="Calibri"/>
                <w:b w:val="false"/>
                <w:bCs w:val="false"/>
                <w:i w:val="false"/>
                <w:iCs w:val="false"/>
                <w:strike w:val="false"/>
                <w:color w:val="1E293B"/>
                <w:sz w:val="22"/>
                <w:szCs w:val="22"/>
              </w:rPr>
              <w:t xml:space="preserve">You have conducted 5 interviews with FY1 doctors. Key findings: they rotate wards every 4 months so never feel fully confident with the system; they rely heavily on nurses' informal knowledge; they find the search function essential but unreliable; they worry about making documentation errors that could affect patient safety.</w:t>
            </w:r>
          </w:p>
        </w:tc>
      </w:tr>
    </w:tbl>
    <w:p>
      <w:pPr>
        <w:spacing w:after="0" w:before="80"/>
      </w:pPr>
    </w:p>
    <w:p>
      <w:pPr>
        <w:spacing w:after="60" w:before="60"/>
        <w:jc w:val="left"/>
      </w:pPr>
      <w:r>
        <w:rPr>
          <w:rFonts w:ascii="Calibri" w:cs="Calibri" w:eastAsia="Calibri" w:hAnsi="Calibri"/>
          <w:b/>
          <w:bCs/>
          <w:i w:val="false"/>
          <w:iCs w:val="false"/>
          <w:strike w:val="false"/>
          <w:color w:val="028090"/>
          <w:sz w:val="22"/>
          <w:szCs w:val="22"/>
        </w:rPr>
        <w:t xml:space="preserve">2a.</w:t>
      </w:r>
      <w:r>
        <w:rPr>
          <w:rFonts w:ascii="Calibri" w:cs="Calibri" w:eastAsia="Calibri" w:hAnsi="Calibri"/>
          <w:b w:val="false"/>
          <w:bCs w:val="false"/>
          <w:i w:val="false"/>
          <w:iCs w:val="false"/>
          <w:strike w:val="false"/>
          <w:color w:val="1E293B"/>
          <w:sz w:val="22"/>
          <w:szCs w:val="22"/>
        </w:rPr>
        <w:t xml:space="preserve">  Using the research findings above, complete the persona skeleton below for an FY1 doctor. Give the persona a realistic name, role, and quote that captures their mindset.  [10 marks]</w:t>
      </w:r>
    </w:p>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60"/>
        <w:gridCol w:w="4700"/>
      </w:tblGrid>
      <w:tr>
        <w:tc>
          <w:tcPr>
            <w:gridSpan w:val="2"/>
            <w:tcBorders>
              <w:top w:color="FFFFFF" w:sz="0"/>
              <w:left w:color="FFFFFF" w:sz="0"/>
              <w:bottom w:color="FFFFFF" w:sz="0"/>
              <w:right w:color="FFFFFF" w:sz="0"/>
            </w:tcBorders>
            <w:shd w:fill="028090"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FFFFFF"/>
                <w:sz w:val="24"/>
                <w:szCs w:val="24"/>
              </w:rPr>
              <w:t xml:space="preserve">Persona skeleton — FY1 Doctor (WardWatch)</w:t>
            </w:r>
          </w:p>
        </w:tc>
      </w:tr>
      <w:tr>
        <w:tc>
          <w:tcPr>
            <w:tcW w:type="dxa" w:w="4660"/>
            <w:tcBorders>
              <w:top w:color="FFFFFF" w:sz="0"/>
              <w:left w:color="FFFFFF" w:sz="0"/>
              <w:bottom w:val="single" w:color="E2E8F0" w:sz="2"/>
              <w:right w:color="FFFFFF" w:sz="0"/>
            </w:tcBorders>
            <w:shd w:fill="F8FAFB" w:color="auto" w:val="clear"/>
            <w:tcMar>
              <w:top w:type="dxa" w:w="100"/>
              <w:left w:type="dxa" w:w="120"/>
              <w:bottom w:type="dxa" w:w="10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Name:</w:t>
            </w:r>
          </w:p>
          <w:p>
            <w:pPr>
              <w:spacing w:after="0" w:before="0"/>
              <w:jc w:val="left"/>
            </w:pPr>
            <w:r>
              <w:rPr>
                <w:rFonts w:ascii="Calibri" w:cs="Calibri" w:eastAsia="Calibri" w:hAnsi="Calibri"/>
                <w:b w:val="false"/>
                <w:bCs w:val="false"/>
                <w:i w:val="false"/>
                <w:iCs w:val="false"/>
                <w:strike w:val="false"/>
                <w:color w:val="1E293B"/>
                <w:sz w:val="22"/>
                <w:szCs w:val="22"/>
              </w:rPr>
              <w:t xml:space="preserve">                                                          </w:t>
            </w:r>
          </w:p>
          <w:p>
            <w:pPr>
              <w:pBdr>
                <w:bottom w:val="single" w:color="CBD5E1" w:sz="2"/>
              </w:pBdr>
              <w:spacing w:after="60" w:before="0"/>
            </w:pPr>
          </w:p>
          <w:p>
            <w:pPr>
              <w:spacing w:after="0" w:before="60"/>
            </w:pPr>
          </w:p>
          <w:p>
            <w:pPr>
              <w:spacing w:after="80" w:before="60"/>
              <w:jc w:val="left"/>
            </w:pPr>
            <w:r>
              <w:rPr>
                <w:rFonts w:ascii="Calibri" w:cs="Calibri" w:eastAsia="Calibri" w:hAnsi="Calibri"/>
                <w:b/>
                <w:bCs/>
                <w:i w:val="false"/>
                <w:iCs w:val="false"/>
                <w:strike w:val="false"/>
                <w:color w:val="64748B"/>
                <w:sz w:val="20"/>
                <w:szCs w:val="20"/>
              </w:rPr>
              <w:t xml:space="preserve">Role:</w:t>
            </w:r>
          </w:p>
          <w:p>
            <w:pPr>
              <w:spacing w:after="0" w:before="0"/>
              <w:jc w:val="left"/>
            </w:pPr>
            <w:r>
              <w:rPr>
                <w:rFonts w:ascii="Calibri" w:cs="Calibri" w:eastAsia="Calibri" w:hAnsi="Calibri"/>
                <w:b w:val="false"/>
                <w:bCs w:val="false"/>
                <w:i w:val="false"/>
                <w:iCs w:val="false"/>
                <w:strike w:val="false"/>
                <w:color w:val="1E293B"/>
                <w:sz w:val="22"/>
                <w:szCs w:val="22"/>
              </w:rPr>
              <w:t xml:space="preserve"> </w:t>
            </w:r>
          </w:p>
          <w:p>
            <w:pPr>
              <w:pBdr>
                <w:bottom w:val="single" w:color="CBD5E1" w:sz="2"/>
              </w:pBdr>
              <w:spacing w:after="60" w:before="0"/>
            </w:pPr>
          </w:p>
          <w:p>
            <w:pPr>
              <w:spacing w:after="0" w:before="60"/>
            </w:pPr>
          </w:p>
          <w:p>
            <w:pPr>
              <w:spacing w:after="80" w:before="60"/>
              <w:jc w:val="left"/>
            </w:pPr>
            <w:r>
              <w:rPr>
                <w:rFonts w:ascii="Calibri" w:cs="Calibri" w:eastAsia="Calibri" w:hAnsi="Calibri"/>
                <w:b/>
                <w:bCs/>
                <w:i w:val="false"/>
                <w:iCs w:val="false"/>
                <w:strike w:val="false"/>
                <w:color w:val="64748B"/>
                <w:sz w:val="20"/>
                <w:szCs w:val="20"/>
              </w:rPr>
              <w:t xml:space="preserve">Experience:</w:t>
            </w:r>
          </w:p>
          <w:p>
            <w:pPr>
              <w:spacing w:after="0" w:before="0"/>
              <w:jc w:val="left"/>
            </w:pPr>
            <w:r>
              <w:rPr>
                <w:rFonts w:ascii="Calibri" w:cs="Calibri" w:eastAsia="Calibri" w:hAnsi="Calibri"/>
                <w:b w:val="false"/>
                <w:bCs w:val="false"/>
                <w:i w:val="false"/>
                <w:iCs w:val="false"/>
                <w:strike w:val="false"/>
                <w:color w:val="1E293B"/>
                <w:sz w:val="22"/>
                <w:szCs w:val="22"/>
              </w:rPr>
              <w:t xml:space="preserve"> </w:t>
            </w:r>
          </w:p>
          <w:p>
            <w:pPr>
              <w:pBdr>
                <w:bottom w:val="single" w:color="CBD5E1" w:sz="2"/>
              </w:pBdr>
              <w:spacing w:after="60" w:before="0"/>
            </w:pPr>
          </w:p>
          <w:p>
            <w:pPr>
              <w:spacing w:after="0" w:before="60"/>
            </w:pPr>
          </w:p>
          <w:p>
            <w:pPr>
              <w:spacing w:after="80" w:before="60"/>
              <w:jc w:val="left"/>
            </w:pPr>
            <w:r>
              <w:rPr>
                <w:rFonts w:ascii="Calibri" w:cs="Calibri" w:eastAsia="Calibri" w:hAnsi="Calibri"/>
                <w:b/>
                <w:bCs/>
                <w:i w:val="false"/>
                <w:iCs w:val="false"/>
                <w:strike w:val="false"/>
                <w:color w:val="64748B"/>
                <w:sz w:val="20"/>
                <w:szCs w:val="20"/>
              </w:rPr>
              <w:t xml:space="preserve">Tech comfort:</w:t>
            </w:r>
          </w:p>
          <w:p>
            <w:pPr>
              <w:spacing w:after="0" w:before="0"/>
              <w:jc w:val="left"/>
            </w:pPr>
            <w:r>
              <w:rPr>
                <w:rFonts w:ascii="Calibri" w:cs="Calibri" w:eastAsia="Calibri" w:hAnsi="Calibri"/>
                <w:b w:val="false"/>
                <w:bCs w:val="false"/>
                <w:i w:val="false"/>
                <w:iCs w:val="false"/>
                <w:strike w:val="false"/>
                <w:color w:val="1E293B"/>
                <w:sz w:val="22"/>
                <w:szCs w:val="22"/>
              </w:rPr>
              <w:t xml:space="preserve"> </w:t>
            </w:r>
          </w:p>
          <w:p>
            <w:pPr>
              <w:pBdr>
                <w:bottom w:val="single" w:color="CBD5E1" w:sz="2"/>
              </w:pBdr>
              <w:spacing w:after="60" w:before="0"/>
            </w:pPr>
          </w:p>
        </w:tc>
        <w:tc>
          <w:tcPr>
            <w:tcW w:type="dxa" w:w="4700"/>
            <w:tcBorders>
              <w:top w:color="FFFFFF" w:sz="0"/>
              <w:left w:color="FFFFFF" w:sz="0"/>
              <w:bottom w:val="single" w:color="E2E8F0" w:sz="2"/>
              <w:right w:color="FFFFFF" w:sz="0"/>
            </w:tcBorders>
            <w:shd w:fill="F8FAFB" w:color="auto" w:val="clear"/>
            <w:tcMar>
              <w:top w:type="dxa" w:w="100"/>
              <w:left w:type="dxa" w:w="120"/>
              <w:bottom w:type="dxa" w:w="10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Primary goal:</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spacing w:after="0" w:before="60"/>
            </w:pPr>
          </w:p>
          <w:p>
            <w:pPr>
              <w:spacing w:after="80" w:before="60"/>
              <w:jc w:val="left"/>
            </w:pPr>
            <w:r>
              <w:rPr>
                <w:rFonts w:ascii="Calibri" w:cs="Calibri" w:eastAsia="Calibri" w:hAnsi="Calibri"/>
                <w:b/>
                <w:bCs/>
                <w:i w:val="false"/>
                <w:iCs w:val="false"/>
                <w:strike w:val="false"/>
                <w:color w:val="64748B"/>
                <w:sz w:val="20"/>
                <w:szCs w:val="20"/>
              </w:rPr>
              <w:t xml:space="preserve">Secondary goal:</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spacing w:after="0" w:before="60"/>
            </w:pPr>
          </w:p>
          <w:p>
            <w:pPr>
              <w:spacing w:after="80" w:before="60"/>
              <w:jc w:val="left"/>
            </w:pPr>
            <w:r>
              <w:rPr>
                <w:rFonts w:ascii="Calibri" w:cs="Calibri" w:eastAsia="Calibri" w:hAnsi="Calibri"/>
                <w:b/>
                <w:bCs/>
                <w:i w:val="false"/>
                <w:iCs w:val="false"/>
                <w:strike w:val="false"/>
                <w:color w:val="64748B"/>
                <w:sz w:val="20"/>
                <w:szCs w:val="20"/>
              </w:rPr>
              <w:t xml:space="preserve">Persona quote:</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r>
        <w:tc>
          <w:tcPr>
            <w:tcW w:type="dxa" w:w="4660"/>
            <w:tcBorders>
              <w:top w:color="FFFFFF" w:sz="0"/>
              <w:left w:color="FFFFFF" w:sz="0"/>
              <w:bottom w:val="single" w:color="E2E8F0" w:sz="2"/>
              <w:right w:color="FFFFFF" w:sz="0"/>
            </w:tcBorders>
            <w:shd w:fill="FFFFFF" w:color="auto" w:val="clear"/>
            <w:tcMar>
              <w:top w:type="dxa" w:w="100"/>
              <w:left w:type="dxa" w:w="120"/>
              <w:bottom w:type="dxa" w:w="10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Pain points (list 2):</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4700"/>
            <w:tcBorders>
              <w:top w:color="FFFFFF" w:sz="0"/>
              <w:left w:color="FFFFFF" w:sz="0"/>
              <w:bottom w:val="single" w:color="E2E8F0" w:sz="2"/>
              <w:right w:color="FFFFFF" w:sz="0"/>
            </w:tcBorders>
            <w:shd w:fill="FFFFFF" w:color="auto" w:val="clear"/>
            <w:tcMar>
              <w:top w:type="dxa" w:w="100"/>
              <w:left w:type="dxa" w:w="120"/>
              <w:bottom w:type="dxa" w:w="10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Design implications (list 2):</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80"/>
      </w:pPr>
    </w:p>
    <w:p>
      <w:pPr>
        <w:spacing w:after="60" w:before="60"/>
        <w:jc w:val="left"/>
      </w:pPr>
      <w:r>
        <w:rPr>
          <w:rFonts w:ascii="Calibri" w:cs="Calibri" w:eastAsia="Calibri" w:hAnsi="Calibri"/>
          <w:b/>
          <w:bCs/>
          <w:i w:val="false"/>
          <w:iCs w:val="false"/>
          <w:strike w:val="false"/>
          <w:color w:val="028090"/>
          <w:sz w:val="22"/>
          <w:szCs w:val="22"/>
        </w:rPr>
        <w:t xml:space="preserve">2b.</w:t>
      </w:r>
      <w:r>
        <w:rPr>
          <w:rFonts w:ascii="Calibri" w:cs="Calibri" w:eastAsia="Calibri" w:hAnsi="Calibri"/>
          <w:b w:val="false"/>
          <w:bCs w:val="false"/>
          <w:i w:val="false"/>
          <w:iCs w:val="false"/>
          <w:strike w:val="false"/>
          <w:color w:val="1E293B"/>
          <w:sz w:val="22"/>
          <w:szCs w:val="22"/>
        </w:rPr>
        <w:t xml:space="preserve">  You now have two WardWatch personas: Brenda (ward nurse) and your FY1 doctor. A design decision needs to be made: should the risk flag be accessible in ONE click or TWO? Explain how you would use the personas to make this decision. Which persona takes priority, and why?  [5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Answer:</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160"/>
      </w:pP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val="single" w:color="C0392B" w:sz="4"/>
              <w:right w:color="FFFFFF" w:sz="0"/>
            </w:tcBorders>
            <w:shd w:fill="F2F4F5" w:color="auto" w:val="clear"/>
            <w:tcMar>
              <w:top w:type="dxa" w:w="80"/>
              <w:left w:type="dxa" w:w="120"/>
              <w:bottom w:type="dxa" w:w="80"/>
              <w:right w:type="dxa" w:w="120"/>
            </w:tcMar>
            <w:vAlign w:val="top"/>
          </w:tcPr>
          <w:p>
            <w:pPr>
              <w:spacing w:after="60" w:before="60"/>
              <w:jc w:val="left"/>
            </w:pPr>
            <w:r>
              <w:rPr>
                <w:rFonts w:ascii="Cambria" w:cs="Cambria" w:eastAsia="Cambria" w:hAnsi="Cambria"/>
                <w:b/>
                <w:bCs/>
                <w:i w:val="false"/>
                <w:iCs w:val="false"/>
                <w:strike w:val="false"/>
                <w:color w:val="C0392B"/>
                <w:sz w:val="28"/>
                <w:szCs w:val="28"/>
              </w:rPr>
              <w:t xml:space="preserve">Section B:  </w:t>
            </w:r>
            <w:r>
              <w:rPr>
                <w:rFonts w:ascii="Cambria" w:cs="Cambria" w:eastAsia="Cambria" w:hAnsi="Cambria"/>
                <w:b/>
                <w:bCs/>
                <w:i w:val="false"/>
                <w:iCs w:val="false"/>
                <w:strike w:val="false"/>
                <w:color w:val="0A3D55"/>
                <w:sz w:val="28"/>
                <w:szCs w:val="28"/>
              </w:rPr>
              <w:t xml:space="preserve">Interface Evaluation &amp; Heuristic Evaluation</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color="FFFFFF" w:sz="0"/>
              <w:right w:color="FFFFFF" w:sz="0"/>
            </w:tcBorders>
            <w:shd w:fill="FDE8E8" w:color="auto" w:val="clear"/>
            <w:tcMar>
              <w:top w:type="dxa" w:w="90"/>
              <w:left w:type="dxa" w:w="120"/>
              <w:bottom w:type="dxa" w:w="0"/>
              <w:right w:type="dxa" w:w="120"/>
            </w:tcMar>
            <w:vAlign w:val="top"/>
          </w:tcPr>
          <w:p>
            <w:pPr>
              <w:spacing w:after="80" w:before="60"/>
              <w:jc w:val="left"/>
            </w:pPr>
            <w:r>
              <w:rPr>
                <w:rFonts w:ascii="Calibri" w:cs="Calibri" w:eastAsia="Calibri" w:hAnsi="Calibri"/>
                <w:b/>
                <w:bCs/>
                <w:i w:val="false"/>
                <w:iCs w:val="false"/>
                <w:strike w:val="false"/>
                <w:color w:val="C0392B"/>
                <w:sz w:val="22"/>
                <w:szCs w:val="22"/>
              </w:rPr>
              <w:t xml:space="preserve">Reference — Nielsen's 10 Usability Heuristics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color="FFFFFF" w:sz="0"/>
              <w:left w:color="FFFFFF" w:sz="0"/>
              <w:bottom w:color="FFFFFF" w:sz="0"/>
              <w:right w:color="FFFFFF" w:sz="0"/>
            </w:tcBorders>
            <w:shd w:fill="C0392B"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Heuristic</w:t>
            </w:r>
          </w:p>
        </w:tc>
        <w:tc>
          <w:tcPr>
            <w:tcW w:type="dxa" w:w="7920"/>
            <w:tcBorders>
              <w:top w:color="FFFFFF" w:sz="0"/>
              <w:left w:color="FFFFFF" w:sz="0"/>
              <w:bottom w:color="FFFFFF" w:sz="0"/>
              <w:right w:color="FFFFFF" w:sz="0"/>
            </w:tcBorders>
            <w:shd w:fill="C0392B"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Description</w:t>
            </w:r>
          </w:p>
        </w:tc>
      </w:tr>
      <w:tr>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H1</w:t>
            </w:r>
          </w:p>
        </w:tc>
        <w:tc>
          <w:tcPr>
            <w:tcW w:type="dxa" w:w="79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Visibility of system status</w:t>
            </w:r>
          </w:p>
        </w:tc>
      </w:tr>
      <w:tr>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H2</w:t>
            </w:r>
          </w:p>
        </w:tc>
        <w:tc>
          <w:tcPr>
            <w:tcW w:type="dxa" w:w="792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Match between system and real world</w:t>
            </w:r>
          </w:p>
        </w:tc>
      </w:tr>
      <w:tr>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H3</w:t>
            </w:r>
          </w:p>
        </w:tc>
        <w:tc>
          <w:tcPr>
            <w:tcW w:type="dxa" w:w="79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User control and freedom</w:t>
            </w:r>
          </w:p>
        </w:tc>
      </w:tr>
      <w:tr>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H4</w:t>
            </w:r>
          </w:p>
        </w:tc>
        <w:tc>
          <w:tcPr>
            <w:tcW w:type="dxa" w:w="792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Consistency and standards</w:t>
            </w:r>
          </w:p>
        </w:tc>
      </w:tr>
      <w:tr>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H5</w:t>
            </w:r>
          </w:p>
        </w:tc>
        <w:tc>
          <w:tcPr>
            <w:tcW w:type="dxa" w:w="79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Error prevention</w:t>
            </w:r>
          </w:p>
        </w:tc>
      </w:tr>
      <w:tr>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H6</w:t>
            </w:r>
          </w:p>
        </w:tc>
        <w:tc>
          <w:tcPr>
            <w:tcW w:type="dxa" w:w="792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Recognition rather than recall</w:t>
            </w:r>
          </w:p>
        </w:tc>
      </w:tr>
      <w:tr>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H7</w:t>
            </w:r>
          </w:p>
        </w:tc>
        <w:tc>
          <w:tcPr>
            <w:tcW w:type="dxa" w:w="79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Flexibility and efficiency of use</w:t>
            </w:r>
          </w:p>
        </w:tc>
      </w:tr>
      <w:tr>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H8</w:t>
            </w:r>
          </w:p>
        </w:tc>
        <w:tc>
          <w:tcPr>
            <w:tcW w:type="dxa" w:w="792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Aesthetic and minimalist design</w:t>
            </w:r>
          </w:p>
        </w:tc>
      </w:tr>
      <w:tr>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H9</w:t>
            </w:r>
          </w:p>
        </w:tc>
        <w:tc>
          <w:tcPr>
            <w:tcW w:type="dxa" w:w="79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Help users recognise, diagnose, and recover from errors</w:t>
            </w:r>
          </w:p>
        </w:tc>
      </w:tr>
      <w:tr>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H10</w:t>
            </w:r>
          </w:p>
        </w:tc>
        <w:tc>
          <w:tcPr>
            <w:tcW w:type="dxa" w:w="792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Help and documentation</w:t>
            </w:r>
          </w:p>
        </w:tc>
      </w:tr>
    </w:tbl>
    <w:p>
      <w:pPr>
        <w:spacing w:after="0" w:before="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20"/>
        <w:gridCol w:w="1640"/>
      </w:tblGrid>
      <w:tr>
        <w:tc>
          <w:tcPr>
            <w:tcBorders>
              <w:top w:color="FFFFFF" w:sz="0"/>
              <w:left w:color="FFFFFF" w:sz="0"/>
              <w:bottom w:color="FFFFFF" w:sz="0"/>
              <w:right w:color="FFFFFF" w:sz="0"/>
            </w:tcBorders>
            <w:shd w:fill="C0392B" w:color="auto" w:val="clear"/>
            <w:tcMar>
              <w:top w:type="dxa" w:w="80"/>
              <w:left w:type="dxa" w:w="160"/>
              <w:bottom w:type="dxa" w:w="80"/>
              <w:right w:type="dxa" w:w="120"/>
            </w:tcMar>
            <w:vAlign w:val="top"/>
          </w:tcPr>
          <w:p>
            <w:pPr>
              <w:spacing w:after="60" w:before="60"/>
              <w:jc w:val="left"/>
            </w:pPr>
            <w:r>
              <w:rPr>
                <w:rFonts w:ascii="Cambria" w:cs="Cambria" w:eastAsia="Cambria" w:hAnsi="Cambria"/>
                <w:b/>
                <w:bCs/>
                <w:i w:val="false"/>
                <w:iCs w:val="false"/>
                <w:strike w:val="false"/>
                <w:color w:val="FFFFFF"/>
                <w:sz w:val="24"/>
                <w:szCs w:val="24"/>
              </w:rPr>
              <w:t xml:space="preserve">Exercise 3:  </w:t>
            </w:r>
            <w:r>
              <w:rPr>
                <w:rFonts w:ascii="Cambria" w:cs="Cambria" w:eastAsia="Cambria" w:hAnsi="Cambria"/>
                <w:b/>
                <w:bCs/>
                <w:i w:val="false"/>
                <w:iCs w:val="false"/>
                <w:strike w:val="false"/>
                <w:color w:val="FFFFFF"/>
                <w:sz w:val="24"/>
                <w:szCs w:val="24"/>
              </w:rPr>
              <w:t xml:space="preserve">Identifying Heuristic Violations</w:t>
            </w:r>
          </w:p>
        </w:tc>
        <w:tc>
          <w:tcPr>
            <w:tcBorders>
              <w:top w:color="FFFFFF" w:sz="0"/>
              <w:left w:color="FFFFFF" w:sz="0"/>
              <w:bottom w:color="FFFFFF" w:sz="0"/>
              <w:right w:color="FFFFFF" w:sz="0"/>
            </w:tcBorders>
            <w:shd w:fill="FDE8E8" w:color="auto" w:val="clear"/>
            <w:tcMar>
              <w:top w:type="dxa" w:w="80"/>
              <w:left w:type="dxa" w:w="120"/>
              <w:bottom w:type="dxa" w:w="80"/>
              <w:right w:type="dxa" w:w="120"/>
            </w:tcMar>
            <w:vAlign w:val="center"/>
          </w:tcPr>
          <w:p>
            <w:pPr>
              <w:spacing w:after="60" w:before="60"/>
              <w:jc w:val="center"/>
            </w:pPr>
            <w:r>
              <w:rPr>
                <w:rFonts w:ascii="Calibri" w:cs="Calibri" w:eastAsia="Calibri" w:hAnsi="Calibri"/>
                <w:b/>
                <w:bCs/>
                <w:i w:val="false"/>
                <w:iCs w:val="false"/>
                <w:strike w:val="false"/>
                <w:color w:val="C0392B"/>
                <w:sz w:val="22"/>
                <w:szCs w:val="22"/>
              </w:rPr>
              <w:t xml:space="preserve">[12 marks]</w:t>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color="FFFFFF" w:sz="0"/>
              <w:right w:color="FFFFFF" w:sz="0"/>
            </w:tcBorders>
            <w:shd w:fill="FDE8E8"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Scenario</w:t>
            </w:r>
          </w:p>
          <w:p>
            <w:pPr>
              <w:spacing w:after="40" w:before="40"/>
              <w:jc w:val="left"/>
            </w:pPr>
            <w:r>
              <w:rPr>
                <w:rFonts w:ascii="Calibri" w:cs="Calibri" w:eastAsia="Calibri" w:hAnsi="Calibri"/>
                <w:b w:val="false"/>
                <w:bCs w:val="false"/>
                <w:i w:val="false"/>
                <w:iCs w:val="false"/>
                <w:strike w:val="false"/>
                <w:color w:val="1E293B"/>
                <w:sz w:val="22"/>
                <w:szCs w:val="22"/>
              </w:rPr>
              <w:t xml:space="preserve">During a usability evaluation of WardWatch, the following observations were recorded. For each observation, identify which Nielsen heuristic(s) are violated and briefly justify your answer.</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val="single" w:color="E2E8F0" w:sz="4"/>
              <w:right w:color="FFFFFF" w:sz="0"/>
            </w:tcBorders>
            <w:shd w:fill="FEF9F9"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Observation A:  </w:t>
            </w:r>
            <w:r>
              <w:rPr>
                <w:rFonts w:ascii="Calibri" w:cs="Calibri" w:eastAsia="Calibri" w:hAnsi="Calibri"/>
                <w:b w:val="false"/>
                <w:bCs w:val="false"/>
                <w:i w:val="false"/>
                <w:iCs w:val="false"/>
                <w:strike w:val="false"/>
                <w:color w:val="1E293B"/>
                <w:sz w:val="22"/>
                <w:szCs w:val="22"/>
              </w:rPr>
              <w:t xml:space="preserve">When Brenda submits a handover sign-off, there is no confirmation message. The screen simply refreshes. She has no way of knowing whether the sign-off was saved or not.</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Heuristic(s):</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716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val="single" w:color="E2E8F0" w:sz="4"/>
              <w:right w:color="FFFFFF" w:sz="0"/>
            </w:tcBorders>
            <w:shd w:fill="FFFFFF"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Observation B:  </w:t>
            </w:r>
            <w:r>
              <w:rPr>
                <w:rFonts w:ascii="Calibri" w:cs="Calibri" w:eastAsia="Calibri" w:hAnsi="Calibri"/>
                <w:b w:val="false"/>
                <w:bCs w:val="false"/>
                <w:i w:val="false"/>
                <w:iCs w:val="false"/>
                <w:strike w:val="false"/>
                <w:color w:val="1E293B"/>
                <w:sz w:val="22"/>
                <w:szCs w:val="22"/>
              </w:rPr>
              <w:t xml:space="preserve">The 'Audit Log' section is labelled 'System Records' in the main menu but 'Audit Trail' in the export dialog. The same function has two different names in different parts of the system.</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Heuristic(s):</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716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val="single" w:color="E2E8F0" w:sz="4"/>
              <w:right w:color="FFFFFF" w:sz="0"/>
            </w:tcBorders>
            <w:shd w:fill="FEF9F9"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Observation C:  </w:t>
            </w:r>
            <w:r>
              <w:rPr>
                <w:rFonts w:ascii="Calibri" w:cs="Calibri" w:eastAsia="Calibri" w:hAnsi="Calibri"/>
                <w:b w:val="false"/>
                <w:bCs w:val="false"/>
                <w:i w:val="false"/>
                <w:iCs w:val="false"/>
                <w:strike w:val="false"/>
                <w:color w:val="1E293B"/>
                <w:sz w:val="22"/>
                <w:szCs w:val="22"/>
              </w:rPr>
              <w:t xml:space="preserve">When a search returns no results, the screen shows: 'Query returned null set.' There is no suggestion for what to try next.</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Heuristic(s):</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716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val="single" w:color="E2E8F0" w:sz="4"/>
              <w:right w:color="FFFFFF" w:sz="0"/>
            </w:tcBorders>
            <w:shd w:fill="FFFFFF"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Observation D:  </w:t>
            </w:r>
            <w:r>
              <w:rPr>
                <w:rFonts w:ascii="Calibri" w:cs="Calibri" w:eastAsia="Calibri" w:hAnsi="Calibri"/>
                <w:b w:val="false"/>
                <w:bCs w:val="false"/>
                <w:i w:val="false"/>
                <w:iCs w:val="false"/>
                <w:strike w:val="false"/>
                <w:color w:val="1E293B"/>
                <w:sz w:val="22"/>
                <w:szCs w:val="22"/>
              </w:rPr>
              <w:t xml:space="preserve">To flag a patient as high-risk, a nurse must navigate: Patient Record → Options → Clinical Flags → Risk Assessment → Set Flag. There is no keyboard shortcut.</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Heuristic(s):</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716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val="single" w:color="E2E8F0" w:sz="4"/>
              <w:right w:color="FFFFFF" w:sz="0"/>
            </w:tcBorders>
            <w:shd w:fill="FEF9F9"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Observation E:  </w:t>
            </w:r>
            <w:r>
              <w:rPr>
                <w:rFonts w:ascii="Calibri" w:cs="Calibri" w:eastAsia="Calibri" w:hAnsi="Calibri"/>
                <w:b w:val="false"/>
                <w:bCs w:val="false"/>
                <w:i w:val="false"/>
                <w:iCs w:val="false"/>
                <w:strike w:val="false"/>
                <w:color w:val="1E293B"/>
                <w:sz w:val="22"/>
                <w:szCs w:val="22"/>
              </w:rPr>
              <w:t xml:space="preserve">The dashboard shows 24 data fields for every patient simultaneously, including fields such as 'System ID', 'Internal Reference', and 'Database Tag' that are never used during handover.</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Heuristic(s):</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716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val="single" w:color="E2E8F0" w:sz="4"/>
              <w:right w:color="FFFFFF" w:sz="0"/>
            </w:tcBorders>
            <w:shd w:fill="FFFFFF"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Observation F:  </w:t>
            </w:r>
            <w:r>
              <w:rPr>
                <w:rFonts w:ascii="Calibri" w:cs="Calibri" w:eastAsia="Calibri" w:hAnsi="Calibri"/>
                <w:b w:val="false"/>
                <w:bCs w:val="false"/>
                <w:i w:val="false"/>
                <w:iCs w:val="false"/>
                <w:strike w:val="false"/>
                <w:color w:val="1E293B"/>
                <w:sz w:val="22"/>
                <w:szCs w:val="22"/>
              </w:rPr>
              <w:t xml:space="preserve">When a nurse attempts to delete a handover note, no confirmation dialog appears. The note is immediately and permanently deleted.</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Heuristic(s):</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716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20"/>
        <w:gridCol w:w="1640"/>
      </w:tblGrid>
      <w:tr>
        <w:tc>
          <w:tcPr>
            <w:tcBorders>
              <w:top w:color="FFFFFF" w:sz="0"/>
              <w:left w:color="FFFFFF" w:sz="0"/>
              <w:bottom w:color="FFFFFF" w:sz="0"/>
              <w:right w:color="FFFFFF" w:sz="0"/>
            </w:tcBorders>
            <w:shd w:fill="C0392B" w:color="auto" w:val="clear"/>
            <w:tcMar>
              <w:top w:type="dxa" w:w="80"/>
              <w:left w:type="dxa" w:w="160"/>
              <w:bottom w:type="dxa" w:w="80"/>
              <w:right w:type="dxa" w:w="120"/>
            </w:tcMar>
            <w:vAlign w:val="top"/>
          </w:tcPr>
          <w:p>
            <w:pPr>
              <w:spacing w:after="60" w:before="60"/>
              <w:jc w:val="left"/>
            </w:pPr>
            <w:r>
              <w:rPr>
                <w:rFonts w:ascii="Cambria" w:cs="Cambria" w:eastAsia="Cambria" w:hAnsi="Cambria"/>
                <w:b/>
                <w:bCs/>
                <w:i w:val="false"/>
                <w:iCs w:val="false"/>
                <w:strike w:val="false"/>
                <w:color w:val="FFFFFF"/>
                <w:sz w:val="24"/>
                <w:szCs w:val="24"/>
              </w:rPr>
              <w:t xml:space="preserve">Exercise 4:  </w:t>
            </w:r>
            <w:r>
              <w:rPr>
                <w:rFonts w:ascii="Cambria" w:cs="Cambria" w:eastAsia="Cambria" w:hAnsi="Cambria"/>
                <w:b/>
                <w:bCs/>
                <w:i w:val="false"/>
                <w:iCs w:val="false"/>
                <w:strike w:val="false"/>
                <w:color w:val="FFFFFF"/>
                <w:sz w:val="24"/>
                <w:szCs w:val="24"/>
              </w:rPr>
              <w:t xml:space="preserve">Severity Rating &amp; Prioritisation</w:t>
            </w:r>
          </w:p>
        </w:tc>
        <w:tc>
          <w:tcPr>
            <w:tcBorders>
              <w:top w:color="FFFFFF" w:sz="0"/>
              <w:left w:color="FFFFFF" w:sz="0"/>
              <w:bottom w:color="FFFFFF" w:sz="0"/>
              <w:right w:color="FFFFFF" w:sz="0"/>
            </w:tcBorders>
            <w:shd w:fill="FDE8E8" w:color="auto" w:val="clear"/>
            <w:tcMar>
              <w:top w:type="dxa" w:w="80"/>
              <w:left w:type="dxa" w:w="120"/>
              <w:bottom w:type="dxa" w:w="80"/>
              <w:right w:type="dxa" w:w="120"/>
            </w:tcMar>
            <w:vAlign w:val="center"/>
          </w:tcPr>
          <w:p>
            <w:pPr>
              <w:spacing w:after="60" w:before="60"/>
              <w:jc w:val="center"/>
            </w:pPr>
            <w:r>
              <w:rPr>
                <w:rFonts w:ascii="Calibri" w:cs="Calibri" w:eastAsia="Calibri" w:hAnsi="Calibri"/>
                <w:b/>
                <w:bCs/>
                <w:i w:val="false"/>
                <w:iCs w:val="false"/>
                <w:strike w:val="false"/>
                <w:color w:val="C0392B"/>
                <w:sz w:val="22"/>
                <w:szCs w:val="22"/>
              </w:rPr>
              <w:t xml:space="preserve">[8 marks]</w:t>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C0392B" w:sz="10"/>
              <w:bottom w:color="FFFFFF" w:sz="0"/>
              <w:right w:color="FFFFFF" w:sz="0"/>
            </w:tcBorders>
            <w:shd w:fill="FDE8E8"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C0392B"/>
                <w:sz w:val="22"/>
                <w:szCs w:val="22"/>
              </w:rPr>
              <w:t xml:space="preserve">Nielsen Severity Scale</w:t>
            </w:r>
          </w:p>
          <w:p>
            <w:pPr>
              <w:spacing w:after="40" w:before="40"/>
              <w:jc w:val="left"/>
            </w:pPr>
            <w:r>
              <w:rPr>
                <w:rFonts w:ascii="Calibri" w:cs="Calibri" w:eastAsia="Calibri" w:hAnsi="Calibri"/>
                <w:b w:val="false"/>
                <w:bCs w:val="false"/>
                <w:i w:val="false"/>
                <w:iCs w:val="false"/>
                <w:strike w:val="false"/>
                <w:color w:val="1E293B"/>
                <w:sz w:val="22"/>
                <w:szCs w:val="22"/>
              </w:rPr>
              <w:t xml:space="preserve">0 — Not a problem    |    1 — Cosmetic only    |    2 — Minor usability problem    |    3 — Major usability problem    |    4 — Usability catastrophe</w:t>
            </w:r>
          </w:p>
          <w:p>
            <w:pPr>
              <w:spacing w:after="40" w:before="40"/>
              <w:jc w:val="left"/>
            </w:pPr>
            <w:r>
              <w:rPr>
                <w:rFonts w:ascii="Calibri" w:cs="Calibri" w:eastAsia="Calibri" w:hAnsi="Calibri"/>
                <w:b w:val="false"/>
                <w:bCs w:val="false"/>
                <w:i w:val="false"/>
                <w:iCs w:val="false"/>
                <w:strike w:val="false"/>
                <w:color w:val="1E293B"/>
                <w:sz w:val="22"/>
                <w:szCs w:val="22"/>
              </w:rPr>
              <w:t xml:space="preserve">Priority = Severity × Frequency. Frequency: Low (occasional), Medium (most sessions), High (every session).</w:t>
            </w:r>
          </w:p>
        </w:tc>
      </w:tr>
    </w:tbl>
    <w:p>
      <w:pPr>
        <w:spacing w:after="0" w:before="80"/>
      </w:pPr>
    </w:p>
    <w:p>
      <w:pPr>
        <w:spacing w:after="60" w:before="60"/>
        <w:jc w:val="left"/>
      </w:pPr>
      <w:r>
        <w:rPr>
          <w:rFonts w:ascii="Calibri" w:cs="Calibri" w:eastAsia="Calibri" w:hAnsi="Calibri"/>
          <w:b/>
          <w:bCs/>
          <w:i w:val="false"/>
          <w:iCs w:val="false"/>
          <w:strike w:val="false"/>
          <w:color w:val="C0392B"/>
          <w:sz w:val="22"/>
          <w:szCs w:val="22"/>
        </w:rPr>
        <w:t xml:space="preserve">4a.</w:t>
      </w:r>
      <w:r>
        <w:rPr>
          <w:rFonts w:ascii="Calibri" w:cs="Calibri" w:eastAsia="Calibri" w:hAnsi="Calibri"/>
          <w:b w:val="false"/>
          <w:bCs w:val="false"/>
          <w:i w:val="false"/>
          <w:iCs w:val="false"/>
          <w:strike w:val="false"/>
          <w:color w:val="1E293B"/>
          <w:sz w:val="22"/>
          <w:szCs w:val="22"/>
        </w:rPr>
        <w:t xml:space="preserve">  Rate each WardWatch issue below on the 0–4 severity scale. Justify each rating in one sentence.  [6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600"/>
        <w:gridCol w:w="960"/>
        <w:gridCol w:w="4800"/>
      </w:tblGrid>
      <w:tr>
        <w:tc>
          <w:tcPr>
            <w:tcW w:type="dxa" w:w="36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Issue</w:t>
            </w:r>
          </w:p>
        </w:tc>
        <w:tc>
          <w:tcPr>
            <w:tcW w:type="dxa" w:w="96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Severity (0–4)</w:t>
            </w:r>
          </w:p>
        </w:tc>
        <w:tc>
          <w:tcPr>
            <w:tcW w:type="dxa" w:w="48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Justification (one sentence)</w:t>
            </w:r>
          </w:p>
        </w:tc>
      </w:tr>
      <w:tr>
        <w:tc>
          <w:tcPr>
            <w:tcW w:type="dxa" w:w="3600"/>
            <w:tcBorders>
              <w:top w:color="FFFFFF" w:sz="0"/>
              <w:left w:color="FFFFFF" w:sz="0"/>
              <w:bottom w:val="single" w:color="E2E8F0" w:sz="2"/>
              <w:right w:color="FFFFFF" w:sz="0"/>
            </w:tcBorders>
            <w:shd w:fill="F8FAFB"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Risk flag is invisible — nurses complete handover without flagging high-risk patients</w:t>
            </w:r>
          </w:p>
        </w:tc>
        <w:tc>
          <w:tcPr>
            <w:tcW w:type="dxa" w:w="960"/>
            <w:tcBorders>
              <w:top w:color="FFFFFF" w:sz="0"/>
              <w:left w:color="FFFFFF" w:sz="0"/>
              <w:bottom w:val="single" w:color="E2E8F0" w:sz="2"/>
              <w:right w:color="FFFFFF" w:sz="0"/>
            </w:tcBorders>
            <w:shd w:fill="F8FAFB"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c>
          <w:tcPr>
            <w:tcW w:type="dxa" w:w="4800"/>
            <w:tcBorders>
              <w:top w:color="FFFFFF" w:sz="0"/>
              <w:left w:color="FFFFFF" w:sz="0"/>
              <w:bottom w:val="single" w:color="E2E8F0" w:sz="2"/>
              <w:right w:color="FFFFFF" w:sz="0"/>
            </w:tcBorders>
            <w:shd w:fill="F8FAFB" w:color="auto" w:val="clear"/>
            <w:tcMar>
              <w:top w:type="dxa" w:w="0"/>
              <w:left w:type="dxa" w:w="120"/>
              <w:bottom w:type="dxa" w:w="60"/>
              <w:right w:type="dxa" w:w="120"/>
            </w:tcMar>
            <w:vAlign w:val="top"/>
          </w:tcPr>
          <w:p>
            <w:pPr>
              <w:pBdr>
                <w:bottom w:val="single" w:color="CBD5E1" w:sz="2"/>
              </w:pBdr>
              <w:spacing w:after="0" w:before="80"/>
            </w:pPr>
            <w:r>
              <w:rPr>
                <w:rFonts w:ascii="Calibri" w:cs="Calibri" w:eastAsia="Calibri" w:hAnsi="Calibri"/>
                <w:b w:val="false"/>
                <w:bCs w:val="false"/>
                <w:i w:val="false"/>
                <w:iCs w:val="false"/>
                <w:strike w:val="false"/>
                <w:color w:val="1E293B"/>
                <w:sz w:val="22"/>
                <w:szCs w:val="22"/>
              </w:rPr>
              <w:t xml:space="preserve"/>
            </w:r>
          </w:p>
        </w:tc>
      </w:tr>
      <w:tr>
        <w:tc>
          <w:tcPr>
            <w:tcW w:type="dxa" w:w="3600"/>
            <w:tcBorders>
              <w:top w:color="FFFFFF" w:sz="0"/>
              <w:left w:color="FFFFFF" w:sz="0"/>
              <w:bottom w:val="single" w:color="E2E8F0" w:sz="2"/>
              <w:right w:color="FFFFFF" w:sz="0"/>
            </w:tcBorders>
            <w:shd w:fill="FFFFFF"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The system uses colour alone to show risk level — no text label or icon shape</w:t>
            </w:r>
          </w:p>
        </w:tc>
        <w:tc>
          <w:tcPr>
            <w:tcW w:type="dxa" w:w="960"/>
            <w:tcBorders>
              <w:top w:color="FFFFFF" w:sz="0"/>
              <w:left w:color="FFFFFF" w:sz="0"/>
              <w:bottom w:val="single" w:color="E2E8F0" w:sz="2"/>
              <w:right w:color="FFFFFF" w:sz="0"/>
            </w:tcBorders>
            <w:shd w:fill="FFFFFF"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c>
          <w:tcPr>
            <w:tcW w:type="dxa" w:w="4800"/>
            <w:tcBorders>
              <w:top w:color="FFFFFF" w:sz="0"/>
              <w:left w:color="FFFFFF" w:sz="0"/>
              <w:bottom w:val="single" w:color="E2E8F0" w:sz="2"/>
              <w:right w:color="FFFFFF" w:sz="0"/>
            </w:tcBorders>
            <w:shd w:fill="FFFFFF" w:color="auto" w:val="clear"/>
            <w:tcMar>
              <w:top w:type="dxa" w:w="0"/>
              <w:left w:type="dxa" w:w="120"/>
              <w:bottom w:type="dxa" w:w="60"/>
              <w:right w:type="dxa" w:w="120"/>
            </w:tcMar>
            <w:vAlign w:val="top"/>
          </w:tcPr>
          <w:p>
            <w:pPr>
              <w:pBdr>
                <w:bottom w:val="single" w:color="CBD5E1" w:sz="2"/>
              </w:pBdr>
              <w:spacing w:after="0" w:before="80"/>
            </w:pPr>
            <w:r>
              <w:rPr>
                <w:rFonts w:ascii="Calibri" w:cs="Calibri" w:eastAsia="Calibri" w:hAnsi="Calibri"/>
                <w:b w:val="false"/>
                <w:bCs w:val="false"/>
                <w:i w:val="false"/>
                <w:iCs w:val="false"/>
                <w:strike w:val="false"/>
                <w:color w:val="1E293B"/>
                <w:sz w:val="22"/>
                <w:szCs w:val="22"/>
              </w:rPr>
              <w:t xml:space="preserve"/>
            </w:r>
          </w:p>
        </w:tc>
      </w:tr>
      <w:tr>
        <w:tc>
          <w:tcPr>
            <w:tcW w:type="dxa" w:w="3600"/>
            <w:tcBorders>
              <w:top w:color="FFFFFF" w:sz="0"/>
              <w:left w:color="FFFFFF" w:sz="0"/>
              <w:bottom w:val="single" w:color="E2E8F0" w:sz="2"/>
              <w:right w:color="FFFFFF" w:sz="0"/>
            </w:tcBorders>
            <w:shd w:fill="F8FAFB"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Error message shows 'ERR_402' with no explanation or action</w:t>
            </w:r>
          </w:p>
        </w:tc>
        <w:tc>
          <w:tcPr>
            <w:tcW w:type="dxa" w:w="960"/>
            <w:tcBorders>
              <w:top w:color="FFFFFF" w:sz="0"/>
              <w:left w:color="FFFFFF" w:sz="0"/>
              <w:bottom w:val="single" w:color="E2E8F0" w:sz="2"/>
              <w:right w:color="FFFFFF" w:sz="0"/>
            </w:tcBorders>
            <w:shd w:fill="F8FAFB"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c>
          <w:tcPr>
            <w:tcW w:type="dxa" w:w="4800"/>
            <w:tcBorders>
              <w:top w:color="FFFFFF" w:sz="0"/>
              <w:left w:color="FFFFFF" w:sz="0"/>
              <w:bottom w:val="single" w:color="E2E8F0" w:sz="2"/>
              <w:right w:color="FFFFFF" w:sz="0"/>
            </w:tcBorders>
            <w:shd w:fill="F8FAFB" w:color="auto" w:val="clear"/>
            <w:tcMar>
              <w:top w:type="dxa" w:w="0"/>
              <w:left w:type="dxa" w:w="120"/>
              <w:bottom w:type="dxa" w:w="60"/>
              <w:right w:type="dxa" w:w="120"/>
            </w:tcMar>
            <w:vAlign w:val="top"/>
          </w:tcPr>
          <w:p>
            <w:pPr>
              <w:pBdr>
                <w:bottom w:val="single" w:color="CBD5E1" w:sz="2"/>
              </w:pBdr>
              <w:spacing w:after="0" w:before="80"/>
            </w:pPr>
            <w:r>
              <w:rPr>
                <w:rFonts w:ascii="Calibri" w:cs="Calibri" w:eastAsia="Calibri" w:hAnsi="Calibri"/>
                <w:b w:val="false"/>
                <w:bCs w:val="false"/>
                <w:i w:val="false"/>
                <w:iCs w:val="false"/>
                <w:strike w:val="false"/>
                <w:color w:val="1E293B"/>
                <w:sz w:val="22"/>
                <w:szCs w:val="22"/>
              </w:rPr>
              <w:t xml:space="preserve"/>
            </w:r>
          </w:p>
        </w:tc>
      </w:tr>
      <w:tr>
        <w:tc>
          <w:tcPr>
            <w:tcW w:type="dxa" w:w="3600"/>
            <w:tcBorders>
              <w:top w:color="FFFFFF" w:sz="0"/>
              <w:left w:color="FFFFFF" w:sz="0"/>
              <w:bottom w:val="single" w:color="E2E8F0" w:sz="2"/>
              <w:right w:color="FFFFFF" w:sz="0"/>
            </w:tcBorders>
            <w:shd w:fill="FFFFFF"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Export function takes 40 seconds with no progress indicator</w:t>
            </w:r>
          </w:p>
        </w:tc>
        <w:tc>
          <w:tcPr>
            <w:tcW w:type="dxa" w:w="960"/>
            <w:tcBorders>
              <w:top w:color="FFFFFF" w:sz="0"/>
              <w:left w:color="FFFFFF" w:sz="0"/>
              <w:bottom w:val="single" w:color="E2E8F0" w:sz="2"/>
              <w:right w:color="FFFFFF" w:sz="0"/>
            </w:tcBorders>
            <w:shd w:fill="FFFFFF"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c>
          <w:tcPr>
            <w:tcW w:type="dxa" w:w="4800"/>
            <w:tcBorders>
              <w:top w:color="FFFFFF" w:sz="0"/>
              <w:left w:color="FFFFFF" w:sz="0"/>
              <w:bottom w:val="single" w:color="E2E8F0" w:sz="2"/>
              <w:right w:color="FFFFFF" w:sz="0"/>
            </w:tcBorders>
            <w:shd w:fill="FFFFFF" w:color="auto" w:val="clear"/>
            <w:tcMar>
              <w:top w:type="dxa" w:w="0"/>
              <w:left w:type="dxa" w:w="120"/>
              <w:bottom w:type="dxa" w:w="60"/>
              <w:right w:type="dxa" w:w="120"/>
            </w:tcMar>
            <w:vAlign w:val="top"/>
          </w:tcPr>
          <w:p>
            <w:pPr>
              <w:pBdr>
                <w:bottom w:val="single" w:color="CBD5E1" w:sz="2"/>
              </w:pBdr>
              <w:spacing w:after="0" w:before="80"/>
            </w:pPr>
            <w:r>
              <w:rPr>
                <w:rFonts w:ascii="Calibri" w:cs="Calibri" w:eastAsia="Calibri" w:hAnsi="Calibri"/>
                <w:b w:val="false"/>
                <w:bCs w:val="false"/>
                <w:i w:val="false"/>
                <w:iCs w:val="false"/>
                <w:strike w:val="false"/>
                <w:color w:val="1E293B"/>
                <w:sz w:val="22"/>
                <w:szCs w:val="22"/>
              </w:rPr>
              <w:t xml:space="preserve"/>
            </w:r>
          </w:p>
        </w:tc>
      </w:tr>
      <w:tr>
        <w:tc>
          <w:tcPr>
            <w:tcW w:type="dxa" w:w="3600"/>
            <w:tcBorders>
              <w:top w:color="FFFFFF" w:sz="0"/>
              <w:left w:color="FFFFFF" w:sz="0"/>
              <w:bottom w:val="single" w:color="E2E8F0" w:sz="2"/>
              <w:right w:color="FFFFFF" w:sz="0"/>
            </w:tcBorders>
            <w:shd w:fill="F8FAFB"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The sign-off button is absent from the main handover screen</w:t>
            </w:r>
          </w:p>
        </w:tc>
        <w:tc>
          <w:tcPr>
            <w:tcW w:type="dxa" w:w="960"/>
            <w:tcBorders>
              <w:top w:color="FFFFFF" w:sz="0"/>
              <w:left w:color="FFFFFF" w:sz="0"/>
              <w:bottom w:val="single" w:color="E2E8F0" w:sz="2"/>
              <w:right w:color="FFFFFF" w:sz="0"/>
            </w:tcBorders>
            <w:shd w:fill="F8FAFB"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c>
          <w:tcPr>
            <w:tcW w:type="dxa" w:w="4800"/>
            <w:tcBorders>
              <w:top w:color="FFFFFF" w:sz="0"/>
              <w:left w:color="FFFFFF" w:sz="0"/>
              <w:bottom w:val="single" w:color="E2E8F0" w:sz="2"/>
              <w:right w:color="FFFFFF" w:sz="0"/>
            </w:tcBorders>
            <w:shd w:fill="F8FAFB" w:color="auto" w:val="clear"/>
            <w:tcMar>
              <w:top w:type="dxa" w:w="0"/>
              <w:left w:type="dxa" w:w="120"/>
              <w:bottom w:type="dxa" w:w="60"/>
              <w:right w:type="dxa" w:w="120"/>
            </w:tcMar>
            <w:vAlign w:val="top"/>
          </w:tcPr>
          <w:p>
            <w:pPr>
              <w:pBdr>
                <w:bottom w:val="single" w:color="CBD5E1" w:sz="2"/>
              </w:pBdr>
              <w:spacing w:after="0" w:before="80"/>
            </w:pPr>
            <w:r>
              <w:rPr>
                <w:rFonts w:ascii="Calibri" w:cs="Calibri" w:eastAsia="Calibri" w:hAnsi="Calibri"/>
                <w:b w:val="false"/>
                <w:bCs w:val="false"/>
                <w:i w:val="false"/>
                <w:iCs w:val="false"/>
                <w:strike w:val="false"/>
                <w:color w:val="1E293B"/>
                <w:sz w:val="22"/>
                <w:szCs w:val="22"/>
              </w:rPr>
              <w:t xml:space="preserve"/>
            </w:r>
          </w:p>
        </w:tc>
      </w:tr>
      <w:tr>
        <w:tc>
          <w:tcPr>
            <w:tcW w:type="dxa" w:w="3600"/>
            <w:tcBorders>
              <w:top w:color="FFFFFF" w:sz="0"/>
              <w:left w:color="FFFFFF" w:sz="0"/>
              <w:bottom w:val="single" w:color="E2E8F0" w:sz="2"/>
              <w:right w:color="FFFFFF" w:sz="0"/>
            </w:tcBorders>
            <w:shd w:fill="FFFFFF"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Patient name is displayed in two different font sizes on the same screen</w:t>
            </w:r>
          </w:p>
        </w:tc>
        <w:tc>
          <w:tcPr>
            <w:tcW w:type="dxa" w:w="960"/>
            <w:tcBorders>
              <w:top w:color="FFFFFF" w:sz="0"/>
              <w:left w:color="FFFFFF" w:sz="0"/>
              <w:bottom w:val="single" w:color="E2E8F0" w:sz="2"/>
              <w:right w:color="FFFFFF" w:sz="0"/>
            </w:tcBorders>
            <w:shd w:fill="FFFFFF" w:color="auto" w:val="clear"/>
            <w:tcMar>
              <w:top w:type="dxa" w:w="60"/>
              <w:left w:type="dxa" w:w="120"/>
              <w:bottom w:type="dxa" w:w="6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c>
          <w:tcPr>
            <w:tcW w:type="dxa" w:w="4800"/>
            <w:tcBorders>
              <w:top w:color="FFFFFF" w:sz="0"/>
              <w:left w:color="FFFFFF" w:sz="0"/>
              <w:bottom w:val="single" w:color="E2E8F0" w:sz="2"/>
              <w:right w:color="FFFFFF" w:sz="0"/>
            </w:tcBorders>
            <w:shd w:fill="FFFFFF" w:color="auto" w:val="clear"/>
            <w:tcMar>
              <w:top w:type="dxa" w:w="0"/>
              <w:left w:type="dxa" w:w="120"/>
              <w:bottom w:type="dxa" w:w="60"/>
              <w:right w:type="dxa" w:w="120"/>
            </w:tcMar>
            <w:vAlign w:val="top"/>
          </w:tcPr>
          <w:p>
            <w:pPr>
              <w:pBdr>
                <w:bottom w:val="single" w:color="CBD5E1" w:sz="2"/>
              </w:pBdr>
              <w:spacing w:after="0" w:before="80"/>
            </w:pPr>
            <w:r>
              <w:rPr>
                <w:rFonts w:ascii="Calibri" w:cs="Calibri" w:eastAsia="Calibri" w:hAnsi="Calibri"/>
                <w:b w:val="false"/>
                <w:bCs w:val="false"/>
                <w:i w:val="false"/>
                <w:iCs w:val="false"/>
                <w:strike w:val="false"/>
                <w:color w:val="1E293B"/>
                <w:sz w:val="22"/>
                <w:szCs w:val="22"/>
              </w:rPr>
              <w:t xml:space="preserve"/>
            </w:r>
          </w:p>
        </w:tc>
      </w:tr>
    </w:tbl>
    <w:p>
      <w:pPr>
        <w:spacing w:after="0" w:before="80"/>
      </w:pPr>
    </w:p>
    <w:p>
      <w:pPr>
        <w:spacing w:after="60" w:before="60"/>
        <w:jc w:val="left"/>
      </w:pPr>
      <w:r>
        <w:rPr>
          <w:rFonts w:ascii="Calibri" w:cs="Calibri" w:eastAsia="Calibri" w:hAnsi="Calibri"/>
          <w:b/>
          <w:bCs/>
          <w:i w:val="false"/>
          <w:iCs w:val="false"/>
          <w:strike w:val="false"/>
          <w:color w:val="C0392B"/>
          <w:sz w:val="22"/>
          <w:szCs w:val="22"/>
        </w:rPr>
        <w:t xml:space="preserve">4b.</w:t>
      </w:r>
      <w:r>
        <w:rPr>
          <w:rFonts w:ascii="Calibri" w:cs="Calibri" w:eastAsia="Calibri" w:hAnsi="Calibri"/>
          <w:b w:val="false"/>
          <w:bCs w:val="false"/>
          <w:i w:val="false"/>
          <w:iCs w:val="false"/>
          <w:strike w:val="false"/>
          <w:color w:val="1E293B"/>
          <w:sz w:val="22"/>
          <w:szCs w:val="22"/>
        </w:rPr>
        <w:t xml:space="preserve">  Based on your severity ratings above, which ONE issue should be fixed first, and which could be deferred? Explain the prioritisation logic you used.  [2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Prioritisation: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160"/>
      </w:pP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854F0B" w:sz="10"/>
              <w:bottom w:val="single" w:color="854F0B" w:sz="4"/>
              <w:right w:color="FFFFFF" w:sz="0"/>
            </w:tcBorders>
            <w:shd w:fill="F2F4F5" w:color="auto" w:val="clear"/>
            <w:tcMar>
              <w:top w:type="dxa" w:w="80"/>
              <w:left w:type="dxa" w:w="120"/>
              <w:bottom w:type="dxa" w:w="80"/>
              <w:right w:type="dxa" w:w="120"/>
            </w:tcMar>
            <w:vAlign w:val="top"/>
          </w:tcPr>
          <w:p>
            <w:pPr>
              <w:spacing w:after="60" w:before="60"/>
              <w:jc w:val="left"/>
            </w:pPr>
            <w:r>
              <w:rPr>
                <w:rFonts w:ascii="Cambria" w:cs="Cambria" w:eastAsia="Cambria" w:hAnsi="Cambria"/>
                <w:b/>
                <w:bCs/>
                <w:i w:val="false"/>
                <w:iCs w:val="false"/>
                <w:strike w:val="false"/>
                <w:color w:val="854F0B"/>
                <w:sz w:val="28"/>
                <w:szCs w:val="28"/>
              </w:rPr>
              <w:t xml:space="preserve">Section C:  </w:t>
            </w:r>
            <w:r>
              <w:rPr>
                <w:rFonts w:ascii="Cambria" w:cs="Cambria" w:eastAsia="Cambria" w:hAnsi="Cambria"/>
                <w:b/>
                <w:bCs/>
                <w:i w:val="false"/>
                <w:iCs w:val="false"/>
                <w:strike w:val="false"/>
                <w:color w:val="0A3D55"/>
                <w:sz w:val="28"/>
                <w:szCs w:val="28"/>
              </w:rPr>
              <w:t xml:space="preserve">Quantitative Analysis</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20"/>
        <w:gridCol w:w="1640"/>
      </w:tblGrid>
      <w:tr>
        <w:tc>
          <w:tcPr>
            <w:tcBorders>
              <w:top w:color="FFFFFF" w:sz="0"/>
              <w:left w:color="FFFFFF" w:sz="0"/>
              <w:bottom w:color="FFFFFF" w:sz="0"/>
              <w:right w:color="FFFFFF" w:sz="0"/>
            </w:tcBorders>
            <w:shd w:fill="854F0B" w:color="auto" w:val="clear"/>
            <w:tcMar>
              <w:top w:type="dxa" w:w="80"/>
              <w:left w:type="dxa" w:w="160"/>
              <w:bottom w:type="dxa" w:w="80"/>
              <w:right w:type="dxa" w:w="120"/>
            </w:tcMar>
            <w:vAlign w:val="top"/>
          </w:tcPr>
          <w:p>
            <w:pPr>
              <w:spacing w:after="60" w:before="60"/>
              <w:jc w:val="left"/>
            </w:pPr>
            <w:r>
              <w:rPr>
                <w:rFonts w:ascii="Cambria" w:cs="Cambria" w:eastAsia="Cambria" w:hAnsi="Cambria"/>
                <w:b/>
                <w:bCs/>
                <w:i w:val="false"/>
                <w:iCs w:val="false"/>
                <w:strike w:val="false"/>
                <w:color w:val="FFFFFF"/>
                <w:sz w:val="24"/>
                <w:szCs w:val="24"/>
              </w:rPr>
              <w:t xml:space="preserve">Exercise 5:  </w:t>
            </w:r>
            <w:r>
              <w:rPr>
                <w:rFonts w:ascii="Cambria" w:cs="Cambria" w:eastAsia="Cambria" w:hAnsi="Cambria"/>
                <w:b/>
                <w:bCs/>
                <w:i w:val="false"/>
                <w:iCs w:val="false"/>
                <w:strike w:val="false"/>
                <w:color w:val="FFFFFF"/>
                <w:sz w:val="24"/>
                <w:szCs w:val="24"/>
              </w:rPr>
              <w:t xml:space="preserve">Calculating and Interpreting a SUS Score</w:t>
            </w:r>
          </w:p>
        </w:tc>
        <w:tc>
          <w:tcPr>
            <w:tcBorders>
              <w:top w:color="FFFFFF" w:sz="0"/>
              <w:left w:color="FFFFFF" w:sz="0"/>
              <w:bottom w:color="FFFFFF" w:sz="0"/>
              <w:right w:color="FFFFFF" w:sz="0"/>
            </w:tcBorders>
            <w:shd w:fill="FEF3E2" w:color="auto" w:val="clear"/>
            <w:tcMar>
              <w:top w:type="dxa" w:w="80"/>
              <w:left w:type="dxa" w:w="120"/>
              <w:bottom w:type="dxa" w:w="80"/>
              <w:right w:type="dxa" w:w="120"/>
            </w:tcMar>
            <w:vAlign w:val="center"/>
          </w:tcPr>
          <w:p>
            <w:pPr>
              <w:spacing w:after="60" w:before="60"/>
              <w:jc w:val="center"/>
            </w:pPr>
            <w:r>
              <w:rPr>
                <w:rFonts w:ascii="Calibri" w:cs="Calibri" w:eastAsia="Calibri" w:hAnsi="Calibri"/>
                <w:b/>
                <w:bCs/>
                <w:i w:val="false"/>
                <w:iCs w:val="false"/>
                <w:strike w:val="false"/>
                <w:color w:val="854F0B"/>
                <w:sz w:val="22"/>
                <w:szCs w:val="22"/>
              </w:rPr>
              <w:t xml:space="preserve">[12 marks]</w:t>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854F0B" w:sz="10"/>
              <w:bottom w:color="FFFFFF" w:sz="0"/>
              <w:right w:color="FFFFFF" w:sz="0"/>
            </w:tcBorders>
            <w:shd w:fill="FEF3E2"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854F0B"/>
                <w:sz w:val="22"/>
                <w:szCs w:val="22"/>
              </w:rPr>
              <w:t xml:space="preserve">Background</w:t>
            </w:r>
          </w:p>
          <w:p>
            <w:pPr>
              <w:spacing w:after="40" w:before="40"/>
              <w:jc w:val="left"/>
            </w:pPr>
            <w:r>
              <w:rPr>
                <w:rFonts w:ascii="Calibri" w:cs="Calibri" w:eastAsia="Calibri" w:hAnsi="Calibri"/>
                <w:b w:val="false"/>
                <w:bCs w:val="false"/>
                <w:i w:val="false"/>
                <w:iCs w:val="false"/>
                <w:strike w:val="false"/>
                <w:color w:val="1E293B"/>
                <w:sz w:val="22"/>
                <w:szCs w:val="22"/>
              </w:rPr>
              <w:t xml:space="preserve">10 ward nurses completed the System Usability Scale (SUS) after a WardWatch usability test session. SUS has 10 items rated 1–5. Odd items are positive; even items are negative.</w:t>
            </w:r>
          </w:p>
          <w:p>
            <w:pPr>
              <w:spacing w:after="40" w:before="40"/>
              <w:jc w:val="left"/>
            </w:pPr>
            <w:r>
              <w:rPr>
                <w:rFonts w:ascii="Calibri" w:cs="Calibri" w:eastAsia="Calibri" w:hAnsi="Calibri"/>
                <w:b w:val="false"/>
                <w:bCs w:val="false"/>
                <w:i w:val="false"/>
                <w:iCs w:val="false"/>
                <w:strike w:val="false"/>
                <w:color w:val="1E293B"/>
                <w:sz w:val="22"/>
                <w:szCs w:val="22"/>
              </w:rPr>
              <w:t xml:space="preserve">Scoring: For odd items: subtract 1 from the raw score. For even items: subtract the raw score from 5. Sum all 10 adjusted scores, then multiply by 2.5. Range: 0–100.</w:t>
            </w:r>
          </w:p>
          <w:p>
            <w:pPr>
              <w:spacing w:after="40" w:before="40"/>
              <w:jc w:val="left"/>
            </w:pPr>
            <w:r>
              <w:rPr>
                <w:rFonts w:ascii="Calibri" w:cs="Calibri" w:eastAsia="Calibri" w:hAnsi="Calibri"/>
                <w:b w:val="false"/>
                <w:bCs w:val="false"/>
                <w:i w:val="false"/>
                <w:iCs w:val="false"/>
                <w:strike w:val="false"/>
                <w:color w:val="1E293B"/>
                <w:sz w:val="22"/>
                <w:szCs w:val="22"/>
              </w:rPr>
              <w:t xml:space="preserve">Benchmarks:  ≥85 = Excellent  |  71–84 = Good  |  51–70 = OK/Marginal  |  ≤50 = Poor</w:t>
            </w:r>
          </w:p>
        </w:tc>
      </w:tr>
    </w:tbl>
    <w:p>
      <w:pPr>
        <w:spacing w:after="0" w:before="80"/>
      </w:pPr>
    </w:p>
    <w:p>
      <w:pPr>
        <w:spacing w:after="60" w:before="60"/>
        <w:jc w:val="left"/>
      </w:pPr>
      <w:r>
        <w:rPr>
          <w:rFonts w:ascii="Calibri" w:cs="Calibri" w:eastAsia="Calibri" w:hAnsi="Calibri"/>
          <w:b/>
          <w:bCs/>
          <w:i w:val="false"/>
          <w:iCs w:val="false"/>
          <w:strike w:val="false"/>
          <w:color w:val="854F0B"/>
          <w:sz w:val="22"/>
          <w:szCs w:val="22"/>
        </w:rPr>
        <w:t xml:space="preserve">5a.</w:t>
      </w:r>
      <w:r>
        <w:rPr>
          <w:rFonts w:ascii="Calibri" w:cs="Calibri" w:eastAsia="Calibri" w:hAnsi="Calibri"/>
          <w:b w:val="false"/>
          <w:bCs w:val="false"/>
          <w:i w:val="false"/>
          <w:iCs w:val="false"/>
          <w:strike w:val="false"/>
          <w:color w:val="1E293B"/>
          <w:sz w:val="22"/>
          <w:szCs w:val="22"/>
        </w:rPr>
        <w:t xml:space="preserve">  Calculate the SUS score for Participant 1 using the raw responses below. Show all working.  [4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40"/>
        <w:gridCol w:w="4640"/>
        <w:gridCol w:w="1200"/>
        <w:gridCol w:w="1440"/>
        <w:gridCol w:w="1440"/>
      </w:tblGrid>
      <w:tr>
        <w:tc>
          <w:tcPr>
            <w:tcW w:type="dxa" w:w="64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0"/>
                <w:szCs w:val="20"/>
              </w:rPr>
              <w:t xml:space="preserve">Item</w:t>
            </w:r>
          </w:p>
        </w:tc>
        <w:tc>
          <w:tcPr>
            <w:tcW w:type="dxa" w:w="464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0"/>
                <w:szCs w:val="20"/>
              </w:rPr>
              <w:t xml:space="preserve">SUS Statement</w:t>
            </w:r>
          </w:p>
        </w:tc>
        <w:tc>
          <w:tcPr>
            <w:tcW w:type="dxa" w:w="12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0"/>
                <w:szCs w:val="20"/>
              </w:rPr>
              <w:t xml:space="preserve">Type</w:t>
            </w:r>
          </w:p>
        </w:tc>
        <w:tc>
          <w:tcPr>
            <w:tcW w:type="dxa" w:w="144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0"/>
                <w:szCs w:val="20"/>
              </w:rPr>
              <w:t xml:space="preserve">Raw Score</w:t>
            </w:r>
          </w:p>
        </w:tc>
        <w:tc>
          <w:tcPr>
            <w:tcW w:type="dxa" w:w="144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0"/>
                <w:szCs w:val="20"/>
              </w:rPr>
              <w:t xml:space="preserve">Adjusted Score</w:t>
            </w:r>
          </w:p>
        </w:tc>
      </w:tr>
      <w:tr>
        <w:tc>
          <w:tcPr>
            <w:tcW w:type="dxa" w:w="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1</w:t>
            </w:r>
          </w:p>
        </w:tc>
        <w:tc>
          <w:tcPr>
            <w:tcW w:type="dxa" w:w="4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thought the system was easy to use.</w:t>
            </w:r>
          </w:p>
        </w:tc>
        <w:tc>
          <w:tcPr>
            <w:tcW w:type="dxa" w:w="12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65F46"/>
                <w:sz w:val="20"/>
                <w:szCs w:val="20"/>
              </w:rPr>
              <w:t xml:space="preserve">Positive</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4</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2</w:t>
            </w:r>
          </w:p>
        </w:tc>
        <w:tc>
          <w:tcPr>
            <w:tcW w:type="dxa" w:w="4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found the system unnecessarily complex.</w:t>
            </w:r>
          </w:p>
        </w:tc>
        <w:tc>
          <w:tcPr>
            <w:tcW w:type="dxa" w:w="12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C0392B"/>
                <w:sz w:val="20"/>
                <w:szCs w:val="20"/>
              </w:rPr>
              <w:t xml:space="preserve">Negative</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3</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3</w:t>
            </w:r>
          </w:p>
        </w:tc>
        <w:tc>
          <w:tcPr>
            <w:tcW w:type="dxa" w:w="4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thought the system was easy to use (navigation).</w:t>
            </w:r>
          </w:p>
        </w:tc>
        <w:tc>
          <w:tcPr>
            <w:tcW w:type="dxa" w:w="12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65F46"/>
                <w:sz w:val="20"/>
                <w:szCs w:val="20"/>
              </w:rPr>
              <w:t xml:space="preserve">Positive</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2</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4</w:t>
            </w:r>
          </w:p>
        </w:tc>
        <w:tc>
          <w:tcPr>
            <w:tcW w:type="dxa" w:w="4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think that I would need the support of a technical person.</w:t>
            </w:r>
          </w:p>
        </w:tc>
        <w:tc>
          <w:tcPr>
            <w:tcW w:type="dxa" w:w="12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C0392B"/>
                <w:sz w:val="20"/>
                <w:szCs w:val="20"/>
              </w:rPr>
              <w:t xml:space="preserve">Negative</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4</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5</w:t>
            </w:r>
          </w:p>
        </w:tc>
        <w:tc>
          <w:tcPr>
            <w:tcW w:type="dxa" w:w="4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found the various functions in the system were well integrated.</w:t>
            </w:r>
          </w:p>
        </w:tc>
        <w:tc>
          <w:tcPr>
            <w:tcW w:type="dxa" w:w="12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65F46"/>
                <w:sz w:val="20"/>
                <w:szCs w:val="20"/>
              </w:rPr>
              <w:t xml:space="preserve">Positive</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3</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6</w:t>
            </w:r>
          </w:p>
        </w:tc>
        <w:tc>
          <w:tcPr>
            <w:tcW w:type="dxa" w:w="4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thought there was too much inconsistency in the system.</w:t>
            </w:r>
          </w:p>
        </w:tc>
        <w:tc>
          <w:tcPr>
            <w:tcW w:type="dxa" w:w="12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C0392B"/>
                <w:sz w:val="20"/>
                <w:szCs w:val="20"/>
              </w:rPr>
              <w:t xml:space="preserve">Negative</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2</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7</w:t>
            </w:r>
          </w:p>
        </w:tc>
        <w:tc>
          <w:tcPr>
            <w:tcW w:type="dxa" w:w="4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would imagine that most people would learn this system very quickly.</w:t>
            </w:r>
          </w:p>
        </w:tc>
        <w:tc>
          <w:tcPr>
            <w:tcW w:type="dxa" w:w="12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65F46"/>
                <w:sz w:val="20"/>
                <w:szCs w:val="20"/>
              </w:rPr>
              <w:t xml:space="preserve">Positive</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2</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8</w:t>
            </w:r>
          </w:p>
        </w:tc>
        <w:tc>
          <w:tcPr>
            <w:tcW w:type="dxa" w:w="4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found the system very cumbersome to use.</w:t>
            </w:r>
          </w:p>
        </w:tc>
        <w:tc>
          <w:tcPr>
            <w:tcW w:type="dxa" w:w="12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C0392B"/>
                <w:sz w:val="20"/>
                <w:szCs w:val="20"/>
              </w:rPr>
              <w:t xml:space="preserve">Negative</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4</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9</w:t>
            </w:r>
          </w:p>
        </w:tc>
        <w:tc>
          <w:tcPr>
            <w:tcW w:type="dxa" w:w="46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felt very confident using the system.</w:t>
            </w:r>
          </w:p>
        </w:tc>
        <w:tc>
          <w:tcPr>
            <w:tcW w:type="dxa" w:w="12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65F46"/>
                <w:sz w:val="20"/>
                <w:szCs w:val="20"/>
              </w:rPr>
              <w:t xml:space="preserve">Positive</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2</w:t>
            </w:r>
          </w:p>
        </w:tc>
        <w:tc>
          <w:tcPr>
            <w:tcW w:type="dxa" w:w="14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10</w:t>
            </w:r>
          </w:p>
        </w:tc>
        <w:tc>
          <w:tcPr>
            <w:tcW w:type="dxa" w:w="46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I needed to learn a lot of things before I could get going with the system.</w:t>
            </w:r>
          </w:p>
        </w:tc>
        <w:tc>
          <w:tcPr>
            <w:tcW w:type="dxa" w:w="12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C0392B"/>
                <w:sz w:val="20"/>
                <w:szCs w:val="20"/>
              </w:rPr>
              <w:t xml:space="preserve">Negative</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1E293B"/>
                <w:sz w:val="20"/>
                <w:szCs w:val="20"/>
              </w:rPr>
              <w:t xml:space="preserve">3</w:t>
            </w:r>
          </w:p>
        </w:tc>
        <w:tc>
          <w:tcPr>
            <w:tcW w:type="dxa" w:w="144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0"/>
                <w:szCs w:val="20"/>
              </w:rPr>
              <w:t xml:space="preserve"/>
            </w:r>
          </w:p>
        </w:tc>
      </w:tr>
      <w:tr>
        <w:tc>
          <w:tcPr>
            <w:tcW w:type="dxa" w:w="640"/>
            <w:gridSpan w:val="4"/>
            <w:tcBorders>
              <w:top w:color="FFFFFF" w:sz="0"/>
              <w:left w:color="FFFFFF" w:sz="0"/>
              <w:bottom w:color="FFFFFF" w:sz="0"/>
              <w:right w:color="FFFFFF" w:sz="0"/>
            </w:tcBorders>
            <w:shd w:fill="F2F4F5"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0"/>
                <w:szCs w:val="20"/>
              </w:rPr>
              <w:t xml:space="preserve"/>
            </w:r>
          </w:p>
        </w:tc>
        <w:tc>
          <w:tcPr>
            <w:tcW w:type="dxa" w:w="1440"/>
            <w:tcBorders>
              <w:top w:color="FFFFFF" w:sz="0"/>
              <w:left w:color="FFFFFF" w:sz="0"/>
              <w:bottom w:color="FFFFFF" w:sz="0"/>
              <w:right w:color="FFFFFF" w:sz="0"/>
            </w:tcBorders>
            <w:shd w:fill="FEF3E2"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854F0B"/>
                <w:sz w:val="22"/>
                <w:szCs w:val="22"/>
              </w:rPr>
              <w:t xml:space="preserve">Sum × 2.5  =  ______</w:t>
            </w:r>
          </w:p>
        </w:tc>
      </w:tr>
    </w:tbl>
    <w:p>
      <w:pPr>
        <w:spacing w:after="0" w:before="80"/>
      </w:pPr>
    </w:p>
    <w:p>
      <w:pPr>
        <w:spacing w:after="60" w:before="60"/>
        <w:jc w:val="left"/>
      </w:pPr>
      <w:r>
        <w:rPr>
          <w:rFonts w:ascii="Calibri" w:cs="Calibri" w:eastAsia="Calibri" w:hAnsi="Calibri"/>
          <w:b/>
          <w:bCs/>
          <w:i w:val="false"/>
          <w:iCs w:val="false"/>
          <w:strike w:val="false"/>
          <w:color w:val="854F0B"/>
          <w:sz w:val="22"/>
          <w:szCs w:val="22"/>
        </w:rPr>
        <w:t xml:space="preserve">5b.</w:t>
      </w:r>
      <w:r>
        <w:rPr>
          <w:rFonts w:ascii="Calibri" w:cs="Calibri" w:eastAsia="Calibri" w:hAnsi="Calibri"/>
          <w:b w:val="false"/>
          <w:bCs w:val="false"/>
          <w:i w:val="false"/>
          <w:iCs w:val="false"/>
          <w:strike w:val="false"/>
          <w:color w:val="1E293B"/>
          <w:sz w:val="22"/>
          <w:szCs w:val="22"/>
        </w:rPr>
        <w:t xml:space="preserve">  The table below shows SUS scores collected from 6 participants across WardWatch and a competing system (ShiftSmart). Calculate the mean SUS score for each system and interpret both results using the benchmark scale.  [4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60"/>
        <w:gridCol w:w="2600"/>
        <w:gridCol w:w="2600"/>
        <w:gridCol w:w="2600"/>
      </w:tblGrid>
      <w:tr>
        <w:tc>
          <w:tcPr>
            <w:tcW w:type="dxa" w:w="156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Participant</w:t>
            </w:r>
          </w:p>
        </w:tc>
        <w:tc>
          <w:tcPr>
            <w:tcW w:type="dxa" w:w="26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WardWatch SUS</w:t>
            </w:r>
          </w:p>
        </w:tc>
        <w:tc>
          <w:tcPr>
            <w:tcW w:type="dxa" w:w="26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ShiftSmart SUS</w:t>
            </w:r>
          </w:p>
        </w:tc>
        <w:tc>
          <w:tcPr>
            <w:tcW w:type="dxa" w:w="26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Difference</w:t>
            </w:r>
          </w:p>
        </w:tc>
      </w:tr>
      <w:tr>
        <w:tc>
          <w:tcPr>
            <w:tcW w:type="dxa" w:w="156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bCs/>
                <w:i w:val="false"/>
                <w:iCs w:val="false"/>
                <w:strike w:val="false"/>
                <w:color w:val="1E293B"/>
                <w:sz w:val="22"/>
                <w:szCs w:val="22"/>
              </w:rPr>
              <w:t xml:space="preserve">P1</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76</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68</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r>
        <w:tc>
          <w:tcPr>
            <w:tcW w:type="dxa" w:w="156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bCs/>
                <w:i w:val="false"/>
                <w:iCs w:val="false"/>
                <w:strike w:val="false"/>
                <w:color w:val="1E293B"/>
                <w:sz w:val="22"/>
                <w:szCs w:val="22"/>
              </w:rPr>
              <w:t xml:space="preserve">P2</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82</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71</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r>
        <w:tc>
          <w:tcPr>
            <w:tcW w:type="dxa" w:w="156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bCs/>
                <w:i w:val="false"/>
                <w:iCs w:val="false"/>
                <w:strike w:val="false"/>
                <w:color w:val="1E293B"/>
                <w:sz w:val="22"/>
                <w:szCs w:val="22"/>
              </w:rPr>
              <w:t xml:space="preserve">P3</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65</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80</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r>
        <w:tc>
          <w:tcPr>
            <w:tcW w:type="dxa" w:w="156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bCs/>
                <w:i w:val="false"/>
                <w:iCs w:val="false"/>
                <w:strike w:val="false"/>
                <w:color w:val="1E293B"/>
                <w:sz w:val="22"/>
                <w:szCs w:val="22"/>
              </w:rPr>
              <w:t xml:space="preserve">P4</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78</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75</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r>
        <w:tc>
          <w:tcPr>
            <w:tcW w:type="dxa" w:w="156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bCs/>
                <w:i w:val="false"/>
                <w:iCs w:val="false"/>
                <w:strike w:val="false"/>
                <w:color w:val="1E293B"/>
                <w:sz w:val="22"/>
                <w:szCs w:val="22"/>
              </w:rPr>
              <w:t xml:space="preserve">P5</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70</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83</w:t>
            </w:r>
          </w:p>
        </w:tc>
        <w:tc>
          <w:tcPr>
            <w:tcW w:type="dxa" w:w="26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r>
        <w:tc>
          <w:tcPr>
            <w:tcW w:type="dxa" w:w="156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bCs/>
                <w:i w:val="false"/>
                <w:iCs w:val="false"/>
                <w:strike w:val="false"/>
                <w:color w:val="1E293B"/>
                <w:sz w:val="22"/>
                <w:szCs w:val="22"/>
              </w:rPr>
              <w:t xml:space="preserve">P6</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80</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pPr>
            <w:r>
              <w:rPr>
                <w:rFonts w:ascii="Calibri" w:cs="Calibri" w:eastAsia="Calibri" w:hAnsi="Calibri"/>
                <w:b w:val="false"/>
                <w:bCs w:val="false"/>
                <w:i w:val="false"/>
                <w:iCs w:val="false"/>
                <w:strike w:val="false"/>
                <w:color w:val="1E293B"/>
                <w:sz w:val="22"/>
                <w:szCs w:val="22"/>
              </w:rPr>
              <w:t xml:space="preserve">70</w:t>
            </w:r>
          </w:p>
        </w:tc>
        <w:tc>
          <w:tcPr>
            <w:tcW w:type="dxa" w:w="26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r>
        <w:tc>
          <w:tcPr>
            <w:tcW w:type="dxa" w:w="1560"/>
            <w:tcBorders>
              <w:top w:color="FFFFFF" w:sz="0"/>
              <w:left w:color="FFFFFF" w:sz="0"/>
              <w:bottom w:color="FFFFFF" w:sz="0"/>
              <w:right w:color="FFFFFF" w:sz="0"/>
            </w:tcBorders>
            <w:shd w:fill="FEF3E2"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854F0B"/>
                <w:sz w:val="22"/>
                <w:szCs w:val="22"/>
              </w:rPr>
              <w:t xml:space="preserve">Mean</w:t>
            </w:r>
          </w:p>
        </w:tc>
        <w:tc>
          <w:tcPr>
            <w:tcW w:type="dxa" w:w="2600"/>
            <w:tcBorders>
              <w:top w:color="FFFFFF" w:sz="0"/>
              <w:left w:color="FFFFFF" w:sz="0"/>
              <w:bottom w:color="FFFFFF" w:sz="0"/>
              <w:right w:color="FFFFFF" w:sz="0"/>
            </w:tcBorders>
            <w:shd w:fill="FEF3E2"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2600"/>
            <w:tcBorders>
              <w:top w:color="FFFFFF" w:sz="0"/>
              <w:left w:color="FFFFFF" w:sz="0"/>
              <w:bottom w:color="FFFFFF" w:sz="0"/>
              <w:right w:color="FFFFFF" w:sz="0"/>
            </w:tcBorders>
            <w:shd w:fill="FEF3E2"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2600"/>
            <w:tcBorders>
              <w:top w:color="FFFFFF" w:sz="0"/>
              <w:left w:color="FFFFFF" w:sz="0"/>
              <w:bottom w:color="FFFFFF" w:sz="0"/>
              <w:right w:color="FFFFFF" w:sz="0"/>
            </w:tcBorders>
            <w:shd w:fill="FEF3E2"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Interpretation of mean scores:</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80"/>
      </w:pPr>
    </w:p>
    <w:p>
      <w:pPr>
        <w:spacing w:after="60" w:before="60"/>
        <w:jc w:val="left"/>
      </w:pPr>
      <w:r>
        <w:rPr>
          <w:rFonts w:ascii="Calibri" w:cs="Calibri" w:eastAsia="Calibri" w:hAnsi="Calibri"/>
          <w:b/>
          <w:bCs/>
          <w:i w:val="false"/>
          <w:iCs w:val="false"/>
          <w:strike w:val="false"/>
          <w:color w:val="854F0B"/>
          <w:sz w:val="22"/>
          <w:szCs w:val="22"/>
        </w:rPr>
        <w:t xml:space="preserve">5c.</w:t>
      </w:r>
      <w:r>
        <w:rPr>
          <w:rFonts w:ascii="Calibri" w:cs="Calibri" w:eastAsia="Calibri" w:hAnsi="Calibri"/>
          <w:b w:val="false"/>
          <w:bCs w:val="false"/>
          <w:i w:val="false"/>
          <w:iCs w:val="false"/>
          <w:strike w:val="false"/>
          <w:color w:val="1E293B"/>
          <w:sz w:val="22"/>
          <w:szCs w:val="22"/>
        </w:rPr>
        <w:t xml:space="preserve">  The means for WardWatch and ShiftSmart are similar. A colleague says: 'The means are the same so the systems are equally usable.' Why is this conclusion potentially misleading? What additional analysis would you perform?  [4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Answer:</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160"/>
      </w:pP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5B21B6" w:sz="10"/>
              <w:bottom w:val="single" w:color="5B21B6" w:sz="4"/>
              <w:right w:color="FFFFFF" w:sz="0"/>
            </w:tcBorders>
            <w:shd w:fill="F2F4F5" w:color="auto" w:val="clear"/>
            <w:tcMar>
              <w:top w:type="dxa" w:w="80"/>
              <w:left w:type="dxa" w:w="120"/>
              <w:bottom w:type="dxa" w:w="80"/>
              <w:right w:type="dxa" w:w="120"/>
            </w:tcMar>
            <w:vAlign w:val="top"/>
          </w:tcPr>
          <w:p>
            <w:pPr>
              <w:spacing w:after="60" w:before="60"/>
              <w:jc w:val="left"/>
            </w:pPr>
            <w:r>
              <w:rPr>
                <w:rFonts w:ascii="Cambria" w:cs="Cambria" w:eastAsia="Cambria" w:hAnsi="Cambria"/>
                <w:b/>
                <w:bCs/>
                <w:i w:val="false"/>
                <w:iCs w:val="false"/>
                <w:strike w:val="false"/>
                <w:color w:val="5B21B6"/>
                <w:sz w:val="28"/>
                <w:szCs w:val="28"/>
              </w:rPr>
              <w:t xml:space="preserve">Section D:  </w:t>
            </w:r>
            <w:r>
              <w:rPr>
                <w:rFonts w:ascii="Cambria" w:cs="Cambria" w:eastAsia="Cambria" w:hAnsi="Cambria"/>
                <w:b/>
                <w:bCs/>
                <w:i w:val="false"/>
                <w:iCs w:val="false"/>
                <w:strike w:val="false"/>
                <w:color w:val="0A3D55"/>
                <w:sz w:val="28"/>
                <w:szCs w:val="28"/>
              </w:rPr>
              <w:t xml:space="preserve">Qualitative Analysis — Thematic Analysis</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20"/>
        <w:gridCol w:w="1640"/>
      </w:tblGrid>
      <w:tr>
        <w:tc>
          <w:tcPr>
            <w:tcBorders>
              <w:top w:color="FFFFFF" w:sz="0"/>
              <w:left w:color="FFFFFF" w:sz="0"/>
              <w:bottom w:color="FFFFFF" w:sz="0"/>
              <w:right w:color="FFFFFF" w:sz="0"/>
            </w:tcBorders>
            <w:shd w:fill="5B21B6" w:color="auto" w:val="clear"/>
            <w:tcMar>
              <w:top w:type="dxa" w:w="80"/>
              <w:left w:type="dxa" w:w="160"/>
              <w:bottom w:type="dxa" w:w="80"/>
              <w:right w:type="dxa" w:w="120"/>
            </w:tcMar>
            <w:vAlign w:val="top"/>
          </w:tcPr>
          <w:p>
            <w:pPr>
              <w:spacing w:after="60" w:before="60"/>
              <w:jc w:val="left"/>
            </w:pPr>
            <w:r>
              <w:rPr>
                <w:rFonts w:ascii="Cambria" w:cs="Cambria" w:eastAsia="Cambria" w:hAnsi="Cambria"/>
                <w:b/>
                <w:bCs/>
                <w:i w:val="false"/>
                <w:iCs w:val="false"/>
                <w:strike w:val="false"/>
                <w:color w:val="FFFFFF"/>
                <w:sz w:val="24"/>
                <w:szCs w:val="24"/>
              </w:rPr>
              <w:t xml:space="preserve">Exercise 6:  </w:t>
            </w:r>
            <w:r>
              <w:rPr>
                <w:rFonts w:ascii="Cambria" w:cs="Cambria" w:eastAsia="Cambria" w:hAnsi="Cambria"/>
                <w:b/>
                <w:bCs/>
                <w:i w:val="false"/>
                <w:iCs w:val="false"/>
                <w:strike w:val="false"/>
                <w:color w:val="FFFFFF"/>
                <w:sz w:val="24"/>
                <w:szCs w:val="24"/>
              </w:rPr>
              <w:t xml:space="preserve">Coding a Transcript</w:t>
            </w:r>
          </w:p>
        </w:tc>
        <w:tc>
          <w:tcPr>
            <w:tcBorders>
              <w:top w:color="FFFFFF" w:sz="0"/>
              <w:left w:color="FFFFFF" w:sz="0"/>
              <w:bottom w:color="FFFFFF" w:sz="0"/>
              <w:right w:color="FFFFFF" w:sz="0"/>
            </w:tcBorders>
            <w:shd w:fill="F0EBFF" w:color="auto" w:val="clear"/>
            <w:tcMar>
              <w:top w:type="dxa" w:w="80"/>
              <w:left w:type="dxa" w:w="120"/>
              <w:bottom w:type="dxa" w:w="80"/>
              <w:right w:type="dxa" w:w="120"/>
            </w:tcMar>
            <w:vAlign w:val="center"/>
          </w:tcPr>
          <w:p>
            <w:pPr>
              <w:spacing w:after="60" w:before="60"/>
              <w:jc w:val="center"/>
            </w:pPr>
            <w:r>
              <w:rPr>
                <w:rFonts w:ascii="Calibri" w:cs="Calibri" w:eastAsia="Calibri" w:hAnsi="Calibri"/>
                <w:b/>
                <w:bCs/>
                <w:i w:val="false"/>
                <w:iCs w:val="false"/>
                <w:strike w:val="false"/>
                <w:color w:val="5B21B6"/>
                <w:sz w:val="22"/>
                <w:szCs w:val="22"/>
              </w:rPr>
              <w:t xml:space="preserve">[10 marks]</w:t>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5B21B6" w:sz="10"/>
              <w:bottom w:color="FFFFFF" w:sz="0"/>
              <w:right w:color="FFFFFF" w:sz="0"/>
            </w:tcBorders>
            <w:shd w:fill="F0EBFF"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5B21B6"/>
                <w:sz w:val="22"/>
                <w:szCs w:val="22"/>
              </w:rPr>
              <w:t xml:space="preserve">Background</w:t>
            </w:r>
          </w:p>
          <w:p>
            <w:pPr>
              <w:spacing w:after="40" w:before="40"/>
              <w:jc w:val="left"/>
            </w:pPr>
            <w:r>
              <w:rPr>
                <w:rFonts w:ascii="Calibri" w:cs="Calibri" w:eastAsia="Calibri" w:hAnsi="Calibri"/>
                <w:b w:val="false"/>
                <w:bCs w:val="false"/>
                <w:i w:val="false"/>
                <w:iCs w:val="false"/>
                <w:strike w:val="false"/>
                <w:color w:val="1E293B"/>
                <w:sz w:val="22"/>
                <w:szCs w:val="22"/>
              </w:rPr>
              <w:t xml:space="preserve">Thematic Analysis (TA) is a method for identifying, analysing, and reporting patterns within qualitative data. The process moves from raw transcript → initial codes → themes.</w:t>
            </w:r>
          </w:p>
          <w:p>
            <w:pPr>
              <w:spacing w:after="40" w:before="40"/>
              <w:jc w:val="left"/>
            </w:pPr>
            <w:r>
              <w:rPr>
                <w:rFonts w:ascii="Calibri" w:cs="Calibri" w:eastAsia="Calibri" w:hAnsi="Calibri"/>
                <w:b w:val="false"/>
                <w:bCs w:val="false"/>
                <w:i w:val="false"/>
                <w:iCs w:val="false"/>
                <w:strike w:val="false"/>
                <w:color w:val="1E293B"/>
                <w:sz w:val="22"/>
                <w:szCs w:val="22"/>
              </w:rPr>
              <w:t xml:space="preserve">Inductive TA: codes emerge from the data. Deductive TA: codes are derived from a pre-existing framework.</w:t>
            </w:r>
          </w:p>
          <w:p>
            <w:pPr>
              <w:spacing w:after="40" w:before="40"/>
              <w:jc w:val="left"/>
            </w:pPr>
            <w:r>
              <w:rPr>
                <w:rFonts w:ascii="Calibri" w:cs="Calibri" w:eastAsia="Calibri" w:hAnsi="Calibri"/>
                <w:b w:val="false"/>
                <w:bCs w:val="false"/>
                <w:i w:val="false"/>
                <w:iCs w:val="false"/>
                <w:strike w:val="false"/>
                <w:color w:val="1E293B"/>
                <w:sz w:val="22"/>
                <w:szCs w:val="22"/>
              </w:rPr>
              <w:t xml:space="preserve">A code is a label that captures the meaningful essence of a data segment. Multiple codes can be applied to overlapping segments.</w:t>
            </w:r>
          </w:p>
        </w:tc>
      </w:tr>
    </w:tbl>
    <w:p>
      <w:pPr>
        <w:spacing w:after="0" w:before="80"/>
      </w:pPr>
    </w:p>
    <w:p>
      <w:pPr>
        <w:spacing w:after="60" w:before="60"/>
        <w:jc w:val="left"/>
      </w:pPr>
      <w:r>
        <w:rPr>
          <w:rFonts w:ascii="Calibri" w:cs="Calibri" w:eastAsia="Calibri" w:hAnsi="Calibri"/>
          <w:b/>
          <w:bCs/>
          <w:i w:val="false"/>
          <w:iCs w:val="false"/>
          <w:strike w:val="false"/>
          <w:color w:val="5B21B6"/>
          <w:sz w:val="22"/>
          <w:szCs w:val="22"/>
        </w:rPr>
        <w:t xml:space="preserve">6a.</w:t>
      </w:r>
      <w:r>
        <w:rPr>
          <w:rFonts w:ascii="Calibri" w:cs="Calibri" w:eastAsia="Calibri" w:hAnsi="Calibri"/>
          <w:b w:val="false"/>
          <w:bCs w:val="false"/>
          <w:i w:val="false"/>
          <w:iCs w:val="false"/>
          <w:strike w:val="false"/>
          <w:color w:val="1E293B"/>
          <w:sz w:val="22"/>
          <w:szCs w:val="22"/>
        </w:rPr>
        <w:t xml:space="preserve">  Read the interview transcript excerpt below. Apply initial codes to the highlighted segments by writing your codes in the right-hand column. Aim for 6–8 codes across the excerpt. You may use the same code more than once.  [5 marks]</w:t>
      </w:r>
    </w:p>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5B21B6" w:sz="10"/>
              <w:bottom w:color="FFFFFF" w:sz="0"/>
              <w:right w:color="FFFFFF" w:sz="0"/>
            </w:tcBorders>
            <w:shd w:fill="F0EBFF"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5B21B6"/>
                <w:sz w:val="22"/>
                <w:szCs w:val="22"/>
              </w:rPr>
              <w:t xml:space="preserve">Interview transcript — Brenda Okafor, Ward Nurse, WardWatch evaluation session</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120"/>
        <w:gridCol w:w="3240"/>
      </w:tblGrid>
      <w:tr>
        <w:tc>
          <w:tcPr>
            <w:tcW w:type="dxa" w:w="6120"/>
            <w:tcBorders>
              <w:top w:color="FFFFFF" w:sz="0"/>
              <w:left w:color="FFFFFF" w:sz="0"/>
              <w:bottom w:color="FFFFFF" w:sz="0"/>
              <w:right w:color="FFFFFF" w:sz="0"/>
            </w:tcBorders>
            <w:shd w:fill="5B21B6"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Transcript extract</w:t>
            </w:r>
          </w:p>
        </w:tc>
        <w:tc>
          <w:tcPr>
            <w:tcW w:type="dxa" w:w="3240"/>
            <w:tcBorders>
              <w:top w:color="FFFFFF" w:sz="0"/>
              <w:left w:color="FFFFFF" w:sz="0"/>
              <w:bottom w:color="FFFFFF" w:sz="0"/>
              <w:right w:color="FFFFFF" w:sz="0"/>
            </w:tcBorders>
            <w:shd w:fill="5B21B6"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Your codes</w:t>
            </w:r>
          </w:p>
        </w:tc>
      </w:tr>
      <w:tr>
        <w:tc>
          <w:tcPr>
            <w:tcW w:type="dxa" w:w="6120"/>
            <w:tcBorders>
              <w:top w:color="FFFFFF" w:sz="0"/>
              <w:left w:color="FFFFFF" w:sz="0"/>
              <w:bottom w:val="single" w:color="E2E8F0" w:sz="2"/>
              <w:right w:color="FFFFFF" w:sz="0"/>
            </w:tcBorders>
            <w:shd w:fill="F9F7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iCs/>
                <w:strike w:val="false"/>
                <w:color w:val="1E293B"/>
                <w:sz w:val="22"/>
                <w:szCs w:val="22"/>
              </w:rPr>
              <w:t xml:space="preserve">"I always end up printing out the patient sheet before handover starts. I know I'm not supposed to, but… the system has lost my entries before and I just can't risk that."</w:t>
            </w:r>
          </w:p>
        </w:tc>
        <w:tc>
          <w:tcPr>
            <w:tcW w:type="dxa" w:w="3240"/>
            <w:tcBorders>
              <w:top w:color="FFFFFF" w:sz="0"/>
              <w:left w:color="FFFFFF" w:sz="0"/>
              <w:bottom w:val="single" w:color="E2E8F0" w:sz="2"/>
              <w:right w:color="FFFFFF" w:sz="0"/>
            </w:tcBorders>
            <w:shd w:fill="F9F7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tc>
      </w:tr>
      <w:tr>
        <w:tc>
          <w:tcPr>
            <w:tcW w:type="dxa" w:w="61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iCs/>
                <w:strike w:val="false"/>
                <w:color w:val="1E293B"/>
                <w:sz w:val="22"/>
                <w:szCs w:val="22"/>
              </w:rPr>
              <w:t xml:space="preserve">"When I'm in the middle of a handover with five things going on, I don't have time to read a tiny icon. If it's not obvious, I'm not going to find it."</w:t>
            </w:r>
          </w:p>
        </w:tc>
        <w:tc>
          <w:tcPr>
            <w:tcW w:type="dxa" w:w="32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tc>
      </w:tr>
      <w:tr>
        <w:tc>
          <w:tcPr>
            <w:tcW w:type="dxa" w:w="6120"/>
            <w:tcBorders>
              <w:top w:color="FFFFFF" w:sz="0"/>
              <w:left w:color="FFFFFF" w:sz="0"/>
              <w:bottom w:val="single" w:color="E2E8F0" w:sz="2"/>
              <w:right w:color="FFFFFF" w:sz="0"/>
            </w:tcBorders>
            <w:shd w:fill="F9F7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iCs/>
                <w:strike w:val="false"/>
                <w:color w:val="1E293B"/>
                <w:sz w:val="22"/>
                <w:szCs w:val="22"/>
              </w:rPr>
              <w:t xml:space="preserve">"I taught myself all the keyboard shortcuts because the mouse is just too slow when you're under pressure. Nobody showed me those — I found them by accident."</w:t>
            </w:r>
          </w:p>
        </w:tc>
        <w:tc>
          <w:tcPr>
            <w:tcW w:type="dxa" w:w="3240"/>
            <w:tcBorders>
              <w:top w:color="FFFFFF" w:sz="0"/>
              <w:left w:color="FFFFFF" w:sz="0"/>
              <w:bottom w:val="single" w:color="E2E8F0" w:sz="2"/>
              <w:right w:color="FFFFFF" w:sz="0"/>
            </w:tcBorders>
            <w:shd w:fill="F9F7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tc>
      </w:tr>
      <w:tr>
        <w:tc>
          <w:tcPr>
            <w:tcW w:type="dxa" w:w="61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iCs/>
                <w:strike w:val="false"/>
                <w:color w:val="1E293B"/>
                <w:sz w:val="22"/>
                <w:szCs w:val="22"/>
              </w:rPr>
              <w:t xml:space="preserve">"Sometimes I feel like the system was designed by someone who has never actually worked on a ward. The things that matter most to me — like seeing patient flags at a glance — are buried."</w:t>
            </w:r>
          </w:p>
        </w:tc>
        <w:tc>
          <w:tcPr>
            <w:tcW w:type="dxa" w:w="32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tc>
      </w:tr>
      <w:tr>
        <w:tc>
          <w:tcPr>
            <w:tcW w:type="dxa" w:w="6120"/>
            <w:tcBorders>
              <w:top w:color="FFFFFF" w:sz="0"/>
              <w:left w:color="FFFFFF" w:sz="0"/>
              <w:bottom w:val="single" w:color="E2E8F0" w:sz="2"/>
              <w:right w:color="FFFFFF" w:sz="0"/>
            </w:tcBorders>
            <w:shd w:fill="F9F7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iCs/>
                <w:strike w:val="false"/>
                <w:color w:val="1E293B"/>
                <w:sz w:val="22"/>
                <w:szCs w:val="22"/>
              </w:rPr>
              <w:t xml:space="preserve">"When the error message comes up, it just says ERR_402. I've no idea what that means. So I just try saving again and hope for the best."</w:t>
            </w:r>
          </w:p>
        </w:tc>
        <w:tc>
          <w:tcPr>
            <w:tcW w:type="dxa" w:w="3240"/>
            <w:tcBorders>
              <w:top w:color="FFFFFF" w:sz="0"/>
              <w:left w:color="FFFFFF" w:sz="0"/>
              <w:bottom w:val="single" w:color="E2E8F0" w:sz="2"/>
              <w:right w:color="FFFFFF" w:sz="0"/>
            </w:tcBorders>
            <w:shd w:fill="F9F7FF"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tc>
      </w:tr>
      <w:tr>
        <w:tc>
          <w:tcPr>
            <w:tcW w:type="dxa" w:w="612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iCs/>
                <w:strike w:val="false"/>
                <w:color w:val="1E293B"/>
                <w:sz w:val="22"/>
                <w:szCs w:val="22"/>
              </w:rPr>
              <w:t xml:space="preserve">"I worry about the newer staff. They don't know the workarounds I know. If they rely on the system as it is, things will get missed."</w:t>
            </w:r>
          </w:p>
        </w:tc>
        <w:tc>
          <w:tcPr>
            <w:tcW w:type="dxa" w:w="324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40"/>
            </w:pPr>
            <w:r>
              <w:rPr>
                <w:rFonts w:ascii="Calibri" w:cs="Calibri" w:eastAsia="Calibri" w:hAnsi="Calibri"/>
                <w:b w:val="false"/>
                <w:bCs w:val="false"/>
                <w:i w:val="false"/>
                <w:iCs w:val="false"/>
                <w:strike w:val="false"/>
                <w:color w:val="1E293B"/>
                <w:sz w:val="22"/>
                <w:szCs w:val="22"/>
              </w:rPr>
              <w:t xml:space="preserve"/>
            </w:r>
          </w:p>
        </w:tc>
      </w:tr>
    </w:tbl>
    <w:p>
      <w:pPr>
        <w:spacing w:after="0" w:before="80"/>
      </w:pPr>
    </w:p>
    <w:p>
      <w:pPr>
        <w:spacing w:after="60" w:before="60"/>
        <w:jc w:val="left"/>
      </w:pPr>
      <w:r>
        <w:rPr>
          <w:rFonts w:ascii="Calibri" w:cs="Calibri" w:eastAsia="Calibri" w:hAnsi="Calibri"/>
          <w:b/>
          <w:bCs/>
          <w:i w:val="false"/>
          <w:iCs w:val="false"/>
          <w:strike w:val="false"/>
          <w:color w:val="5B21B6"/>
          <w:sz w:val="22"/>
          <w:szCs w:val="22"/>
        </w:rPr>
        <w:t xml:space="preserve">6b.</w:t>
      </w:r>
      <w:r>
        <w:rPr>
          <w:rFonts w:ascii="Calibri" w:cs="Calibri" w:eastAsia="Calibri" w:hAnsi="Calibri"/>
          <w:b w:val="false"/>
          <w:bCs w:val="false"/>
          <w:i w:val="false"/>
          <w:iCs w:val="false"/>
          <w:strike w:val="false"/>
          <w:color w:val="1E293B"/>
          <w:sz w:val="22"/>
          <w:szCs w:val="22"/>
        </w:rPr>
        <w:t xml:space="preserve">  Review your codes from 6a. Group them into 2–3 candidate themes. For each theme, write a theme name (not just a topic label — a sentence that captures the insight) and list the codes it contains.  [3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5B21B6" w:sz="10"/>
              <w:bottom w:val="single" w:color="5B21B6" w:sz="4"/>
              <w:right w:color="FFFFFF" w:sz="0"/>
            </w:tcBorders>
            <w:shd w:fill="F0EBFF"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5B21B6"/>
                <w:sz w:val="22"/>
                <w:szCs w:val="22"/>
              </w:rPr>
              <w:t xml:space="preserve">Theme 1: </w:t>
            </w:r>
            <w:r>
              <w:rPr>
                <w:rFonts w:ascii="Calibri" w:cs="Calibri" w:eastAsia="Calibri" w:hAnsi="Calibri"/>
                <w:b w:val="false"/>
                <w:bCs w:val="false"/>
                <w:i w:val="false"/>
                <w:iCs w:val="false"/>
                <w:strike w:val="false"/>
                <w:color w:val="1E293B"/>
                <w:sz w:val="22"/>
                <w:szCs w:val="22"/>
              </w:rPr>
              <w:t xml:space="preserve">                                                                                              </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60"/>
        <w:gridCol w:w="4700"/>
      </w:tblGrid>
      <w:tr>
        <w:tc>
          <w:tcPr>
            <w:tcW w:type="dxa" w:w="4660"/>
            <w:tcBorders>
              <w:top w:color="FFFFFF" w:sz="0"/>
              <w:left w:color="FFFFFF" w:sz="0"/>
              <w:bottom w:color="FFFFFF" w:sz="0"/>
              <w:right w:color="FFFFFF" w:sz="0"/>
            </w:tcBorders>
            <w:shd w:fill="F8FAFB" w:color="auto" w:val="clear"/>
            <w:tcMar>
              <w:top w:type="dxa" w:w="80"/>
              <w:left w:type="dxa" w:w="12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Codes included:</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c>
          <w:tcPr>
            <w:tcW w:type="dxa" w:w="4700"/>
            <w:tcBorders>
              <w:top w:color="FFFFFF" w:sz="0"/>
              <w:left w:color="FFFFFF" w:sz="0"/>
              <w:bottom w:color="FFFFFF" w:sz="0"/>
              <w:right w:color="FFFFFF" w:sz="0"/>
            </w:tcBorders>
            <w:shd w:fill="F8FAFB" w:color="auto" w:val="clear"/>
            <w:tcMar>
              <w:top w:type="dxa" w:w="80"/>
              <w:left w:type="dxa" w:w="12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Why these codes belong together:</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5B21B6" w:sz="10"/>
              <w:bottom w:val="single" w:color="5B21B6" w:sz="4"/>
              <w:right w:color="FFFFFF" w:sz="0"/>
            </w:tcBorders>
            <w:shd w:fill="F0EBFF"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5B21B6"/>
                <w:sz w:val="22"/>
                <w:szCs w:val="22"/>
              </w:rPr>
              <w:t xml:space="preserve">Theme 2: </w:t>
            </w:r>
            <w:r>
              <w:rPr>
                <w:rFonts w:ascii="Calibri" w:cs="Calibri" w:eastAsia="Calibri" w:hAnsi="Calibri"/>
                <w:b w:val="false"/>
                <w:bCs w:val="false"/>
                <w:i w:val="false"/>
                <w:iCs w:val="false"/>
                <w:strike w:val="false"/>
                <w:color w:val="1E293B"/>
                <w:sz w:val="22"/>
                <w:szCs w:val="22"/>
              </w:rPr>
              <w:t xml:space="preserve">                                                                                              </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60"/>
        <w:gridCol w:w="4700"/>
      </w:tblGrid>
      <w:tr>
        <w:tc>
          <w:tcPr>
            <w:tcW w:type="dxa" w:w="4660"/>
            <w:tcBorders>
              <w:top w:color="FFFFFF" w:sz="0"/>
              <w:left w:color="FFFFFF" w:sz="0"/>
              <w:bottom w:color="FFFFFF" w:sz="0"/>
              <w:right w:color="FFFFFF" w:sz="0"/>
            </w:tcBorders>
            <w:shd w:fill="F8FAFB" w:color="auto" w:val="clear"/>
            <w:tcMar>
              <w:top w:type="dxa" w:w="80"/>
              <w:left w:type="dxa" w:w="12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Codes included:</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c>
          <w:tcPr>
            <w:tcW w:type="dxa" w:w="4700"/>
            <w:tcBorders>
              <w:top w:color="FFFFFF" w:sz="0"/>
              <w:left w:color="FFFFFF" w:sz="0"/>
              <w:bottom w:color="FFFFFF" w:sz="0"/>
              <w:right w:color="FFFFFF" w:sz="0"/>
            </w:tcBorders>
            <w:shd w:fill="F8FAFB" w:color="auto" w:val="clear"/>
            <w:tcMar>
              <w:top w:type="dxa" w:w="80"/>
              <w:left w:type="dxa" w:w="12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Why these codes belong together:</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5B21B6" w:sz="10"/>
              <w:bottom w:val="single" w:color="5B21B6" w:sz="4"/>
              <w:right w:color="FFFFFF" w:sz="0"/>
            </w:tcBorders>
            <w:shd w:fill="F0EBFF"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5B21B6"/>
                <w:sz w:val="22"/>
                <w:szCs w:val="22"/>
              </w:rPr>
              <w:t xml:space="preserve">Theme 3: </w:t>
            </w:r>
            <w:r>
              <w:rPr>
                <w:rFonts w:ascii="Calibri" w:cs="Calibri" w:eastAsia="Calibri" w:hAnsi="Calibri"/>
                <w:b w:val="false"/>
                <w:bCs w:val="false"/>
                <w:i w:val="false"/>
                <w:iCs w:val="false"/>
                <w:strike w:val="false"/>
                <w:color w:val="1E293B"/>
                <w:sz w:val="22"/>
                <w:szCs w:val="22"/>
              </w:rPr>
              <w:t xml:space="preserve">                                                                                              </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60"/>
        <w:gridCol w:w="4700"/>
      </w:tblGrid>
      <w:tr>
        <w:tc>
          <w:tcPr>
            <w:tcW w:type="dxa" w:w="4660"/>
            <w:tcBorders>
              <w:top w:color="FFFFFF" w:sz="0"/>
              <w:left w:color="FFFFFF" w:sz="0"/>
              <w:bottom w:color="FFFFFF" w:sz="0"/>
              <w:right w:color="FFFFFF" w:sz="0"/>
            </w:tcBorders>
            <w:shd w:fill="F8FAFB" w:color="auto" w:val="clear"/>
            <w:tcMar>
              <w:top w:type="dxa" w:w="80"/>
              <w:left w:type="dxa" w:w="12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Codes included:</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c>
          <w:tcPr>
            <w:tcW w:type="dxa" w:w="4700"/>
            <w:tcBorders>
              <w:top w:color="FFFFFF" w:sz="0"/>
              <w:left w:color="FFFFFF" w:sz="0"/>
              <w:bottom w:color="FFFFFF" w:sz="0"/>
              <w:right w:color="FFFFFF" w:sz="0"/>
            </w:tcBorders>
            <w:shd w:fill="F8FAFB" w:color="auto" w:val="clear"/>
            <w:tcMar>
              <w:top w:type="dxa" w:w="80"/>
              <w:left w:type="dxa" w:w="12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Why these codes belong together:</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p>
      <w:pPr>
        <w:spacing w:after="0" w:before="60"/>
      </w:pPr>
    </w:p>
    <w:p>
      <w:pPr>
        <w:spacing w:after="60" w:before="60"/>
        <w:jc w:val="left"/>
      </w:pPr>
      <w:r>
        <w:rPr>
          <w:rFonts w:ascii="Calibri" w:cs="Calibri" w:eastAsia="Calibri" w:hAnsi="Calibri"/>
          <w:b/>
          <w:bCs/>
          <w:i w:val="false"/>
          <w:iCs w:val="false"/>
          <w:strike w:val="false"/>
          <w:color w:val="5B21B6"/>
          <w:sz w:val="22"/>
          <w:szCs w:val="22"/>
        </w:rPr>
        <w:t xml:space="preserve">6c.</w:t>
      </w:r>
      <w:r>
        <w:rPr>
          <w:rFonts w:ascii="Calibri" w:cs="Calibri" w:eastAsia="Calibri" w:hAnsi="Calibri"/>
          <w:b w:val="false"/>
          <w:bCs w:val="false"/>
          <w:i w:val="false"/>
          <w:iCs w:val="false"/>
          <w:strike w:val="false"/>
          <w:color w:val="1E293B"/>
          <w:sz w:val="22"/>
          <w:szCs w:val="22"/>
        </w:rPr>
        <w:t xml:space="preserve">  Write a short theme description (3–4 sentences) for ONE of your themes. Your description should: name the theme, explain what it captures, include at least one supporting quote from the transcript, and state what design implication it suggests.  [2 marks]</w:t>
      </w:r>
    </w:p>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64748B" w:sz="8"/>
              <w:bottom w:color="FFFFFF" w:sz="0"/>
              <w:right w:color="FFFFFF" w:sz="0"/>
            </w:tcBorders>
            <w:shd w:fill="F8FAFB" w:color="auto" w:val="clear"/>
            <w:tcMar>
              <w:top w:type="dxa" w:w="80"/>
              <w:left w:type="dxa" w:w="140"/>
              <w:bottom w:type="dxa" w:w="80"/>
              <w:right w:type="dxa" w:w="120"/>
            </w:tcMar>
            <w:vAlign w:val="top"/>
          </w:tcPr>
          <w:p>
            <w:pPr>
              <w:spacing w:after="60" w:before="60"/>
              <w:jc w:val="left"/>
            </w:pPr>
            <w:r>
              <w:rPr>
                <w:rFonts w:ascii="Calibri" w:cs="Calibri" w:eastAsia="Calibri" w:hAnsi="Calibri"/>
                <w:b/>
                <w:bCs/>
                <w:i w:val="false"/>
                <w:iCs w:val="false"/>
                <w:strike w:val="false"/>
                <w:color w:val="64748B"/>
                <w:sz w:val="20"/>
                <w:szCs w:val="20"/>
              </w:rPr>
              <w:t xml:space="preserve">Theme description:</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r>
    </w:tbl>
    <w:p>
      <w:pPr>
        <w:spacing w:after="0" w:before="1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color="FFFFFF" w:sz="0"/>
              <w:bottom w:color="FFFFFF" w:sz="0"/>
              <w:right w:color="FFFFFF" w:sz="0"/>
            </w:tcBorders>
            <w:shd w:fill="0A3D55" w:color="auto" w:val="clear"/>
            <w:tcMar>
              <w:top w:type="dxa" w:w="100"/>
              <w:left w:type="dxa" w:w="180"/>
              <w:bottom w:type="dxa" w:w="100"/>
              <w:right w:type="dxa" w:w="180"/>
            </w:tcMar>
            <w:vAlign w:val="top"/>
          </w:tcPr>
          <w:p>
            <w:pPr>
              <w:spacing w:after="60" w:before="60"/>
              <w:jc w:val="left"/>
            </w:pPr>
            <w:r>
              <w:rPr>
                <w:rFonts w:ascii="Cambria" w:cs="Cambria" w:eastAsia="Cambria" w:hAnsi="Cambria"/>
                <w:b/>
                <w:bCs/>
                <w:i w:val="false"/>
                <w:iCs w:val="false"/>
                <w:strike w:val="false"/>
                <w:color w:val="FFFFFF"/>
                <w:sz w:val="28"/>
                <w:szCs w:val="28"/>
              </w:rPr>
              <w:t xml:space="preserve">Reflection — Connecting the Methods</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720"/>
        <w:gridCol w:w="1640"/>
      </w:tblGrid>
      <w:tr>
        <w:tc>
          <w:tcPr>
            <w:tcBorders>
              <w:top w:color="FFFFFF" w:sz="0"/>
              <w:left w:color="FFFFFF" w:sz="0"/>
              <w:bottom w:color="FFFFFF" w:sz="0"/>
              <w:right w:color="FFFFFF" w:sz="0"/>
            </w:tcBorders>
            <w:shd w:fill="0A3D55" w:color="auto" w:val="clear"/>
            <w:tcMar>
              <w:top w:type="dxa" w:w="80"/>
              <w:left w:type="dxa" w:w="160"/>
              <w:bottom w:type="dxa" w:w="80"/>
              <w:right w:type="dxa" w:w="120"/>
            </w:tcMar>
            <w:vAlign w:val="top"/>
          </w:tcPr>
          <w:p>
            <w:pPr>
              <w:spacing w:after="60" w:before="60"/>
              <w:jc w:val="left"/>
            </w:pPr>
            <w:r>
              <w:rPr>
                <w:rFonts w:ascii="Cambria" w:cs="Cambria" w:eastAsia="Cambria" w:hAnsi="Cambria"/>
                <w:b/>
                <w:bCs/>
                <w:i w:val="false"/>
                <w:iCs w:val="false"/>
                <w:strike w:val="false"/>
                <w:color w:val="FFFFFF"/>
                <w:sz w:val="24"/>
                <w:szCs w:val="24"/>
              </w:rPr>
              <w:t xml:space="preserve">Exercise 7:  </w:t>
            </w:r>
            <w:r>
              <w:rPr>
                <w:rFonts w:ascii="Cambria" w:cs="Cambria" w:eastAsia="Cambria" w:hAnsi="Cambria"/>
                <w:b/>
                <w:bCs/>
                <w:i w:val="false"/>
                <w:iCs w:val="false"/>
                <w:strike w:val="false"/>
                <w:color w:val="FFFFFF"/>
                <w:sz w:val="24"/>
                <w:szCs w:val="24"/>
              </w:rPr>
              <w:t xml:space="preserve">Choosing the Right Method</w:t>
            </w:r>
          </w:p>
        </w:tc>
        <w:tc>
          <w:tcPr>
            <w:tcBorders>
              <w:top w:color="FFFFFF" w:sz="0"/>
              <w:left w:color="FFFFFF" w:sz="0"/>
              <w:bottom w:color="FFFFFF" w:sz="0"/>
              <w:right w:color="FFFFFF" w:sz="0"/>
            </w:tcBorders>
            <w:shd w:fill="F2F4F5" w:color="auto" w:val="clear"/>
            <w:tcMar>
              <w:top w:type="dxa" w:w="80"/>
              <w:left w:type="dxa" w:w="120"/>
              <w:bottom w:type="dxa" w:w="80"/>
              <w:right w:type="dxa" w:w="120"/>
            </w:tcMar>
            <w:vAlign w:val="center"/>
          </w:tcPr>
          <w:p>
            <w:pPr>
              <w:spacing w:after="60" w:before="60"/>
              <w:jc w:val="center"/>
            </w:pPr>
            <w:r>
              <w:rPr>
                <w:rFonts w:ascii="Calibri" w:cs="Calibri" w:eastAsia="Calibri" w:hAnsi="Calibri"/>
                <w:b/>
                <w:bCs/>
                <w:i w:val="false"/>
                <w:iCs w:val="false"/>
                <w:strike w:val="false"/>
                <w:color w:val="0A3D55"/>
                <w:sz w:val="22"/>
                <w:szCs w:val="22"/>
              </w:rPr>
              <w:t xml:space="preserve">[8 marks]</w:t>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28090" w:sz="10"/>
              <w:bottom w:color="FFFFFF" w:sz="0"/>
              <w:right w:color="FFFFFF" w:sz="0"/>
            </w:tcBorders>
            <w:shd w:fill="EBF8FF" w:color="auto" w:val="clear"/>
            <w:tcMar>
              <w:top w:type="dxa" w:w="90"/>
              <w:left w:type="dxa" w:w="160"/>
              <w:bottom w:type="dxa" w:w="90"/>
              <w:right w:type="dxa" w:w="120"/>
            </w:tcMar>
            <w:vAlign w:val="top"/>
          </w:tcPr>
          <w:p>
            <w:pPr>
              <w:spacing w:after="60" w:before="60"/>
              <w:jc w:val="left"/>
            </w:pPr>
            <w:r>
              <w:rPr>
                <w:rFonts w:ascii="Calibri" w:cs="Calibri" w:eastAsia="Calibri" w:hAnsi="Calibri"/>
                <w:b/>
                <w:bCs/>
                <w:i w:val="false"/>
                <w:iCs w:val="false"/>
                <w:strike w:val="false"/>
                <w:color w:val="028090"/>
                <w:sz w:val="22"/>
                <w:szCs w:val="22"/>
              </w:rPr>
              <w:t xml:space="preserve">Context</w:t>
            </w:r>
          </w:p>
          <w:p>
            <w:pPr>
              <w:spacing w:after="40" w:before="40"/>
              <w:jc w:val="left"/>
            </w:pPr>
            <w:r>
              <w:rPr>
                <w:rFonts w:ascii="Calibri" w:cs="Calibri" w:eastAsia="Calibri" w:hAnsi="Calibri"/>
                <w:b w:val="false"/>
                <w:bCs w:val="false"/>
                <w:i w:val="false"/>
                <w:iCs w:val="false"/>
                <w:strike w:val="false"/>
                <w:color w:val="1E293B"/>
                <w:sz w:val="22"/>
                <w:szCs w:val="22"/>
              </w:rPr>
              <w:t xml:space="preserve">You have been asked to evaluate WardWatch for a second time, 6 months after the redesign. You have limited time (one day) and a budget of £0.</w:t>
            </w:r>
          </w:p>
          <w:p>
            <w:pPr>
              <w:spacing w:after="40" w:before="40"/>
              <w:jc w:val="left"/>
            </w:pPr>
            <w:r>
              <w:rPr>
                <w:rFonts w:ascii="Calibri" w:cs="Calibri" w:eastAsia="Calibri" w:hAnsi="Calibri"/>
                <w:b w:val="false"/>
                <w:bCs w:val="false"/>
                <w:i w:val="false"/>
                <w:iCs w:val="false"/>
                <w:strike w:val="false"/>
                <w:color w:val="1E293B"/>
                <w:sz w:val="22"/>
                <w:szCs w:val="22"/>
              </w:rPr>
              <w:t xml:space="preserve">For each evaluation goal below, recommend the most appropriate method from this module. Justify your choice in one sentence, and name one alternative method and why it is less suitable.</w:t>
            </w:r>
          </w:p>
        </w:tc>
      </w:tr>
    </w:tbl>
    <w:p>
      <w:pPr>
        <w:spacing w:after="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A3D55" w:sz="10"/>
              <w:bottom w:val="single" w:color="0A3D55" w:sz="4"/>
              <w:right w:color="FFFFFF" w:sz="0"/>
            </w:tcBorders>
            <w:shd w:fill="F2F4F5"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Goal A:  </w:t>
            </w:r>
            <w:r>
              <w:rPr>
                <w:rFonts w:ascii="Calibri" w:cs="Calibri" w:eastAsia="Calibri" w:hAnsi="Calibri"/>
                <w:b w:val="false"/>
                <w:bCs w:val="false"/>
                <w:i w:val="false"/>
                <w:iCs w:val="false"/>
                <w:strike w:val="false"/>
                <w:color w:val="1E293B"/>
                <w:sz w:val="22"/>
                <w:szCs w:val="22"/>
              </w:rPr>
              <w:t xml:space="preserve">You want to find out whether new users can complete the risk-flag task without training, before spending time on user testing.</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Best method:</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624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 + alternative:</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A3D55" w:sz="10"/>
              <w:bottom w:val="single" w:color="0A3D55" w:sz="4"/>
              <w:right w:color="FFFFFF" w:sz="0"/>
            </w:tcBorders>
            <w:shd w:fill="F2F4F5"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Goal B:  </w:t>
            </w:r>
            <w:r>
              <w:rPr>
                <w:rFonts w:ascii="Calibri" w:cs="Calibri" w:eastAsia="Calibri" w:hAnsi="Calibri"/>
                <w:b w:val="false"/>
                <w:bCs w:val="false"/>
                <w:i w:val="false"/>
                <w:iCs w:val="false"/>
                <w:strike w:val="false"/>
                <w:color w:val="1E293B"/>
                <w:sz w:val="22"/>
                <w:szCs w:val="22"/>
              </w:rPr>
              <w:t xml:space="preserve">You want to understand how nurses feel about the redesigned system compared to the old paper-based process.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Best method:</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624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 + alternative:</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A3D55" w:sz="10"/>
              <w:bottom w:val="single" w:color="0A3D55" w:sz="4"/>
              <w:right w:color="FFFFFF" w:sz="0"/>
            </w:tcBorders>
            <w:shd w:fill="F2F4F5"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Goal C:  </w:t>
            </w:r>
            <w:r>
              <w:rPr>
                <w:rFonts w:ascii="Calibri" w:cs="Calibri" w:eastAsia="Calibri" w:hAnsi="Calibri"/>
                <w:b w:val="false"/>
                <w:bCs w:val="false"/>
                <w:i w:val="false"/>
                <w:iCs w:val="false"/>
                <w:strike w:val="false"/>
                <w:color w:val="1E293B"/>
                <w:sz w:val="22"/>
                <w:szCs w:val="22"/>
              </w:rPr>
              <w:t xml:space="preserve">You want to measure whether the redesign has improved usability scores compared to the pre-redesign baseline.</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Best method:</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624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 + alternative:</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color="FFFFFF" w:sz="0"/>
              <w:left w:val="single" w:color="0A3D55" w:sz="10"/>
              <w:bottom w:val="single" w:color="0A3D55" w:sz="4"/>
              <w:right w:color="FFFFFF" w:sz="0"/>
            </w:tcBorders>
            <w:shd w:fill="F2F4F5" w:color="auto" w:val="clear"/>
            <w:tcMar>
              <w:top w:type="dxa" w:w="70"/>
              <w:left w:type="dxa" w:w="140"/>
              <w:bottom w:type="dxa" w:w="70"/>
              <w:right w:type="dxa" w:w="120"/>
            </w:tcMar>
            <w:vAlign w:val="top"/>
          </w:tcPr>
          <w:p>
            <w:pPr>
              <w:spacing w:after="60" w:before="60"/>
              <w:jc w:val="left"/>
            </w:pPr>
            <w:r>
              <w:rPr>
                <w:rFonts w:ascii="Calibri" w:cs="Calibri" w:eastAsia="Calibri" w:hAnsi="Calibri"/>
                <w:b/>
                <w:bCs/>
                <w:i w:val="false"/>
                <w:iCs w:val="false"/>
                <w:strike w:val="false"/>
                <w:color w:val="0A3D55"/>
                <w:sz w:val="22"/>
                <w:szCs w:val="22"/>
              </w:rPr>
              <w:t xml:space="preserve">Goal D:  </w:t>
            </w:r>
            <w:r>
              <w:rPr>
                <w:rFonts w:ascii="Calibri" w:cs="Calibri" w:eastAsia="Calibri" w:hAnsi="Calibri"/>
                <w:b w:val="false"/>
                <w:bCs w:val="false"/>
                <w:i w:val="false"/>
                <w:iCs w:val="false"/>
                <w:strike w:val="false"/>
                <w:color w:val="1E293B"/>
                <w:sz w:val="22"/>
                <w:szCs w:val="22"/>
              </w:rPr>
              <w:t xml:space="preserve">You want to identify every remaining usability problem quickly across the whole interface, not just for specific tasks.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Best method:</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tc>
        <w:tc>
          <w:tcPr>
            <w:tcW w:type="dxa" w:w="6240"/>
            <w:tcBorders>
              <w:top w:color="FFFFFF" w:sz="0"/>
              <w:left w:color="FFFFFF" w:sz="0"/>
              <w:bottom w:color="FFFFFF" w:sz="0"/>
              <w:right w:color="FFFFFF" w:sz="0"/>
            </w:tcBorders>
            <w:shd w:fill="F8FAFB" w:color="auto" w:val="clear"/>
            <w:tcMar>
              <w:top w:type="dxa" w:w="80"/>
              <w:left w:type="dxa" w:w="100"/>
              <w:bottom w:type="dxa" w:w="80"/>
              <w:right w:type="dxa" w:w="120"/>
            </w:tcMar>
            <w:vAlign w:val="top"/>
          </w:tcPr>
          <w:p>
            <w:pPr>
              <w:spacing w:after="80" w:before="60"/>
              <w:jc w:val="left"/>
            </w:pPr>
            <w:r>
              <w:rPr>
                <w:rFonts w:ascii="Calibri" w:cs="Calibri" w:eastAsia="Calibri" w:hAnsi="Calibri"/>
                <w:b/>
                <w:bCs/>
                <w:i w:val="false"/>
                <w:iCs w:val="false"/>
                <w:strike w:val="false"/>
                <w:color w:val="64748B"/>
                <w:sz w:val="20"/>
                <w:szCs w:val="20"/>
              </w:rPr>
              <w:t xml:space="preserve">Justification + alternative:</w:t>
            </w:r>
          </w:p>
          <w:p>
            <w:pPr>
              <w:pBdr>
                <w:bottom w:val="single" w:color="CBD5E1" w:sz="2"/>
              </w:pBdr>
              <w:spacing w:after="0" w:before="0"/>
            </w:pPr>
            <w:r>
              <w:rPr>
                <w:rFonts w:ascii="Calibri" w:cs="Calibri" w:eastAsia="Calibri" w:hAnsi="Calibri"/>
                <w:b w:val="false"/>
                <w:bCs w:val="false"/>
                <w:i w:val="false"/>
                <w:iCs w:val="false"/>
                <w:strike w:val="false"/>
                <w:color w:val="1E293B"/>
                <w:sz w:val="22"/>
                <w:szCs w:val="22"/>
              </w:rPr>
              <w:t xml:space="preserve"/>
            </w:r>
          </w:p>
          <w:p>
            <w:pPr>
              <w:pBdr>
                <w:bottom w:val="single" w:color="CBD5E1" w:sz="2"/>
              </w:pBdr>
              <w:spacing w:after="0" w:before="20"/>
            </w:pPr>
            <w:r>
              <w:rPr>
                <w:rFonts w:ascii="Calibri" w:cs="Calibri" w:eastAsia="Calibri" w:hAnsi="Calibri"/>
                <w:b w:val="false"/>
                <w:bCs w:val="false"/>
                <w:i w:val="false"/>
                <w:iCs w:val="false"/>
                <w:strike w:val="false"/>
                <w:color w:val="1E293B"/>
                <w:sz w:val="22"/>
                <w:szCs w:val="22"/>
              </w:rPr>
              <w:t xml:space="preserve"/>
            </w:r>
          </w:p>
        </w:tc>
      </w:tr>
    </w:tbl>
    <w:p>
      <w:pPr>
        <w:spacing w:after="0" w:before="60"/>
      </w:pPr>
    </w:p>
    <w:p>
      <w:pPr>
        <w:spacing w:after="0" w:before="1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760"/>
        <w:gridCol w:w="1800"/>
        <w:gridCol w:w="1800"/>
      </w:tblGrid>
      <w:tr>
        <w:tc>
          <w:tcPr>
            <w:tcW w:type="dxa" w:w="576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Section</w:t>
            </w:r>
          </w:p>
        </w:tc>
        <w:tc>
          <w:tcPr>
            <w:tcW w:type="dxa" w:w="18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Available</w:t>
            </w:r>
          </w:p>
        </w:tc>
        <w:tc>
          <w:tcPr>
            <w:tcW w:type="dxa" w:w="1800"/>
            <w:tcBorders>
              <w:top w:color="FFFFFF" w:sz="0"/>
              <w:left w:color="FFFFFF" w:sz="0"/>
              <w:bottom w:color="FFFFFF" w:sz="0"/>
              <w:right w:color="FFFFFF" w:sz="0"/>
            </w:tcBorders>
            <w:shd w:fill="0A3D55"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2"/>
                <w:szCs w:val="22"/>
              </w:rPr>
              <w:t xml:space="preserve">Mark awarded</w:t>
            </w:r>
          </w:p>
        </w:tc>
      </w:tr>
      <w:tr>
        <w:tc>
          <w:tcPr>
            <w:tcW w:type="dxa" w:w="576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Section A — Personas</w:t>
            </w:r>
          </w:p>
        </w:tc>
        <w:tc>
          <w:tcPr>
            <w:tcW w:type="dxa" w:w="18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A3D55"/>
                <w:sz w:val="22"/>
                <w:szCs w:val="22"/>
              </w:rPr>
              <w:t xml:space="preserve">25 marks</w:t>
            </w:r>
          </w:p>
        </w:tc>
        <w:tc>
          <w:tcPr>
            <w:tcW w:type="dxa" w:w="18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r>
      <w:tr>
        <w:tc>
          <w:tcPr>
            <w:tcW w:type="dxa" w:w="576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Section B — Interface &amp; Heuristic Evaluation</w:t>
            </w:r>
          </w:p>
        </w:tc>
        <w:tc>
          <w:tcPr>
            <w:tcW w:type="dxa" w:w="18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A3D55"/>
                <w:sz w:val="22"/>
                <w:szCs w:val="22"/>
              </w:rPr>
              <w:t xml:space="preserve">20 marks</w:t>
            </w:r>
          </w:p>
        </w:tc>
        <w:tc>
          <w:tcPr>
            <w:tcW w:type="dxa" w:w="18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r>
      <w:tr>
        <w:tc>
          <w:tcPr>
            <w:tcW w:type="dxa" w:w="576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Section C — Quantitative Analysis</w:t>
            </w:r>
          </w:p>
        </w:tc>
        <w:tc>
          <w:tcPr>
            <w:tcW w:type="dxa" w:w="18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A3D55"/>
                <w:sz w:val="22"/>
                <w:szCs w:val="22"/>
              </w:rPr>
              <w:t xml:space="preserve">12 marks</w:t>
            </w:r>
          </w:p>
        </w:tc>
        <w:tc>
          <w:tcPr>
            <w:tcW w:type="dxa" w:w="18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r>
      <w:tr>
        <w:tc>
          <w:tcPr>
            <w:tcW w:type="dxa" w:w="576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Section D — Thematic Analysis</w:t>
            </w:r>
          </w:p>
        </w:tc>
        <w:tc>
          <w:tcPr>
            <w:tcW w:type="dxa" w:w="18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A3D55"/>
                <w:sz w:val="22"/>
                <w:szCs w:val="22"/>
              </w:rPr>
              <w:t xml:space="preserve">10 marks</w:t>
            </w:r>
          </w:p>
        </w:tc>
        <w:tc>
          <w:tcPr>
            <w:tcW w:type="dxa" w:w="1800"/>
            <w:tcBorders>
              <w:top w:color="FFFFFF" w:sz="0"/>
              <w:left w:color="FFFFFF" w:sz="0"/>
              <w:bottom w:val="single" w:color="E2E8F0" w:sz="2"/>
              <w:right w:color="FFFFFF" w:sz="0"/>
            </w:tcBorders>
            <w:shd w:fill="FFFFFF"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r>
      <w:tr>
        <w:tc>
          <w:tcPr>
            <w:tcW w:type="dxa" w:w="576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Section E — Method Reflection</w:t>
            </w:r>
          </w:p>
        </w:tc>
        <w:tc>
          <w:tcPr>
            <w:tcW w:type="dxa" w:w="18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center"/>
            </w:pPr>
            <w:r>
              <w:rPr>
                <w:rFonts w:ascii="Calibri" w:cs="Calibri" w:eastAsia="Calibri" w:hAnsi="Calibri"/>
                <w:b w:val="false"/>
                <w:bCs w:val="false"/>
                <w:i w:val="false"/>
                <w:iCs w:val="false"/>
                <w:strike w:val="false"/>
                <w:color w:val="0A3D55"/>
                <w:sz w:val="22"/>
                <w:szCs w:val="22"/>
              </w:rPr>
              <w:t xml:space="preserve">8 marks</w:t>
            </w:r>
          </w:p>
        </w:tc>
        <w:tc>
          <w:tcPr>
            <w:tcW w:type="dxa" w:w="1800"/>
            <w:tcBorders>
              <w:top w:color="FFFFFF" w:sz="0"/>
              <w:left w:color="FFFFFF" w:sz="0"/>
              <w:bottom w:val="single" w:color="E2E8F0" w:sz="2"/>
              <w:right w:color="FFFFFF" w:sz="0"/>
            </w:tcBorders>
            <w:shd w:fill="F8FAFB" w:color="auto" w:val="clear"/>
            <w:tcMar>
              <w:top w:type="dxa" w:w="80"/>
              <w:left w:type="dxa" w:w="120"/>
              <w:bottom w:type="dxa" w:w="80"/>
              <w:right w:type="dxa" w:w="120"/>
            </w:tcMar>
            <w:vAlign w:val="top"/>
          </w:tcPr>
          <w:p>
            <w:pPr>
              <w:spacing w:after="60" w:before="60"/>
              <w:jc w:val="left"/>
            </w:pPr>
            <w:r>
              <w:rPr>
                <w:rFonts w:ascii="Calibri" w:cs="Calibri" w:eastAsia="Calibri" w:hAnsi="Calibri"/>
                <w:b w:val="false"/>
                <w:bCs w:val="false"/>
                <w:i w:val="false"/>
                <w:iCs w:val="false"/>
                <w:strike w:val="false"/>
                <w:color w:val="1E293B"/>
                <w:sz w:val="22"/>
                <w:szCs w:val="22"/>
              </w:rPr>
              <w:t xml:space="preserve"/>
            </w:r>
          </w:p>
        </w:tc>
      </w:tr>
      <w:tr>
        <w:tc>
          <w:tcPr>
            <w:tcW w:type="dxa" w:w="5760"/>
            <w:tcBorders>
              <w:top w:color="FFFFFF" w:sz="0"/>
              <w:left w:color="FFFFFF" w:sz="0"/>
              <w:bottom w:color="FFFFFF" w:sz="0"/>
              <w:right w:color="FFFFFF" w:sz="0"/>
            </w:tcBorders>
            <w:shd w:fill="028090" w:color="auto" w:val="clear"/>
            <w:tcMar>
              <w:top w:type="dxa" w:w="80"/>
              <w:left w:type="dxa" w:w="120"/>
              <w:bottom w:type="dxa" w:w="80"/>
              <w:right w:type="dxa" w:w="120"/>
            </w:tcMar>
            <w:vAlign w:val="top"/>
          </w:tcPr>
          <w:p>
            <w:pPr>
              <w:spacing w:after="60" w:before="60"/>
              <w:jc w:val="left"/>
            </w:pPr>
            <w:r>
              <w:rPr>
                <w:rFonts w:ascii="Calibri" w:cs="Calibri" w:eastAsia="Calibri" w:hAnsi="Calibri"/>
                <w:b/>
                <w:bCs/>
                <w:i w:val="false"/>
                <w:iCs w:val="false"/>
                <w:strike w:val="false"/>
                <w:color w:val="FFFFFF"/>
                <w:sz w:val="24"/>
                <w:szCs w:val="24"/>
              </w:rPr>
              <w:t xml:space="preserve">Total</w:t>
            </w:r>
          </w:p>
        </w:tc>
        <w:tc>
          <w:tcPr>
            <w:tcW w:type="dxa" w:w="1800"/>
            <w:tcBorders>
              <w:top w:color="FFFFFF" w:sz="0"/>
              <w:left w:color="FFFFFF" w:sz="0"/>
              <w:bottom w:color="FFFFFF" w:sz="0"/>
              <w:right w:color="FFFFFF" w:sz="0"/>
            </w:tcBorders>
            <w:shd w:fill="ECFDF5"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028090"/>
                <w:sz w:val="24"/>
                <w:szCs w:val="24"/>
              </w:rPr>
              <w:t xml:space="preserve">75 marks</w:t>
            </w:r>
          </w:p>
        </w:tc>
        <w:tc>
          <w:tcPr>
            <w:tcW w:type="dxa" w:w="1800"/>
            <w:tcBorders>
              <w:top w:color="FFFFFF" w:sz="0"/>
              <w:left w:color="FFFFFF" w:sz="0"/>
              <w:bottom w:color="FFFFFF" w:sz="0"/>
              <w:right w:color="FFFFFF" w:sz="0"/>
            </w:tcBorders>
            <w:shd w:fill="ECFDF5" w:color="auto" w:val="clear"/>
            <w:tcMar>
              <w:top w:type="dxa" w:w="80"/>
              <w:left w:type="dxa" w:w="120"/>
              <w:bottom w:type="dxa" w:w="80"/>
              <w:right w:type="dxa" w:w="120"/>
            </w:tcMar>
            <w:vAlign w:val="top"/>
          </w:tcPr>
          <w:p>
            <w:pPr>
              <w:spacing w:after="60" w:before="60"/>
              <w:jc w:val="center"/>
            </w:pPr>
            <w:r>
              <w:rPr>
                <w:rFonts w:ascii="Calibri" w:cs="Calibri" w:eastAsia="Calibri" w:hAnsi="Calibri"/>
                <w:b/>
                <w:bCs/>
                <w:i w:val="false"/>
                <w:iCs w:val="false"/>
                <w:strike w:val="false"/>
                <w:color w:val="028090"/>
                <w:sz w:val="24"/>
                <w:szCs w:val="24"/>
              </w:rPr>
              <w:t xml:space="preserve">       / 75</w:t>
            </w:r>
          </w:p>
        </w:tc>
      </w:tr>
    </w:tbl>
    <w:sectPr>
      <w:pgSz w:w="12240" w:h="15840" w:orient="portrait"/>
      <w:pgMar w:top="720" w:right="900" w:bottom="720" w:left="9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2026-07-29T18:50:25.055Z</dcterms:created>
  <dcterms:modified xsi:type="dcterms:W3CDTF">2026-07-29T18:50:25.071Z</dcterms:modified>
</cp:coreProperties>
</file>

<file path=docProps/custom.xml><?xml version="1.0" encoding="utf-8"?>
<Properties xmlns="http://schemas.openxmlformats.org/officeDocument/2006/custom-properties" xmlns:vt="http://schemas.openxmlformats.org/officeDocument/2006/docPropsVTypes"/>
</file>