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5A7B681" wp14:paraId="69E169CA" wp14:textId="16C79EEA">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r w:rsidRPr="15A7B681" w:rsidR="17B5DF5C">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17B5DF5C">
        <w:drawing>
          <wp:inline xmlns:wp14="http://schemas.microsoft.com/office/word/2010/wordprocessingDrawing" wp14:editId="34651897" wp14:anchorId="19581586">
            <wp:extent cx="6124575" cy="1466850"/>
            <wp:effectExtent l="0" t="0" r="0" b="0"/>
            <wp:docPr id="19088820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8882088" name="Picture 1908882088"/>
                    <pic:cNvPicPr/>
                  </pic:nvPicPr>
                  <pic:blipFill>
                    <a:blip xmlns:r="http://schemas.openxmlformats.org/officeDocument/2006/relationships" r:embed="rId1206620214">
                      <a:extLst>
                        <a:ext uri="{28A0092B-C50C-407E-A947-70E740481C1C}">
                          <a14:useLocalDpi xmlns:a14="http://schemas.microsoft.com/office/drawing/2010/main"/>
                        </a:ext>
                      </a:extLst>
                    </a:blip>
                    <a:stretch>
                      <a:fillRect/>
                    </a:stretch>
                  </pic:blipFill>
                  <pic:spPr>
                    <a:xfrm>
                      <a:off x="0" y="0"/>
                      <a:ext cx="6124575" cy="1466850"/>
                    </a:xfrm>
                    <a:prstGeom prst="rect">
                      <a:avLst/>
                    </a:prstGeom>
                  </pic:spPr>
                </pic:pic>
              </a:graphicData>
            </a:graphic>
          </wp:inline>
        </w:drawing>
      </w:r>
    </w:p>
    <w:p xmlns:wp14="http://schemas.microsoft.com/office/word/2010/wordml" w:rsidP="15A7B681" wp14:paraId="46561835" wp14:textId="7D6A46AF">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5A7B681" wp14:paraId="1FDCABB4" wp14:textId="5465C9C5">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64AA5A18" wp14:paraId="25F9D5E0" wp14:textId="61DD7846">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Student Name: Maxine Morris</w:t>
      </w:r>
    </w:p>
    <w:p xmlns:wp14="http://schemas.microsoft.com/office/word/2010/wordml" w:rsidP="64AA5A18" wp14:paraId="3BEE9FD3" wp14:textId="5C37567D">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64AA5A18" wp14:paraId="3D8A931B" wp14:textId="5FC5EAB3">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Student Number: 2213032</w:t>
      </w:r>
    </w:p>
    <w:p xmlns:wp14="http://schemas.microsoft.com/office/word/2010/wordml" w:rsidP="64AA5A18" wp14:paraId="26E0D3D9" wp14:textId="15379E19">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64AA5A18" wp14:paraId="7CAD4DA0" wp14:textId="75A6A716">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Programme: Master of Business Administration</w:t>
      </w:r>
    </w:p>
    <w:p xmlns:wp14="http://schemas.microsoft.com/office/word/2010/wordml" w:rsidP="64AA5A18" wp14:paraId="1994C327" wp14:textId="5678C78E">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64AA5A18" wp14:paraId="1CFE0670" wp14:textId="741FFE2A">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Module: Marketing Management</w:t>
      </w:r>
    </w:p>
    <w:p xmlns:wp14="http://schemas.microsoft.com/office/word/2010/wordml" w:rsidP="64AA5A18" wp14:paraId="6ED14B32" wp14:textId="02521A96">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64AA5A18" wp14:paraId="6652C484" wp14:textId="50EE25EB">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 xml:space="preserve">Module Code: </w:t>
      </w: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LCMB7024</w:t>
      </w:r>
    </w:p>
    <w:p xmlns:wp14="http://schemas.microsoft.com/office/word/2010/wordml" w:rsidP="64AA5A18" wp14:paraId="20809508" wp14:textId="53F2BB1B">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64AA5A18" wp14:paraId="333B1EA9" wp14:textId="7E20DF42">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 xml:space="preserve">     Lecturer: Taonga Kaonga </w:t>
      </w: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Sobre-Snithers</w:t>
      </w:r>
    </w:p>
    <w:p xmlns:wp14="http://schemas.microsoft.com/office/word/2010/wordml" w:rsidP="64AA5A18" wp14:paraId="29F90C90" wp14:textId="752B2027">
      <w:pPr>
        <w:spacing w:before="0" w:beforeAutospacing="off" w:after="0" w:afterAutospacing="off" w:line="360" w:lineRule="auto"/>
        <w:ind w:left="426" w:right="0"/>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64AA5A18" wp14:paraId="60DC686C" wp14:textId="150FC82E">
      <w:pPr>
        <w:spacing w:before="120" w:beforeAutospacing="off" w:after="120" w:afterAutospacing="off"/>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 xml:space="preserve">     Assignment Title: Assessment </w:t>
      </w: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component</w:t>
      </w: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 xml:space="preserve"> 1: </w:t>
      </w:r>
    </w:p>
    <w:p xmlns:wp14="http://schemas.microsoft.com/office/word/2010/wordml" w:rsidP="64AA5A18" wp14:paraId="37E0B731" wp14:textId="6606ADE1">
      <w:pPr>
        <w:spacing w:before="120" w:beforeAutospacing="off" w:after="120" w:afterAutospacing="off"/>
        <w:rPr>
          <w:rFonts w:ascii="Arial" w:hAnsi="Arial" w:eastAsia="Arial" w:cs="Arial"/>
          <w:b w:val="0"/>
          <w:bCs w:val="0"/>
          <w:i w:val="0"/>
          <w:iCs w:val="0"/>
          <w:caps w:val="0"/>
          <w:smallCaps w:val="0"/>
          <w:noProof w:val="0"/>
          <w:color w:val="000000" w:themeColor="text1" w:themeTint="FF" w:themeShade="FF"/>
          <w:sz w:val="32"/>
          <w:szCs w:val="32"/>
          <w:lang w:val="en-US"/>
        </w:rPr>
      </w:pPr>
      <w:r w:rsidRPr="64AA5A18" w:rsidR="588F49B2">
        <w:rPr>
          <w:rFonts w:ascii="Arial" w:hAnsi="Arial" w:eastAsia="Arial" w:cs="Arial"/>
          <w:b w:val="1"/>
          <w:bCs w:val="1"/>
          <w:i w:val="0"/>
          <w:iCs w:val="0"/>
          <w:caps w:val="0"/>
          <w:smallCaps w:val="0"/>
          <w:noProof w:val="0"/>
          <w:color w:val="000000" w:themeColor="text1" w:themeTint="FF" w:themeShade="FF"/>
          <w:sz w:val="32"/>
          <w:szCs w:val="32"/>
          <w:lang w:val="en-GB"/>
        </w:rPr>
        <w:t xml:space="preserve">     Marketing Environment Analysis</w:t>
      </w:r>
    </w:p>
    <w:p xmlns:wp14="http://schemas.microsoft.com/office/word/2010/wordml" w:rsidP="15A7B681" wp14:paraId="0C793D03" wp14:textId="48073B96">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5A7B681" wp14:paraId="7F723559" wp14:textId="1B783395">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5A7B681" wp14:paraId="2239E9FA" wp14:textId="2B649F11">
      <w:pPr>
        <w:tabs>
          <w:tab w:val="left" w:leader="none" w:pos="10065"/>
        </w:tabs>
        <w:spacing w:before="0" w:beforeAutospacing="off" w:after="0" w:afterAutospacing="off" w:line="360" w:lineRule="auto"/>
        <w:ind w:left="426" w:right="357"/>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5A7B681" wp14:paraId="482A77C9" wp14:textId="58944F33">
      <w:pPr>
        <w:tabs>
          <w:tab w:val="left" w:leader="none" w:pos="10065"/>
        </w:tabs>
        <w:spacing w:before="0" w:beforeAutospacing="off" w:after="0" w:afterAutospacing="off" w:line="360" w:lineRule="auto"/>
        <w:ind w:left="426" w:right="357"/>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5A7B681" wp14:paraId="0C38D773" wp14:textId="2462792E">
      <w:pPr>
        <w:tabs>
          <w:tab w:val="left" w:leader="none" w:pos="10065"/>
        </w:tabs>
        <w:spacing w:before="0" w:beforeAutospacing="off" w:after="0" w:afterAutospacing="off" w:line="360" w:lineRule="auto"/>
        <w:ind w:left="426" w:right="357"/>
        <w:rPr>
          <w:rFonts w:ascii="Arial" w:hAnsi="Arial" w:eastAsia="Arial" w:cs="Arial"/>
          <w:b w:val="0"/>
          <w:bCs w:val="0"/>
          <w:i w:val="0"/>
          <w:iCs w:val="0"/>
          <w:caps w:val="0"/>
          <w:smallCaps w:val="0"/>
          <w:noProof w:val="0"/>
          <w:color w:val="000000" w:themeColor="text1" w:themeTint="FF" w:themeShade="FF"/>
          <w:sz w:val="28"/>
          <w:szCs w:val="28"/>
          <w:lang w:val="en-US"/>
        </w:rPr>
      </w:pPr>
      <w:r w:rsidRPr="15A7B681" w:rsidR="17B5DF5C">
        <w:rPr>
          <w:rFonts w:ascii="Arial" w:hAnsi="Arial" w:eastAsia="Arial" w:cs="Arial"/>
          <w:b w:val="1"/>
          <w:bCs w:val="1"/>
          <w:i w:val="0"/>
          <w:iCs w:val="0"/>
          <w:caps w:val="0"/>
          <w:smallCaps w:val="0"/>
          <w:noProof w:val="0"/>
          <w:color w:val="000000" w:themeColor="text1" w:themeTint="FF" w:themeShade="FF"/>
          <w:sz w:val="28"/>
          <w:szCs w:val="28"/>
          <w:lang w:val="en-GB"/>
        </w:rPr>
        <w:t>TABLE OF CONTENTS</w:t>
      </w:r>
    </w:p>
    <w:p xmlns:wp14="http://schemas.microsoft.com/office/word/2010/wordml" w:rsidP="15A7B681" wp14:paraId="731401DA" wp14:textId="069B0E81">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p>
    <w:sdt>
      <w:sdtPr>
        <w:id w:val="1343504159"/>
        <w:docPartObj>
          <w:docPartGallery w:val="Table of Contents"/>
          <w:docPartUnique/>
        </w:docPartObj>
      </w:sdtPr>
      <w:sdtContent>
        <w:p w:rsidR="64AA5A18" w:rsidP="64AA5A18" w:rsidRDefault="64AA5A18" w14:paraId="05B05BB5" w14:textId="1B7AC2CD">
          <w:pPr>
            <w:pStyle w:val="TOC2"/>
            <w:tabs>
              <w:tab w:val="right" w:leader="dot" w:pos="9360"/>
            </w:tabs>
            <w:bidi w:val="0"/>
            <w:rPr>
              <w:rStyle w:val="Hyperlink"/>
            </w:rPr>
          </w:pPr>
          <w:r>
            <w:fldChar w:fldCharType="begin"/>
          </w:r>
          <w:r>
            <w:instrText xml:space="preserve">TOC \o \z \u \h</w:instrText>
          </w:r>
          <w:r>
            <w:fldChar w:fldCharType="separate"/>
          </w:r>
          <w:hyperlink w:anchor="_Toc537415362">
            <w:r w:rsidRPr="64AA5A18" w:rsidR="64AA5A18">
              <w:rPr>
                <w:rStyle w:val="Hyperlink"/>
              </w:rPr>
              <w:t>1) The regulator as macro‑marketing actor</w:t>
            </w:r>
            <w:r>
              <w:tab/>
            </w:r>
            <w:r>
              <w:fldChar w:fldCharType="begin"/>
            </w:r>
            <w:r>
              <w:instrText xml:space="preserve">PAGEREF _Toc537415362 \h</w:instrText>
            </w:r>
            <w:r>
              <w:fldChar w:fldCharType="separate"/>
            </w:r>
            <w:r w:rsidRPr="64AA5A18" w:rsidR="64AA5A18">
              <w:rPr>
                <w:rStyle w:val="Hyperlink"/>
              </w:rPr>
              <w:t>3</w:t>
            </w:r>
            <w:r>
              <w:fldChar w:fldCharType="end"/>
            </w:r>
          </w:hyperlink>
        </w:p>
        <w:p w:rsidR="64AA5A18" w:rsidP="64AA5A18" w:rsidRDefault="64AA5A18" w14:paraId="2B2D21C1" w14:textId="39110670">
          <w:pPr>
            <w:pStyle w:val="TOC2"/>
            <w:tabs>
              <w:tab w:val="right" w:leader="dot" w:pos="9360"/>
            </w:tabs>
            <w:bidi w:val="0"/>
            <w:rPr>
              <w:rStyle w:val="Hyperlink"/>
            </w:rPr>
          </w:pPr>
          <w:hyperlink w:anchor="_Toc64095018">
            <w:r w:rsidRPr="64AA5A18" w:rsidR="64AA5A18">
              <w:rPr>
                <w:rStyle w:val="Hyperlink"/>
              </w:rPr>
              <w:t>“Macro Marketing Defines as a higher level of aggregation, usually marketing systems or group of consumers” (Hunt 1976, p.20)</w:t>
            </w:r>
            <w:r>
              <w:tab/>
            </w:r>
            <w:r>
              <w:fldChar w:fldCharType="begin"/>
            </w:r>
            <w:r>
              <w:instrText xml:space="preserve">PAGEREF _Toc64095018 \h</w:instrText>
            </w:r>
            <w:r>
              <w:fldChar w:fldCharType="separate"/>
            </w:r>
            <w:r w:rsidRPr="64AA5A18" w:rsidR="64AA5A18">
              <w:rPr>
                <w:rStyle w:val="Hyperlink"/>
              </w:rPr>
              <w:t>3</w:t>
            </w:r>
            <w:r>
              <w:fldChar w:fldCharType="end"/>
            </w:r>
          </w:hyperlink>
        </w:p>
        <w:p w:rsidR="64AA5A18" w:rsidP="64AA5A18" w:rsidRDefault="64AA5A18" w14:paraId="7784EED5" w14:textId="42856A69">
          <w:pPr>
            <w:pStyle w:val="TOC3"/>
            <w:tabs>
              <w:tab w:val="right" w:leader="dot" w:pos="9360"/>
            </w:tabs>
            <w:bidi w:val="0"/>
            <w:rPr>
              <w:rStyle w:val="Hyperlink"/>
            </w:rPr>
          </w:pPr>
          <w:hyperlink w:anchor="_Toc1885463286">
            <w:r w:rsidRPr="64AA5A18" w:rsidR="64AA5A18">
              <w:rPr>
                <w:rStyle w:val="Hyperlink"/>
              </w:rPr>
              <w:t>What’s changing (ZARA)</w:t>
            </w:r>
            <w:r>
              <w:tab/>
            </w:r>
            <w:r>
              <w:fldChar w:fldCharType="begin"/>
            </w:r>
            <w:r>
              <w:instrText xml:space="preserve">PAGEREF _Toc1885463286 \h</w:instrText>
            </w:r>
            <w:r>
              <w:fldChar w:fldCharType="separate"/>
            </w:r>
            <w:r w:rsidRPr="64AA5A18" w:rsidR="64AA5A18">
              <w:rPr>
                <w:rStyle w:val="Hyperlink"/>
              </w:rPr>
              <w:t>3</w:t>
            </w:r>
            <w:r>
              <w:fldChar w:fldCharType="end"/>
            </w:r>
          </w:hyperlink>
        </w:p>
        <w:p w:rsidR="64AA5A18" w:rsidP="64AA5A18" w:rsidRDefault="64AA5A18" w14:paraId="25E0DDA7" w14:textId="4371C16D">
          <w:pPr>
            <w:pStyle w:val="TOC2"/>
            <w:tabs>
              <w:tab w:val="right" w:leader="dot" w:pos="9360"/>
            </w:tabs>
            <w:bidi w:val="0"/>
            <w:rPr>
              <w:rStyle w:val="Hyperlink"/>
            </w:rPr>
          </w:pPr>
          <w:hyperlink w:anchor="_Toc1652860722">
            <w:r w:rsidRPr="64AA5A18" w:rsidR="64AA5A18">
              <w:rPr>
                <w:rStyle w:val="Hyperlink"/>
              </w:rPr>
              <w:t>Technology actors &amp; innovation ecosystems</w:t>
            </w:r>
            <w:r>
              <w:tab/>
            </w:r>
            <w:r>
              <w:fldChar w:fldCharType="begin"/>
            </w:r>
            <w:r>
              <w:instrText xml:space="preserve">PAGEREF _Toc1652860722 \h</w:instrText>
            </w:r>
            <w:r>
              <w:fldChar w:fldCharType="separate"/>
            </w:r>
            <w:r w:rsidRPr="64AA5A18" w:rsidR="64AA5A18">
              <w:rPr>
                <w:rStyle w:val="Hyperlink"/>
              </w:rPr>
              <w:t>6</w:t>
            </w:r>
            <w:r>
              <w:fldChar w:fldCharType="end"/>
            </w:r>
          </w:hyperlink>
        </w:p>
        <w:p w:rsidR="64AA5A18" w:rsidP="64AA5A18" w:rsidRDefault="64AA5A18" w14:paraId="41AF0643" w14:textId="2DCE80BC">
          <w:pPr>
            <w:pStyle w:val="TOC3"/>
            <w:tabs>
              <w:tab w:val="right" w:leader="dot" w:pos="9360"/>
            </w:tabs>
            <w:bidi w:val="0"/>
            <w:rPr>
              <w:rStyle w:val="Hyperlink"/>
            </w:rPr>
          </w:pPr>
          <w:hyperlink w:anchor="_Toc1869340774">
            <w:r w:rsidRPr="64AA5A18" w:rsidR="64AA5A18">
              <w:rPr>
                <w:rStyle w:val="Hyperlink"/>
              </w:rPr>
              <w:t>What’s changing</w:t>
            </w:r>
            <w:r>
              <w:tab/>
            </w:r>
            <w:r>
              <w:fldChar w:fldCharType="begin"/>
            </w:r>
            <w:r>
              <w:instrText xml:space="preserve">PAGEREF _Toc1869340774 \h</w:instrText>
            </w:r>
            <w:r>
              <w:fldChar w:fldCharType="separate"/>
            </w:r>
            <w:r w:rsidRPr="64AA5A18" w:rsidR="64AA5A18">
              <w:rPr>
                <w:rStyle w:val="Hyperlink"/>
              </w:rPr>
              <w:t>6</w:t>
            </w:r>
            <w:r>
              <w:fldChar w:fldCharType="end"/>
            </w:r>
          </w:hyperlink>
        </w:p>
        <w:p w:rsidR="64AA5A18" w:rsidP="64AA5A18" w:rsidRDefault="64AA5A18" w14:paraId="6CC15B36" w14:textId="1F46BED9">
          <w:pPr>
            <w:pStyle w:val="TOC3"/>
            <w:tabs>
              <w:tab w:val="right" w:leader="dot" w:pos="9360"/>
            </w:tabs>
            <w:bidi w:val="0"/>
            <w:rPr>
              <w:rStyle w:val="Hyperlink"/>
            </w:rPr>
          </w:pPr>
          <w:hyperlink w:anchor="_Toc1908681046">
            <w:r w:rsidRPr="64AA5A18" w:rsidR="64AA5A18">
              <w:rPr>
                <w:rStyle w:val="Hyperlink"/>
              </w:rPr>
              <w:t>H&amp;M – Competitive Positioning Summary</w:t>
            </w:r>
            <w:r>
              <w:tab/>
            </w:r>
            <w:r>
              <w:fldChar w:fldCharType="begin"/>
            </w:r>
            <w:r>
              <w:instrText xml:space="preserve">PAGEREF _Toc1908681046 \h</w:instrText>
            </w:r>
            <w:r>
              <w:fldChar w:fldCharType="separate"/>
            </w:r>
            <w:r w:rsidRPr="64AA5A18" w:rsidR="64AA5A18">
              <w:rPr>
                <w:rStyle w:val="Hyperlink"/>
              </w:rPr>
              <w:t>12</w:t>
            </w:r>
            <w:r>
              <w:fldChar w:fldCharType="end"/>
            </w:r>
          </w:hyperlink>
        </w:p>
        <w:p w:rsidR="64AA5A18" w:rsidP="64AA5A18" w:rsidRDefault="64AA5A18" w14:paraId="534986A8" w14:textId="049014BF">
          <w:pPr>
            <w:pStyle w:val="TOC3"/>
            <w:tabs>
              <w:tab w:val="right" w:leader="dot" w:pos="9360"/>
            </w:tabs>
            <w:bidi w:val="0"/>
            <w:rPr>
              <w:rStyle w:val="Hyperlink"/>
            </w:rPr>
          </w:pPr>
          <w:hyperlink w:anchor="_Toc1251369823">
            <w:r w:rsidRPr="64AA5A18" w:rsidR="64AA5A18">
              <w:rPr>
                <w:rStyle w:val="Hyperlink"/>
              </w:rPr>
              <w:t>Recommendations</w:t>
            </w:r>
            <w:r>
              <w:tab/>
            </w:r>
            <w:r>
              <w:fldChar w:fldCharType="begin"/>
            </w:r>
            <w:r>
              <w:instrText xml:space="preserve">PAGEREF _Toc1251369823 \h</w:instrText>
            </w:r>
            <w:r>
              <w:fldChar w:fldCharType="separate"/>
            </w:r>
            <w:r w:rsidRPr="64AA5A18" w:rsidR="64AA5A18">
              <w:rPr>
                <w:rStyle w:val="Hyperlink"/>
              </w:rPr>
              <w:t>13</w:t>
            </w:r>
            <w:r>
              <w:fldChar w:fldCharType="end"/>
            </w:r>
          </w:hyperlink>
        </w:p>
        <w:p w:rsidR="64AA5A18" w:rsidP="64AA5A18" w:rsidRDefault="64AA5A18" w14:paraId="58171AC3" w14:textId="221B7A89">
          <w:pPr>
            <w:pStyle w:val="TOC2"/>
            <w:tabs>
              <w:tab w:val="right" w:leader="dot" w:pos="9360"/>
            </w:tabs>
            <w:bidi w:val="0"/>
            <w:rPr>
              <w:rStyle w:val="Hyperlink"/>
            </w:rPr>
          </w:pPr>
          <w:hyperlink w:anchor="_Toc429791653">
            <w:r w:rsidRPr="64AA5A18" w:rsidR="64AA5A18">
              <w:rPr>
                <w:rStyle w:val="Hyperlink"/>
              </w:rPr>
              <w:t>Conclusion</w:t>
            </w:r>
            <w:r>
              <w:tab/>
            </w:r>
            <w:r>
              <w:fldChar w:fldCharType="begin"/>
            </w:r>
            <w:r>
              <w:instrText xml:space="preserve">PAGEREF _Toc429791653 \h</w:instrText>
            </w:r>
            <w:r>
              <w:fldChar w:fldCharType="separate"/>
            </w:r>
            <w:r w:rsidRPr="64AA5A18" w:rsidR="64AA5A18">
              <w:rPr>
                <w:rStyle w:val="Hyperlink"/>
              </w:rPr>
              <w:t>14</w:t>
            </w:r>
            <w:r>
              <w:fldChar w:fldCharType="end"/>
            </w:r>
          </w:hyperlink>
        </w:p>
        <w:p w:rsidR="64AA5A18" w:rsidP="64AA5A18" w:rsidRDefault="64AA5A18" w14:paraId="18EF1FD5" w14:textId="41EBA6FB">
          <w:pPr>
            <w:pStyle w:val="TOC1"/>
            <w:tabs>
              <w:tab w:val="right" w:leader="dot" w:pos="9360"/>
            </w:tabs>
            <w:bidi w:val="0"/>
            <w:rPr>
              <w:rStyle w:val="Hyperlink"/>
            </w:rPr>
          </w:pPr>
          <w:hyperlink w:anchor="_Toc290630231">
            <w:r w:rsidRPr="64AA5A18" w:rsidR="64AA5A18">
              <w:rPr>
                <w:rStyle w:val="Hyperlink"/>
              </w:rPr>
              <w:t>Strategic Responses of Zara (Pioneer) and H&amp;M (Follower): A Framework‑Led Evaluation</w:t>
            </w:r>
            <w:r>
              <w:tab/>
            </w:r>
            <w:r>
              <w:fldChar w:fldCharType="begin"/>
            </w:r>
            <w:r>
              <w:instrText xml:space="preserve">PAGEREF _Toc290630231 \h</w:instrText>
            </w:r>
            <w:r>
              <w:fldChar w:fldCharType="separate"/>
            </w:r>
            <w:r w:rsidRPr="64AA5A18" w:rsidR="64AA5A18">
              <w:rPr>
                <w:rStyle w:val="Hyperlink"/>
              </w:rPr>
              <w:t>15</w:t>
            </w:r>
            <w:r>
              <w:fldChar w:fldCharType="end"/>
            </w:r>
          </w:hyperlink>
        </w:p>
        <w:p w:rsidR="64AA5A18" w:rsidP="64AA5A18" w:rsidRDefault="64AA5A18" w14:paraId="20E36748" w14:textId="0B82D009">
          <w:pPr>
            <w:pStyle w:val="TOC2"/>
            <w:tabs>
              <w:tab w:val="right" w:leader="dot" w:pos="9360"/>
            </w:tabs>
            <w:bidi w:val="0"/>
            <w:rPr>
              <w:rStyle w:val="Hyperlink"/>
            </w:rPr>
          </w:pPr>
          <w:hyperlink w:anchor="_Toc810000015">
            <w:r w:rsidRPr="64AA5A18" w:rsidR="64AA5A18">
              <w:rPr>
                <w:rStyle w:val="Hyperlink"/>
              </w:rPr>
              <w:t>Executive summary</w:t>
            </w:r>
            <w:r>
              <w:tab/>
            </w:r>
            <w:r>
              <w:fldChar w:fldCharType="begin"/>
            </w:r>
            <w:r>
              <w:instrText xml:space="preserve">PAGEREF _Toc810000015 \h</w:instrText>
            </w:r>
            <w:r>
              <w:fldChar w:fldCharType="separate"/>
            </w:r>
            <w:r w:rsidRPr="64AA5A18" w:rsidR="64AA5A18">
              <w:rPr>
                <w:rStyle w:val="Hyperlink"/>
              </w:rPr>
              <w:t>16</w:t>
            </w:r>
            <w:r>
              <w:fldChar w:fldCharType="end"/>
            </w:r>
          </w:hyperlink>
        </w:p>
        <w:p w:rsidR="64AA5A18" w:rsidP="64AA5A18" w:rsidRDefault="64AA5A18" w14:paraId="6B52D1A1" w14:textId="09CCAA49">
          <w:pPr>
            <w:pStyle w:val="TOC2"/>
            <w:tabs>
              <w:tab w:val="right" w:leader="dot" w:pos="9360"/>
            </w:tabs>
            <w:bidi w:val="0"/>
            <w:rPr>
              <w:rStyle w:val="Hyperlink"/>
            </w:rPr>
          </w:pPr>
          <w:hyperlink w:anchor="_Toc868429270">
            <w:r w:rsidRPr="64AA5A18" w:rsidR="64AA5A18">
              <w:rPr>
                <w:rStyle w:val="Hyperlink"/>
              </w:rPr>
              <w:t>Strategic context (macro factors shaping growth)</w:t>
            </w:r>
            <w:r>
              <w:tab/>
            </w:r>
            <w:r>
              <w:fldChar w:fldCharType="begin"/>
            </w:r>
            <w:r>
              <w:instrText xml:space="preserve">PAGEREF _Toc868429270 \h</w:instrText>
            </w:r>
            <w:r>
              <w:fldChar w:fldCharType="separate"/>
            </w:r>
            <w:r w:rsidRPr="64AA5A18" w:rsidR="64AA5A18">
              <w:rPr>
                <w:rStyle w:val="Hyperlink"/>
              </w:rPr>
              <w:t>16</w:t>
            </w:r>
            <w:r>
              <w:fldChar w:fldCharType="end"/>
            </w:r>
          </w:hyperlink>
        </w:p>
        <w:p w:rsidR="64AA5A18" w:rsidP="64AA5A18" w:rsidRDefault="64AA5A18" w14:paraId="1DDD0583" w14:textId="017972A6">
          <w:pPr>
            <w:pStyle w:val="TOC2"/>
            <w:tabs>
              <w:tab w:val="right" w:leader="dot" w:pos="9360"/>
            </w:tabs>
            <w:bidi w:val="0"/>
            <w:rPr>
              <w:rStyle w:val="Hyperlink"/>
            </w:rPr>
          </w:pPr>
          <w:hyperlink w:anchor="_Toc520951877">
            <w:r w:rsidRPr="64AA5A18" w:rsidR="64AA5A18">
              <w:rPr>
                <w:rStyle w:val="Hyperlink"/>
              </w:rPr>
              <w:t>Porter’s Generic Strategies: evaluation of responses</w:t>
            </w:r>
            <w:r>
              <w:tab/>
            </w:r>
            <w:r>
              <w:fldChar w:fldCharType="begin"/>
            </w:r>
            <w:r>
              <w:instrText xml:space="preserve">PAGEREF _Toc520951877 \h</w:instrText>
            </w:r>
            <w:r>
              <w:fldChar w:fldCharType="separate"/>
            </w:r>
            <w:r w:rsidRPr="64AA5A18" w:rsidR="64AA5A18">
              <w:rPr>
                <w:rStyle w:val="Hyperlink"/>
              </w:rPr>
              <w:t>17</w:t>
            </w:r>
            <w:r>
              <w:fldChar w:fldCharType="end"/>
            </w:r>
          </w:hyperlink>
        </w:p>
        <w:p w:rsidR="64AA5A18" w:rsidP="64AA5A18" w:rsidRDefault="64AA5A18" w14:paraId="17BD4415" w14:textId="62A59A7A">
          <w:pPr>
            <w:pStyle w:val="TOC2"/>
            <w:tabs>
              <w:tab w:val="right" w:leader="dot" w:pos="9360"/>
            </w:tabs>
            <w:bidi w:val="0"/>
            <w:rPr>
              <w:rStyle w:val="Hyperlink"/>
            </w:rPr>
          </w:pPr>
          <w:hyperlink w:anchor="_Toc2130571004">
            <w:r w:rsidRPr="64AA5A18" w:rsidR="64AA5A18">
              <w:rPr>
                <w:rStyle w:val="Hyperlink"/>
              </w:rPr>
              <w:t>Zara (via Inditex)</w:t>
            </w:r>
            <w:r>
              <w:tab/>
            </w:r>
            <w:r>
              <w:fldChar w:fldCharType="begin"/>
            </w:r>
            <w:r>
              <w:instrText xml:space="preserve">PAGEREF _Toc2130571004 \h</w:instrText>
            </w:r>
            <w:r>
              <w:fldChar w:fldCharType="separate"/>
            </w:r>
            <w:r w:rsidRPr="64AA5A18" w:rsidR="64AA5A18">
              <w:rPr>
                <w:rStyle w:val="Hyperlink"/>
              </w:rPr>
              <w:t>19</w:t>
            </w:r>
            <w:r>
              <w:fldChar w:fldCharType="end"/>
            </w:r>
          </w:hyperlink>
        </w:p>
        <w:p w:rsidR="64AA5A18" w:rsidP="64AA5A18" w:rsidRDefault="64AA5A18" w14:paraId="48CBCEB0" w14:textId="10E21A72">
          <w:pPr>
            <w:pStyle w:val="TOC2"/>
            <w:tabs>
              <w:tab w:val="right" w:leader="dot" w:pos="9360"/>
            </w:tabs>
            <w:bidi w:val="0"/>
            <w:rPr>
              <w:rStyle w:val="Hyperlink"/>
            </w:rPr>
          </w:pPr>
          <w:hyperlink w:anchor="_Toc1076030370">
            <w:r w:rsidRPr="64AA5A18" w:rsidR="64AA5A18">
              <w:rPr>
                <w:rStyle w:val="Hyperlink"/>
              </w:rPr>
              <w:t>H&amp;M</w:t>
            </w:r>
            <w:r>
              <w:tab/>
            </w:r>
            <w:r>
              <w:fldChar w:fldCharType="begin"/>
            </w:r>
            <w:r>
              <w:instrText xml:space="preserve">PAGEREF _Toc1076030370 \h</w:instrText>
            </w:r>
            <w:r>
              <w:fldChar w:fldCharType="separate"/>
            </w:r>
            <w:r w:rsidRPr="64AA5A18" w:rsidR="64AA5A18">
              <w:rPr>
                <w:rStyle w:val="Hyperlink"/>
              </w:rPr>
              <w:t>20</w:t>
            </w:r>
            <w:r>
              <w:fldChar w:fldCharType="end"/>
            </w:r>
          </w:hyperlink>
        </w:p>
        <w:p w:rsidR="64AA5A18" w:rsidP="64AA5A18" w:rsidRDefault="64AA5A18" w14:paraId="568F08DF" w14:textId="77312D46">
          <w:pPr>
            <w:pStyle w:val="TOC2"/>
            <w:tabs>
              <w:tab w:val="right" w:leader="dot" w:pos="9360"/>
            </w:tabs>
            <w:bidi w:val="0"/>
            <w:rPr>
              <w:rStyle w:val="Hyperlink"/>
            </w:rPr>
          </w:pPr>
          <w:hyperlink w:anchor="_Toc633314242">
            <w:r w:rsidRPr="64AA5A18" w:rsidR="64AA5A18">
              <w:rPr>
                <w:rStyle w:val="Hyperlink"/>
              </w:rPr>
              <w:t>Zara’s tech-enabled proximity model strengthens differentiation as regulation favours low waste and traceability. H&amp;M’s hybrid strategy is plausible but depends on converting analytics into sourcing agility to approach Zara’s unit economics.</w:t>
            </w:r>
            <w:r>
              <w:tab/>
            </w:r>
            <w:r>
              <w:fldChar w:fldCharType="begin"/>
            </w:r>
            <w:r>
              <w:instrText xml:space="preserve">PAGEREF _Toc633314242 \h</w:instrText>
            </w:r>
            <w:r>
              <w:fldChar w:fldCharType="separate"/>
            </w:r>
            <w:r w:rsidRPr="64AA5A18" w:rsidR="64AA5A18">
              <w:rPr>
                <w:rStyle w:val="Hyperlink"/>
              </w:rPr>
              <w:t>20</w:t>
            </w:r>
            <w:r>
              <w:fldChar w:fldCharType="end"/>
            </w:r>
          </w:hyperlink>
        </w:p>
        <w:p w:rsidR="64AA5A18" w:rsidP="64AA5A18" w:rsidRDefault="64AA5A18" w14:paraId="3C2D3105" w14:textId="308FB1B5">
          <w:pPr>
            <w:pStyle w:val="TOC1"/>
            <w:tabs>
              <w:tab w:val="right" w:leader="dot" w:pos="9360"/>
            </w:tabs>
            <w:bidi w:val="0"/>
            <w:rPr>
              <w:rStyle w:val="Hyperlink"/>
            </w:rPr>
          </w:pPr>
          <w:hyperlink w:anchor="_Toc319847098">
            <w:r w:rsidRPr="64AA5A18" w:rsidR="64AA5A18">
              <w:rPr>
                <w:rStyle w:val="Hyperlink"/>
              </w:rPr>
              <w:t>Ansoff’s Matrix linked to Zara and H&amp;M</w:t>
            </w:r>
            <w:r>
              <w:tab/>
            </w:r>
            <w:r>
              <w:fldChar w:fldCharType="begin"/>
            </w:r>
            <w:r>
              <w:instrText xml:space="preserve">PAGEREF _Toc319847098 \h</w:instrText>
            </w:r>
            <w:r>
              <w:fldChar w:fldCharType="separate"/>
            </w:r>
            <w:r w:rsidRPr="64AA5A18" w:rsidR="64AA5A18">
              <w:rPr>
                <w:rStyle w:val="Hyperlink"/>
              </w:rPr>
              <w:t>21</w:t>
            </w:r>
            <w:r>
              <w:fldChar w:fldCharType="end"/>
            </w:r>
          </w:hyperlink>
        </w:p>
        <w:p w:rsidR="64AA5A18" w:rsidP="64AA5A18" w:rsidRDefault="64AA5A18" w14:paraId="28A87CAE" w14:textId="1A42592A">
          <w:pPr>
            <w:pStyle w:val="TOC3"/>
            <w:tabs>
              <w:tab w:val="right" w:leader="dot" w:pos="9360"/>
            </w:tabs>
            <w:bidi w:val="0"/>
            <w:rPr>
              <w:rStyle w:val="Hyperlink"/>
            </w:rPr>
          </w:pPr>
          <w:hyperlink w:anchor="_Toc1020283712">
            <w:r w:rsidRPr="64AA5A18" w:rsidR="64AA5A18">
              <w:rPr>
                <w:rStyle w:val="Hyperlink"/>
              </w:rPr>
              <w:t>Conclusion using Ansoff verdict</w:t>
            </w:r>
            <w:r>
              <w:tab/>
            </w:r>
            <w:r>
              <w:fldChar w:fldCharType="begin"/>
            </w:r>
            <w:r>
              <w:instrText xml:space="preserve">PAGEREF _Toc1020283712 \h</w:instrText>
            </w:r>
            <w:r>
              <w:fldChar w:fldCharType="separate"/>
            </w:r>
            <w:r w:rsidRPr="64AA5A18" w:rsidR="64AA5A18">
              <w:rPr>
                <w:rStyle w:val="Hyperlink"/>
              </w:rPr>
              <w:t>23</w:t>
            </w:r>
            <w:r>
              <w:fldChar w:fldCharType="end"/>
            </w:r>
          </w:hyperlink>
        </w:p>
        <w:p w:rsidR="64AA5A18" w:rsidP="64AA5A18" w:rsidRDefault="64AA5A18" w14:paraId="71C1C934" w14:textId="5C94B7FD">
          <w:pPr>
            <w:pStyle w:val="TOC2"/>
            <w:tabs>
              <w:tab w:val="right" w:leader="dot" w:pos="9360"/>
            </w:tabs>
            <w:bidi w:val="0"/>
            <w:rPr>
              <w:rStyle w:val="Hyperlink"/>
            </w:rPr>
          </w:pPr>
          <w:hyperlink w:anchor="_Toc1357154226">
            <w:r w:rsidRPr="64AA5A18" w:rsidR="64AA5A18">
              <w:rPr>
                <w:rStyle w:val="Hyperlink"/>
              </w:rPr>
              <w:t>References</w:t>
            </w:r>
            <w:r>
              <w:tab/>
            </w:r>
            <w:r>
              <w:fldChar w:fldCharType="begin"/>
            </w:r>
            <w:r>
              <w:instrText xml:space="preserve">PAGEREF _Toc1357154226 \h</w:instrText>
            </w:r>
            <w:r>
              <w:fldChar w:fldCharType="separate"/>
            </w:r>
            <w:r w:rsidRPr="64AA5A18" w:rsidR="64AA5A18">
              <w:rPr>
                <w:rStyle w:val="Hyperlink"/>
              </w:rPr>
              <w:t>25</w:t>
            </w:r>
            <w:r>
              <w:fldChar w:fldCharType="end"/>
            </w:r>
          </w:hyperlink>
          <w:r>
            <w:fldChar w:fldCharType="end"/>
          </w:r>
        </w:p>
      </w:sdtContent>
    </w:sdt>
    <w:p xmlns:wp14="http://schemas.microsoft.com/office/word/2010/wordml" w:rsidP="15A7B681" wp14:paraId="4FF373CC" wp14:textId="50F52851">
      <w:pPr>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p>
    <w:p w:rsidR="2A18C7CB" w:rsidP="2A18C7CB" w:rsidRDefault="2A18C7CB" w14:paraId="77EF7E97" w14:textId="35573367">
      <w:pPr>
        <w:pStyle w:val="Normal"/>
        <w:tabs>
          <w:tab w:val="left" w:leader="none" w:pos="10065"/>
        </w:tabs>
        <w:spacing w:before="0" w:beforeAutospacing="off" w:after="0" w:afterAutospacing="off" w:line="360" w:lineRule="auto"/>
        <w:ind w:left="0" w:right="357"/>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2A18C7CB" wp14:paraId="371CFD63" wp14:textId="2D9101B8">
      <w:pPr>
        <w:pStyle w:val="Normal"/>
        <w:tabs>
          <w:tab w:val="left" w:leader="none" w:pos="10065"/>
        </w:tabs>
        <w:spacing w:before="0" w:beforeAutospacing="off" w:after="0" w:afterAutospacing="off" w:line="360" w:lineRule="auto"/>
        <w:ind w:left="0" w:right="357"/>
        <w:rPr>
          <w:rFonts w:ascii="Arial" w:hAnsi="Arial" w:eastAsia="Arial" w:cs="Arial"/>
          <w:b w:val="0"/>
          <w:bCs w:val="0"/>
          <w:i w:val="0"/>
          <w:iCs w:val="0"/>
          <w:caps w:val="0"/>
          <w:smallCaps w:val="0"/>
          <w:noProof w:val="0"/>
          <w:color w:val="000000" w:themeColor="text1" w:themeTint="FF" w:themeShade="FF"/>
          <w:sz w:val="28"/>
          <w:szCs w:val="28"/>
          <w:lang w:val="en-US"/>
        </w:rPr>
      </w:pPr>
      <w:r w:rsidRPr="2A18C7CB" w:rsidR="588F49B2">
        <w:rPr>
          <w:rFonts w:ascii="Arial" w:hAnsi="Arial" w:eastAsia="Arial" w:cs="Arial"/>
          <w:b w:val="1"/>
          <w:bCs w:val="1"/>
          <w:i w:val="0"/>
          <w:iCs w:val="0"/>
          <w:caps w:val="0"/>
          <w:smallCaps w:val="0"/>
          <w:noProof w:val="0"/>
          <w:color w:val="000000" w:themeColor="text1" w:themeTint="FF" w:themeShade="FF"/>
          <w:sz w:val="28"/>
          <w:szCs w:val="28"/>
          <w:lang w:val="en-GB"/>
        </w:rPr>
        <w:t>INTROD</w:t>
      </w:r>
      <w:r w:rsidRPr="2A18C7CB" w:rsidR="588F49B2">
        <w:rPr>
          <w:rFonts w:ascii="Arial" w:hAnsi="Arial" w:eastAsia="Arial" w:cs="Arial"/>
          <w:b w:val="1"/>
          <w:bCs w:val="1"/>
          <w:i w:val="0"/>
          <w:iCs w:val="0"/>
          <w:caps w:val="0"/>
          <w:smallCaps w:val="0"/>
          <w:noProof w:val="0"/>
          <w:color w:val="000000" w:themeColor="text1" w:themeTint="FF" w:themeShade="FF"/>
          <w:sz w:val="28"/>
          <w:szCs w:val="28"/>
          <w:lang w:val="en-GB"/>
        </w:rPr>
        <w:t>UCTION</w:t>
      </w:r>
    </w:p>
    <w:p xmlns:wp14="http://schemas.microsoft.com/office/word/2010/wordml" w:rsidP="64AA5A18" wp14:paraId="3CC2B24A" wp14:textId="163FFC82">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Zara as a pioneering organisation vs. H&amp;M as follower: how two macro‑marketing actors have created competitive advantages.</w:t>
      </w:r>
    </w:p>
    <w:p xmlns:wp14="http://schemas.microsoft.com/office/word/2010/wordml" w:rsidP="64AA5A18" wp14:paraId="7694E121" wp14:textId="00C539BE">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Scope &amp; framing.</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This analysis focuses on two powerful external actors in the European fast‑fashion environment and their strategic implications for Zara (as a pioneering, vertically integrated fast‑fashion system) and H&amp;M (as a large, multi‑brand follower with a more traditional outsourced model):</w:t>
      </w:r>
    </w:p>
    <w:p xmlns:wp14="http://schemas.microsoft.com/office/word/2010/wordml" w:rsidP="64AA5A18" wp14:paraId="635C559E" wp14:textId="4C3B3FE4">
      <w:pPr>
        <w:pStyle w:val="ListParagraph"/>
        <w:numPr>
          <w:ilvl w:val="0"/>
          <w:numId w:val="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Regulators and policy‑makers</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(EU‑level sustainability, consumer‑</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protection</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and due‑diligence regimes);</w:t>
      </w:r>
    </w:p>
    <w:p xmlns:wp14="http://schemas.microsoft.com/office/word/2010/wordml" w:rsidP="64AA5A18" wp14:paraId="5276A81E" wp14:textId="0300DC21">
      <w:pPr>
        <w:pStyle w:val="ListParagraph"/>
        <w:numPr>
          <w:ilvl w:val="0"/>
          <w:numId w:val="1"/>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Technology actors and innovation ecosystems</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(AI, data, RFID and omnichannel infrastructure).</w:t>
      </w:r>
    </w:p>
    <w:p xmlns:wp14="http://schemas.microsoft.com/office/word/2010/wordml" w:rsidP="64AA5A18" wp14:paraId="6A5D707D" wp14:textId="0D022154">
      <w:pPr>
        <w:spacing w:before="210" w:beforeAutospacing="off" w:after="210"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Both actors create opportunities </w:t>
      </w:r>
      <w:r w:rsidRPr="64AA5A18" w:rsidR="588F49B2">
        <w:rPr>
          <w:rFonts w:ascii="Arial" w:hAnsi="Arial" w:eastAsia="Arial" w:cs="Arial"/>
          <w:b w:val="0"/>
          <w:bCs w:val="0"/>
          <w:i w:val="1"/>
          <w:iCs w:val="1"/>
          <w:caps w:val="0"/>
          <w:smallCaps w:val="0"/>
          <w:noProof w:val="0"/>
          <w:color w:val="000000" w:themeColor="text1" w:themeTint="FF" w:themeShade="FF"/>
          <w:sz w:val="24"/>
          <w:szCs w:val="24"/>
          <w:lang w:val="en-GB"/>
        </w:rPr>
        <w:t>and</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threats that shape speed, costs, assortment, brand equity and </w:t>
      </w: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ultimately</w:t>
      </w: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 xml:space="preserve"> market</w:t>
      </w: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 xml:space="preserve"> share.</w:t>
      </w:r>
    </w:p>
    <w:p w:rsidR="279C4270" w:rsidP="64AA5A18" w:rsidRDefault="279C4270" w14:paraId="5223DE40" w14:textId="3331DC51">
      <w:pPr>
        <w:pStyle w:val="Normal"/>
        <w:spacing w:before="210" w:beforeAutospacing="off" w:after="210" w:afterAutospacing="off" w:line="360" w:lineRule="auto"/>
        <w:rPr>
          <w:rFonts w:ascii="Arial" w:hAnsi="Arial" w:eastAsia="Arial" w:cs="Arial"/>
          <w:noProof w:val="0"/>
          <w:sz w:val="24"/>
          <w:szCs w:val="24"/>
          <w:lang w:val="en-GB"/>
        </w:rPr>
      </w:pPr>
      <w:r w:rsidRPr="2A18C7CB" w:rsidR="279C4270">
        <w:rPr>
          <w:rFonts w:ascii="Arial" w:hAnsi="Arial" w:eastAsia="Arial" w:cs="Arial"/>
          <w:b w:val="1"/>
          <w:bCs w:val="1"/>
          <w:noProof w:val="0"/>
          <w:sz w:val="24"/>
          <w:szCs w:val="24"/>
          <w:lang w:val="en-GB"/>
        </w:rPr>
        <w:t>Zara</w:t>
      </w:r>
      <w:r w:rsidRPr="2A18C7CB" w:rsidR="279C4270">
        <w:rPr>
          <w:rFonts w:ascii="Arial" w:hAnsi="Arial" w:eastAsia="Arial" w:cs="Arial"/>
          <w:noProof w:val="0"/>
          <w:sz w:val="24"/>
          <w:szCs w:val="24"/>
          <w:lang w:val="en-GB"/>
        </w:rPr>
        <w:t xml:space="preserve"> is the Spanish flagship store for one of the world's largest and most successful fashion retailers, Inditex. The brand is an overarching global clothing brand with thousands of instore locations and presence in e-commerce. This strategic audit on Zara will take a deeper look into the company's business model and strategies through an external and internal analysis. The analytic tools: Porter's Five Forces, PESTEL, and SWOT analyses are </w:t>
      </w:r>
      <w:r w:rsidRPr="2A18C7CB" w:rsidR="279C4270">
        <w:rPr>
          <w:rFonts w:ascii="Arial" w:hAnsi="Arial" w:eastAsia="Arial" w:cs="Arial"/>
          <w:noProof w:val="0"/>
          <w:sz w:val="24"/>
          <w:szCs w:val="24"/>
          <w:lang w:val="en-GB"/>
        </w:rPr>
        <w:t>utilized</w:t>
      </w:r>
      <w:r w:rsidRPr="2A18C7CB" w:rsidR="279C4270">
        <w:rPr>
          <w:rFonts w:ascii="Arial" w:hAnsi="Arial" w:eastAsia="Arial" w:cs="Arial"/>
          <w:noProof w:val="0"/>
          <w:sz w:val="24"/>
          <w:szCs w:val="24"/>
          <w:lang w:val="en-GB"/>
        </w:rPr>
        <w:t xml:space="preserve"> to understand the fashion retail industry's competitive environment and how Zara sustains its leadership through its niche in fast fashion. Strategic recommendations and implementation ideas are also extended with the brand's future growth in mind. Keywords: Zara, strategy, analysis, fast fashion, </w:t>
      </w:r>
      <w:r w:rsidRPr="2A18C7CB" w:rsidR="6074414F">
        <w:rPr>
          <w:rFonts w:ascii="Arial" w:hAnsi="Arial" w:eastAsia="Arial" w:cs="Arial"/>
          <w:noProof w:val="0"/>
          <w:sz w:val="24"/>
          <w:szCs w:val="24"/>
          <w:lang w:val="en-GB"/>
        </w:rPr>
        <w:t xml:space="preserve">competition </w:t>
      </w:r>
      <w:r w:rsidRPr="2A18C7CB" w:rsidR="6074414F">
        <w:rPr>
          <w:rFonts w:ascii="Arial" w:hAnsi="Arial" w:eastAsia="Arial" w:cs="Arial"/>
          <w:noProof w:val="0"/>
          <w:color w:val="auto"/>
          <w:sz w:val="24"/>
          <w:szCs w:val="24"/>
          <w:lang w:val="en-GB"/>
        </w:rPr>
        <w:t>(</w:t>
      </w:r>
      <w:r w:rsidRPr="2A18C7CB" w:rsidR="059F127D">
        <w:rPr>
          <w:rFonts w:ascii="Roboto" w:hAnsi="Roboto" w:eastAsia="Roboto" w:cs="Roboto"/>
          <w:b w:val="0"/>
          <w:bCs w:val="0"/>
          <w:i w:val="0"/>
          <w:iCs w:val="0"/>
          <w:caps w:val="0"/>
          <w:smallCaps w:val="0"/>
          <w:noProof w:val="0"/>
          <w:color w:val="auto"/>
          <w:sz w:val="24"/>
          <w:szCs w:val="24"/>
          <w:lang w:val="en-GB"/>
        </w:rPr>
        <w:t>Ha, 2021)</w:t>
      </w:r>
      <w:r w:rsidRPr="2A18C7CB" w:rsidR="0D91E6AD">
        <w:rPr>
          <w:rFonts w:ascii="Roboto" w:hAnsi="Roboto" w:eastAsia="Roboto" w:cs="Roboto"/>
          <w:b w:val="0"/>
          <w:bCs w:val="0"/>
          <w:i w:val="0"/>
          <w:iCs w:val="0"/>
          <w:caps w:val="0"/>
          <w:smallCaps w:val="0"/>
          <w:noProof w:val="0"/>
          <w:color w:val="auto"/>
          <w:sz w:val="24"/>
          <w:szCs w:val="24"/>
          <w:lang w:val="en-GB"/>
        </w:rPr>
        <w:t>.</w:t>
      </w:r>
    </w:p>
    <w:p xmlns:wp14="http://schemas.microsoft.com/office/word/2010/wordml" w:rsidP="2A18C7CB" wp14:paraId="60BC179A" wp14:textId="356CA729">
      <w:pPr>
        <w:pStyle w:val="Normal"/>
        <w:spacing w:before="210" w:beforeAutospacing="off" w:after="210" w:afterAutospacing="off" w:line="360" w:lineRule="auto"/>
        <w:rPr>
          <w:rFonts w:ascii="Roboto" w:hAnsi="Roboto" w:eastAsia="Roboto" w:cs="Roboto"/>
          <w:b w:val="0"/>
          <w:bCs w:val="0"/>
          <w:i w:val="0"/>
          <w:iCs w:val="0"/>
          <w:caps w:val="0"/>
          <w:smallCaps w:val="0"/>
          <w:noProof w:val="0"/>
          <w:color w:val="auto" w:themeColor="text1" w:themeTint="FF" w:themeShade="FF"/>
          <w:sz w:val="24"/>
          <w:szCs w:val="24"/>
          <w:lang w:val="en-GB"/>
        </w:rPr>
      </w:pPr>
      <w:r w:rsidRPr="2A18C7CB" w:rsidR="3474E4D3">
        <w:rPr>
          <w:rFonts w:ascii="Roboto" w:hAnsi="Roboto" w:eastAsia="Roboto" w:cs="Roboto"/>
          <w:b w:val="0"/>
          <w:bCs w:val="0"/>
          <w:i w:val="0"/>
          <w:iCs w:val="0"/>
          <w:caps w:val="0"/>
          <w:smallCaps w:val="0"/>
          <w:noProof w:val="0"/>
          <w:color w:val="auto"/>
          <w:sz w:val="24"/>
          <w:szCs w:val="24"/>
          <w:lang w:val="en-GB"/>
        </w:rPr>
        <w:t xml:space="preserve">H&amp;M’s mission statement, ‘to offer fashion and quality at the best price, </w:t>
      </w:r>
      <w:r w:rsidRPr="2A18C7CB" w:rsidR="18F18EE4">
        <w:rPr>
          <w:rFonts w:ascii="Roboto" w:hAnsi="Roboto" w:eastAsia="Roboto" w:cs="Roboto"/>
          <w:b w:val="0"/>
          <w:bCs w:val="0"/>
          <w:i w:val="0"/>
          <w:iCs w:val="0"/>
          <w:caps w:val="0"/>
          <w:smallCaps w:val="0"/>
          <w:noProof w:val="0"/>
          <w:color w:val="auto"/>
          <w:sz w:val="24"/>
          <w:szCs w:val="24"/>
          <w:lang w:val="en-GB"/>
        </w:rPr>
        <w:t>‘reflects its core business philosophy. This concise statement targets a broad customer ba</w:t>
      </w:r>
      <w:r w:rsidRPr="2A18C7CB" w:rsidR="1AB1B773">
        <w:rPr>
          <w:rFonts w:ascii="Roboto" w:hAnsi="Roboto" w:eastAsia="Roboto" w:cs="Roboto"/>
          <w:b w:val="0"/>
          <w:bCs w:val="0"/>
          <w:i w:val="0"/>
          <w:iCs w:val="0"/>
          <w:caps w:val="0"/>
          <w:smallCaps w:val="0"/>
          <w:noProof w:val="0"/>
          <w:color w:val="auto"/>
          <w:sz w:val="24"/>
          <w:szCs w:val="24"/>
          <w:lang w:val="en-GB"/>
        </w:rPr>
        <w:t>se by making it accessible and enjoyable for all, irr</w:t>
      </w:r>
      <w:r w:rsidRPr="2A18C7CB" w:rsidR="537AE597">
        <w:rPr>
          <w:rFonts w:ascii="Roboto" w:hAnsi="Roboto" w:eastAsia="Roboto" w:cs="Roboto"/>
          <w:b w:val="0"/>
          <w:bCs w:val="0"/>
          <w:i w:val="0"/>
          <w:iCs w:val="0"/>
          <w:caps w:val="0"/>
          <w:smallCaps w:val="0"/>
          <w:noProof w:val="0"/>
          <w:color w:val="auto"/>
          <w:sz w:val="24"/>
          <w:szCs w:val="24"/>
          <w:lang w:val="en-GB"/>
        </w:rPr>
        <w:t xml:space="preserve">espective of budget constraints. The mission </w:t>
      </w:r>
      <w:r w:rsidRPr="2A18C7CB" w:rsidR="537AE597">
        <w:rPr>
          <w:rFonts w:ascii="Roboto" w:hAnsi="Roboto" w:eastAsia="Roboto" w:cs="Roboto"/>
          <w:b w:val="0"/>
          <w:bCs w:val="0"/>
          <w:i w:val="0"/>
          <w:iCs w:val="0"/>
          <w:caps w:val="0"/>
          <w:smallCaps w:val="0"/>
          <w:noProof w:val="0"/>
          <w:color w:val="auto"/>
          <w:sz w:val="24"/>
          <w:szCs w:val="24"/>
          <w:lang w:val="en-GB"/>
        </w:rPr>
        <w:t>identifies</w:t>
      </w:r>
      <w:r w:rsidRPr="2A18C7CB" w:rsidR="537AE597">
        <w:rPr>
          <w:rFonts w:ascii="Roboto" w:hAnsi="Roboto" w:eastAsia="Roboto" w:cs="Roboto"/>
          <w:b w:val="0"/>
          <w:bCs w:val="0"/>
          <w:i w:val="0"/>
          <w:iCs w:val="0"/>
          <w:caps w:val="0"/>
          <w:smallCaps w:val="0"/>
          <w:noProof w:val="0"/>
          <w:color w:val="auto"/>
          <w:sz w:val="24"/>
          <w:szCs w:val="24"/>
          <w:lang w:val="en-GB"/>
        </w:rPr>
        <w:t xml:space="preserve"> H&amp;M’s core products and services as</w:t>
      </w:r>
      <w:r w:rsidRPr="2A18C7CB" w:rsidR="7FFC5ED5">
        <w:rPr>
          <w:rFonts w:ascii="Roboto" w:hAnsi="Roboto" w:eastAsia="Roboto" w:cs="Roboto"/>
          <w:b w:val="0"/>
          <w:bCs w:val="0"/>
          <w:i w:val="0"/>
          <w:iCs w:val="0"/>
          <w:caps w:val="0"/>
          <w:smallCaps w:val="0"/>
          <w:noProof w:val="0"/>
          <w:color w:val="auto"/>
          <w:sz w:val="24"/>
          <w:szCs w:val="24"/>
          <w:lang w:val="en-GB"/>
        </w:rPr>
        <w:t xml:space="preserve"> fashion and quality apparel, accessories, footwear, and home goods. (Team, 2025)</w:t>
      </w:r>
    </w:p>
    <w:p xmlns:wp14="http://schemas.microsoft.com/office/word/2010/wordml" w:rsidP="64AA5A18" wp14:paraId="570D62E7" wp14:textId="0C779F5F">
      <w:pPr>
        <w:pStyle w:val="Normal"/>
        <w:keepNext w:val="1"/>
        <w:keepLines w:val="1"/>
        <w:spacing w:before="210" w:beforeAutospacing="off" w:after="210" w:afterAutospacing="off" w:line="36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070503E8" wp14:textId="07835FA0">
      <w:pPr>
        <w:pStyle w:val="Heading2"/>
        <w:keepNext w:val="1"/>
        <w:keepLines w:val="1"/>
        <w:spacing w:before="210" w:beforeAutospacing="off" w:after="210" w:afterAutospacing="off" w:line="360" w:lineRule="auto"/>
        <w:rPr>
          <w:rFonts w:ascii="Arial" w:hAnsi="Arial" w:eastAsia="Arial" w:cs="Arial"/>
          <w:b w:val="1"/>
          <w:bCs w:val="1"/>
          <w:i w:val="0"/>
          <w:iCs w:val="0"/>
          <w:caps w:val="0"/>
          <w:smallCaps w:val="0"/>
          <w:noProof w:val="0"/>
          <w:color w:val="auto" w:themeColor="accent1" w:themeTint="FF" w:themeShade="BF"/>
          <w:sz w:val="24"/>
          <w:szCs w:val="24"/>
          <w:lang w:val="en-US"/>
        </w:rPr>
      </w:pPr>
      <w:bookmarkStart w:name="_Toc537415362" w:id="947750401"/>
      <w:r w:rsidRPr="64AA5A18" w:rsidR="588F49B2">
        <w:rPr>
          <w:rFonts w:ascii="Arial" w:hAnsi="Arial" w:eastAsia="Arial" w:cs="Arial"/>
          <w:b w:val="1"/>
          <w:bCs w:val="1"/>
          <w:i w:val="0"/>
          <w:iCs w:val="0"/>
          <w:caps w:val="0"/>
          <w:smallCaps w:val="0"/>
          <w:noProof w:val="0"/>
          <w:color w:val="auto"/>
          <w:sz w:val="24"/>
          <w:szCs w:val="24"/>
          <w:lang w:val="en-GB"/>
        </w:rPr>
        <w:t>1) The regulator as macro‑marketing actor</w:t>
      </w:r>
      <w:bookmarkEnd w:id="947750401"/>
    </w:p>
    <w:p xmlns:wp14="http://schemas.microsoft.com/office/word/2010/wordml" w:rsidP="64AA5A18" wp14:paraId="4C0B9AA6" wp14:textId="4F759E7E">
      <w:pPr>
        <w:pStyle w:val="Normal"/>
        <w:keepNext w:val="1"/>
        <w:keepLines w:val="1"/>
        <w:spacing w:line="360" w:lineRule="auto"/>
        <w:rPr>
          <w:noProof w:val="0"/>
          <w:sz w:val="24"/>
          <w:szCs w:val="24"/>
          <w:lang w:val="en-GB"/>
        </w:rPr>
      </w:pPr>
      <w:r w:rsidR="358FA444">
        <w:drawing>
          <wp:inline xmlns:wp14="http://schemas.microsoft.com/office/word/2010/wordprocessingDrawing" wp14:editId="0FFE0FE2" wp14:anchorId="25440E66">
            <wp:extent cx="5943600" cy="2200275"/>
            <wp:effectExtent l="0" t="0" r="0" b="0"/>
            <wp:docPr id="1632446106" name="drawing" descr="Chapter 3: The Marketing Environment, an Information Approach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2446106" name="Picture 1632446106"/>
                    <pic:cNvPicPr/>
                  </pic:nvPicPr>
                  <pic:blipFill>
                    <a:blip xmlns:r="http://schemas.openxmlformats.org/officeDocument/2006/relationships" r:embed="rId1702228249">
                      <a:extLst>
                        <a:ext uri="{28A0092B-C50C-407E-A947-70E740481C1C}">
                          <a14:useLocalDpi xmlns:a14="http://schemas.microsoft.com/office/drawing/2010/main"/>
                        </a:ext>
                      </a:extLst>
                    </a:blip>
                    <a:stretch>
                      <a:fillRect/>
                    </a:stretch>
                  </pic:blipFill>
                  <pic:spPr>
                    <a:xfrm>
                      <a:off x="0" y="0"/>
                      <a:ext cx="5943600" cy="2200275"/>
                    </a:xfrm>
                    <a:prstGeom prst="rect">
                      <a:avLst/>
                    </a:prstGeom>
                  </pic:spPr>
                </pic:pic>
              </a:graphicData>
            </a:graphic>
          </wp:inline>
        </w:drawing>
      </w:r>
    </w:p>
    <w:p xmlns:wp14="http://schemas.microsoft.com/office/word/2010/wordml" w:rsidP="64AA5A18" wp14:paraId="395F83C6" wp14:textId="5B13FDF1">
      <w:pPr>
        <w:pStyle w:val="Heading2"/>
        <w:keepNext w:val="1"/>
        <w:keepLines w:val="1"/>
        <w:spacing w:before="210" w:beforeAutospacing="off" w:after="210" w:afterAutospacing="off" w:line="360" w:lineRule="auto"/>
        <w:rPr>
          <w:rFonts w:ascii="Arial" w:hAnsi="Arial" w:eastAsia="Arial" w:cs="Arial"/>
          <w:b w:val="1"/>
          <w:bCs w:val="1"/>
          <w:i w:val="0"/>
          <w:iCs w:val="0"/>
          <w:caps w:val="0"/>
          <w:smallCaps w:val="0"/>
          <w:noProof w:val="0"/>
          <w:color w:val="auto" w:themeColor="text1" w:themeTint="FF" w:themeShade="FF"/>
          <w:sz w:val="24"/>
          <w:szCs w:val="24"/>
          <w:lang w:val="en-US"/>
        </w:rPr>
      </w:pPr>
      <w:bookmarkStart w:name="_Toc64095018" w:id="218646173"/>
      <w:r w:rsidRPr="64AA5A18" w:rsidR="588F49B2">
        <w:rPr>
          <w:rFonts w:ascii="Arial" w:hAnsi="Arial" w:eastAsia="Arial" w:cs="Arial"/>
          <w:b w:val="1"/>
          <w:bCs w:val="1"/>
          <w:i w:val="0"/>
          <w:iCs w:val="0"/>
          <w:caps w:val="0"/>
          <w:smallCaps w:val="0"/>
          <w:noProof w:val="0"/>
          <w:color w:val="auto"/>
          <w:sz w:val="24"/>
          <w:szCs w:val="24"/>
          <w:lang w:val="en-GB"/>
        </w:rPr>
        <w:t xml:space="preserve">“Macro Marketing Defines as a higher level of aggregation, usually marketing </w:t>
      </w:r>
      <w:r w:rsidRPr="64AA5A18" w:rsidR="588F49B2">
        <w:rPr>
          <w:rFonts w:ascii="Arial" w:hAnsi="Arial" w:eastAsia="Arial" w:cs="Arial"/>
          <w:b w:val="1"/>
          <w:bCs w:val="1"/>
          <w:i w:val="0"/>
          <w:iCs w:val="0"/>
          <w:caps w:val="0"/>
          <w:smallCaps w:val="0"/>
          <w:noProof w:val="0"/>
          <w:color w:val="auto"/>
          <w:sz w:val="24"/>
          <w:szCs w:val="24"/>
          <w:lang w:val="en-GB"/>
        </w:rPr>
        <w:t>systems or group of consumers” (Hunt 1976, p.20)</w:t>
      </w:r>
      <w:bookmarkEnd w:id="218646173"/>
    </w:p>
    <w:p xmlns:wp14="http://schemas.microsoft.com/office/word/2010/wordml" w:rsidP="368B97FF" wp14:paraId="564ED21A" wp14:textId="714535ED">
      <w:pPr>
        <w:pStyle w:val="Heading3"/>
        <w:keepNext w:val="1"/>
        <w:keepLines w:val="1"/>
        <w:spacing w:before="246" w:beforeAutospacing="off" w:after="246" w:afterAutospacing="off" w:line="360" w:lineRule="auto"/>
        <w:rPr>
          <w:rFonts w:ascii="Arial" w:hAnsi="Arial" w:eastAsia="Arial" w:cs="Arial"/>
          <w:b w:val="1"/>
          <w:bCs w:val="1"/>
          <w:i w:val="0"/>
          <w:iCs w:val="0"/>
          <w:caps w:val="0"/>
          <w:smallCaps w:val="0"/>
          <w:noProof w:val="0"/>
          <w:color w:val="0F4761" w:themeColor="accent1" w:themeTint="FF" w:themeShade="BF"/>
          <w:sz w:val="24"/>
          <w:szCs w:val="24"/>
          <w:lang w:val="en-US"/>
        </w:rPr>
      </w:pPr>
      <w:bookmarkStart w:name="_Toc1885463286" w:id="1948318109"/>
      <w:r w:rsidRPr="368B97FF" w:rsidR="588F49B2">
        <w:rPr>
          <w:rFonts w:ascii="Arial" w:hAnsi="Arial" w:eastAsia="Arial" w:cs="Arial"/>
          <w:b w:val="1"/>
          <w:bCs w:val="1"/>
          <w:i w:val="0"/>
          <w:iCs w:val="0"/>
          <w:caps w:val="0"/>
          <w:smallCaps w:val="0"/>
          <w:noProof w:val="0"/>
          <w:color w:val="auto"/>
          <w:sz w:val="24"/>
          <w:szCs w:val="24"/>
          <w:lang w:val="en-GB"/>
        </w:rPr>
        <w:t>What</w:t>
      </w:r>
      <w:r w:rsidRPr="368B97FF" w:rsidR="0E13E5EA">
        <w:rPr>
          <w:rFonts w:ascii="Arial" w:hAnsi="Arial" w:eastAsia="Arial" w:cs="Arial"/>
          <w:b w:val="1"/>
          <w:bCs w:val="1"/>
          <w:i w:val="0"/>
          <w:iCs w:val="0"/>
          <w:caps w:val="0"/>
          <w:smallCaps w:val="0"/>
          <w:noProof w:val="0"/>
          <w:color w:val="auto"/>
          <w:sz w:val="24"/>
          <w:szCs w:val="24"/>
          <w:lang w:val="en-GB"/>
        </w:rPr>
        <w:t xml:space="preserve"> is</w:t>
      </w:r>
      <w:r w:rsidRPr="368B97FF" w:rsidR="588F49B2">
        <w:rPr>
          <w:rFonts w:ascii="Arial" w:hAnsi="Arial" w:eastAsia="Arial" w:cs="Arial"/>
          <w:b w:val="1"/>
          <w:bCs w:val="1"/>
          <w:i w:val="0"/>
          <w:iCs w:val="0"/>
          <w:caps w:val="0"/>
          <w:smallCaps w:val="0"/>
          <w:noProof w:val="0"/>
          <w:color w:val="auto"/>
          <w:sz w:val="24"/>
          <w:szCs w:val="24"/>
          <w:lang w:val="en-GB"/>
        </w:rPr>
        <w:t xml:space="preserve"> changing</w:t>
      </w:r>
      <w:r w:rsidRPr="368B97FF" w:rsidR="2BFEB6B1">
        <w:rPr>
          <w:rFonts w:ascii="Arial" w:hAnsi="Arial" w:eastAsia="Arial" w:cs="Arial"/>
          <w:b w:val="1"/>
          <w:bCs w:val="1"/>
          <w:i w:val="0"/>
          <w:iCs w:val="0"/>
          <w:caps w:val="0"/>
          <w:smallCaps w:val="0"/>
          <w:noProof w:val="0"/>
          <w:color w:val="auto"/>
          <w:sz w:val="24"/>
          <w:szCs w:val="24"/>
          <w:lang w:val="en-GB"/>
        </w:rPr>
        <w:t xml:space="preserve"> (ZARA)</w:t>
      </w:r>
      <w:bookmarkEnd w:id="1948318109"/>
    </w:p>
    <w:p xmlns:wp14="http://schemas.microsoft.com/office/word/2010/wordml" w:rsidP="64AA5A18" wp14:paraId="6F5B63A9" wp14:textId="30935BDD">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EU has moved from soft guidance to </w:t>
      </w:r>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hard sustainability and consumer‑protection rules</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textiles:</w:t>
      </w:r>
    </w:p>
    <w:p xmlns:wp14="http://schemas.microsoft.com/office/word/2010/wordml" w:rsidP="64AA5A18" wp14:paraId="0745CB0C" wp14:textId="6A56A25C">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Ecodesign for Sustainable Products Regulation (ESPR)</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in force since July 2024, prioriti</w:t>
      </w:r>
      <w:r w:rsidRPr="64AA5A18" w:rsidR="19D7036A">
        <w:rPr>
          <w:rFonts w:ascii="Arial" w:hAnsi="Arial" w:eastAsia="Arial" w:cs="Arial"/>
          <w:b w:val="0"/>
          <w:bCs w:val="0"/>
          <w:i w:val="0"/>
          <w:iCs w:val="0"/>
          <w:caps w:val="0"/>
          <w:smallCaps w:val="0"/>
          <w:noProof w:val="0"/>
          <w:color w:val="000000" w:themeColor="text1" w:themeTint="FF" w:themeShade="FF"/>
          <w:sz w:val="24"/>
          <w:szCs w:val="24"/>
          <w:lang w:val="en-GB"/>
        </w:rPr>
        <w:t>s</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es textiles in the Commission’s April 2025 working plan. Upcoming rules will address durability, repairability, microfibre shedding, and </w:t>
      </w: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Digital Product Passports (DPPs)</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Large companies must stop destroying unsold apparel and footwear by 19 July 2026, with detailed disclosure rules adopted in February 2026. The </w:t>
      </w:r>
      <w:r w:rsidRPr="64AA5A18" w:rsidR="588F49B2">
        <w:rPr>
          <w:rFonts w:ascii="Arial" w:hAnsi="Arial" w:eastAsia="Arial" w:cs="Arial"/>
          <w:b w:val="1"/>
          <w:bCs w:val="1"/>
          <w:i w:val="0"/>
          <w:iCs w:val="0"/>
          <w:caps w:val="0"/>
          <w:smallCaps w:val="0"/>
          <w:noProof w:val="0"/>
          <w:color w:val="000000" w:themeColor="text1" w:themeTint="FF" w:themeShade="FF"/>
          <w:sz w:val="24"/>
          <w:szCs w:val="24"/>
          <w:lang w:val="en-GB"/>
        </w:rPr>
        <w:t>Ecodesign for Sustainable Products Regulation (ESPR)</w:t>
      </w: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 has come into force to make sustainable products the standard across the EU.</w:t>
      </w:r>
    </w:p>
    <w:p xmlns:wp14="http://schemas.microsoft.com/office/word/2010/wordml" w:rsidP="64AA5A18" wp14:paraId="4AC01C83" wp14:textId="0DCB6916">
      <w:pPr>
        <w:pStyle w:val="ListParagraph"/>
        <w:numPr>
          <w:ilvl w:val="0"/>
          <w:numId w:val="2"/>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AA5A18" w:rsidR="588F49B2">
        <w:rPr>
          <w:rFonts w:ascii="Arial" w:hAnsi="Arial" w:eastAsia="Arial" w:cs="Arial"/>
          <w:b w:val="0"/>
          <w:bCs w:val="0"/>
          <w:i w:val="0"/>
          <w:iCs w:val="0"/>
          <w:caps w:val="0"/>
          <w:smallCaps w:val="0"/>
          <w:noProof w:val="0"/>
          <w:color w:val="000000" w:themeColor="text1" w:themeTint="FF" w:themeShade="FF"/>
          <w:sz w:val="24"/>
          <w:szCs w:val="24"/>
          <w:lang w:val="en-GB"/>
        </w:rPr>
        <w:t>This report assessed various product groups and horizontal requirements for potential action under ESPR, considering environmental impact and improvement potential, market significance, existing EU policy coverage, costs, and contribution to EU Open Strategic Autonomy.</w:t>
      </w:r>
    </w:p>
    <w:p xmlns:wp14="http://schemas.microsoft.com/office/word/2010/wordml" w:rsidP="368B97FF" wp14:paraId="7F6C34FB" wp14:textId="7E1FB95E">
      <w:pPr>
        <w:pStyle w:val="ListParagraph"/>
        <w:numPr>
          <w:ilvl w:val="0"/>
          <w:numId w:val="2"/>
        </w:numPr>
        <w:spacing w:before="240" w:beforeAutospacing="off" w:after="240" w:afterAutospacing="off" w:line="360" w:lineRule="auto"/>
        <w:rPr>
          <w:rFonts w:ascii="Roboto" w:hAnsi="Roboto" w:eastAsia="Roboto" w:cs="Roboto"/>
          <w:b w:val="0"/>
          <w:bCs w:val="0"/>
          <w:i w:val="0"/>
          <w:iCs w:val="0"/>
          <w:caps w:val="0"/>
          <w:smallCaps w:val="0"/>
          <w:noProof w:val="0"/>
          <w:color w:val="000000" w:themeColor="text1" w:themeTint="FF" w:themeShade="FF"/>
          <w:sz w:val="24"/>
          <w:szCs w:val="24"/>
          <w:lang w:val="en-US"/>
        </w:rPr>
      </w:pPr>
      <w:r w:rsidRPr="368B97FF"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The analysis identified priority areas for the first ESPR Working Plan: eleven final products (textiles and footwear; furniture; tyres; mattresses; detergents; paints and varnishes; lubricants; cosmetics; toys; fishing gear; absorbent hygiene products), seven intermediate products (iron and steel; commodity chemicals; non-ferrous metals excluding </w:t>
      </w:r>
      <w:r w:rsidRPr="368B97FF" w:rsidR="556EF616">
        <w:rPr>
          <w:rFonts w:ascii="Arial" w:hAnsi="Arial" w:eastAsia="Arial" w:cs="Arial"/>
          <w:b w:val="0"/>
          <w:bCs w:val="0"/>
          <w:i w:val="0"/>
          <w:iCs w:val="0"/>
          <w:caps w:val="0"/>
          <w:smallCaps w:val="0"/>
          <w:noProof w:val="0"/>
          <w:color w:val="000000" w:themeColor="text1" w:themeTint="FF" w:themeShade="FF"/>
          <w:sz w:val="24"/>
          <w:szCs w:val="24"/>
          <w:lang w:val="en-GB"/>
        </w:rPr>
        <w:t>a</w:t>
      </w:r>
      <w:r w:rsidRPr="368B97FF" w:rsidR="588F49B2">
        <w:rPr>
          <w:rFonts w:ascii="Arial" w:hAnsi="Arial" w:eastAsia="Arial" w:cs="Arial"/>
          <w:b w:val="0"/>
          <w:bCs w:val="0"/>
          <w:i w:val="0"/>
          <w:iCs w:val="0"/>
          <w:caps w:val="0"/>
          <w:smallCaps w:val="0"/>
          <w:noProof w:val="0"/>
          <w:color w:val="000000" w:themeColor="text1" w:themeTint="FF" w:themeShade="FF"/>
          <w:sz w:val="24"/>
          <w:szCs w:val="24"/>
          <w:lang w:val="en-GB"/>
        </w:rPr>
        <w:t xml:space="preserve">luminium; plastics and polymers; pulp and paper; glass), and three horizontal requirements (durability, recyclability, and recycled content). </w:t>
      </w:r>
      <w:r w:rsidRPr="368B97FF" w:rsidR="588F49B2">
        <w:rPr>
          <w:rFonts w:ascii="Roboto" w:hAnsi="Roboto" w:eastAsia="Roboto" w:cs="Roboto"/>
          <w:b w:val="0"/>
          <w:bCs w:val="0"/>
          <w:i w:val="0"/>
          <w:iCs w:val="0"/>
          <w:caps w:val="0"/>
          <w:smallCaps w:val="0"/>
          <w:noProof w:val="0"/>
          <w:color w:val="000000" w:themeColor="text1" w:themeTint="FF" w:themeShade="FF"/>
          <w:sz w:val="24"/>
          <w:szCs w:val="24"/>
          <w:lang w:val="en-GB"/>
        </w:rPr>
        <w:t xml:space="preserve">(FARACA </w:t>
      </w:r>
      <w:r w:rsidRPr="368B97FF" w:rsidR="588F49B2">
        <w:rPr>
          <w:rFonts w:ascii="Roboto" w:hAnsi="Roboto" w:eastAsia="Roboto" w:cs="Roboto"/>
          <w:b w:val="0"/>
          <w:bCs w:val="0"/>
          <w:i w:val="1"/>
          <w:iCs w:val="1"/>
          <w:caps w:val="0"/>
          <w:smallCaps w:val="0"/>
          <w:noProof w:val="0"/>
          <w:color w:val="000000" w:themeColor="text1" w:themeTint="FF" w:themeShade="FF"/>
          <w:sz w:val="24"/>
          <w:szCs w:val="24"/>
          <w:lang w:val="en-GB"/>
        </w:rPr>
        <w:t>et al</w:t>
      </w:r>
      <w:r w:rsidRPr="368B97FF" w:rsidR="588F49B2">
        <w:rPr>
          <w:rFonts w:ascii="Roboto" w:hAnsi="Roboto" w:eastAsia="Roboto" w:cs="Roboto"/>
          <w:b w:val="0"/>
          <w:bCs w:val="0"/>
          <w:i w:val="0"/>
          <w:iCs w:val="0"/>
          <w:caps w:val="0"/>
          <w:smallCaps w:val="0"/>
          <w:noProof w:val="0"/>
          <w:color w:val="000000" w:themeColor="text1" w:themeTint="FF" w:themeShade="FF"/>
          <w:sz w:val="24"/>
          <w:szCs w:val="24"/>
          <w:lang w:val="en-GB"/>
        </w:rPr>
        <w:t>., 2024)</w:t>
      </w:r>
    </w:p>
    <w:p xmlns:wp14="http://schemas.microsoft.com/office/word/2010/wordml" w:rsidP="64AA5A18" wp14:paraId="51F1DF80" wp14:textId="41A27151">
      <w:pPr>
        <w:pStyle w:val="ListParagraph"/>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5A18" w:rsidR="7A54FD6E">
        <w:rPr>
          <w:noProof w:val="0"/>
          <w:sz w:val="24"/>
          <w:szCs w:val="24"/>
          <w:lang w:val="en-GB"/>
        </w:rPr>
        <w:t xml:space="preserve">The Directive amends the UCPD by banning vague environmental claims, offset-only claims, and unverified eco-labels. Member States must transpose it by March 2026 and apply it from September 2026. Uncertainty around the proposed Green Claims Directive has shifted enforcement toward the strengthened UCPD framework under the </w:t>
      </w:r>
      <w:r w:rsidRPr="64AA5A18" w:rsidR="7A54FD6E">
        <w:rPr>
          <w:noProof w:val="0"/>
          <w:sz w:val="24"/>
          <w:szCs w:val="24"/>
          <w:lang w:val="en-GB"/>
        </w:rPr>
        <w:t>ECGT</w:t>
      </w:r>
      <w:r w:rsidRPr="64AA5A18" w:rsidR="6383DF04">
        <w:rPr>
          <w:rFonts w:ascii="Arial" w:hAnsi="Arial" w:eastAsia="Arial" w:cs="Arial" w:asciiTheme="minorAscii" w:hAnsiTheme="minorAscii" w:eastAsiaTheme="minorAscii" w:cstheme="minorAscii"/>
          <w:b w:val="1"/>
          <w:bCs w:val="1"/>
          <w:noProof w:val="0"/>
          <w:sz w:val="24"/>
          <w:szCs w:val="24"/>
          <w:lang w:val="en-GB"/>
        </w:rPr>
        <w:t>.</w:t>
      </w:r>
      <w:r w:rsidRPr="64AA5A18" w:rsidR="6383DF04">
        <w:rPr>
          <w:rFonts w:ascii="Arial" w:hAnsi="Arial" w:eastAsia="Arial" w:cs="Arial" w:asciiTheme="minorAscii" w:hAnsiTheme="minorAscii" w:eastAsiaTheme="minorAscii" w:cstheme="minorAscii"/>
          <w:noProof w:val="0"/>
          <w:sz w:val="24"/>
          <w:szCs w:val="24"/>
          <w:lang w:val="en-GB"/>
        </w:rPr>
        <w:t xml:space="preserve"> </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(Europa.eu, 2024), (</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Lüttin</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2025), (</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Kontosakou</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2025) </w:t>
      </w:r>
    </w:p>
    <w:p xmlns:wp14="http://schemas.microsoft.com/office/word/2010/wordml" w:rsidP="64AA5A18" wp14:paraId="57295905" wp14:textId="3DA0A018">
      <w:pPr>
        <w:pStyle w:val="ListParagraph"/>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pPr>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Extended Producer Responsibility (EPR) for textiles</w:t>
      </w:r>
      <w:r w:rsidRPr="64AA5A18" w:rsidR="2548894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4AA5A18" w:rsidR="2C1180E9">
        <w:rPr>
          <w:noProof w:val="0"/>
          <w:sz w:val="24"/>
          <w:szCs w:val="24"/>
          <w:lang w:val="en-GB"/>
        </w:rPr>
        <w:t>EU rules are progressing, mandating countries to collect textile waste separately by 2025 and adopt EPR systems with higher fees for hard-to-recycle items. France and the Netherlands already have national versions in place.</w:t>
      </w:r>
      <w:r w:rsidRPr="64AA5A18" w:rsidR="4430A367">
        <w:rPr>
          <w:noProof w:val="0"/>
          <w:sz w:val="24"/>
          <w:szCs w:val="24"/>
          <w:lang w:val="en-GB"/>
        </w:rPr>
        <w:t xml:space="preserve"> </w:t>
      </w:r>
      <w:r w:rsidRPr="64AA5A18" w:rsidR="6C7D542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(European Commission, 2022) </w:t>
      </w:r>
      <w:r w:rsidRPr="64AA5A18" w:rsidR="133FFE0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(Bergmann, 2025)</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4AA5A18" wp14:paraId="0646AD83" wp14:textId="4534CFB8">
      <w:pPr>
        <w:pStyle w:val="ListParagraph"/>
        <w:numPr>
          <w:ilvl w:val="0"/>
          <w:numId w:val="2"/>
        </w:numPr>
        <w:spacing w:before="0" w:beforeAutospacing="off" w:after="0" w:afterAutospacing="off" w:line="360" w:lineRule="auto"/>
        <w:rPr>
          <w:rFonts w:ascii="Segoe UI" w:hAnsi="Segoe UI" w:eastAsia="Segoe UI" w:cs="Segoe UI"/>
          <w:b w:val="0"/>
          <w:bCs w:val="0"/>
          <w:i w:val="0"/>
          <w:iCs w:val="0"/>
          <w:caps w:val="0"/>
          <w:smallCaps w:val="0"/>
          <w:noProof w:val="0"/>
          <w:color w:val="464FEB"/>
          <w:sz w:val="24"/>
          <w:szCs w:val="24"/>
          <w:lang w:val="en-US"/>
        </w:rPr>
      </w:pPr>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Corporate Sustainability Due Diligence (CSDDD</w:t>
      </w:r>
      <w:r w:rsidRPr="64AA5A18" w:rsidR="7E2A728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4AA5A18" w:rsidR="7E2A72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Came</w:t>
      </w:r>
      <w:r w:rsidRPr="64AA5A18" w:rsidR="4BBB2659">
        <w:rPr>
          <w:b w:val="0"/>
          <w:bCs w:val="0"/>
          <w:noProof w:val="0"/>
          <w:sz w:val="24"/>
          <w:szCs w:val="24"/>
          <w:lang w:val="en-GB"/>
        </w:rPr>
        <w:t xml:space="preserve"> into effect in 2024, narrowed after 2025; still requires large apparel companies to implement human‑rights and environmental due diligence across supply chains, gradually applied through the late 2020s.</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4AA5A18" w:rsidR="73AD6A77">
        <w:rPr>
          <w:rFonts w:ascii="Arial" w:hAnsi="Arial" w:eastAsia="Arial" w:cs="Arial" w:asciiTheme="minorAscii" w:hAnsiTheme="minorAscii" w:eastAsiaTheme="minorAscii" w:cstheme="minorAscii"/>
          <w:b w:val="0"/>
          <w:bCs w:val="0"/>
          <w:i w:val="0"/>
          <w:iCs w:val="0"/>
          <w:caps w:val="0"/>
          <w:smallCaps w:val="0"/>
          <w:noProof w:val="0"/>
          <w:color w:val="2C3E50"/>
          <w:sz w:val="24"/>
          <w:szCs w:val="24"/>
          <w:lang w:val="en-GB"/>
        </w:rPr>
        <w:t>(European Union, 2024)</w:t>
      </w:r>
      <w:r w:rsidRPr="64AA5A18" w:rsidR="588F49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4AA5A18" wp14:paraId="2E533A55" wp14:textId="4B13DC2E">
      <w:pPr>
        <w:pStyle w:val="Normal"/>
        <w:keepNext w:val="1"/>
        <w:keepLines w:val="1"/>
        <w:spacing w:before="0" w:beforeAutospacing="off" w:after="0" w:afterAutospacing="off" w:line="360" w:lineRule="auto"/>
        <w:rPr>
          <w:rFonts w:ascii="Segoe UI" w:hAnsi="Segoe UI" w:eastAsia="Segoe UI" w:cs="Segoe UI"/>
          <w:b w:val="0"/>
          <w:bCs w:val="0"/>
          <w:i w:val="0"/>
          <w:iCs w:val="0"/>
          <w:caps w:val="0"/>
          <w:smallCaps w:val="0"/>
          <w:noProof w:val="0"/>
          <w:color w:val="464FEB"/>
          <w:sz w:val="24"/>
          <w:szCs w:val="24"/>
          <w:lang w:val="en-US"/>
        </w:rPr>
      </w:pPr>
    </w:p>
    <w:p xmlns:wp14="http://schemas.microsoft.com/office/word/2010/wordml" w:rsidP="64AA5A18" wp14:paraId="58CBF5D0" wp14:textId="56CB7BE4">
      <w:pPr>
        <w:pStyle w:val="Normal"/>
        <w:keepNext w:val="1"/>
        <w:keepLines w:val="1"/>
        <w:spacing w:before="246" w:beforeAutospacing="off" w:after="246" w:afterAutospacing="off" w:line="360" w:lineRule="auto"/>
        <w:rPr>
          <w:rFonts w:ascii="Arial" w:hAnsi="Arial" w:eastAsia="Arial" w:cs="Arial"/>
          <w:noProof w:val="0"/>
          <w:sz w:val="24"/>
          <w:szCs w:val="24"/>
          <w:lang w:val="en-GB"/>
        </w:rPr>
      </w:pPr>
      <w:r w:rsidRPr="368B97FF" w:rsidR="4EF774F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H&amp;M (follower): H&amp;M </w:t>
      </w:r>
      <w:r w:rsidRPr="368B97FF" w:rsidR="4EF77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Group is not just a family of brands. It</w:t>
      </w:r>
      <w:r w:rsidRPr="368B97FF" w:rsidR="44537C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w:t>
      </w:r>
      <w:r w:rsidRPr="368B97FF" w:rsidR="4EF77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something bigger. </w:t>
      </w:r>
      <w:r w:rsidRPr="368B97FF" w:rsidR="4EF77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w:t>
      </w:r>
      <w:r w:rsidRPr="368B97FF" w:rsidR="23D794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w:t>
      </w:r>
      <w:r w:rsidRPr="368B97FF" w:rsidR="4EF77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idea that goes all the way back to our founder. In short, it</w:t>
      </w:r>
      <w:r w:rsidRPr="368B97FF" w:rsidR="191DE2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w:t>
      </w:r>
      <w:r w:rsidRPr="368B97FF" w:rsidR="4EF774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about unlocking the positive power of fashion for everyone.</w:t>
      </w:r>
      <w:r w:rsidRPr="368B97FF" w:rsidR="4DE4B483">
        <w:rPr>
          <w:rFonts w:ascii="Arial" w:hAnsi="Arial" w:eastAsia="Arial" w:cs="Arial"/>
          <w:b w:val="0"/>
          <w:bCs w:val="0"/>
          <w:i w:val="0"/>
          <w:iCs w:val="0"/>
          <w:caps w:val="0"/>
          <w:smallCaps w:val="0"/>
          <w:noProof w:val="0"/>
          <w:color w:val="4B4B4B"/>
          <w:sz w:val="24"/>
          <w:szCs w:val="24"/>
          <w:lang w:val="en-GB"/>
        </w:rPr>
        <w:t xml:space="preserve"> </w:t>
      </w:r>
      <w:r w:rsidRPr="368B97FF" w:rsidR="4DE4B483">
        <w:rPr>
          <w:rFonts w:ascii="Arial" w:hAnsi="Arial" w:eastAsia="Arial" w:cs="Arial"/>
          <w:b w:val="0"/>
          <w:bCs w:val="0"/>
          <w:i w:val="0"/>
          <w:iCs w:val="0"/>
          <w:caps w:val="0"/>
          <w:smallCaps w:val="0"/>
          <w:noProof w:val="0"/>
          <w:color w:val="auto"/>
          <w:sz w:val="24"/>
          <w:szCs w:val="24"/>
          <w:lang w:val="en-GB"/>
        </w:rPr>
        <w:t>(H &amp; M Hennes &amp; Mauritz AB,2025)</w:t>
      </w:r>
    </w:p>
    <w:p xmlns:wp14="http://schemas.microsoft.com/office/word/2010/wordml" w:rsidP="64AA5A18" wp14:paraId="20A04945" wp14:textId="3B1B20C0">
      <w:pPr>
        <w:pStyle w:val="Heading2"/>
        <w:keepNext w:val="1"/>
        <w:keepLines w:val="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bookmarkStart w:name="_Toc1652860722" w:id="2101117280"/>
      <w:r w:rsidRPr="64AA5A18" w:rsidR="28F3C145">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Technology actors &amp; innovation ecosystems</w:t>
      </w:r>
      <w:bookmarkEnd w:id="2101117280"/>
    </w:p>
    <w:p xmlns:wp14="http://schemas.microsoft.com/office/word/2010/wordml" w:rsidP="368B97FF" wp14:paraId="4A05D752" wp14:textId="519C38BF">
      <w:pPr>
        <w:pStyle w:val="Heading3"/>
        <w:keepNext w:val="1"/>
        <w:keepLines w:val="1"/>
        <w:spacing w:before="246" w:beforeAutospacing="off" w:after="246"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bookmarkStart w:name="_Toc1869340774" w:id="764173957"/>
      <w:r w:rsidRPr="368B97FF" w:rsidR="28F3C145">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What</w:t>
      </w:r>
      <w:r w:rsidRPr="368B97FF" w:rsidR="1FEF8587">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 xml:space="preserve"> is</w:t>
      </w:r>
      <w:r w:rsidRPr="368B97FF" w:rsidR="28F3C145">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 xml:space="preserve"> changing</w:t>
      </w:r>
      <w:bookmarkEnd w:id="764173957"/>
    </w:p>
    <w:p xmlns:wp14="http://schemas.microsoft.com/office/word/2010/wordml" w:rsidP="64AA5A18" wp14:paraId="0B64F275" wp14:textId="67AC04EC">
      <w:pPr>
        <w:keepNext w:val="1"/>
        <w:keepLines w:val="1"/>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4AA5A18" w:rsidR="28F3C1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Fashion’s value capture is increasingly mediated by </w:t>
      </w:r>
      <w:r w:rsidRPr="64AA5A18" w:rsidR="28F3C14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RFID, AI/ML, robotics, and omnichannel orchestration</w:t>
      </w:r>
      <w:r w:rsidRPr="64AA5A18" w:rsidR="28F3C1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64AA5A18" wp14:paraId="4060E5EE" wp14:textId="6CB3B204">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AI is transforming fashion, textiles, and manufacturing into smarter, more sustainable systems.</w:t>
      </w:r>
    </w:p>
    <w:p xmlns:wp14="http://schemas.microsoft.com/office/word/2010/wordml" w:rsidP="64AA5A18" wp14:paraId="1AF4B295" wp14:textId="3EF8E27F">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Part of Industry 4.0, it uses machine learning, computer vision, predictive analytics, and generative design.</w:t>
      </w:r>
    </w:p>
    <w:p xmlns:wp14="http://schemas.microsoft.com/office/word/2010/wordml" w:rsidP="64AA5A18" wp14:paraId="5EFE050F" wp14:textId="6730F693">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AI increases efficiency, precision, and innovation in production processes.</w:t>
      </w:r>
    </w:p>
    <w:p xmlns:wp14="http://schemas.microsoft.com/office/word/2010/wordml" w:rsidP="64AA5A18" wp14:paraId="74AFD277" wp14:textId="3497F7E2">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In textiles, it supports predictive maintenance, defect detection, waste reduction, and smart textile development.</w:t>
      </w:r>
    </w:p>
    <w:p xmlns:wp14="http://schemas.microsoft.com/office/word/2010/wordml" w:rsidP="64AA5A18" wp14:paraId="166F6234" wp14:textId="182AC08A">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Benefits include lower costs, reduced environmental impact, and improved product quality.</w:t>
      </w:r>
    </w:p>
    <w:p xmlns:wp14="http://schemas.microsoft.com/office/word/2010/wordml" w:rsidP="64AA5A18" wp14:paraId="26DC1A1B" wp14:textId="3F425FF7">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368B97FF" w:rsidR="45830C43">
        <w:rPr>
          <w:rFonts w:ascii="Arial" w:hAnsi="Arial" w:eastAsia="Arial" w:cs="Arial"/>
          <w:noProof w:val="0"/>
          <w:sz w:val="24"/>
          <w:szCs w:val="24"/>
          <w:lang w:val="en-GB"/>
        </w:rPr>
        <w:t>H&amp;M and</w:t>
      </w:r>
      <w:r w:rsidRPr="368B97FF" w:rsidR="7D8895BB">
        <w:rPr>
          <w:rFonts w:ascii="Arial" w:hAnsi="Arial" w:eastAsia="Arial" w:cs="Arial"/>
          <w:noProof w:val="0"/>
          <w:sz w:val="24"/>
          <w:szCs w:val="24"/>
          <w:lang w:val="en-GB"/>
        </w:rPr>
        <w:t xml:space="preserve"> Zara</w:t>
      </w:r>
      <w:r w:rsidRPr="368B97FF" w:rsidR="45830C43">
        <w:rPr>
          <w:rFonts w:ascii="Arial" w:hAnsi="Arial" w:eastAsia="Arial" w:cs="Arial"/>
          <w:noProof w:val="0"/>
          <w:sz w:val="24"/>
          <w:szCs w:val="24"/>
          <w:lang w:val="en-GB"/>
        </w:rPr>
        <w:t xml:space="preserve"> use AI to </w:t>
      </w:r>
      <w:r w:rsidRPr="368B97FF" w:rsidR="45830C43">
        <w:rPr>
          <w:rFonts w:ascii="Arial" w:hAnsi="Arial" w:eastAsia="Arial" w:cs="Arial"/>
          <w:noProof w:val="0"/>
          <w:sz w:val="24"/>
          <w:szCs w:val="24"/>
          <w:lang w:val="en-GB"/>
        </w:rPr>
        <w:t>optimize</w:t>
      </w:r>
      <w:r w:rsidRPr="368B97FF" w:rsidR="45830C43">
        <w:rPr>
          <w:rFonts w:ascii="Arial" w:hAnsi="Arial" w:eastAsia="Arial" w:cs="Arial"/>
          <w:noProof w:val="0"/>
          <w:sz w:val="24"/>
          <w:szCs w:val="24"/>
          <w:lang w:val="en-GB"/>
        </w:rPr>
        <w:t xml:space="preserve"> supply chains, inventory, and customer personali</w:t>
      </w:r>
      <w:r w:rsidRPr="368B97FF" w:rsidR="02A4B76B">
        <w:rPr>
          <w:rFonts w:ascii="Arial" w:hAnsi="Arial" w:eastAsia="Arial" w:cs="Arial"/>
          <w:noProof w:val="0"/>
          <w:sz w:val="24"/>
          <w:szCs w:val="24"/>
          <w:lang w:val="en-GB"/>
        </w:rPr>
        <w:t>s</w:t>
      </w:r>
      <w:r w:rsidRPr="368B97FF" w:rsidR="45830C43">
        <w:rPr>
          <w:rFonts w:ascii="Arial" w:hAnsi="Arial" w:eastAsia="Arial" w:cs="Arial"/>
          <w:noProof w:val="0"/>
          <w:sz w:val="24"/>
          <w:szCs w:val="24"/>
          <w:lang w:val="en-GB"/>
        </w:rPr>
        <w:t>ation.</w:t>
      </w:r>
    </w:p>
    <w:p xmlns:wp14="http://schemas.microsoft.com/office/word/2010/wordml" w:rsidP="64AA5A18" wp14:paraId="6027A118" wp14:textId="24BAFE04">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AI also enhances sustainability through better material selection and energy optimization, supporting circular economy models.</w:t>
      </w:r>
    </w:p>
    <w:p xmlns:wp14="http://schemas.microsoft.com/office/word/2010/wordml" w:rsidP="64AA5A18" wp14:paraId="020D6BE5" wp14:textId="5044ED7A">
      <w:pPr>
        <w:pStyle w:val="ListParagraph"/>
        <w:keepNext w:val="1"/>
        <w:keepLines w:val="1"/>
        <w:numPr>
          <w:ilvl w:val="0"/>
          <w:numId w:val="18"/>
        </w:numPr>
        <w:spacing w:before="240" w:beforeAutospacing="off" w:after="240" w:afterAutospacing="off" w:line="360" w:lineRule="auto"/>
        <w:rPr>
          <w:rFonts w:ascii="Arial" w:hAnsi="Arial" w:eastAsia="Arial" w:cs="Arial"/>
          <w:noProof w:val="0"/>
          <w:sz w:val="24"/>
          <w:szCs w:val="24"/>
          <w:lang w:val="en-GB"/>
        </w:rPr>
      </w:pPr>
      <w:r w:rsidRPr="64AA5A18" w:rsidR="45830C43">
        <w:rPr>
          <w:rFonts w:ascii="Arial" w:hAnsi="Arial" w:eastAsia="Arial" w:cs="Arial"/>
          <w:noProof w:val="0"/>
          <w:sz w:val="24"/>
          <w:szCs w:val="24"/>
          <w:lang w:val="en-GB"/>
        </w:rPr>
        <w:t>Successful adoption requires workforce reskilling, ethical governance, and responsible implementation.</w:t>
      </w:r>
    </w:p>
    <w:p xmlns:wp14="http://schemas.microsoft.com/office/word/2010/wordml" w:rsidP="64AA5A18" wp14:paraId="11EC48FF" wp14:textId="5556CFD5">
      <w:pPr>
        <w:pStyle w:val="ListParagraph"/>
        <w:keepNext w:val="1"/>
        <w:keepLines w:val="1"/>
        <w:numPr>
          <w:ilvl w:val="0"/>
          <w:numId w:val="18"/>
        </w:numPr>
        <w:spacing w:before="240" w:beforeAutospacing="off" w:after="240" w:afterAutospacing="off" w:line="360" w:lineRule="auto"/>
        <w:rPr>
          <w:noProof w:val="0"/>
          <w:sz w:val="24"/>
          <w:szCs w:val="24"/>
          <w:lang w:val="en-GB"/>
        </w:rPr>
      </w:pPr>
      <w:r w:rsidRPr="368B97FF" w:rsidR="45830C43">
        <w:rPr>
          <w:rFonts w:ascii="Arial" w:hAnsi="Arial" w:eastAsia="Arial" w:cs="Arial"/>
          <w:noProof w:val="0"/>
          <w:sz w:val="24"/>
          <w:szCs w:val="24"/>
          <w:lang w:val="en-GB"/>
        </w:rPr>
        <w:t>The future of AI-driven manufacturing depends on balancing technological efficiency with human-</w:t>
      </w:r>
      <w:r w:rsidRPr="368B97FF" w:rsidR="46E91E81">
        <w:rPr>
          <w:rFonts w:ascii="Arial" w:hAnsi="Arial" w:eastAsia="Arial" w:cs="Arial"/>
          <w:noProof w:val="0"/>
          <w:sz w:val="24"/>
          <w:szCs w:val="24"/>
          <w:lang w:val="en-GB"/>
        </w:rPr>
        <w:t>centred</w:t>
      </w:r>
      <w:r w:rsidRPr="368B97FF" w:rsidR="45830C43">
        <w:rPr>
          <w:rFonts w:ascii="Arial" w:hAnsi="Arial" w:eastAsia="Arial" w:cs="Arial"/>
          <w:noProof w:val="0"/>
          <w:sz w:val="24"/>
          <w:szCs w:val="24"/>
          <w:lang w:val="en-GB"/>
        </w:rPr>
        <w:t xml:space="preserve"> sustainability.</w:t>
      </w:r>
      <w:r w:rsidRPr="368B97FF" w:rsidR="29C0A126">
        <w:rPr>
          <w:rFonts w:ascii="Arial" w:hAnsi="Arial" w:eastAsia="Arial" w:cs="Arial" w:asciiTheme="minorAscii" w:hAnsiTheme="minorAscii" w:eastAsiaTheme="minorAscii" w:cstheme="minorAscii"/>
          <w:b w:val="0"/>
          <w:bCs w:val="0"/>
          <w:noProof w:val="0"/>
          <w:color w:val="auto"/>
          <w:sz w:val="24"/>
          <w:szCs w:val="24"/>
          <w:lang w:val="en-GB"/>
        </w:rPr>
        <w:t xml:space="preserve"> </w:t>
      </w:r>
      <w:r w:rsidRPr="368B97FF" w:rsidR="29C0A12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(Biswas, 2025)</w:t>
      </w:r>
    </w:p>
    <w:p xmlns:wp14="http://schemas.microsoft.com/office/word/2010/wordml" w:rsidP="64AA5A18" wp14:paraId="273F6E74" wp14:textId="4084CFE7">
      <w:pPr>
        <w:pStyle w:val="Normal"/>
        <w:keepNext w:val="1"/>
        <w:keepLines w:val="1"/>
        <w:spacing w:before="210" w:beforeAutospacing="off" w:after="210" w:afterAutospacing="off" w:line="360" w:lineRule="auto"/>
        <w:rPr>
          <w:rFonts w:ascii="Segoe UI" w:hAnsi="Segoe UI" w:eastAsia="Segoe UI" w:cs="Segoe UI"/>
          <w:b w:val="1"/>
          <w:bCs w:val="1"/>
          <w:i w:val="0"/>
          <w:iCs w:val="0"/>
          <w:caps w:val="0"/>
          <w:smallCaps w:val="0"/>
          <w:noProof w:val="0"/>
          <w:color w:val="0F4761" w:themeColor="accent1" w:themeTint="FF" w:themeShade="BF"/>
          <w:sz w:val="24"/>
          <w:szCs w:val="24"/>
          <w:lang w:val="en-GB"/>
        </w:rPr>
      </w:pPr>
    </w:p>
    <w:p xmlns:wp14="http://schemas.microsoft.com/office/word/2010/wordml" w:rsidP="64AA5A18" wp14:paraId="4E6FC394" wp14:textId="532C1F95">
      <w:pPr>
        <w:pStyle w:val="Normal"/>
        <w:keepNext w:val="1"/>
        <w:keepLines w:val="1"/>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xmlns:wp14="http://schemas.microsoft.com/office/word/2010/wordml" w:rsidP="64AA5A18" wp14:paraId="0B687592" wp14:textId="15CEC7A7">
      <w:pPr>
        <w:pStyle w:val="Normal"/>
        <w:keepNext w:val="1"/>
        <w:keepLines w:val="1"/>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xmlns:wp14="http://schemas.microsoft.com/office/word/2010/wordml" w:rsidP="64AA5A18" wp14:paraId="6BE21D86" wp14:textId="7CDB2459">
      <w:pPr>
        <w:pStyle w:val="Normal"/>
        <w:keepNext w:val="1"/>
        <w:keepLines w:val="1"/>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accent1" w:themeTint="FF" w:themeShade="BF"/>
          <w:sz w:val="24"/>
          <w:szCs w:val="24"/>
          <w:lang w:val="en-GB"/>
        </w:rPr>
      </w:pPr>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Strategic opportunities &amp; threats</w:t>
      </w:r>
    </w:p>
    <w:p w:rsidR="64AA5A18" w:rsidP="64AA5A18" w:rsidRDefault="64AA5A18" w14:paraId="6D926F06" w14:textId="2DDA3F71">
      <w:pPr>
        <w:pStyle w:val="Normal"/>
        <w:spacing w:before="0" w:beforeAutospacing="off" w:after="0" w:afterAutospacing="off" w:line="360" w:lineRule="auto"/>
        <w:ind w:left="0"/>
        <w:rPr>
          <w:rFonts w:ascii="Segoe UI" w:hAnsi="Segoe UI" w:eastAsia="Segoe UI" w:cs="Segoe UI"/>
          <w:b w:val="1"/>
          <w:bCs w:val="1"/>
          <w:i w:val="0"/>
          <w:iCs w:val="0"/>
          <w:caps w:val="0"/>
          <w:smallCaps w:val="0"/>
          <w:noProof w:val="0"/>
          <w:color w:val="0F4761" w:themeColor="accent1" w:themeTint="FF" w:themeShade="BF"/>
          <w:sz w:val="24"/>
          <w:szCs w:val="24"/>
          <w:lang w:val="en-GB"/>
        </w:rPr>
      </w:pPr>
    </w:p>
    <w:p xmlns:wp14="http://schemas.microsoft.com/office/word/2010/wordml" w:rsidP="368B97FF" wp14:paraId="4F9780BB" wp14:textId="17DE4682">
      <w:pPr>
        <w:pStyle w:val="Normal"/>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68B97FF" w:rsidR="1E49F3C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Zara / Inditex (pioneer):</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 </w:t>
      </w:r>
      <w:r w:rsidRPr="368B97FF" w:rsidR="1E49F3C1">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t>ZARA</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 is a Spanish fast fashion retail subsidiary of the Spanish multi</w:t>
      </w:r>
      <w:r w:rsidRPr="368B97FF" w:rsidR="36E18327">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national fashion design, manufacturing, and retailing group Inditex.</w:t>
      </w:r>
      <w:r w:rsidRPr="368B97FF" w:rsidR="1E49F3C1">
        <w:rPr>
          <w:rFonts w:ascii="Arial" w:hAnsi="Arial" w:eastAsia="Arial" w:cs="Arial" w:asciiTheme="minorAscii" w:hAnsiTheme="minorAscii" w:eastAsiaTheme="minorAscii" w:cstheme="minorAscii"/>
          <w:b w:val="1"/>
          <w:bCs w:val="1"/>
          <w:i w:val="0"/>
          <w:iCs w:val="0"/>
          <w:caps w:val="0"/>
          <w:smallCaps w:val="0"/>
          <w:noProof w:val="0"/>
          <w:color w:val="1F1F1F"/>
          <w:sz w:val="24"/>
          <w:szCs w:val="24"/>
          <w:lang w:val="en-GB"/>
        </w:rPr>
        <w:t xml:space="preserve"> ZARA </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sells clothing, accessories, beauty </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products</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 and perfumes. The head office is </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located</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 at </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Arteixo</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1F1F1F"/>
          <w:sz w:val="24"/>
          <w:szCs w:val="24"/>
          <w:lang w:val="en-GB"/>
        </w:rPr>
        <w:t xml:space="preserve"> in the province of A Coruña, Spain. </w:t>
      </w:r>
      <w:r w:rsidRPr="368B97FF" w:rsidR="1E49F3C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ZARA</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has lower product prices, unique and </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numerous</w:t>
      </w:r>
      <w:r w:rsidRPr="368B97FF" w:rsidR="1E49F3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designs, high production efficiency, and low production costs. </w:t>
      </w:r>
    </w:p>
    <w:p xmlns:wp14="http://schemas.microsoft.com/office/word/2010/wordml" w:rsidP="64AA5A18" wp14:paraId="235384FA" wp14:textId="06453522">
      <w:pPr>
        <w:pStyle w:val="Normal"/>
        <w:spacing w:line="360" w:lineRule="auto"/>
        <w:rPr>
          <w:rFonts w:ascii="Segoe UI" w:hAnsi="Segoe UI" w:eastAsia="Segoe UI" w:cs="Segoe UI"/>
          <w:b w:val="0"/>
          <w:bCs w:val="0"/>
          <w:i w:val="1"/>
          <w:iCs w:val="1"/>
          <w:caps w:val="0"/>
          <w:smallCaps w:val="0"/>
          <w:noProof w:val="0"/>
          <w:color w:val="000000" w:themeColor="text1" w:themeTint="FF" w:themeShade="FF"/>
          <w:sz w:val="24"/>
          <w:szCs w:val="24"/>
          <w:lang w:val="en-GB"/>
        </w:rPr>
      </w:pPr>
      <w:r w:rsidRPr="64AA5A18" w:rsidR="1E49F3C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ZARA</w:t>
      </w:r>
      <w:r w:rsidRPr="64AA5A18" w:rsidR="1E49F3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in a competitive impact position because it has l</w:t>
      </w:r>
      <w:r w:rsidRPr="64AA5A18" w:rsidR="1E49F3C1">
        <w:rPr>
          <w:rFonts w:ascii="Arial" w:hAnsi="Arial" w:eastAsia="Arial" w:cs="Arial"/>
          <w:noProof w:val="0"/>
          <w:sz w:val="24"/>
          <w:szCs w:val="24"/>
          <w:lang w:val="en-US"/>
        </w:rPr>
        <w:t>ower relative compliance costs and stronger margin advantage through built-in operational efficiency</w:t>
      </w:r>
      <w:r w:rsidRPr="64AA5A18" w:rsidR="1379D846">
        <w:rPr>
          <w:rFonts w:ascii="Arial" w:hAnsi="Arial" w:eastAsia="Arial" w:cs="Arial"/>
          <w:noProof w:val="0"/>
          <w:sz w:val="24"/>
          <w:szCs w:val="24"/>
          <w:lang w:val="en-US"/>
        </w:rPr>
        <w:t>.</w:t>
      </w:r>
    </w:p>
    <w:p xmlns:wp14="http://schemas.microsoft.com/office/word/2010/wordml" w:rsidP="64AA5A18" wp14:paraId="4E927D35" wp14:textId="3A922BEF">
      <w:pPr>
        <w:pStyle w:val="Normal"/>
        <w:spacing w:line="360" w:lineRule="auto"/>
        <w:rPr>
          <w:rFonts w:ascii="Arial" w:hAnsi="Arial" w:eastAsia="Arial" w:cs="Arial"/>
          <w:noProof w:val="0"/>
          <w:sz w:val="24"/>
          <w:szCs w:val="24"/>
          <w:lang w:val="en-US"/>
        </w:rPr>
      </w:pPr>
    </w:p>
    <w:p xmlns:wp14="http://schemas.microsoft.com/office/word/2010/wordml" w:rsidP="64AA5A18" wp14:paraId="19BA144D" wp14:textId="6132F8BE">
      <w:pPr>
        <w:pStyle w:val="Normal"/>
        <w:spacing w:line="360" w:lineRule="auto"/>
        <w:rPr>
          <w:noProof w:val="0"/>
          <w:sz w:val="24"/>
          <w:szCs w:val="24"/>
          <w:lang w:val="en-GB"/>
        </w:rPr>
      </w:pPr>
      <w:r w:rsidR="55375BA8">
        <w:drawing>
          <wp:inline xmlns:wp14="http://schemas.microsoft.com/office/word/2010/wordprocessingDrawing" wp14:editId="3774D779" wp14:anchorId="7DFA6BB2">
            <wp:extent cx="5087212" cy="1978247"/>
            <wp:effectExtent l="0" t="0" r="0" b="0"/>
            <wp:docPr id="1488153417" name="drawing" descr="Components of the Strategic Planning Process – The Marketing OER ToolKi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8153417" name="Picture 1488153417"/>
                    <pic:cNvPicPr/>
                  </pic:nvPicPr>
                  <pic:blipFill>
                    <a:blip xmlns:r="http://schemas.openxmlformats.org/officeDocument/2006/relationships" r:embed="rId749528169">
                      <a:extLst>
                        <a:ext uri="{28A0092B-C50C-407E-A947-70E740481C1C}">
                          <a14:useLocalDpi xmlns:a14="http://schemas.microsoft.com/office/drawing/2010/main"/>
                        </a:ext>
                      </a:extLst>
                    </a:blip>
                    <a:stretch>
                      <a:fillRect/>
                    </a:stretch>
                  </pic:blipFill>
                  <pic:spPr>
                    <a:xfrm rot="0">
                      <a:off x="0" y="0"/>
                      <a:ext cx="5087212" cy="1978247"/>
                    </a:xfrm>
                    <a:prstGeom prst="rect">
                      <a:avLst/>
                    </a:prstGeom>
                  </pic:spPr>
                </pic:pic>
              </a:graphicData>
            </a:graphic>
          </wp:inline>
        </w:drawing>
      </w:r>
    </w:p>
    <w:p xmlns:wp14="http://schemas.microsoft.com/office/word/2010/wordml" w:rsidP="64AA5A18" wp14:paraId="7743A9FF" wp14:textId="18FAA34D">
      <w:pPr>
        <w:pStyle w:val="Normal"/>
        <w:spacing w:line="360" w:lineRule="auto"/>
        <w:rPr>
          <w:b w:val="1"/>
          <w:bCs w:val="1"/>
          <w:noProof w:val="0"/>
          <w:sz w:val="24"/>
          <w:szCs w:val="24"/>
          <w:lang w:val="en-GB"/>
        </w:rPr>
      </w:pPr>
    </w:p>
    <w:p xmlns:wp14="http://schemas.microsoft.com/office/word/2010/wordml" w:rsidP="64AA5A18" wp14:paraId="009FD2E1" wp14:textId="4E1C9E21">
      <w:pPr>
        <w:pStyle w:val="Normal"/>
        <w:spacing w:line="360" w:lineRule="auto"/>
        <w:rPr>
          <w:rFonts w:ascii="Arial" w:hAnsi="Arial" w:eastAsia="Arial" w:cs="Arial"/>
          <w:noProof w:val="0"/>
          <w:sz w:val="24"/>
          <w:szCs w:val="24"/>
          <w:lang w:val="en-GB"/>
        </w:rPr>
      </w:pPr>
      <w:r w:rsidRPr="368B97FF" w:rsidR="11229BE9">
        <w:rPr>
          <w:b w:val="1"/>
          <w:bCs w:val="1"/>
          <w:noProof w:val="0"/>
          <w:color w:val="auto"/>
          <w:sz w:val="24"/>
          <w:szCs w:val="24"/>
          <w:lang w:val="en-GB"/>
        </w:rPr>
        <w:t>Definition of SWOT Analysis</w:t>
      </w:r>
      <w:r w:rsidRPr="368B97FF" w:rsidR="3767E520">
        <w:rPr>
          <w:b w:val="1"/>
          <w:bCs w:val="1"/>
          <w:noProof w:val="0"/>
          <w:color w:val="auto"/>
          <w:sz w:val="24"/>
          <w:szCs w:val="24"/>
          <w:lang w:val="en-GB"/>
        </w:rPr>
        <w:t xml:space="preserve"> in an organisation</w:t>
      </w:r>
      <w:r w:rsidRPr="368B97FF" w:rsidR="11229BE9">
        <w:rPr>
          <w:b w:val="1"/>
          <w:bCs w:val="1"/>
          <w:noProof w:val="0"/>
          <w:color w:val="auto"/>
          <w:sz w:val="24"/>
          <w:szCs w:val="24"/>
          <w:lang w:val="en-GB"/>
        </w:rPr>
        <w:t>:</w:t>
      </w:r>
      <w:r w:rsidRPr="368B97FF" w:rsidR="3FFE7003">
        <w:rPr>
          <w:noProof w:val="0"/>
          <w:color w:val="auto"/>
          <w:sz w:val="24"/>
          <w:szCs w:val="24"/>
          <w:lang w:val="en-GB"/>
        </w:rPr>
        <w:t xml:space="preserve"> </w:t>
      </w:r>
      <w:r w:rsidRPr="368B97FF" w:rsidR="11229BE9">
        <w:rPr>
          <w:rFonts w:ascii="Arial" w:hAnsi="Arial" w:eastAsia="Arial" w:cs="Arial" w:asciiTheme="minorAscii" w:hAnsiTheme="minorAscii" w:eastAsiaTheme="minorAscii" w:cstheme="minorAscii"/>
          <w:noProof w:val="0"/>
          <w:color w:val="auto"/>
          <w:sz w:val="24"/>
          <w:szCs w:val="24"/>
          <w:lang w:val="en-GB"/>
        </w:rPr>
        <w:t xml:space="preserve"> </w:t>
      </w:r>
      <w:r w:rsidRPr="368B97FF" w:rsidR="4A38E888">
        <w:rPr>
          <w:rFonts w:ascii="Arial" w:hAnsi="Arial" w:eastAsia="Arial" w:cs="Arial" w:asciiTheme="minorAscii" w:hAnsiTheme="minorAscii" w:eastAsiaTheme="minorAscii" w:cstheme="minorAscii"/>
          <w:noProof w:val="0"/>
          <w:color w:val="auto"/>
          <w:sz w:val="24"/>
          <w:szCs w:val="24"/>
          <w:lang w:val="en-GB"/>
        </w:rPr>
        <w:t>Describes the history of strengths, weaknesses, opportunities and threats (SWOTs) analysis, it</w:t>
      </w:r>
      <w:r w:rsidRPr="368B97FF" w:rsidR="5CBD5C3B">
        <w:rPr>
          <w:rFonts w:ascii="Arial" w:hAnsi="Arial" w:eastAsia="Arial" w:cs="Arial" w:asciiTheme="minorAscii" w:hAnsiTheme="minorAscii" w:eastAsiaTheme="minorAscii" w:cstheme="minorAscii"/>
          <w:noProof w:val="0"/>
          <w:color w:val="auto"/>
          <w:sz w:val="24"/>
          <w:szCs w:val="24"/>
          <w:lang w:val="en-GB"/>
        </w:rPr>
        <w:t xml:space="preserve"> i</w:t>
      </w:r>
      <w:r w:rsidRPr="368B97FF" w:rsidR="4A38E888">
        <w:rPr>
          <w:rFonts w:ascii="Arial" w:hAnsi="Arial" w:eastAsia="Arial" w:cs="Arial" w:asciiTheme="minorAscii" w:hAnsiTheme="minorAscii" w:eastAsiaTheme="minorAscii" w:cstheme="minorAscii"/>
          <w:noProof w:val="0"/>
          <w:color w:val="auto"/>
          <w:sz w:val="24"/>
          <w:szCs w:val="24"/>
          <w:lang w:val="en-GB"/>
        </w:rPr>
        <w:t>s research base</w:t>
      </w:r>
      <w:r w:rsidRPr="368B97FF" w:rsidR="0FE0BF84">
        <w:rPr>
          <w:rFonts w:ascii="Arial" w:hAnsi="Arial" w:eastAsia="Arial" w:cs="Arial" w:asciiTheme="minorAscii" w:hAnsiTheme="minorAscii" w:eastAsiaTheme="minorAscii" w:cstheme="minorAscii"/>
          <w:noProof w:val="0"/>
          <w:color w:val="auto"/>
          <w:sz w:val="24"/>
          <w:szCs w:val="24"/>
          <w:lang w:val="en-GB"/>
        </w:rPr>
        <w:t>d,</w:t>
      </w:r>
      <w:r w:rsidRPr="368B97FF" w:rsidR="4A38E888">
        <w:rPr>
          <w:rFonts w:ascii="Arial" w:hAnsi="Arial" w:eastAsia="Arial" w:cs="Arial" w:asciiTheme="minorAscii" w:hAnsiTheme="minorAscii" w:eastAsiaTheme="minorAscii" w:cstheme="minorAscii"/>
          <w:noProof w:val="0"/>
          <w:color w:val="auto"/>
          <w:sz w:val="24"/>
          <w:szCs w:val="24"/>
          <w:lang w:val="en-GB"/>
        </w:rPr>
        <w:t xml:space="preserve"> applications, and its own strengths and weaknesses. SWOTs are often arranged in a 2-by-2 table or matrix.</w:t>
      </w:r>
      <w:r w:rsidRPr="368B97FF" w:rsidR="1E268DA6">
        <w:rPr>
          <w:rFonts w:ascii="Arial" w:hAnsi="Arial" w:eastAsia="Arial" w:cs="Arial" w:asciiTheme="minorAscii" w:hAnsiTheme="minorAscii" w:eastAsiaTheme="minorAscii" w:cstheme="minorAscii"/>
          <w:noProof w:val="0"/>
          <w:color w:val="auto"/>
          <w:sz w:val="24"/>
          <w:szCs w:val="24"/>
          <w:lang w:val="en-GB"/>
        </w:rPr>
        <w:t xml:space="preserve"> </w:t>
      </w:r>
      <w:r w:rsidRPr="368B97FF" w:rsidR="1E268DA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(Leigh, 2009)</w:t>
      </w:r>
    </w:p>
    <w:p xmlns:wp14="http://schemas.microsoft.com/office/word/2010/wordml" w:rsidP="64AA5A18" wp14:paraId="6B44174E" wp14:textId="43886C4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64AA5A18" wp14:paraId="20CEF862" wp14:textId="265F340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64AA5A18" wp14:paraId="7B56DC41" wp14:textId="7D54908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64AA5A18" w:rsidP="64AA5A18" w:rsidRDefault="64AA5A18" w14:paraId="59EB0ACB" w14:textId="11ACDD4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4ECE2D16" w:rsidP="64AA5A18" w:rsidRDefault="4ECE2D16" w14:paraId="0F0F22E9" w14:textId="3911D4E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64AA5A18" w:rsidR="4ECE2D16">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ZARA</w:t>
      </w:r>
    </w:p>
    <w:tbl>
      <w:tblPr>
        <w:tblStyle w:val="TableGrid"/>
        <w:tblW w:w="0" w:type="auto"/>
        <w:tblLook w:val="06A0" w:firstRow="1" w:lastRow="0" w:firstColumn="1" w:lastColumn="0" w:noHBand="1" w:noVBand="1"/>
      </w:tblPr>
      <w:tblGrid>
        <w:gridCol w:w="4680"/>
        <w:gridCol w:w="4380"/>
      </w:tblGrid>
      <w:tr w:rsidR="15A7B681" w:rsidTr="368B97FF" w14:paraId="547752A3">
        <w:trPr>
          <w:trHeight w:val="300"/>
        </w:trPr>
        <w:tc>
          <w:tcPr>
            <w:tcW w:w="4680" w:type="dxa"/>
            <w:tcMar/>
          </w:tcPr>
          <w:p w:rsidR="5BD914B6" w:rsidP="64AA5A18" w:rsidRDefault="5BD914B6" w14:paraId="65EA9E17" w14:textId="557231C1">
            <w:pPr>
              <w:pStyle w:val="Normal"/>
              <w:spacing w:line="360" w:lineRule="auto"/>
              <w:rPr>
                <w:b w:val="1"/>
                <w:bCs w:val="1"/>
                <w:noProof w:val="0"/>
                <w:sz w:val="24"/>
                <w:szCs w:val="24"/>
                <w:lang w:val="en-GB"/>
              </w:rPr>
            </w:pPr>
            <w:r w:rsidRPr="64AA5A18" w:rsidR="071F28E6">
              <w:rPr>
                <w:b w:val="1"/>
                <w:bCs w:val="1"/>
                <w:noProof w:val="0"/>
                <w:sz w:val="24"/>
                <w:szCs w:val="24"/>
                <w:lang w:val="en-GB"/>
              </w:rPr>
              <w:t>STREN</w:t>
            </w:r>
            <w:r w:rsidRPr="64AA5A18" w:rsidR="3F745234">
              <w:rPr>
                <w:b w:val="1"/>
                <w:bCs w:val="1"/>
                <w:noProof w:val="0"/>
                <w:sz w:val="24"/>
                <w:szCs w:val="24"/>
                <w:lang w:val="en-GB"/>
              </w:rPr>
              <w:t>G</w:t>
            </w:r>
            <w:r w:rsidRPr="64AA5A18" w:rsidR="071F28E6">
              <w:rPr>
                <w:b w:val="1"/>
                <w:bCs w:val="1"/>
                <w:noProof w:val="0"/>
                <w:sz w:val="24"/>
                <w:szCs w:val="24"/>
                <w:lang w:val="en-GB"/>
              </w:rPr>
              <w:t xml:space="preserve">THS </w:t>
            </w:r>
          </w:p>
          <w:p w:rsidR="7708D883" w:rsidP="64AA5A18" w:rsidRDefault="7708D883" w14:paraId="62C81F14" w14:textId="1D8E6EE8">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4B180A6D">
              <w:rPr>
                <w:rFonts w:ascii="Arial" w:hAnsi="Arial" w:eastAsia="Arial" w:cs="Arial"/>
                <w:b w:val="1"/>
                <w:bCs w:val="1"/>
                <w:noProof w:val="0"/>
                <w:sz w:val="24"/>
                <w:szCs w:val="24"/>
                <w:lang w:val="en-GB"/>
              </w:rPr>
              <w:t>Nearshoring strategy</w:t>
            </w:r>
            <w:r w:rsidRPr="64AA5A18" w:rsidR="4B180A6D">
              <w:rPr>
                <w:rFonts w:ascii="Arial" w:hAnsi="Arial" w:eastAsia="Arial" w:cs="Arial"/>
                <w:noProof w:val="0"/>
                <w:sz w:val="24"/>
                <w:szCs w:val="24"/>
                <w:lang w:val="en-GB"/>
              </w:rPr>
              <w:t xml:space="preserve"> – Proximity sourcing (e.g., Spain, Portugal, </w:t>
            </w:r>
            <w:r w:rsidRPr="64AA5A18" w:rsidR="4B180A6D">
              <w:rPr>
                <w:rFonts w:ascii="Arial" w:hAnsi="Arial" w:eastAsia="Arial" w:cs="Arial"/>
                <w:noProof w:val="0"/>
                <w:sz w:val="24"/>
                <w:szCs w:val="24"/>
                <w:lang w:val="en-GB"/>
              </w:rPr>
              <w:t>Turkey</w:t>
            </w:r>
            <w:r w:rsidRPr="64AA5A18" w:rsidR="4B180A6D">
              <w:rPr>
                <w:rFonts w:ascii="Arial" w:hAnsi="Arial" w:eastAsia="Arial" w:cs="Arial"/>
                <w:noProof w:val="0"/>
                <w:sz w:val="24"/>
                <w:szCs w:val="24"/>
                <w:lang w:val="en-GB"/>
              </w:rPr>
              <w:t>, Morocco) enhances agility and reduces overproduction.</w:t>
            </w:r>
          </w:p>
          <w:p w:rsidR="7708D883" w:rsidP="64AA5A18" w:rsidRDefault="7708D883" w14:paraId="04227349" w14:textId="5740FD8B">
            <w:pPr>
              <w:pStyle w:val="ListParagraph"/>
              <w:numPr>
                <w:ilvl w:val="0"/>
                <w:numId w:val="2"/>
              </w:numPr>
              <w:spacing w:before="240" w:beforeAutospacing="off" w:after="240" w:afterAutospacing="off" w:line="360" w:lineRule="auto"/>
              <w:rPr>
                <w:noProof w:val="0"/>
                <w:sz w:val="24"/>
                <w:szCs w:val="24"/>
                <w:lang w:val="en-GB"/>
              </w:rPr>
            </w:pPr>
            <w:r w:rsidRPr="64AA5A18" w:rsidR="4B180A6D">
              <w:rPr>
                <w:rFonts w:ascii="Arial" w:hAnsi="Arial" w:eastAsia="Arial" w:cs="Arial"/>
                <w:b w:val="1"/>
                <w:bCs w:val="1"/>
                <w:noProof w:val="0"/>
                <w:sz w:val="24"/>
                <w:szCs w:val="24"/>
                <w:lang w:val="en-GB"/>
              </w:rPr>
              <w:t>Data and RFID integration</w:t>
            </w:r>
            <w:r w:rsidRPr="64AA5A18" w:rsidR="4B180A6D">
              <w:rPr>
                <w:rFonts w:ascii="Arial" w:hAnsi="Arial" w:eastAsia="Arial" w:cs="Arial"/>
                <w:noProof w:val="0"/>
                <w:sz w:val="24"/>
                <w:szCs w:val="24"/>
                <w:lang w:val="en-GB"/>
              </w:rPr>
              <w:t xml:space="preserve"> – Item-level tracking improves stock accuracy, replenishment speed, and traceability (s</w:t>
            </w:r>
            <w:r w:rsidRPr="64AA5A18" w:rsidR="4B180A6D">
              <w:rPr>
                <w:rFonts w:ascii="Arial" w:hAnsi="Arial" w:eastAsia="Arial" w:cs="Arial"/>
                <w:b w:val="0"/>
                <w:bCs w:val="0"/>
                <w:noProof w:val="0"/>
                <w:sz w:val="24"/>
                <w:szCs w:val="24"/>
                <w:lang w:val="en-GB"/>
              </w:rPr>
              <w:t>upporting DPP compliance).</w:t>
            </w:r>
            <w:r w:rsidRPr="64AA5A18" w:rsidR="730766AE">
              <w:rPr>
                <w:rFonts w:ascii="Arial" w:hAnsi="Arial" w:eastAsia="Arial" w:cs="Arial"/>
                <w:b w:val="0"/>
                <w:bCs w:val="0"/>
                <w:noProof w:val="0"/>
                <w:sz w:val="24"/>
                <w:szCs w:val="24"/>
                <w:lang w:val="en-GB"/>
              </w:rPr>
              <w:t xml:space="preserve"> </w:t>
            </w:r>
            <w:r w:rsidRPr="64AA5A18" w:rsidR="730766A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(admin, 2023)</w:t>
            </w:r>
          </w:p>
          <w:p w:rsidR="7708D883" w:rsidP="64AA5A18" w:rsidRDefault="7708D883" w14:paraId="5F7A6FD1" w14:textId="54277C5A">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4B180A6D">
              <w:rPr>
                <w:rFonts w:ascii="Arial" w:hAnsi="Arial" w:eastAsia="Arial" w:cs="Arial"/>
                <w:b w:val="1"/>
                <w:bCs w:val="1"/>
                <w:noProof w:val="0"/>
                <w:sz w:val="24"/>
                <w:szCs w:val="24"/>
                <w:lang w:val="en-GB"/>
              </w:rPr>
              <w:t>Strong brand equity</w:t>
            </w:r>
            <w:r w:rsidRPr="64AA5A18" w:rsidR="4B180A6D">
              <w:rPr>
                <w:rFonts w:ascii="Arial" w:hAnsi="Arial" w:eastAsia="Arial" w:cs="Arial"/>
                <w:noProof w:val="0"/>
                <w:sz w:val="24"/>
                <w:szCs w:val="24"/>
                <w:lang w:val="en-GB"/>
              </w:rPr>
              <w:t xml:space="preserve"> – Perceived as trend-led yet affordable, with global market presence.</w:t>
            </w:r>
          </w:p>
          <w:p w:rsidR="7708D883" w:rsidP="64AA5A18" w:rsidRDefault="7708D883" w14:paraId="56E52DC6" w14:textId="5ACDD030">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4B180A6D">
              <w:rPr>
                <w:rFonts w:ascii="Arial" w:hAnsi="Arial" w:eastAsia="Arial" w:cs="Arial"/>
                <w:b w:val="1"/>
                <w:bCs w:val="1"/>
                <w:noProof w:val="0"/>
                <w:sz w:val="24"/>
                <w:szCs w:val="24"/>
                <w:lang w:val="en-GB"/>
              </w:rPr>
              <w:t>Inventory discipline</w:t>
            </w:r>
            <w:r w:rsidRPr="64AA5A18" w:rsidR="4B180A6D">
              <w:rPr>
                <w:rFonts w:ascii="Arial" w:hAnsi="Arial" w:eastAsia="Arial" w:cs="Arial"/>
                <w:noProof w:val="0"/>
                <w:sz w:val="24"/>
                <w:szCs w:val="24"/>
                <w:lang w:val="en-GB"/>
              </w:rPr>
              <w:t xml:space="preserve"> – Small batches and test-and-repeat model protect margins and reduce markdowns.</w:t>
            </w:r>
          </w:p>
          <w:p w:rsidR="7BBAF42E" w:rsidP="64AA5A18" w:rsidRDefault="7BBAF42E" w14:paraId="5726ACB9" w14:textId="1C0CCA05">
            <w:pPr>
              <w:pStyle w:val="ListParagraph"/>
              <w:spacing w:before="240" w:beforeAutospacing="off" w:after="240" w:afterAutospacing="off" w:line="360" w:lineRule="auto"/>
              <w:ind w:left="720"/>
              <w:rPr>
                <w:noProof w:val="0"/>
                <w:color w:val="auto"/>
                <w:sz w:val="24"/>
                <w:szCs w:val="24"/>
                <w:lang w:val="en-GB"/>
              </w:rPr>
            </w:pPr>
            <w:r w:rsidRPr="64AA5A18" w:rsidR="6E3E3634">
              <w:rPr>
                <w:rFonts w:ascii="Roboto" w:hAnsi="Roboto" w:eastAsia="Roboto" w:cs="Roboto"/>
                <w:b w:val="0"/>
                <w:bCs w:val="0"/>
                <w:i w:val="0"/>
                <w:iCs w:val="0"/>
                <w:caps w:val="0"/>
                <w:smallCaps w:val="0"/>
                <w:noProof w:val="0"/>
                <w:color w:val="auto"/>
                <w:sz w:val="24"/>
                <w:szCs w:val="24"/>
                <w:lang w:val="en-GB"/>
              </w:rPr>
              <w:t>(Roshan Viknesh SV, 2026)</w:t>
            </w:r>
          </w:p>
          <w:p w:rsidR="15A7B681" w:rsidP="64AA5A18" w:rsidRDefault="15A7B681" w14:paraId="005F51DA" w14:textId="036A7182">
            <w:pPr>
              <w:pStyle w:val="Normal"/>
              <w:spacing w:line="360" w:lineRule="auto"/>
              <w:rPr>
                <w:noProof w:val="0"/>
                <w:sz w:val="24"/>
                <w:szCs w:val="24"/>
                <w:lang w:val="en-GB"/>
              </w:rPr>
            </w:pPr>
          </w:p>
        </w:tc>
        <w:tc>
          <w:tcPr>
            <w:tcW w:w="4380" w:type="dxa"/>
            <w:tcMar/>
          </w:tcPr>
          <w:p w:rsidR="3ECB5CA7" w:rsidP="64AA5A18" w:rsidRDefault="3ECB5CA7" w14:paraId="0D05239C" w14:textId="5A08B226">
            <w:pPr>
              <w:pStyle w:val="Normal"/>
              <w:spacing w:line="360" w:lineRule="auto"/>
              <w:rPr>
                <w:b w:val="1"/>
                <w:bCs w:val="1"/>
                <w:noProof w:val="0"/>
                <w:sz w:val="24"/>
                <w:szCs w:val="24"/>
                <w:lang w:val="en-GB"/>
              </w:rPr>
            </w:pPr>
            <w:r w:rsidRPr="64AA5A18" w:rsidR="67F39DE7">
              <w:rPr>
                <w:b w:val="1"/>
                <w:bCs w:val="1"/>
                <w:noProof w:val="0"/>
                <w:sz w:val="24"/>
                <w:szCs w:val="24"/>
                <w:lang w:val="en-GB"/>
              </w:rPr>
              <w:t>OPPORTUNIT</w:t>
            </w:r>
            <w:r w:rsidRPr="64AA5A18" w:rsidR="03166EC0">
              <w:rPr>
                <w:b w:val="1"/>
                <w:bCs w:val="1"/>
                <w:noProof w:val="0"/>
                <w:sz w:val="24"/>
                <w:szCs w:val="24"/>
                <w:lang w:val="en-GB"/>
              </w:rPr>
              <w:t>I</w:t>
            </w:r>
            <w:r w:rsidRPr="64AA5A18" w:rsidR="67F39DE7">
              <w:rPr>
                <w:b w:val="1"/>
                <w:bCs w:val="1"/>
                <w:noProof w:val="0"/>
                <w:sz w:val="24"/>
                <w:szCs w:val="24"/>
                <w:lang w:val="en-GB"/>
              </w:rPr>
              <w:t>ES</w:t>
            </w:r>
          </w:p>
          <w:p w:rsidR="15A7B681" w:rsidP="64AA5A18" w:rsidRDefault="15A7B681" w14:paraId="73E41F33" w14:textId="00563C67">
            <w:pPr>
              <w:pStyle w:val="Normal"/>
              <w:spacing w:line="360" w:lineRule="auto"/>
              <w:rPr>
                <w:b w:val="1"/>
                <w:bCs w:val="1"/>
                <w:noProof w:val="0"/>
                <w:sz w:val="24"/>
                <w:szCs w:val="24"/>
                <w:lang w:val="en-GB"/>
              </w:rPr>
            </w:pPr>
          </w:p>
          <w:p w:rsidR="3ECB5CA7" w:rsidP="64AA5A18" w:rsidRDefault="3ECB5CA7" w14:paraId="03954278" w14:textId="03728BFC">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5A18" w:rsidR="67F39DE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The rapid development of AI</w:t>
            </w:r>
            <w:r w:rsidRPr="64AA5A18" w:rsidR="3AD1520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w:t>
            </w: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increase in resident income, the development of Internet and e-commerce.</w:t>
            </w:r>
          </w:p>
          <w:p w:rsidR="15A7B681" w:rsidP="64AA5A18" w:rsidRDefault="15A7B681" w14:paraId="225D9CF0" w14:textId="774D5611">
            <w:pPr>
              <w:pStyle w:val="ListParagraph"/>
              <w:spacing w:line="360" w:lineRule="auto"/>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ECB5CA7" w:rsidP="64AA5A18" w:rsidRDefault="3ECB5CA7" w14:paraId="7A2CA189" w14:textId="30C27D53">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5A18" w:rsidR="67F39DE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Design development</w:t>
            </w:r>
            <w:r w:rsidRPr="64AA5A18" w:rsidR="733B82F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w:t>
            </w: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internet and e-commerce.</w:t>
            </w:r>
          </w:p>
          <w:p w:rsidR="3ECB5CA7" w:rsidP="64AA5A18" w:rsidRDefault="3ECB5CA7" w14:paraId="2DE8455D" w14:textId="478999D5">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Increase in income.</w:t>
            </w:r>
          </w:p>
          <w:p w:rsidR="3ECB5CA7" w:rsidP="64AA5A18" w:rsidRDefault="3ECB5CA7" w14:paraId="770978C0" w14:textId="4884251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(Shen and Chen, 2024)</w:t>
            </w:r>
          </w:p>
          <w:p w:rsidR="3ECB5CA7" w:rsidP="64AA5A18" w:rsidRDefault="3ECB5CA7" w14:paraId="2EFA0D64" w14:textId="4B052C64">
            <w:pPr>
              <w:pStyle w:val="ListParagraph"/>
              <w:numPr>
                <w:ilvl w:val="0"/>
                <w:numId w:val="11"/>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64AA5A18" w:rsidR="67F39DE7">
              <w:rPr>
                <w:rFonts w:ascii="Arial" w:hAnsi="Arial" w:eastAsia="Arial" w:cs="Arial" w:asciiTheme="minorAscii" w:hAnsiTheme="minorAscii" w:eastAsiaTheme="minorAscii" w:cstheme="minorAscii"/>
                <w:b w:val="1"/>
                <w:bCs w:val="1"/>
                <w:noProof w:val="0"/>
                <w:sz w:val="24"/>
                <w:szCs w:val="24"/>
                <w:lang w:val="en-US"/>
              </w:rPr>
              <w:t>Vertically integrated</w:t>
            </w:r>
            <w:r w:rsidRPr="64AA5A18" w:rsidR="0FD29CD1">
              <w:rPr>
                <w:rFonts w:ascii="Arial" w:hAnsi="Arial" w:eastAsia="Arial" w:cs="Arial" w:asciiTheme="minorAscii" w:hAnsiTheme="minorAscii" w:eastAsiaTheme="minorAscii" w:cstheme="minorAscii"/>
                <w:b w:val="1"/>
                <w:bCs w:val="1"/>
                <w:noProof w:val="0"/>
                <w:sz w:val="24"/>
                <w:szCs w:val="24"/>
                <w:lang w:val="en-US"/>
              </w:rPr>
              <w:t>-</w:t>
            </w:r>
            <w:r w:rsidRPr="64AA5A18" w:rsidR="67F39DE7">
              <w:rPr>
                <w:rFonts w:ascii="Arial" w:hAnsi="Arial" w:eastAsia="Arial" w:cs="Arial" w:asciiTheme="minorAscii" w:hAnsiTheme="minorAscii" w:eastAsiaTheme="minorAscii" w:cstheme="minorAscii"/>
                <w:noProof w:val="0"/>
                <w:sz w:val="24"/>
                <w:szCs w:val="24"/>
                <w:lang w:val="en-US"/>
              </w:rPr>
              <w:t>nearshored agility enabling low waste, regulatory fit, and traceable compliance.</w:t>
            </w:r>
          </w:p>
          <w:p w:rsidR="15A7B681" w:rsidP="64AA5A18" w:rsidRDefault="15A7B681" w14:paraId="070C398A" w14:textId="2C7EAA99">
            <w:pPr>
              <w:pStyle w:val="ListParagraph"/>
              <w:spacing w:before="240" w:beforeAutospacing="off" w:after="240" w:afterAutospacing="off" w:line="360" w:lineRule="auto"/>
              <w:ind w:left="720"/>
              <w:rPr>
                <w:rFonts w:ascii="Arial" w:hAnsi="Arial" w:eastAsia="Arial" w:cs="Arial" w:asciiTheme="minorAscii" w:hAnsiTheme="minorAscii" w:eastAsiaTheme="minorAscii" w:cstheme="minorAscii"/>
                <w:noProof w:val="0"/>
                <w:sz w:val="24"/>
                <w:szCs w:val="24"/>
                <w:lang w:val="en-US"/>
              </w:rPr>
            </w:pPr>
          </w:p>
          <w:p w:rsidR="3ECB5CA7" w:rsidP="64AA5A18" w:rsidRDefault="3ECB5CA7" w14:paraId="3F002382" w14:textId="5CA2FA6A">
            <w:pPr>
              <w:pStyle w:val="ListParagraph"/>
              <w:numPr>
                <w:ilvl w:val="0"/>
                <w:numId w:val="11"/>
              </w:num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pPr>
            <w:r w:rsidRPr="64AA5A18" w:rsidR="67F39DE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 high share of proximity</w:t>
            </w:r>
            <w:r w:rsidRPr="64AA5A18" w:rsidR="09CE89E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sourcing in Spain, Portugal, </w:t>
            </w: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Turkey</w:t>
            </w: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Morocco.</w:t>
            </w:r>
          </w:p>
          <w:p w:rsidR="3ECB5CA7" w:rsidP="64AA5A18" w:rsidRDefault="3ECB5CA7" w14:paraId="54CB4FCE" w14:textId="715F2CBD">
            <w:pPr>
              <w:pStyle w:val="ListParagraph"/>
              <w:spacing w:before="240" w:beforeAutospacing="off" w:after="240" w:afterAutospacing="off" w:line="360" w:lineRule="auto"/>
              <w:ind w:left="720"/>
              <w:rPr>
                <w:rFonts w:ascii="Arial" w:hAnsi="Arial" w:eastAsia="Arial" w:cs="Arial" w:asciiTheme="minorAscii" w:hAnsiTheme="minorAscii" w:eastAsiaTheme="minorAscii" w:cstheme="minorAscii"/>
                <w:noProof w:val="0"/>
                <w:color w:val="auto"/>
                <w:sz w:val="24"/>
                <w:szCs w:val="24"/>
                <w:lang w:val="en-GB"/>
              </w:rPr>
            </w:pPr>
            <w:r w:rsidRPr="64AA5A18" w:rsidR="67F39DE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(Chain, 2025)</w:t>
            </w:r>
          </w:p>
        </w:tc>
      </w:tr>
      <w:tr w:rsidR="15A7B681" w:rsidTr="368B97FF" w14:paraId="29CA0656">
        <w:trPr>
          <w:trHeight w:val="300"/>
        </w:trPr>
        <w:tc>
          <w:tcPr>
            <w:tcW w:w="4680" w:type="dxa"/>
            <w:tcMar/>
          </w:tcPr>
          <w:p w:rsidR="7892EC8B" w:rsidP="64AA5A18" w:rsidRDefault="7892EC8B" w14:paraId="2E63DCD4" w14:textId="132558EF">
            <w:pPr>
              <w:pStyle w:val="Normal"/>
              <w:spacing w:line="360" w:lineRule="auto"/>
              <w:rPr>
                <w:b w:val="1"/>
                <w:bCs w:val="1"/>
                <w:noProof w:val="0"/>
                <w:sz w:val="24"/>
                <w:szCs w:val="24"/>
                <w:lang w:val="en-GB"/>
              </w:rPr>
            </w:pPr>
            <w:r w:rsidRPr="64AA5A18" w:rsidR="6C791F0A">
              <w:rPr>
                <w:b w:val="1"/>
                <w:bCs w:val="1"/>
                <w:noProof w:val="0"/>
                <w:sz w:val="24"/>
                <w:szCs w:val="24"/>
                <w:lang w:val="en-GB"/>
              </w:rPr>
              <w:t>WEAKNESSES</w:t>
            </w:r>
          </w:p>
          <w:p w:rsidR="15A7B681" w:rsidP="64AA5A18" w:rsidRDefault="15A7B681" w14:paraId="27795EE2" w14:textId="4060CC7A">
            <w:pPr>
              <w:pStyle w:val="Normal"/>
              <w:spacing w:line="360" w:lineRule="auto"/>
              <w:rPr>
                <w:rFonts w:ascii="Arial" w:hAnsi="Arial" w:eastAsia="Arial" w:cs="Arial" w:asciiTheme="minorAscii" w:hAnsiTheme="minorAscii" w:eastAsiaTheme="minorAscii" w:cstheme="minorAscii"/>
                <w:noProof w:val="0"/>
                <w:sz w:val="24"/>
                <w:szCs w:val="24"/>
                <w:lang w:val="en-GB"/>
              </w:rPr>
            </w:pPr>
          </w:p>
          <w:p w:rsidR="6BB7171C" w:rsidP="64AA5A18" w:rsidRDefault="6BB7171C" w14:paraId="0C66C51C" w14:textId="6E84C2F2">
            <w:pPr>
              <w:pStyle w:val="ListParagraph"/>
              <w:numPr>
                <w:ilvl w:val="0"/>
                <w:numId w:val="15"/>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5758C713">
              <w:rPr>
                <w:rFonts w:ascii="Arial" w:hAnsi="Arial" w:eastAsia="Arial" w:cs="Arial" w:asciiTheme="minorAscii" w:hAnsiTheme="minorAscii" w:eastAsiaTheme="minorAscii" w:cstheme="minorAscii"/>
                <w:b w:val="1"/>
                <w:bCs w:val="1"/>
                <w:noProof w:val="0"/>
                <w:sz w:val="24"/>
                <w:szCs w:val="24"/>
                <w:lang w:val="en-GB"/>
              </w:rPr>
              <w:t>Sustainability Concerns:</w:t>
            </w:r>
            <w:r w:rsidRPr="64AA5A18" w:rsidR="5758C713">
              <w:rPr>
                <w:rFonts w:ascii="Arial" w:hAnsi="Arial" w:eastAsia="Arial" w:cs="Arial" w:asciiTheme="minorAscii" w:hAnsiTheme="minorAscii" w:eastAsiaTheme="minorAscii" w:cstheme="minorAscii"/>
                <w:noProof w:val="0"/>
                <w:sz w:val="24"/>
                <w:szCs w:val="24"/>
                <w:lang w:val="en-GB"/>
              </w:rPr>
              <w:t xml:space="preserve"> Zara’s fast-fashion model contributes to waste and pollution. Rapid product turnover encourages a throwaway culture and environmental harm.</w:t>
            </w:r>
          </w:p>
          <w:p w:rsidR="6BB7171C" w:rsidP="64AA5A18" w:rsidRDefault="6BB7171C" w14:paraId="35747384" w14:textId="3E43001E">
            <w:pPr>
              <w:pStyle w:val="ListParagraph"/>
              <w:numPr>
                <w:ilvl w:val="0"/>
                <w:numId w:val="15"/>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68B97FF" w:rsidR="6EA92514">
              <w:rPr>
                <w:rFonts w:ascii="Arial" w:hAnsi="Arial" w:eastAsia="Arial" w:cs="Arial" w:asciiTheme="minorAscii" w:hAnsiTheme="minorAscii" w:eastAsiaTheme="minorAscii" w:cstheme="minorAscii"/>
                <w:b w:val="1"/>
                <w:bCs w:val="1"/>
                <w:noProof w:val="0"/>
                <w:sz w:val="24"/>
                <w:szCs w:val="24"/>
                <w:lang w:val="en-GB"/>
              </w:rPr>
              <w:t>Labo</w:t>
            </w:r>
            <w:r w:rsidRPr="368B97FF" w:rsidR="56977FC1">
              <w:rPr>
                <w:rFonts w:ascii="Arial" w:hAnsi="Arial" w:eastAsia="Arial" w:cs="Arial" w:asciiTheme="minorAscii" w:hAnsiTheme="minorAscii" w:eastAsiaTheme="minorAscii" w:cstheme="minorAscii"/>
                <w:b w:val="1"/>
                <w:bCs w:val="1"/>
                <w:noProof w:val="0"/>
                <w:sz w:val="24"/>
                <w:szCs w:val="24"/>
                <w:lang w:val="en-GB"/>
              </w:rPr>
              <w:t>u</w:t>
            </w:r>
            <w:r w:rsidRPr="368B97FF" w:rsidR="6EA92514">
              <w:rPr>
                <w:rFonts w:ascii="Arial" w:hAnsi="Arial" w:eastAsia="Arial" w:cs="Arial" w:asciiTheme="minorAscii" w:hAnsiTheme="minorAscii" w:eastAsiaTheme="minorAscii" w:cstheme="minorAscii"/>
                <w:b w:val="1"/>
                <w:bCs w:val="1"/>
                <w:noProof w:val="0"/>
                <w:sz w:val="24"/>
                <w:szCs w:val="24"/>
                <w:lang w:val="en-GB"/>
              </w:rPr>
              <w:t>r and Ethical Issues:</w:t>
            </w:r>
            <w:r w:rsidRPr="368B97FF" w:rsidR="6EA92514">
              <w:rPr>
                <w:rFonts w:ascii="Arial" w:hAnsi="Arial" w:eastAsia="Arial" w:cs="Arial" w:asciiTheme="minorAscii" w:hAnsiTheme="minorAscii" w:eastAsiaTheme="minorAscii" w:cstheme="minorAscii"/>
                <w:noProof w:val="0"/>
                <w:sz w:val="24"/>
                <w:szCs w:val="24"/>
                <w:lang w:val="en-GB"/>
              </w:rPr>
              <w:t xml:space="preserve"> Zara has faced criticism over low wages, poor working conditions, and worker exploitation. Efforts have been made, but ethical concerns </w:t>
            </w:r>
            <w:r w:rsidRPr="368B97FF" w:rsidR="6EA92514">
              <w:rPr>
                <w:rFonts w:ascii="Arial" w:hAnsi="Arial" w:eastAsia="Arial" w:cs="Arial" w:asciiTheme="minorAscii" w:hAnsiTheme="minorAscii" w:eastAsiaTheme="minorAscii" w:cstheme="minorAscii"/>
                <w:noProof w:val="0"/>
                <w:sz w:val="24"/>
                <w:szCs w:val="24"/>
                <w:lang w:val="en-GB"/>
              </w:rPr>
              <w:t>remain</w:t>
            </w:r>
            <w:r w:rsidRPr="368B97FF" w:rsidR="6EA92514">
              <w:rPr>
                <w:rFonts w:ascii="Arial" w:hAnsi="Arial" w:eastAsia="Arial" w:cs="Arial" w:asciiTheme="minorAscii" w:hAnsiTheme="minorAscii" w:eastAsiaTheme="minorAscii" w:cstheme="minorAscii"/>
                <w:noProof w:val="0"/>
                <w:sz w:val="24"/>
                <w:szCs w:val="24"/>
                <w:lang w:val="en-GB"/>
              </w:rPr>
              <w:t>.</w:t>
            </w:r>
          </w:p>
          <w:p w:rsidR="6BB7171C" w:rsidP="64AA5A18" w:rsidRDefault="6BB7171C" w14:paraId="45D12E9E" w14:textId="25AD317C">
            <w:pPr>
              <w:pStyle w:val="ListParagraph"/>
              <w:numPr>
                <w:ilvl w:val="0"/>
                <w:numId w:val="15"/>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5758C713">
              <w:rPr>
                <w:rFonts w:ascii="Arial" w:hAnsi="Arial" w:eastAsia="Arial" w:cs="Arial" w:asciiTheme="minorAscii" w:hAnsiTheme="minorAscii" w:eastAsiaTheme="minorAscii" w:cstheme="minorAscii"/>
                <w:b w:val="1"/>
                <w:bCs w:val="1"/>
                <w:noProof w:val="0"/>
                <w:sz w:val="24"/>
                <w:szCs w:val="24"/>
                <w:lang w:val="en-GB"/>
              </w:rPr>
              <w:t>Dependence on Trend Forecasting:</w:t>
            </w:r>
            <w:r w:rsidRPr="64AA5A18" w:rsidR="5758C713">
              <w:rPr>
                <w:rFonts w:ascii="Arial" w:hAnsi="Arial" w:eastAsia="Arial" w:cs="Arial" w:asciiTheme="minorAscii" w:hAnsiTheme="minorAscii" w:eastAsiaTheme="minorAscii" w:cstheme="minorAscii"/>
                <w:noProof w:val="0"/>
                <w:sz w:val="24"/>
                <w:szCs w:val="24"/>
                <w:lang w:val="en-GB"/>
              </w:rPr>
              <w:t xml:space="preserve"> Zara relies on accurately predicting fashion trends. Missing trends can reduce its competitive edge and market share.</w:t>
            </w:r>
          </w:p>
          <w:p w:rsidR="6BB7171C" w:rsidP="64AA5A18" w:rsidRDefault="6BB7171C" w14:paraId="6F2F7592" w14:textId="7382190F">
            <w:pPr>
              <w:pStyle w:val="ListParagraph"/>
              <w:numPr>
                <w:ilvl w:val="0"/>
                <w:numId w:val="15"/>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5758C713">
              <w:rPr>
                <w:rFonts w:ascii="Arial" w:hAnsi="Arial" w:eastAsia="Arial" w:cs="Arial" w:asciiTheme="minorAscii" w:hAnsiTheme="minorAscii" w:eastAsiaTheme="minorAscii" w:cstheme="minorAscii"/>
                <w:b w:val="1"/>
                <w:bCs w:val="1"/>
                <w:noProof w:val="0"/>
                <w:sz w:val="24"/>
                <w:szCs w:val="24"/>
                <w:lang w:val="en-GB"/>
              </w:rPr>
              <w:t>Limited Advertising and Promotion:</w:t>
            </w:r>
            <w:r w:rsidRPr="64AA5A18" w:rsidR="5758C713">
              <w:rPr>
                <w:rFonts w:ascii="Arial" w:hAnsi="Arial" w:eastAsia="Arial" w:cs="Arial" w:asciiTheme="minorAscii" w:hAnsiTheme="minorAscii" w:eastAsiaTheme="minorAscii" w:cstheme="minorAscii"/>
                <w:noProof w:val="0"/>
                <w:sz w:val="24"/>
                <w:szCs w:val="24"/>
                <w:lang w:val="en-GB"/>
              </w:rPr>
              <w:t xml:space="preserve"> Zara depends on word-of-mouth and store presence for promotion. This limits its reach to new customers.</w:t>
            </w:r>
          </w:p>
          <w:p w:rsidR="2489B178" w:rsidP="64AA5A18" w:rsidRDefault="2489B178" w14:paraId="4B076D78" w14:textId="6EE6628C">
            <w:pPr>
              <w:pStyle w:val="ListParagraph"/>
              <w:spacing w:before="240" w:beforeAutospacing="off" w:after="240" w:afterAutospacing="off" w:line="360" w:lineRule="auto"/>
              <w:ind w:left="720"/>
              <w:rPr>
                <w:rFonts w:ascii="Arial" w:hAnsi="Arial" w:eastAsia="Arial" w:cs="Arial" w:asciiTheme="minorAscii" w:hAnsiTheme="minorAscii" w:eastAsiaTheme="minorAscii" w:cstheme="minorAscii"/>
                <w:noProof w:val="0"/>
                <w:color w:val="auto"/>
                <w:sz w:val="24"/>
                <w:szCs w:val="24"/>
                <w:lang w:val="en-GB"/>
              </w:rPr>
            </w:pPr>
            <w:r w:rsidRPr="64AA5A18" w:rsidR="6CAC1417">
              <w:rPr>
                <w:rFonts w:ascii="Roboto" w:hAnsi="Roboto" w:eastAsia="Roboto" w:cs="Roboto"/>
                <w:b w:val="0"/>
                <w:bCs w:val="0"/>
                <w:i w:val="0"/>
                <w:iCs w:val="0"/>
                <w:caps w:val="0"/>
                <w:smallCaps w:val="0"/>
                <w:noProof w:val="0"/>
                <w:color w:val="auto"/>
                <w:sz w:val="24"/>
                <w:szCs w:val="24"/>
                <w:lang w:val="en-GB"/>
              </w:rPr>
              <w:t>(Roshan Viknesh SV, 2026)</w:t>
            </w:r>
            <w:r w:rsidRPr="64AA5A18" w:rsidR="5758C713">
              <w:rPr>
                <w:rFonts w:ascii="Arial" w:hAnsi="Arial" w:eastAsia="Arial" w:cs="Arial" w:asciiTheme="minorAscii" w:hAnsiTheme="minorAscii" w:eastAsiaTheme="minorAscii" w:cstheme="minorAscii"/>
                <w:noProof w:val="0"/>
                <w:color w:val="auto"/>
                <w:sz w:val="24"/>
                <w:szCs w:val="24"/>
                <w:lang w:val="en-GB"/>
              </w:rPr>
              <w:t xml:space="preserve"> </w:t>
            </w:r>
          </w:p>
        </w:tc>
        <w:tc>
          <w:tcPr>
            <w:tcW w:w="4380" w:type="dxa"/>
            <w:tcMar/>
          </w:tcPr>
          <w:p w:rsidR="5DD5A8B3" w:rsidP="64AA5A18" w:rsidRDefault="5DD5A8B3" w14:paraId="51658254" w14:textId="48B83BB2">
            <w:pPr>
              <w:pStyle w:val="Normal"/>
              <w:spacing w:line="360" w:lineRule="auto"/>
              <w:rPr>
                <w:noProof w:val="0"/>
                <w:sz w:val="24"/>
                <w:szCs w:val="24"/>
                <w:lang w:val="en-GB"/>
              </w:rPr>
            </w:pPr>
            <w:r w:rsidRPr="64AA5A18" w:rsidR="5E103BBB">
              <w:rPr>
                <w:noProof w:val="0"/>
                <w:sz w:val="24"/>
                <w:szCs w:val="24"/>
                <w:lang w:val="en-GB"/>
              </w:rPr>
              <w:t xml:space="preserve"> </w:t>
            </w:r>
            <w:r w:rsidRPr="64AA5A18" w:rsidR="5E103BBB">
              <w:rPr>
                <w:b w:val="1"/>
                <w:bCs w:val="1"/>
                <w:noProof w:val="0"/>
                <w:sz w:val="24"/>
                <w:szCs w:val="24"/>
                <w:lang w:val="en-GB"/>
              </w:rPr>
              <w:t>THREATS</w:t>
            </w:r>
          </w:p>
          <w:p w:rsidR="15A7B681" w:rsidP="64AA5A18" w:rsidRDefault="15A7B681" w14:paraId="11F654D9" w14:textId="2A320EAE">
            <w:pPr>
              <w:pStyle w:val="Normal"/>
              <w:spacing w:line="360" w:lineRule="auto"/>
              <w:rPr>
                <w:noProof w:val="0"/>
                <w:sz w:val="24"/>
                <w:szCs w:val="24"/>
                <w:lang w:val="en-GB"/>
              </w:rPr>
            </w:pPr>
          </w:p>
          <w:p w:rsidR="5DD5A8B3" w:rsidP="64AA5A18" w:rsidRDefault="5DD5A8B3" w14:paraId="3CEBCE4A" w14:textId="187FB220">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64AA5A18" w:rsidR="5E103B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Low product quality.</w:t>
            </w:r>
          </w:p>
          <w:p w:rsidR="15A7B681" w:rsidP="64AA5A18" w:rsidRDefault="15A7B681" w14:paraId="3F307C10" w14:textId="5C470F3F">
            <w:pPr>
              <w:pStyle w:val="ListParagraph"/>
              <w:spacing w:line="360" w:lineRule="auto"/>
              <w:ind w:left="720"/>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p>
          <w:p w:rsidR="5DD5A8B3" w:rsidP="64AA5A18" w:rsidRDefault="5DD5A8B3" w14:paraId="09283F69" w14:textId="4E01F540">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64AA5A18" w:rsidR="5E103B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Excessive scale expansion, and bad reputation for plagiarism.</w:t>
            </w:r>
          </w:p>
          <w:p w:rsidR="15A7B681" w:rsidP="64AA5A18" w:rsidRDefault="15A7B681" w14:paraId="4090EB5A" w14:textId="0B33F68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p>
          <w:p w:rsidR="5DD5A8B3" w:rsidP="64AA5A18" w:rsidRDefault="5DD5A8B3" w14:paraId="0B6E75B2" w14:textId="6BFE828B">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64AA5A18" w:rsidR="5E103B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Strong competitors, threats from brand loyalty.</w:t>
            </w:r>
          </w:p>
          <w:p w:rsidR="15A7B681" w:rsidP="64AA5A18" w:rsidRDefault="15A7B681" w14:paraId="4953699E" w14:textId="60C13CBF">
            <w:pPr>
              <w:pStyle w:val="ListParagraph"/>
              <w:spacing w:line="360" w:lineRule="auto"/>
              <w:ind w:left="720"/>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p>
          <w:p w:rsidR="5DD5A8B3" w:rsidP="64AA5A18" w:rsidRDefault="5DD5A8B3" w14:paraId="35D65D2B" w14:textId="30BDF9CA">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64AA5A18" w:rsidR="5E103B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Following strong competitors.</w:t>
            </w:r>
          </w:p>
          <w:p w:rsidR="15A7B681" w:rsidP="64AA5A18" w:rsidRDefault="15A7B681" w14:paraId="2393976D" w14:textId="42D942DB">
            <w:pPr>
              <w:pStyle w:val="ListParagraph"/>
              <w:spacing w:line="360" w:lineRule="auto"/>
              <w:ind w:left="720"/>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p>
          <w:p w:rsidR="5DD5A8B3" w:rsidP="64AA5A18" w:rsidRDefault="5DD5A8B3" w14:paraId="3C9FDEF6" w14:textId="36C072A4">
            <w:pPr>
              <w:pStyle w:val="ListParagraph"/>
              <w:numPr>
                <w:ilvl w:val="0"/>
                <w:numId w:val="10"/>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64AA5A18" w:rsidR="5E103B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Decline for brand loyalty.</w:t>
            </w:r>
          </w:p>
          <w:p w:rsidR="5DD5A8B3" w:rsidP="64AA5A18" w:rsidRDefault="5DD5A8B3" w14:paraId="58B422F0" w14:textId="0310ED98">
            <w:pPr>
              <w:pStyle w:val="ListParagraph"/>
              <w:spacing w:line="360" w:lineRule="auto"/>
              <w:ind w:left="720"/>
              <w:rPr>
                <w:rFonts w:ascii="Arial" w:hAnsi="Arial" w:eastAsia="Arial" w:cs="Arial" w:asciiTheme="minorAscii" w:hAnsiTheme="minorAscii" w:eastAsiaTheme="minorAscii" w:cstheme="minorAscii"/>
                <w:noProof w:val="0"/>
                <w:color w:val="auto"/>
                <w:sz w:val="24"/>
                <w:szCs w:val="24"/>
                <w:lang w:val="en-US"/>
              </w:rPr>
            </w:pPr>
            <w:r w:rsidRPr="64AA5A18" w:rsidR="5E103BB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(Shen and Chen, 2024)</w:t>
            </w:r>
          </w:p>
          <w:p w:rsidR="15A7B681" w:rsidP="64AA5A18" w:rsidRDefault="15A7B681" w14:paraId="7DAA76B8" w14:textId="6BCCAADE">
            <w:pPr>
              <w:pStyle w:val="Normal"/>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p>
          <w:p w:rsidR="5DD5A8B3" w:rsidP="64AA5A18" w:rsidRDefault="5DD5A8B3" w14:paraId="09AFCA67" w14:textId="515839B7">
            <w:pPr>
              <w:pStyle w:val="ListParagraph"/>
              <w:numPr>
                <w:ilvl w:val="0"/>
                <w:numId w:val="13"/>
              </w:numPr>
              <w:spacing w:line="360" w:lineRule="auto"/>
              <w:rPr>
                <w:noProof w:val="0"/>
                <w:color w:val="auto"/>
                <w:sz w:val="24"/>
                <w:szCs w:val="24"/>
                <w:lang w:val="en-US"/>
              </w:rPr>
            </w:pPr>
            <w:r w:rsidRPr="64AA5A18" w:rsidR="5E103BBB">
              <w:rPr>
                <w:noProof w:val="0"/>
                <w:color w:val="auto"/>
                <w:sz w:val="24"/>
                <w:szCs w:val="24"/>
                <w:lang w:val="en-US"/>
              </w:rPr>
              <w:t xml:space="preserve">Greater transparency increases legal, reputational, and design of compliance risks. </w:t>
            </w:r>
            <w:r w:rsidRPr="64AA5A18" w:rsidR="5E103BBB">
              <w:rPr>
                <w:rFonts w:ascii="Roboto" w:hAnsi="Roboto" w:eastAsia="Roboto" w:cs="Roboto"/>
                <w:b w:val="0"/>
                <w:bCs w:val="0"/>
                <w:i w:val="0"/>
                <w:iCs w:val="0"/>
                <w:caps w:val="0"/>
                <w:smallCaps w:val="0"/>
                <w:noProof w:val="0"/>
                <w:color w:val="auto"/>
                <w:sz w:val="24"/>
                <w:szCs w:val="24"/>
                <w:lang w:val="en-US"/>
              </w:rPr>
              <w:t>(Muratore and Marques, 2021)</w:t>
            </w:r>
          </w:p>
          <w:p w:rsidR="15A7B681" w:rsidP="64AA5A18" w:rsidRDefault="15A7B681" w14:paraId="0E4E7FC8" w14:textId="37FF0520">
            <w:pPr>
              <w:pStyle w:val="Normal"/>
              <w:spacing w:line="360" w:lineRule="auto"/>
              <w:rPr>
                <w:noProof w:val="0"/>
                <w:sz w:val="24"/>
                <w:szCs w:val="24"/>
                <w:lang w:val="en-GB"/>
              </w:rPr>
            </w:pPr>
          </w:p>
        </w:tc>
      </w:tr>
    </w:tbl>
    <w:p xmlns:wp14="http://schemas.microsoft.com/office/word/2010/wordml" w:rsidP="64AA5A18" wp14:paraId="3563CA6F" wp14:textId="7A88ABE9">
      <w:pPr>
        <w:pStyle w:val="Normal"/>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0C043DBE" wp14:textId="5E354AD4">
      <w:pPr>
        <w:pStyle w:val="Normal"/>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01860198" wp14:textId="56774A0D">
      <w:pPr>
        <w:pStyle w:val="Normal"/>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295FD0A6" wp14:textId="39C4673A">
      <w:pPr>
        <w:pStyle w:val="Normal"/>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303339CC" wp14:textId="7CBA07CB">
      <w:pPr>
        <w:pStyle w:val="Normal"/>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2423FAAA" wp14:textId="486343C4">
      <w:pPr>
        <w:pStyle w:val="Normal"/>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64AA5A18" w:rsidR="04C68327">
        <w:rPr>
          <w:rFonts w:ascii="Segoe UI" w:hAnsi="Segoe UI" w:eastAsia="Segoe UI" w:cs="Segoe UI"/>
          <w:b w:val="1"/>
          <w:bCs w:val="1"/>
          <w:i w:val="0"/>
          <w:iCs w:val="0"/>
          <w:caps w:val="0"/>
          <w:smallCaps w:val="0"/>
          <w:noProof w:val="0"/>
          <w:color w:val="000000" w:themeColor="text1" w:themeTint="FF" w:themeShade="FF"/>
          <w:sz w:val="24"/>
          <w:szCs w:val="24"/>
          <w:lang w:val="en-GB"/>
        </w:rPr>
        <w:t>H&amp;M</w:t>
      </w:r>
    </w:p>
    <w:tbl>
      <w:tblPr>
        <w:tblStyle w:val="TableGrid"/>
        <w:tblW w:w="0" w:type="auto"/>
        <w:tblLook w:val="06A0" w:firstRow="1" w:lastRow="0" w:firstColumn="1" w:lastColumn="0" w:noHBand="1" w:noVBand="1"/>
      </w:tblPr>
      <w:tblGrid>
        <w:gridCol w:w="4680"/>
        <w:gridCol w:w="4680"/>
      </w:tblGrid>
      <w:tr w:rsidR="64AA5A18" w:rsidTr="64AA5A18" w14:paraId="3E5D229C">
        <w:trPr>
          <w:trHeight w:val="300"/>
        </w:trPr>
        <w:tc>
          <w:tcPr>
            <w:tcW w:w="4680" w:type="dxa"/>
            <w:tcMar/>
          </w:tcPr>
          <w:p w:rsidR="64AA5A18" w:rsidP="64AA5A18" w:rsidRDefault="64AA5A18" w14:paraId="68A0AAC3" w14:textId="62CB057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70E90755" w14:textId="311A77EB">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4AA5A18" w:rsidR="64AA5A1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STRENGTHS</w:t>
            </w:r>
          </w:p>
          <w:p w:rsidR="64AA5A18" w:rsidP="64AA5A18" w:rsidRDefault="64AA5A18" w14:paraId="24223048" w14:textId="4C2934E2">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208466BC" w14:textId="0C294968">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5063E58A" w:rsidP="64AA5A18" w:rsidRDefault="5063E58A" w14:paraId="7D13520A" w14:textId="578172B7">
            <w:pPr>
              <w:pStyle w:val="ListParagraph"/>
              <w:numPr>
                <w:ilvl w:val="0"/>
                <w:numId w:val="2"/>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Global scale and strong brand recognition</w:t>
            </w: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 giving wide market reach and customer familiarity.</w:t>
            </w:r>
          </w:p>
          <w:p w:rsidR="5063E58A" w:rsidP="64AA5A18" w:rsidRDefault="5063E58A" w14:paraId="4C5B381A" w14:textId="4016F8A5">
            <w:pPr>
              <w:pStyle w:val="ListParagraph"/>
              <w:numPr>
                <w:ilvl w:val="0"/>
                <w:numId w:val="2"/>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Affordability and trend‑driven assortments</w:t>
            </w: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 appealing to price‑sensitive mass‑market consumers.</w:t>
            </w:r>
          </w:p>
          <w:p w:rsidR="5063E58A" w:rsidP="64AA5A18" w:rsidRDefault="5063E58A" w14:paraId="0384DA3A" w14:textId="266BA6FD">
            <w:pPr>
              <w:pStyle w:val="ListParagraph"/>
              <w:numPr>
                <w:ilvl w:val="0"/>
                <w:numId w:val="2"/>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 xml:space="preserve">Investment in AI, data </w:t>
            </w: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analytics</w:t>
            </w: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 xml:space="preserve"> and forecasting</w:t>
            </w:r>
            <w:r w:rsidRPr="64AA5A18" w:rsidR="5063E58A">
              <w:rPr>
                <w:rFonts w:ascii="Arial" w:hAnsi="Arial" w:eastAsia="Arial" w:cs="Arial" w:asciiTheme="minorAscii" w:hAnsiTheme="minorAscii" w:eastAsiaTheme="minorAscii" w:cstheme="minorAscii"/>
                <w:b w:val="0"/>
                <w:bCs w:val="0"/>
                <w:i w:val="0"/>
                <w:iCs w:val="0"/>
                <w:noProof w:val="0"/>
                <w:sz w:val="24"/>
                <w:szCs w:val="24"/>
                <w:lang w:val="en-GB"/>
              </w:rPr>
              <w:t>, offering potential improvements in demand accuracy and inventory efficiency.</w:t>
            </w:r>
          </w:p>
          <w:p w:rsidR="64AA5A18" w:rsidP="64AA5A18" w:rsidRDefault="64AA5A18" w14:paraId="15273C1B" w14:textId="68BBF2F2">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77E6B12A" w14:textId="3A7EBDD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5C456B16" w14:textId="5811C29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0FD5EFDC" w14:textId="0A8B6A52">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77C21750" w14:textId="33FD422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6BE2895F" w14:textId="781ED59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45BA17DC" w14:textId="29A72C4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5D0B9A38" w14:textId="4639DDC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7B21A4B3" w14:textId="4154D7A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49CD714B" w14:textId="1539F87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64AA5A18" w:rsidP="64AA5A18" w:rsidRDefault="64AA5A18" w14:paraId="37888432" w14:textId="71D16AA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tc>
        <w:tc>
          <w:tcPr>
            <w:tcW w:w="4680" w:type="dxa"/>
            <w:tcMar/>
          </w:tcPr>
          <w:p w:rsidR="64AA5A18" w:rsidP="64AA5A18" w:rsidRDefault="64AA5A18" w14:paraId="2030BF2F" w14:textId="6502CA7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C3E50"/>
                <w:sz w:val="24"/>
                <w:szCs w:val="24"/>
                <w:lang w:val="en-GB"/>
              </w:rPr>
            </w:pPr>
          </w:p>
          <w:p w:rsidR="64AA5A18" w:rsidP="64AA5A18" w:rsidRDefault="64AA5A18" w14:paraId="4A59A28C" w14:textId="19A880E1">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r w:rsidRPr="64AA5A18" w:rsidR="64AA5A18">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OPPORTUNITIES</w:t>
            </w:r>
          </w:p>
          <w:p w:rsidR="64AA5A18" w:rsidP="64AA5A18" w:rsidRDefault="64AA5A18" w14:paraId="3D0AC10A" w14:textId="239C2ADE">
            <w:pPr>
              <w:pStyle w:val="ListParagraph"/>
              <w:spacing w:line="360" w:lineRule="auto"/>
              <w:ind w:left="720"/>
              <w:rPr>
                <w:rFonts w:ascii="Arial" w:hAnsi="Arial" w:eastAsia="Arial" w:cs="Arial"/>
                <w:noProof w:val="0"/>
                <w:sz w:val="24"/>
                <w:szCs w:val="24"/>
                <w:lang w:val="en-GB"/>
              </w:rPr>
            </w:pPr>
          </w:p>
          <w:p w:rsidR="64AA5A18" w:rsidP="64AA5A18" w:rsidRDefault="64AA5A18" w14:paraId="262CEB56" w14:textId="6D249ED7">
            <w:pPr>
              <w:pStyle w:val="ListParagraph"/>
              <w:spacing w:line="360" w:lineRule="auto"/>
              <w:ind w:left="720"/>
              <w:rPr>
                <w:rFonts w:ascii="Arial" w:hAnsi="Arial" w:eastAsia="Arial" w:cs="Arial"/>
                <w:noProof w:val="0"/>
                <w:sz w:val="24"/>
                <w:szCs w:val="24"/>
                <w:lang w:val="en-GB"/>
              </w:rPr>
            </w:pPr>
          </w:p>
          <w:p w:rsidR="64AA5A18" w:rsidP="64AA5A18" w:rsidRDefault="64AA5A18" w14:paraId="17A352F7" w14:textId="393BFFA3">
            <w:pPr>
              <w:pStyle w:val="ListParagraph"/>
              <w:spacing w:line="360" w:lineRule="auto"/>
              <w:ind w:left="720"/>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Stronger EU rules reward credible, traceable sustainability, giving H&amp;M a chance to turn compliance into competitive trust.</w:t>
            </w:r>
          </w:p>
          <w:p w:rsidR="64AA5A18" w:rsidP="64AA5A18" w:rsidRDefault="64AA5A18" w14:paraId="2E5C62AF" w14:textId="7DB5338F">
            <w:pPr>
              <w:pStyle w:val="Normal"/>
              <w:spacing w:line="360" w:lineRule="auto"/>
              <w:rPr>
                <w:rFonts w:ascii="Arial" w:hAnsi="Arial" w:eastAsia="Arial" w:cs="Arial"/>
                <w:noProof w:val="0"/>
                <w:sz w:val="24"/>
                <w:szCs w:val="24"/>
                <w:lang w:val="en-GB"/>
              </w:rPr>
            </w:pPr>
          </w:p>
          <w:p w:rsidR="64AA5A18" w:rsidP="64AA5A18" w:rsidRDefault="64AA5A18" w14:paraId="0CACD3DB" w14:textId="71024E48">
            <w:pPr>
              <w:pStyle w:val="ListParagraph"/>
              <w:numPr>
                <w:ilvl w:val="0"/>
                <w:numId w:val="14"/>
              </w:numPr>
              <w:spacing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AI-driven forecasting reduces waste and improves margins.</w:t>
            </w:r>
          </w:p>
          <w:p w:rsidR="64AA5A18" w:rsidP="64AA5A18" w:rsidRDefault="64AA5A18" w14:paraId="32E552FD" w14:textId="6F2A7484">
            <w:pPr>
              <w:pStyle w:val="Normal"/>
              <w:spacing w:line="360" w:lineRule="auto"/>
              <w:rPr>
                <w:rFonts w:ascii="Arial" w:hAnsi="Arial" w:eastAsia="Arial" w:cs="Arial"/>
                <w:noProof w:val="0"/>
                <w:sz w:val="24"/>
                <w:szCs w:val="24"/>
                <w:lang w:val="en-GB"/>
              </w:rPr>
            </w:pPr>
          </w:p>
          <w:p w:rsidR="64AA5A18" w:rsidP="64AA5A18" w:rsidRDefault="64AA5A18" w14:paraId="3510B32C" w14:textId="5C237FAC">
            <w:pPr>
              <w:pStyle w:val="ListParagraph"/>
              <w:numPr>
                <w:ilvl w:val="0"/>
                <w:numId w:val="14"/>
              </w:numPr>
              <w:spacing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Circular services boost loyalty and reduce regulatory costs.</w:t>
            </w:r>
          </w:p>
          <w:p w:rsidR="64AA5A18" w:rsidP="64AA5A18" w:rsidRDefault="64AA5A18" w14:paraId="27C25DDF" w14:textId="532E5734">
            <w:pPr>
              <w:pStyle w:val="Normal"/>
              <w:spacing w:line="360" w:lineRule="auto"/>
              <w:rPr>
                <w:rFonts w:ascii="Arial" w:hAnsi="Arial" w:eastAsia="Arial" w:cs="Arial"/>
                <w:noProof w:val="0"/>
                <w:sz w:val="24"/>
                <w:szCs w:val="24"/>
                <w:lang w:val="en-GB"/>
              </w:rPr>
            </w:pPr>
          </w:p>
          <w:p w:rsidR="64AA5A18" w:rsidP="64AA5A18" w:rsidRDefault="64AA5A18" w14:paraId="40F7A236" w14:textId="55C684B6">
            <w:pPr>
              <w:pStyle w:val="ListParagraph"/>
              <w:numPr>
                <w:ilvl w:val="0"/>
                <w:numId w:val="14"/>
              </w:numPr>
              <w:spacing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Nearshoring improves agility, traceability, and cost efficiency.</w:t>
            </w:r>
          </w:p>
          <w:p w:rsidR="64AA5A18" w:rsidP="64AA5A18" w:rsidRDefault="64AA5A18" w14:paraId="39F648D6" w14:textId="369050E5">
            <w:pPr>
              <w:pStyle w:val="Normal"/>
              <w:spacing w:line="360" w:lineRule="auto"/>
              <w:rPr>
                <w:rFonts w:ascii="Roboto" w:hAnsi="Roboto" w:eastAsia="Roboto" w:cs="Roboto"/>
                <w:b w:val="0"/>
                <w:bCs w:val="0"/>
                <w:i w:val="0"/>
                <w:iCs w:val="0"/>
                <w:caps w:val="0"/>
                <w:smallCaps w:val="0"/>
                <w:noProof w:val="0"/>
                <w:color w:val="2C3E50"/>
                <w:sz w:val="24"/>
                <w:szCs w:val="24"/>
                <w:lang w:val="en-GB"/>
              </w:rPr>
            </w:pPr>
          </w:p>
        </w:tc>
      </w:tr>
      <w:tr w:rsidR="64AA5A18" w:rsidTr="64AA5A18" w14:paraId="0642CFBC">
        <w:trPr>
          <w:trHeight w:val="300"/>
        </w:trPr>
        <w:tc>
          <w:tcPr>
            <w:tcW w:w="4680" w:type="dxa"/>
            <w:tcMar/>
          </w:tcPr>
          <w:p w:rsidR="64AA5A18" w:rsidP="64AA5A18" w:rsidRDefault="64AA5A18" w14:paraId="099FA156" w14:textId="7576B078">
            <w:pPr>
              <w:pStyle w:val="Normal"/>
              <w:spacing w:line="360" w:lineRule="auto"/>
              <w:ind w:left="0"/>
              <w:rPr>
                <w:rFonts w:ascii="Arial" w:hAnsi="Arial" w:eastAsia="Arial" w:cs="Arial"/>
                <w:b w:val="1"/>
                <w:bCs w:val="1"/>
                <w:noProof w:val="0"/>
                <w:sz w:val="24"/>
                <w:szCs w:val="24"/>
                <w:lang w:val="en-GB"/>
              </w:rPr>
            </w:pPr>
            <w:r w:rsidRPr="64AA5A18" w:rsidR="64AA5A18">
              <w:rPr>
                <w:rFonts w:ascii="Arial" w:hAnsi="Arial" w:eastAsia="Arial" w:cs="Arial"/>
                <w:b w:val="1"/>
                <w:bCs w:val="1"/>
                <w:noProof w:val="0"/>
                <w:sz w:val="24"/>
                <w:szCs w:val="24"/>
                <w:lang w:val="en-GB"/>
              </w:rPr>
              <w:t>WEAKNESSES</w:t>
            </w:r>
          </w:p>
          <w:p w:rsidR="64AA5A18" w:rsidP="64AA5A18" w:rsidRDefault="64AA5A18" w14:paraId="01033707" w14:textId="7D7CCEF2">
            <w:pPr>
              <w:pStyle w:val="Normal"/>
              <w:spacing w:line="360" w:lineRule="auto"/>
              <w:ind w:left="0"/>
              <w:rPr>
                <w:rFonts w:ascii="Arial" w:hAnsi="Arial" w:eastAsia="Arial" w:cs="Arial"/>
                <w:b w:val="1"/>
                <w:bCs w:val="1"/>
                <w:noProof w:val="0"/>
                <w:sz w:val="24"/>
                <w:szCs w:val="24"/>
                <w:lang w:val="en-GB"/>
              </w:rPr>
            </w:pPr>
          </w:p>
          <w:p w:rsidR="184C27CC" w:rsidP="64AA5A18" w:rsidRDefault="184C27CC" w14:paraId="1AF42B7B" w14:textId="6E456A54">
            <w:pPr>
              <w:pStyle w:val="ListParagraph"/>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Slower operational agility compared with ultra‑fast competitors</w:t>
            </w: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 xml:space="preserve"> (e.g., Zara, Shein), limiting speed‑to‑market.</w:t>
            </w:r>
          </w:p>
          <w:p w:rsidR="184C27CC" w:rsidP="64AA5A18" w:rsidRDefault="184C27CC" w14:paraId="315426A5" w14:textId="18794F9B">
            <w:pPr>
              <w:pStyle w:val="ListParagraph"/>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Margin pressure</w:t>
            </w: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 xml:space="preserve"> due to price‑sensitive consumers and heavy reliance on discounting in some markets.</w:t>
            </w:r>
          </w:p>
          <w:p w:rsidR="184C27CC" w:rsidP="64AA5A18" w:rsidRDefault="184C27CC" w14:paraId="693CA67D" w14:textId="1BDA41FE">
            <w:pPr>
              <w:pStyle w:val="ListParagraph"/>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Fast‑fashion sustainability scrutiny</w:t>
            </w: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 xml:space="preserve">, exposing the brand to reputational risk despite </w:t>
            </w: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strong communication</w:t>
            </w: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w:t>
            </w:r>
          </w:p>
          <w:p w:rsidR="184C27CC" w:rsidP="64AA5A18" w:rsidRDefault="184C27CC" w14:paraId="181210CA" w14:textId="7CB955F4">
            <w:pPr>
              <w:pStyle w:val="ListParagraph"/>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Large and complex supply chain</w:t>
            </w:r>
            <w:r w:rsidRPr="64AA5A18" w:rsidR="184C27CC">
              <w:rPr>
                <w:rFonts w:ascii="Arial" w:hAnsi="Arial" w:eastAsia="Arial" w:cs="Arial" w:asciiTheme="minorAscii" w:hAnsiTheme="minorAscii" w:eastAsiaTheme="minorAscii" w:cstheme="minorAscii"/>
                <w:b w:val="0"/>
                <w:bCs w:val="0"/>
                <w:i w:val="0"/>
                <w:iCs w:val="0"/>
                <w:noProof w:val="0"/>
                <w:sz w:val="24"/>
                <w:szCs w:val="24"/>
                <w:lang w:val="en-GB"/>
              </w:rPr>
              <w:t>, making rapid structural change more challenging.</w:t>
            </w:r>
          </w:p>
          <w:p w:rsidR="64AA5A18" w:rsidP="64AA5A18" w:rsidRDefault="64AA5A18" w14:paraId="6D7802EB" w14:textId="76EB6B14">
            <w:pPr>
              <w:pStyle w:val="Normal"/>
              <w:spacing w:line="360" w:lineRule="auto"/>
              <w:ind w:left="0"/>
              <w:rPr>
                <w:rFonts w:ascii="Arial" w:hAnsi="Arial" w:eastAsia="Arial" w:cs="Arial"/>
                <w:b w:val="1"/>
                <w:bCs w:val="1"/>
                <w:noProof w:val="0"/>
                <w:sz w:val="24"/>
                <w:szCs w:val="24"/>
                <w:lang w:val="en-GB"/>
              </w:rPr>
            </w:pPr>
          </w:p>
          <w:p w:rsidR="64AA5A18" w:rsidP="64AA5A18" w:rsidRDefault="64AA5A18" w14:paraId="078A3097" w14:textId="58460EF9">
            <w:pPr>
              <w:pStyle w:val="Normal"/>
              <w:spacing w:line="360" w:lineRule="auto"/>
              <w:rPr>
                <w:rFonts w:ascii="Arial" w:hAnsi="Arial" w:eastAsia="Arial" w:cs="Arial"/>
                <w:noProof w:val="0"/>
                <w:sz w:val="24"/>
                <w:szCs w:val="24"/>
                <w:lang w:val="en-GB"/>
              </w:rPr>
            </w:pPr>
          </w:p>
        </w:tc>
        <w:tc>
          <w:tcPr>
            <w:tcW w:w="4680" w:type="dxa"/>
            <w:tcMar/>
          </w:tcPr>
          <w:p w:rsidR="64AA5A18" w:rsidP="64AA5A18" w:rsidRDefault="64AA5A18" w14:paraId="40AA832F" w14:textId="3906F467">
            <w:pPr>
              <w:pStyle w:val="Normal"/>
              <w:spacing w:line="360" w:lineRule="auto"/>
              <w:rPr>
                <w:rFonts w:ascii="Arial" w:hAnsi="Arial" w:eastAsia="Arial" w:cs="Arial"/>
                <w:b w:val="1"/>
                <w:bCs w:val="1"/>
                <w:noProof w:val="0"/>
                <w:sz w:val="24"/>
                <w:szCs w:val="24"/>
                <w:lang w:val="en-GB"/>
              </w:rPr>
            </w:pPr>
            <w:r w:rsidRPr="64AA5A18" w:rsidR="64AA5A18">
              <w:rPr>
                <w:rFonts w:ascii="Arial" w:hAnsi="Arial" w:eastAsia="Arial" w:cs="Arial"/>
                <w:b w:val="1"/>
                <w:bCs w:val="1"/>
                <w:noProof w:val="0"/>
                <w:sz w:val="24"/>
                <w:szCs w:val="24"/>
                <w:lang w:val="en-GB"/>
              </w:rPr>
              <w:t>THREATS</w:t>
            </w:r>
          </w:p>
          <w:p w:rsidR="64AA5A18" w:rsidP="64AA5A18" w:rsidRDefault="64AA5A18" w14:paraId="62950613" w14:textId="730DD905">
            <w:pPr>
              <w:pStyle w:val="Normal"/>
              <w:spacing w:line="360" w:lineRule="auto"/>
              <w:rPr>
                <w:rFonts w:ascii="Arial" w:hAnsi="Arial" w:eastAsia="Arial" w:cs="Arial"/>
                <w:b w:val="1"/>
                <w:bCs w:val="1"/>
                <w:noProof w:val="0"/>
                <w:sz w:val="24"/>
                <w:szCs w:val="24"/>
                <w:lang w:val="en-GB"/>
              </w:rPr>
            </w:pPr>
          </w:p>
          <w:p w:rsidR="64AA5A18" w:rsidP="64AA5A18" w:rsidRDefault="64AA5A18" w14:paraId="543A453A" w14:textId="78470C15">
            <w:pPr>
              <w:pStyle w:val="ListParagraph"/>
              <w:numPr>
                <w:ilvl w:val="0"/>
                <w:numId w:val="14"/>
              </w:numPr>
              <w:spacing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New EPR, DPP, and durability rules may raise H&amp;M’s per-unit costs.</w:t>
            </w:r>
          </w:p>
          <w:p w:rsidR="64AA5A18" w:rsidP="64AA5A18" w:rsidRDefault="64AA5A18" w14:paraId="42DDF249" w14:textId="00FE0F18">
            <w:pPr>
              <w:pStyle w:val="Normal"/>
              <w:spacing w:line="360" w:lineRule="auto"/>
              <w:rPr>
                <w:rFonts w:ascii="Arial" w:hAnsi="Arial" w:eastAsia="Arial" w:cs="Arial"/>
                <w:noProof w:val="0"/>
                <w:sz w:val="24"/>
                <w:szCs w:val="24"/>
                <w:lang w:val="en-GB"/>
              </w:rPr>
            </w:pPr>
          </w:p>
          <w:p w:rsidR="64AA5A18" w:rsidP="64AA5A18" w:rsidRDefault="64AA5A18" w14:paraId="5321AF99" w14:textId="6DB4355A">
            <w:pPr>
              <w:pStyle w:val="ListParagraph"/>
              <w:numPr>
                <w:ilvl w:val="0"/>
                <w:numId w:val="14"/>
              </w:numPr>
              <w:spacing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Price competition increases margin pressure.</w:t>
            </w:r>
          </w:p>
          <w:p w:rsidR="64AA5A18" w:rsidP="64AA5A18" w:rsidRDefault="64AA5A18" w14:paraId="1DCE50B6" w14:textId="12BCF898">
            <w:pPr>
              <w:pStyle w:val="Normal"/>
              <w:spacing w:line="360" w:lineRule="auto"/>
              <w:rPr>
                <w:rFonts w:ascii="Arial" w:hAnsi="Arial" w:eastAsia="Arial" w:cs="Arial"/>
                <w:noProof w:val="0"/>
                <w:sz w:val="24"/>
                <w:szCs w:val="24"/>
                <w:lang w:val="en-GB"/>
              </w:rPr>
            </w:pPr>
          </w:p>
          <w:p w:rsidR="64AA5A18" w:rsidP="64AA5A18" w:rsidRDefault="64AA5A18" w14:paraId="3F6D16E4" w14:textId="56E66CCF">
            <w:pPr>
              <w:pStyle w:val="ListParagraph"/>
              <w:numPr>
                <w:ilvl w:val="0"/>
                <w:numId w:val="14"/>
              </w:numPr>
              <w:spacing w:before="240" w:beforeAutospacing="off" w:after="240" w:afterAutospacing="off"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Stricter rules heighten greenwashing scrutiny and legal risk.</w:t>
            </w:r>
          </w:p>
          <w:p w:rsidR="64AA5A18" w:rsidP="64AA5A18" w:rsidRDefault="64AA5A18" w14:paraId="01F6375A" w14:textId="3C4DA305">
            <w:pPr>
              <w:pStyle w:val="ListParagraph"/>
              <w:spacing w:before="240" w:beforeAutospacing="off" w:after="240" w:afterAutospacing="off" w:line="360" w:lineRule="auto"/>
              <w:ind w:left="720"/>
              <w:rPr>
                <w:rFonts w:ascii="Arial" w:hAnsi="Arial" w:eastAsia="Arial" w:cs="Arial"/>
                <w:noProof w:val="0"/>
                <w:sz w:val="24"/>
                <w:szCs w:val="24"/>
                <w:lang w:val="en-GB"/>
              </w:rPr>
            </w:pPr>
          </w:p>
          <w:p w:rsidR="64AA5A18" w:rsidP="64AA5A18" w:rsidRDefault="64AA5A18" w14:paraId="5636EFDE" w14:textId="65DB171A">
            <w:pPr>
              <w:pStyle w:val="ListParagraph"/>
              <w:numPr>
                <w:ilvl w:val="0"/>
                <w:numId w:val="14"/>
              </w:numPr>
              <w:spacing w:line="360" w:lineRule="auto"/>
              <w:rPr>
                <w:rFonts w:ascii="Arial" w:hAnsi="Arial" w:eastAsia="Arial" w:cs="Arial"/>
                <w:noProof w:val="0"/>
                <w:sz w:val="24"/>
                <w:szCs w:val="24"/>
                <w:lang w:val="en-GB"/>
              </w:rPr>
            </w:pPr>
            <w:r w:rsidRPr="64AA5A18" w:rsidR="64AA5A18">
              <w:rPr>
                <w:rFonts w:ascii="Arial" w:hAnsi="Arial" w:eastAsia="Arial" w:cs="Arial"/>
                <w:noProof w:val="0"/>
                <w:sz w:val="24"/>
                <w:szCs w:val="24"/>
                <w:lang w:val="en-GB"/>
              </w:rPr>
              <w:t>Weak execution limits AI-driven gains.</w:t>
            </w:r>
          </w:p>
          <w:p w:rsidR="64AA5A18" w:rsidP="64AA5A18" w:rsidRDefault="64AA5A18" w14:paraId="4FBC4AA1" w14:textId="45EC373E">
            <w:pPr>
              <w:pStyle w:val="Normal"/>
              <w:bidi w:val="0"/>
              <w:spacing w:before="210" w:beforeAutospacing="off" w:after="210" w:afterAutospacing="off" w:line="360" w:lineRule="auto"/>
              <w:rPr>
                <w:rFonts w:ascii="Arial" w:hAnsi="Arial" w:eastAsia="Arial" w:cs="Arial" w:asciiTheme="minorAscii" w:hAnsiTheme="minorAscii" w:eastAsiaTheme="minorAscii" w:cstheme="minorAscii"/>
                <w:noProof w:val="0"/>
                <w:color w:val="auto"/>
                <w:sz w:val="24"/>
                <w:szCs w:val="24"/>
                <w:lang w:val="en-GB"/>
              </w:rPr>
            </w:pPr>
            <w:r w:rsidRPr="64AA5A18" w:rsidR="64AA5A1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64AA5A18" w:rsidR="64AA5A1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(H&amp;M GROUP PRESS RELEASE, n.d.)</w:t>
            </w:r>
          </w:p>
          <w:p w:rsidR="64AA5A18" w:rsidP="64AA5A18" w:rsidRDefault="64AA5A18" w14:paraId="28729117" w14:textId="6F277419">
            <w:pPr>
              <w:pStyle w:val="ListParagraph"/>
              <w:spacing w:line="360" w:lineRule="auto"/>
              <w:ind w:left="720"/>
              <w:rPr>
                <w:rFonts w:ascii="Arial" w:hAnsi="Arial" w:eastAsia="Arial" w:cs="Arial"/>
                <w:noProof w:val="0"/>
                <w:sz w:val="24"/>
                <w:szCs w:val="24"/>
                <w:lang w:val="en-GB"/>
              </w:rPr>
            </w:pPr>
          </w:p>
        </w:tc>
      </w:tr>
    </w:tbl>
    <w:p xmlns:wp14="http://schemas.microsoft.com/office/word/2010/wordml" w:rsidP="64AA5A18" wp14:paraId="3B2D5FEE" wp14:textId="1CF7C885">
      <w:pPr>
        <w:pStyle w:val="Normal"/>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2A48063E" wp14:textId="2475D1EA">
      <w:pPr>
        <w:pStyle w:val="Normal"/>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0E713E85" wp14:textId="7A180195">
      <w:pPr>
        <w:pStyle w:val="Normal"/>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03F0EA78" wp14:textId="30C274DB">
      <w:pPr>
        <w:pStyle w:val="Normal"/>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64AA5A18" wp14:paraId="5AF8A027" wp14:textId="68792ABB">
      <w:pPr>
        <w:pStyle w:val="Normal"/>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4AA5A18" w:rsidR="4F790B1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ZARA</w:t>
      </w:r>
      <w:r w:rsidRPr="64AA5A18" w:rsidR="4F790B1F">
        <w:rPr>
          <w:rFonts w:ascii="Arial" w:hAnsi="Arial" w:eastAsia="Arial" w:cs="Arial" w:asciiTheme="minorAscii" w:hAnsiTheme="minorAscii" w:eastAsiaTheme="minorAscii" w:cstheme="minorAscii"/>
          <w:b w:val="1"/>
          <w:bCs w:val="1"/>
          <w:i w:val="0"/>
          <w:iCs w:val="0"/>
          <w:noProof w:val="0"/>
          <w:color w:val="auto"/>
          <w:sz w:val="24"/>
          <w:szCs w:val="24"/>
          <w:lang w:val="en-GB"/>
        </w:rPr>
        <w:t xml:space="preserve"> – Competitive Positioning Summary</w:t>
      </w:r>
    </w:p>
    <w:p xmlns:wp14="http://schemas.microsoft.com/office/word/2010/wordml" w:rsidP="64AA5A18" wp14:paraId="2D4DEE39" wp14:textId="4128AC08">
      <w:pPr>
        <w:pStyle w:val="ListParagraph"/>
        <w:keepNext w:val="1"/>
        <w:keepLines w:val="1"/>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A leading global fast‑fashion brand, Zara excels at rapidly translating trends into products through a vertically integrated and nearshored supply chain.</w:t>
      </w:r>
    </w:p>
    <w:p xmlns:wp14="http://schemas.microsoft.com/office/word/2010/wordml" w:rsidP="64AA5A18" wp14:paraId="37E5F41B" wp14:textId="755B8003">
      <w:pPr>
        <w:pStyle w:val="ListParagraph"/>
        <w:keepNext w:val="1"/>
        <w:keepLines w:val="1"/>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High operational agility</w:t>
      </w:r>
      <w:r w:rsidRPr="64AA5A18" w:rsidR="3468B7A4">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underpinned by RFID and AI</w:t>
      </w:r>
      <w:r w:rsidRPr="64AA5A18" w:rsidR="48E88C2D">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helps minimise overproduction, reduce markdowns, and protect margins.</w:t>
      </w:r>
    </w:p>
    <w:p xmlns:wp14="http://schemas.microsoft.com/office/word/2010/wordml" w:rsidP="64AA5A18" wp14:paraId="52CC1344" wp14:textId="3F0F705A">
      <w:pPr>
        <w:pStyle w:val="ListParagraph"/>
        <w:keepNext w:val="1"/>
        <w:keepLines w:val="1"/>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 xml:space="preserve">Strong </w:t>
      </w:r>
      <w:r w:rsidRPr="64AA5A18" w:rsidR="7D2F64BB">
        <w:rPr>
          <w:rFonts w:ascii="Arial" w:hAnsi="Arial" w:eastAsia="Arial" w:cs="Arial" w:asciiTheme="minorAscii" w:hAnsiTheme="minorAscii" w:eastAsiaTheme="minorAscii" w:cstheme="minorAscii"/>
          <w:b w:val="0"/>
          <w:bCs w:val="0"/>
          <w:i w:val="0"/>
          <w:iCs w:val="0"/>
          <w:noProof w:val="0"/>
          <w:sz w:val="24"/>
          <w:szCs w:val="24"/>
          <w:lang w:val="en-GB"/>
        </w:rPr>
        <w:t>o</w:t>
      </w: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verall, Zara’s competitive strength lies in combining speed, efficiency, and regulatory readiness in a way that is difficult for rivals to replicate.</w:t>
      </w:r>
    </w:p>
    <w:p xmlns:wp14="http://schemas.microsoft.com/office/word/2010/wordml" w:rsidP="368B97FF" wp14:paraId="65C7D353" wp14:textId="50067EC0">
      <w:pPr>
        <w:pStyle w:val="ListParagraph"/>
        <w:keepNext w:val="1"/>
        <w:keepLines w:val="1"/>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368B97FF" w:rsidR="62C52B2F">
        <w:rPr>
          <w:rFonts w:ascii="Arial" w:hAnsi="Arial" w:eastAsia="Arial" w:cs="Arial" w:asciiTheme="minorAscii" w:hAnsiTheme="minorAscii" w:eastAsiaTheme="minorAscii" w:cstheme="minorAscii"/>
          <w:b w:val="0"/>
          <w:bCs w:val="0"/>
          <w:i w:val="0"/>
          <w:iCs w:val="0"/>
          <w:noProof w:val="0"/>
          <w:sz w:val="24"/>
          <w:szCs w:val="24"/>
          <w:lang w:val="en-GB"/>
        </w:rPr>
        <w:t>E</w:t>
      </w:r>
      <w:r w:rsidRPr="368B97FF" w:rsidR="3ED38D09">
        <w:rPr>
          <w:rFonts w:ascii="Arial" w:hAnsi="Arial" w:eastAsia="Arial" w:cs="Arial" w:asciiTheme="minorAscii" w:hAnsiTheme="minorAscii" w:eastAsiaTheme="minorAscii" w:cstheme="minorAscii"/>
          <w:b w:val="0"/>
          <w:bCs w:val="0"/>
          <w:i w:val="0"/>
          <w:iCs w:val="0"/>
          <w:noProof w:val="0"/>
          <w:sz w:val="24"/>
          <w:szCs w:val="24"/>
          <w:lang w:val="en-GB"/>
        </w:rPr>
        <w:t>quity and trend‑driven, affordable fashion enable broad customer appeal across markets.</w:t>
      </w:r>
    </w:p>
    <w:p xmlns:wp14="http://schemas.microsoft.com/office/word/2010/wordml" w:rsidP="368B97FF" wp14:paraId="6864CAEB" wp14:textId="5202521D">
      <w:pPr>
        <w:pStyle w:val="ListParagraph"/>
        <w:keepNext w:val="1"/>
        <w:keepLines w:val="1"/>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368B97FF" w:rsidR="3ED38D09">
        <w:rPr>
          <w:rFonts w:ascii="Arial" w:hAnsi="Arial" w:eastAsia="Arial" w:cs="Arial" w:asciiTheme="minorAscii" w:hAnsiTheme="minorAscii" w:eastAsiaTheme="minorAscii" w:cstheme="minorAscii"/>
          <w:b w:val="0"/>
          <w:bCs w:val="0"/>
          <w:i w:val="0"/>
          <w:iCs w:val="0"/>
          <w:noProof w:val="0"/>
          <w:sz w:val="24"/>
          <w:szCs w:val="24"/>
          <w:lang w:val="en-GB"/>
        </w:rPr>
        <w:t>It</w:t>
      </w:r>
      <w:r w:rsidRPr="368B97FF" w:rsidR="40267A2C">
        <w:rPr>
          <w:rFonts w:ascii="Arial" w:hAnsi="Arial" w:eastAsia="Arial" w:cs="Arial" w:asciiTheme="minorAscii" w:hAnsiTheme="minorAscii" w:eastAsiaTheme="minorAscii" w:cstheme="minorAscii"/>
          <w:b w:val="0"/>
          <w:bCs w:val="0"/>
          <w:i w:val="0"/>
          <w:iCs w:val="0"/>
          <w:noProof w:val="0"/>
          <w:sz w:val="24"/>
          <w:szCs w:val="24"/>
          <w:lang w:val="en-GB"/>
        </w:rPr>
        <w:t xml:space="preserve"> is</w:t>
      </w:r>
      <w:r w:rsidRPr="368B97FF" w:rsidR="3ED38D09">
        <w:rPr>
          <w:rFonts w:ascii="Arial" w:hAnsi="Arial" w:eastAsia="Arial" w:cs="Arial" w:asciiTheme="minorAscii" w:hAnsiTheme="minorAscii" w:eastAsiaTheme="minorAscii" w:cstheme="minorAscii"/>
          <w:b w:val="0"/>
          <w:bCs w:val="0"/>
          <w:i w:val="0"/>
          <w:iCs w:val="0"/>
          <w:noProof w:val="0"/>
          <w:sz w:val="24"/>
          <w:szCs w:val="24"/>
          <w:lang w:val="en-GB"/>
        </w:rPr>
        <w:t xml:space="preserve"> data‑rich, transparent supply chain positions Zara favourably for upcoming EU sustainability requirements such as ESPR and Digital Product Passports, turning compliance into a strategic advantage.</w:t>
      </w:r>
    </w:p>
    <w:p xmlns:wp14="http://schemas.microsoft.com/office/word/2010/wordml" w:rsidP="64AA5A18" wp14:paraId="36120E65" wp14:textId="0CFDC23B">
      <w:pPr>
        <w:pStyle w:val="ListParagraph"/>
        <w:keepNext w:val="1"/>
        <w:keepLines w:val="1"/>
        <w:numPr>
          <w:ilvl w:val="0"/>
          <w:numId w:val="2"/>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3ED38D09">
        <w:rPr>
          <w:rFonts w:ascii="Arial" w:hAnsi="Arial" w:eastAsia="Arial" w:cs="Arial" w:asciiTheme="minorAscii" w:hAnsiTheme="minorAscii" w:eastAsiaTheme="minorAscii" w:cstheme="minorAscii"/>
          <w:b w:val="0"/>
          <w:bCs w:val="0"/>
          <w:i w:val="0"/>
          <w:iCs w:val="0"/>
          <w:noProof w:val="0"/>
          <w:sz w:val="24"/>
          <w:szCs w:val="24"/>
          <w:lang w:val="en-GB"/>
        </w:rPr>
        <w:t>Key pressures include competition from ultra‑fast fashion players, rising imitation, and ongoing scrutiny of sustainability performance.</w:t>
      </w:r>
    </w:p>
    <w:p xmlns:wp14="http://schemas.microsoft.com/office/word/2010/wordml" w:rsidP="64AA5A18" wp14:paraId="1FAF0C76" wp14:textId="349CD201">
      <w:pPr>
        <w:keepNext w:val="1"/>
        <w:keepLines w:val="1"/>
        <w:spacing w:before="0" w:beforeAutospacing="off" w:after="0" w:afterAutospacing="off" w:line="360" w:lineRule="auto"/>
        <w:rPr>
          <w:rFonts w:ascii="Arial" w:hAnsi="Arial" w:eastAsia="Arial" w:cs="Arial" w:asciiTheme="minorAscii" w:hAnsiTheme="minorAscii" w:eastAsiaTheme="minorAscii" w:cstheme="minorAscii"/>
          <w:color w:val="auto"/>
          <w:sz w:val="24"/>
          <w:szCs w:val="24"/>
        </w:rPr>
      </w:pPr>
    </w:p>
    <w:p xmlns:wp14="http://schemas.microsoft.com/office/word/2010/wordml" w:rsidP="64AA5A18" wp14:paraId="639CEC01" wp14:textId="536900E7">
      <w:pPr>
        <w:pStyle w:val="Heading3"/>
        <w:keepNext w:val="1"/>
        <w:keepLines w:val="1"/>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bookmarkStart w:name="_Toc1908681046" w:id="740337969"/>
      <w:r w:rsidRPr="64AA5A18" w:rsidR="20CCE946">
        <w:rPr>
          <w:rFonts w:ascii="Arial" w:hAnsi="Arial" w:eastAsia="Arial" w:cs="Arial" w:asciiTheme="minorAscii" w:hAnsiTheme="minorAscii" w:eastAsiaTheme="minorAscii" w:cstheme="minorAscii"/>
          <w:b w:val="1"/>
          <w:bCs w:val="1"/>
          <w:i w:val="0"/>
          <w:iCs w:val="0"/>
          <w:noProof w:val="0"/>
          <w:color w:val="auto"/>
          <w:sz w:val="24"/>
          <w:szCs w:val="24"/>
          <w:lang w:val="en-GB"/>
        </w:rPr>
        <w:t>H&amp;M – Competitive Positioning Summar</w:t>
      </w:r>
      <w:r w:rsidRPr="64AA5A18" w:rsidR="1123B169">
        <w:rPr>
          <w:rFonts w:ascii="Arial" w:hAnsi="Arial" w:eastAsia="Arial" w:cs="Arial" w:asciiTheme="minorAscii" w:hAnsiTheme="minorAscii" w:eastAsiaTheme="minorAscii" w:cstheme="minorAscii"/>
          <w:b w:val="1"/>
          <w:bCs w:val="1"/>
          <w:i w:val="0"/>
          <w:iCs w:val="0"/>
          <w:noProof w:val="0"/>
          <w:color w:val="auto"/>
          <w:sz w:val="24"/>
          <w:szCs w:val="24"/>
          <w:lang w:val="en-GB"/>
        </w:rPr>
        <w:t>y</w:t>
      </w:r>
      <w:bookmarkEnd w:id="740337969"/>
    </w:p>
    <w:p xmlns:wp14="http://schemas.microsoft.com/office/word/2010/wordml" w:rsidP="64AA5A18" wp14:paraId="54B80224" wp14:textId="016A599D">
      <w:pPr>
        <w:pStyle w:val="ListParagraph"/>
        <w:keepNext w:val="1"/>
        <w:keepLines w:val="1"/>
        <w:numPr>
          <w:ilvl w:val="0"/>
          <w:numId w:val="1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H&amp;M is a major global fashion retailer recognised for accessible, trend‑focused apparel and strong sustainability messaging.</w:t>
      </w:r>
    </w:p>
    <w:p xmlns:wp14="http://schemas.microsoft.com/office/word/2010/wordml" w:rsidP="64AA5A18" wp14:paraId="57BCAC1C" wp14:textId="4F2737EB">
      <w:pPr>
        <w:pStyle w:val="ListParagraph"/>
        <w:keepNext w:val="1"/>
        <w:keepLines w:val="1"/>
        <w:numPr>
          <w:ilvl w:val="0"/>
          <w:numId w:val="1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Its wide international footprint, combined with investments in material innovation and emissions reduction, strengthens credibility with environmentally conscious consumers.</w:t>
      </w:r>
    </w:p>
    <w:p xmlns:wp14="http://schemas.microsoft.com/office/word/2010/wordml" w:rsidP="64AA5A18" wp14:paraId="5C74332E" wp14:textId="490464BD">
      <w:pPr>
        <w:pStyle w:val="ListParagraph"/>
        <w:keepNext w:val="1"/>
        <w:keepLines w:val="1"/>
        <w:numPr>
          <w:ilvl w:val="0"/>
          <w:numId w:val="1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The company’s growing use of AI and data‑driven forecasting offers opportunities for better inventory accuracy and operational efficiency.</w:t>
      </w:r>
    </w:p>
    <w:p xmlns:wp14="http://schemas.microsoft.com/office/word/2010/wordml" w:rsidP="64AA5A18" wp14:paraId="7B8619C7" wp14:textId="26890279">
      <w:pPr>
        <w:pStyle w:val="ListParagraph"/>
        <w:keepNext w:val="1"/>
        <w:keepLines w:val="1"/>
        <w:numPr>
          <w:ilvl w:val="0"/>
          <w:numId w:val="1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However, its speed‑to‑market </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lags behind</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ultra‑fast competitors such as Zara, limiting its ability to capitalise on rapid trend cycles.</w:t>
      </w:r>
    </w:p>
    <w:p xmlns:wp14="http://schemas.microsoft.com/office/word/2010/wordml" w:rsidP="64AA5A18" wp14:paraId="1CA6529F" wp14:textId="05BAA74D">
      <w:pPr>
        <w:pStyle w:val="ListParagraph"/>
        <w:keepNext w:val="1"/>
        <w:keepLines w:val="1"/>
        <w:numPr>
          <w:ilvl w:val="0"/>
          <w:numId w:val="1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Margin pressures </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remain</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significant, driven by price‑sensitive shoppers and rising regulatory compliance costs across the EU and UK.</w:t>
      </w:r>
    </w:p>
    <w:p xmlns:wp14="http://schemas.microsoft.com/office/word/2010/wordml" w:rsidP="64AA5A18" wp14:paraId="5BFA3F8E" wp14:textId="1E2A7A0F">
      <w:pPr>
        <w:pStyle w:val="ListParagraph"/>
        <w:keepNext w:val="1"/>
        <w:keepLines w:val="1"/>
        <w:numPr>
          <w:ilvl w:val="0"/>
          <w:numId w:val="19"/>
        </w:num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Maintaining</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competitiveness will depend on H&amp;M’s ability to convert its digital investments and sustainability commitments into tangible improvements in efficiency, cost </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control</w:t>
      </w:r>
      <w:r w:rsidRPr="64AA5A18" w:rsidR="20CCE946">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and responsiveness.</w:t>
      </w:r>
    </w:p>
    <w:p xmlns:wp14="http://schemas.microsoft.com/office/word/2010/wordml" w:rsidP="64AA5A18" wp14:paraId="24491E74" wp14:textId="060CF248">
      <w:pPr>
        <w:pStyle w:val="Normal"/>
        <w:keepNext w:val="1"/>
        <w:keepLines w:val="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p xmlns:wp14="http://schemas.microsoft.com/office/word/2010/wordml" w:rsidP="64AA5A18" wp14:paraId="0F1C13B9" wp14:textId="0B5C500F">
      <w:pPr>
        <w:pStyle w:val="Normal"/>
        <w:keepNext w:val="1"/>
        <w:keepLines w:val="1"/>
        <w:spacing w:line="360" w:lineRule="auto"/>
        <w:rPr>
          <w:noProof w:val="0"/>
          <w:sz w:val="24"/>
          <w:szCs w:val="24"/>
          <w:lang w:val="en-GB"/>
        </w:rPr>
      </w:pPr>
    </w:p>
    <w:p xmlns:wp14="http://schemas.microsoft.com/office/word/2010/wordml" w:rsidP="64AA5A18" wp14:paraId="789F0BF0" wp14:textId="214BFA29">
      <w:pPr>
        <w:pStyle w:val="Normal"/>
        <w:keepNext w:val="1"/>
        <w:keepLines w:val="1"/>
        <w:spacing w:line="360" w:lineRule="auto"/>
        <w:rPr>
          <w:noProof w:val="0"/>
          <w:sz w:val="24"/>
          <w:szCs w:val="24"/>
          <w:lang w:val="en-GB"/>
        </w:rPr>
      </w:pPr>
    </w:p>
    <w:p xmlns:wp14="http://schemas.microsoft.com/office/word/2010/wordml" w:rsidP="64AA5A18" wp14:paraId="7CD8505F" wp14:textId="3E392D9C">
      <w:pPr>
        <w:pStyle w:val="Heading3"/>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bookmarkStart w:name="_Toc1251369823" w:id="1755800961"/>
      <w:r w:rsidRPr="64AA5A18" w:rsidR="768B4F76">
        <w:rPr>
          <w:rFonts w:ascii="Arial" w:hAnsi="Arial" w:eastAsia="Arial" w:cs="Arial" w:asciiTheme="minorAscii" w:hAnsiTheme="minorAscii" w:eastAsiaTheme="minorAscii" w:cstheme="minorAscii"/>
          <w:b w:val="1"/>
          <w:bCs w:val="1"/>
          <w:noProof w:val="0"/>
          <w:color w:val="auto"/>
          <w:sz w:val="24"/>
          <w:szCs w:val="24"/>
          <w:lang w:val="en-GB"/>
        </w:rPr>
        <w:t>Recommendations</w:t>
      </w:r>
      <w:bookmarkEnd w:id="1755800961"/>
    </w:p>
    <w:tbl>
      <w:tblPr>
        <w:tblStyle w:val="TableGrid"/>
        <w:tblW w:w="0" w:type="auto"/>
        <w:tblLook w:val="06A0" w:firstRow="1" w:lastRow="0" w:firstColumn="1" w:lastColumn="0" w:noHBand="1" w:noVBand="1"/>
      </w:tblPr>
      <w:tblGrid>
        <w:gridCol w:w="4680"/>
        <w:gridCol w:w="4680"/>
      </w:tblGrid>
      <w:tr w:rsidR="64AA5A18" w:rsidTr="64AA5A18" w14:paraId="46E25D85">
        <w:trPr>
          <w:trHeight w:val="300"/>
        </w:trPr>
        <w:tc>
          <w:tcPr>
            <w:tcW w:w="4680" w:type="dxa"/>
            <w:tcMar/>
          </w:tcPr>
          <w:p w:rsidR="768B4F76" w:rsidP="64AA5A18" w:rsidRDefault="768B4F76" w14:paraId="11429306" w14:textId="75B7D09C">
            <w:pPr>
              <w:pStyle w:val="Normal"/>
              <w:spacing w:line="360" w:lineRule="auto"/>
              <w:rPr>
                <w:rFonts w:ascii="Arial" w:hAnsi="Arial" w:eastAsia="Arial" w:cs="Arial" w:asciiTheme="minorAscii" w:hAnsiTheme="minorAscii" w:eastAsiaTheme="minorAscii" w:cstheme="minorAscii"/>
                <w:b w:val="1"/>
                <w:bCs w:val="1"/>
                <w:noProof w:val="0"/>
                <w:color w:val="auto"/>
                <w:sz w:val="24"/>
                <w:szCs w:val="24"/>
                <w:lang w:val="en-GB"/>
              </w:rPr>
            </w:pPr>
            <w:r w:rsidRPr="64AA5A18" w:rsidR="768B4F76">
              <w:rPr>
                <w:rFonts w:ascii="Arial" w:hAnsi="Arial" w:eastAsia="Arial" w:cs="Arial" w:asciiTheme="minorAscii" w:hAnsiTheme="minorAscii" w:eastAsiaTheme="minorAscii" w:cstheme="minorAscii"/>
                <w:b w:val="1"/>
                <w:bCs w:val="1"/>
                <w:noProof w:val="0"/>
                <w:color w:val="auto"/>
                <w:sz w:val="24"/>
                <w:szCs w:val="24"/>
                <w:lang w:val="en-GB"/>
              </w:rPr>
              <w:t>Zara</w:t>
            </w:r>
          </w:p>
        </w:tc>
        <w:tc>
          <w:tcPr>
            <w:tcW w:w="4680" w:type="dxa"/>
            <w:tcMar/>
          </w:tcPr>
          <w:p w:rsidR="768B4F76" w:rsidP="64AA5A18" w:rsidRDefault="768B4F76" w14:paraId="2CD03026" w14:textId="4426560F">
            <w:pPr>
              <w:pStyle w:val="Normal"/>
              <w:spacing w:line="360" w:lineRule="auto"/>
              <w:rPr>
                <w:rFonts w:ascii="Arial" w:hAnsi="Arial" w:eastAsia="Arial" w:cs="Arial" w:asciiTheme="minorAscii" w:hAnsiTheme="minorAscii" w:eastAsiaTheme="minorAscii" w:cstheme="minorAscii"/>
                <w:b w:val="1"/>
                <w:bCs w:val="1"/>
                <w:noProof w:val="0"/>
                <w:color w:val="auto"/>
                <w:sz w:val="24"/>
                <w:szCs w:val="24"/>
                <w:lang w:val="en-GB"/>
              </w:rPr>
            </w:pPr>
            <w:r w:rsidRPr="64AA5A18" w:rsidR="768B4F76">
              <w:rPr>
                <w:rFonts w:ascii="Arial" w:hAnsi="Arial" w:eastAsia="Arial" w:cs="Arial" w:asciiTheme="minorAscii" w:hAnsiTheme="minorAscii" w:eastAsiaTheme="minorAscii" w:cstheme="minorAscii"/>
                <w:b w:val="1"/>
                <w:bCs w:val="1"/>
                <w:noProof w:val="0"/>
                <w:color w:val="auto"/>
                <w:sz w:val="24"/>
                <w:szCs w:val="24"/>
                <w:lang w:val="en-GB"/>
              </w:rPr>
              <w:t>H&amp;M</w:t>
            </w:r>
          </w:p>
        </w:tc>
      </w:tr>
      <w:tr w:rsidR="64AA5A18" w:rsidTr="64AA5A18" w14:paraId="5948093A">
        <w:trPr>
          <w:trHeight w:val="300"/>
        </w:trPr>
        <w:tc>
          <w:tcPr>
            <w:tcW w:w="4680" w:type="dxa"/>
            <w:tcMar/>
          </w:tcPr>
          <w:p w:rsidR="768B4F76" w:rsidP="64AA5A18" w:rsidRDefault="768B4F76" w14:paraId="6C116F30" w14:textId="2994FA4A">
            <w:pPr>
              <w:pStyle w:val="ListParagraph"/>
              <w:numPr>
                <w:ilvl w:val="0"/>
                <w:numId w:val="16"/>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Leverage Regulatory Alignment:</w:t>
            </w:r>
            <w:r w:rsidRPr="64AA5A18" w:rsidR="768B4F76">
              <w:rPr>
                <w:rFonts w:ascii="Arial" w:hAnsi="Arial" w:eastAsia="Arial" w:cs="Arial" w:asciiTheme="minorAscii" w:hAnsiTheme="minorAscii" w:eastAsiaTheme="minorAscii" w:cstheme="minorAscii"/>
                <w:noProof w:val="0"/>
                <w:sz w:val="24"/>
                <w:szCs w:val="24"/>
                <w:lang w:val="en-GB"/>
              </w:rPr>
              <w:t xml:space="preserve"> Use ESPR and DPP compliance as a marketing tool to strengthen brand trust and differentiate from competitors.</w:t>
            </w:r>
          </w:p>
          <w:p w:rsidR="768B4F76" w:rsidP="64AA5A18" w:rsidRDefault="768B4F76" w14:paraId="745728B6" w14:textId="267D7C22">
            <w:pPr>
              <w:pStyle w:val="ListParagraph"/>
              <w:numPr>
                <w:ilvl w:val="0"/>
                <w:numId w:val="16"/>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Expand Circular Initiatives:</w:t>
            </w:r>
            <w:r w:rsidRPr="64AA5A18" w:rsidR="768B4F76">
              <w:rPr>
                <w:rFonts w:ascii="Arial" w:hAnsi="Arial" w:eastAsia="Arial" w:cs="Arial" w:asciiTheme="minorAscii" w:hAnsiTheme="minorAscii" w:eastAsiaTheme="minorAscii" w:cstheme="minorAscii"/>
                <w:noProof w:val="0"/>
                <w:sz w:val="24"/>
                <w:szCs w:val="24"/>
                <w:lang w:val="en-GB"/>
              </w:rPr>
              <w:t xml:space="preserve"> Introduce repair, resale, and recycling programs to further reduce waste and align with EU textile regulations.</w:t>
            </w:r>
          </w:p>
          <w:p w:rsidR="768B4F76" w:rsidP="64AA5A18" w:rsidRDefault="768B4F76" w14:paraId="71A2292D" w14:textId="5A839568">
            <w:pPr>
              <w:pStyle w:val="ListParagraph"/>
              <w:numPr>
                <w:ilvl w:val="0"/>
                <w:numId w:val="16"/>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Maintain Agility:</w:t>
            </w:r>
            <w:r w:rsidRPr="64AA5A18" w:rsidR="768B4F76">
              <w:rPr>
                <w:rFonts w:ascii="Arial" w:hAnsi="Arial" w:eastAsia="Arial" w:cs="Arial" w:asciiTheme="minorAscii" w:hAnsiTheme="minorAscii" w:eastAsiaTheme="minorAscii" w:cstheme="minorAscii"/>
                <w:noProof w:val="0"/>
                <w:sz w:val="24"/>
                <w:szCs w:val="24"/>
                <w:lang w:val="en-GB"/>
              </w:rPr>
              <w:t xml:space="preserve"> Continue nearshoring and rapid replenishment strategies to sustain speed-to-market advantage over ultra-fast fashion rivals.</w:t>
            </w:r>
          </w:p>
          <w:p w:rsidR="768B4F76" w:rsidP="64AA5A18" w:rsidRDefault="768B4F76" w14:paraId="160182DB" w14:textId="6F11AC9C">
            <w:pPr>
              <w:pStyle w:val="ListParagraph"/>
              <w:numPr>
                <w:ilvl w:val="0"/>
                <w:numId w:val="16"/>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Enhance Sustainability Communication:</w:t>
            </w:r>
            <w:r w:rsidRPr="64AA5A18" w:rsidR="768B4F76">
              <w:rPr>
                <w:rFonts w:ascii="Arial" w:hAnsi="Arial" w:eastAsia="Arial" w:cs="Arial" w:asciiTheme="minorAscii" w:hAnsiTheme="minorAscii" w:eastAsiaTheme="minorAscii" w:cstheme="minorAscii"/>
                <w:noProof w:val="0"/>
                <w:sz w:val="24"/>
                <w:szCs w:val="24"/>
                <w:lang w:val="en-GB"/>
              </w:rPr>
              <w:t xml:space="preserve"> Proactively communicate eco-friendly practices to pre-empt greenwashing scrutiny.</w:t>
            </w:r>
          </w:p>
          <w:p w:rsidR="64AA5A18" w:rsidP="64AA5A18" w:rsidRDefault="64AA5A18" w14:paraId="7F7C1004" w14:textId="20426338">
            <w:pPr>
              <w:pStyle w:val="Normal"/>
              <w:spacing w:line="360" w:lineRule="auto"/>
              <w:rPr>
                <w:noProof w:val="0"/>
                <w:sz w:val="24"/>
                <w:szCs w:val="24"/>
                <w:lang w:val="en-GB"/>
              </w:rPr>
            </w:pPr>
          </w:p>
        </w:tc>
        <w:tc>
          <w:tcPr>
            <w:tcW w:w="4680" w:type="dxa"/>
            <w:tcMar/>
          </w:tcPr>
          <w:p w:rsidR="64AA5A18" w:rsidP="64AA5A18" w:rsidRDefault="64AA5A18" w14:paraId="7E6E4B63" w14:textId="7364ECBE">
            <w:pPr>
              <w:pStyle w:val="Normal"/>
              <w:spacing w:line="360" w:lineRule="auto"/>
              <w:rPr>
                <w:noProof w:val="0"/>
                <w:sz w:val="24"/>
                <w:szCs w:val="24"/>
                <w:lang w:val="en-GB"/>
              </w:rPr>
            </w:pPr>
          </w:p>
          <w:p w:rsidR="768B4F76" w:rsidP="64AA5A18" w:rsidRDefault="768B4F76" w14:paraId="01AEFBB8" w14:textId="1342AA95">
            <w:pPr>
              <w:pStyle w:val="ListParagraph"/>
              <w:numPr>
                <w:ilvl w:val="0"/>
                <w:numId w:val="17"/>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Accelerate Operational Agility:</w:t>
            </w:r>
            <w:r w:rsidRPr="64AA5A18" w:rsidR="768B4F76">
              <w:rPr>
                <w:rFonts w:ascii="Arial" w:hAnsi="Arial" w:eastAsia="Arial" w:cs="Arial" w:asciiTheme="minorAscii" w:hAnsiTheme="minorAscii" w:eastAsiaTheme="minorAscii" w:cstheme="minorAscii"/>
                <w:noProof w:val="0"/>
                <w:sz w:val="24"/>
                <w:szCs w:val="24"/>
                <w:lang w:val="en-GB"/>
              </w:rPr>
              <w:t xml:space="preserve"> Translate AI and data insights into faster, more flexible supply chain responses to reduce overproduction and meet regulatory requirements.</w:t>
            </w:r>
          </w:p>
          <w:p w:rsidR="768B4F76" w:rsidP="64AA5A18" w:rsidRDefault="768B4F76" w14:paraId="1D291F14" w14:textId="7F2DBFE1">
            <w:pPr>
              <w:pStyle w:val="ListParagraph"/>
              <w:numPr>
                <w:ilvl w:val="0"/>
                <w:numId w:val="17"/>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Strengthen Circular and Sustainable Practices:</w:t>
            </w:r>
            <w:r w:rsidRPr="64AA5A18" w:rsidR="768B4F76">
              <w:rPr>
                <w:rFonts w:ascii="Arial" w:hAnsi="Arial" w:eastAsia="Arial" w:cs="Arial" w:asciiTheme="minorAscii" w:hAnsiTheme="minorAscii" w:eastAsiaTheme="minorAscii" w:cstheme="minorAscii"/>
                <w:noProof w:val="0"/>
                <w:sz w:val="24"/>
                <w:szCs w:val="24"/>
                <w:lang w:val="en-GB"/>
              </w:rPr>
              <w:t xml:space="preserve"> Scale recycling, repair, and resale programs to align with EPR schemes and enhance brand credibility.</w:t>
            </w:r>
          </w:p>
          <w:p w:rsidR="768B4F76" w:rsidP="64AA5A18" w:rsidRDefault="768B4F76" w14:paraId="0338061D" w14:textId="1F8C3523">
            <w:pPr>
              <w:pStyle w:val="ListParagraph"/>
              <w:numPr>
                <w:ilvl w:val="0"/>
                <w:numId w:val="17"/>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Broaden Geographical Diversification:</w:t>
            </w:r>
            <w:r w:rsidRPr="64AA5A18" w:rsidR="768B4F76">
              <w:rPr>
                <w:rFonts w:ascii="Arial" w:hAnsi="Arial" w:eastAsia="Arial" w:cs="Arial" w:asciiTheme="minorAscii" w:hAnsiTheme="minorAscii" w:eastAsiaTheme="minorAscii" w:cstheme="minorAscii"/>
                <w:noProof w:val="0"/>
                <w:sz w:val="24"/>
                <w:szCs w:val="24"/>
                <w:lang w:val="en-GB"/>
              </w:rPr>
              <w:t xml:space="preserve"> Reduce dependence on European markets by expanding in Asia, Latin America, and other emerging regions.</w:t>
            </w:r>
          </w:p>
          <w:p w:rsidR="768B4F76" w:rsidP="64AA5A18" w:rsidRDefault="768B4F76" w14:paraId="5F6D62AB" w14:textId="3ADC215C">
            <w:pPr>
              <w:pStyle w:val="ListParagraph"/>
              <w:numPr>
                <w:ilvl w:val="0"/>
                <w:numId w:val="17"/>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Leverage Sustainability Leadership:</w:t>
            </w:r>
            <w:r w:rsidRPr="64AA5A18" w:rsidR="768B4F76">
              <w:rPr>
                <w:rFonts w:ascii="Arial" w:hAnsi="Arial" w:eastAsia="Arial" w:cs="Arial" w:asciiTheme="minorAscii" w:hAnsiTheme="minorAscii" w:eastAsiaTheme="minorAscii" w:cstheme="minorAscii"/>
                <w:noProof w:val="0"/>
                <w:sz w:val="24"/>
                <w:szCs w:val="24"/>
                <w:lang w:val="en-GB"/>
              </w:rPr>
              <w:t xml:space="preserve"> Use transparent, auditable sustainability claims under ECGT to build customer trust and differentiate from competitors.</w:t>
            </w:r>
          </w:p>
          <w:p w:rsidR="768B4F76" w:rsidP="64AA5A18" w:rsidRDefault="768B4F76" w14:paraId="6C4AACBE" w14:textId="1213E40C">
            <w:pPr>
              <w:pStyle w:val="ListParagraph"/>
              <w:numPr>
                <w:ilvl w:val="0"/>
                <w:numId w:val="17"/>
              </w:num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768B4F76">
              <w:rPr>
                <w:rFonts w:ascii="Arial" w:hAnsi="Arial" w:eastAsia="Arial" w:cs="Arial" w:asciiTheme="minorAscii" w:hAnsiTheme="minorAscii" w:eastAsiaTheme="minorAscii" w:cstheme="minorAscii"/>
                <w:b w:val="1"/>
                <w:bCs w:val="1"/>
                <w:noProof w:val="0"/>
                <w:sz w:val="24"/>
                <w:szCs w:val="24"/>
                <w:lang w:val="en-GB"/>
              </w:rPr>
              <w:t>Monitor Regulatory Impact:</w:t>
            </w:r>
            <w:r w:rsidRPr="64AA5A18" w:rsidR="768B4F76">
              <w:rPr>
                <w:rFonts w:ascii="Arial" w:hAnsi="Arial" w:eastAsia="Arial" w:cs="Arial" w:asciiTheme="minorAscii" w:hAnsiTheme="minorAscii" w:eastAsiaTheme="minorAscii" w:cstheme="minorAscii"/>
                <w:noProof w:val="0"/>
                <w:sz w:val="24"/>
                <w:szCs w:val="24"/>
                <w:lang w:val="en-GB"/>
              </w:rPr>
              <w:t xml:space="preserve"> </w:t>
            </w:r>
            <w:r w:rsidRPr="64AA5A18" w:rsidR="768B4F76">
              <w:rPr>
                <w:rFonts w:ascii="Arial" w:hAnsi="Arial" w:eastAsia="Arial" w:cs="Arial" w:asciiTheme="minorAscii" w:hAnsiTheme="minorAscii" w:eastAsiaTheme="minorAscii" w:cstheme="minorAscii"/>
                <w:noProof w:val="0"/>
                <w:sz w:val="24"/>
                <w:szCs w:val="24"/>
                <w:lang w:val="en-GB"/>
              </w:rPr>
              <w:t>Anticipate</w:t>
            </w:r>
            <w:r w:rsidRPr="64AA5A18" w:rsidR="768B4F76">
              <w:rPr>
                <w:rFonts w:ascii="Arial" w:hAnsi="Arial" w:eastAsia="Arial" w:cs="Arial" w:asciiTheme="minorAscii" w:hAnsiTheme="minorAscii" w:eastAsiaTheme="minorAscii" w:cstheme="minorAscii"/>
                <w:noProof w:val="0"/>
                <w:sz w:val="24"/>
                <w:szCs w:val="24"/>
                <w:lang w:val="en-GB"/>
              </w:rPr>
              <w:t xml:space="preserve"> compliance costs from ESPR, DPP, and eco-modulated fees, and integrate these into pricing and operational planning.</w:t>
            </w:r>
          </w:p>
          <w:p w:rsidR="64AA5A18" w:rsidP="64AA5A18" w:rsidRDefault="64AA5A18" w14:paraId="59C8F60F" w14:textId="07487688">
            <w:pPr>
              <w:pStyle w:val="Normal"/>
              <w:spacing w:line="360" w:lineRule="auto"/>
              <w:rPr>
                <w:noProof w:val="0"/>
                <w:sz w:val="24"/>
                <w:szCs w:val="24"/>
                <w:lang w:val="en-GB"/>
              </w:rPr>
            </w:pPr>
          </w:p>
        </w:tc>
      </w:tr>
    </w:tbl>
    <w:p xmlns:wp14="http://schemas.microsoft.com/office/word/2010/wordml" w:rsidP="64AA5A18" wp14:paraId="70F477F9" wp14:textId="4B187831">
      <w:pPr>
        <w:pStyle w:val="Heading3"/>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p>
    <w:p xmlns:wp14="http://schemas.microsoft.com/office/word/2010/wordml" w:rsidP="64AA5A18" wp14:paraId="4DE209CE" wp14:textId="29B0E72B">
      <w:pPr>
        <w:pStyle w:val="ListParagraph"/>
        <w:keepNext w:val="1"/>
        <w:keepLines w:val="1"/>
        <w:spacing w:before="240" w:beforeAutospacing="off" w:after="240" w:afterAutospacing="off" w:line="360" w:lineRule="auto"/>
        <w:ind w:left="720"/>
        <w:rPr>
          <w:rFonts w:ascii="Segoe UI" w:hAnsi="Segoe UI" w:eastAsia="Segoe UI" w:cs="Segoe UI"/>
          <w:noProof w:val="0"/>
          <w:sz w:val="24"/>
          <w:szCs w:val="24"/>
          <w:lang w:val="en-GB"/>
        </w:rPr>
      </w:pPr>
    </w:p>
    <w:p xmlns:wp14="http://schemas.microsoft.com/office/word/2010/wordml" w:rsidP="64AA5A18" wp14:paraId="6C516C5D" wp14:textId="060283BA">
      <w:pPr>
        <w:pStyle w:val="Normal"/>
        <w:keepNext w:val="1"/>
        <w:keepLines w:val="1"/>
        <w:spacing w:before="261" w:beforeAutospacing="off" w:after="261" w:afterAutospacing="off" w:line="360" w:lineRule="auto"/>
        <w:rPr>
          <w:rFonts w:ascii="Segoe UI" w:hAnsi="Segoe UI" w:eastAsia="Segoe UI" w:cs="Segoe UI"/>
          <w:noProof w:val="0"/>
          <w:sz w:val="24"/>
          <w:szCs w:val="24"/>
          <w:lang w:val="en-GB"/>
        </w:rPr>
      </w:pPr>
    </w:p>
    <w:p xmlns:wp14="http://schemas.microsoft.com/office/word/2010/wordml" w:rsidP="64AA5A18" wp14:paraId="41A0A7EF" wp14:textId="47DF3DBB">
      <w:pPr>
        <w:pStyle w:val="Normal"/>
        <w:keepNext w:val="1"/>
        <w:keepLines w:val="1"/>
        <w:spacing w:before="261" w:beforeAutospacing="off" w:after="261" w:afterAutospacing="off" w:line="360" w:lineRule="auto"/>
        <w:rPr>
          <w:sz w:val="24"/>
          <w:szCs w:val="24"/>
        </w:rPr>
      </w:pPr>
    </w:p>
    <w:p w:rsidR="2A18C7CB" w:rsidP="2A18C7CB" w:rsidRDefault="2A18C7CB" w14:paraId="2C408AB9" w14:textId="61E0FCA8">
      <w:pPr>
        <w:pStyle w:val="Normal"/>
        <w:keepNext w:val="1"/>
        <w:keepLines w:val="1"/>
        <w:spacing w:before="261" w:beforeAutospacing="off" w:after="261" w:afterAutospacing="off" w:line="360" w:lineRule="auto"/>
        <w:rPr>
          <w:sz w:val="24"/>
          <w:szCs w:val="24"/>
        </w:rPr>
      </w:pPr>
    </w:p>
    <w:p w:rsidR="2A18C7CB" w:rsidP="2A18C7CB" w:rsidRDefault="2A18C7CB" w14:paraId="5B08FB69" w14:textId="4D8BCA8D">
      <w:pPr>
        <w:pStyle w:val="Normal"/>
        <w:keepNext w:val="1"/>
        <w:keepLines w:val="1"/>
        <w:spacing w:before="261" w:beforeAutospacing="off" w:after="261" w:afterAutospacing="off" w:line="360" w:lineRule="auto"/>
        <w:rPr>
          <w:sz w:val="24"/>
          <w:szCs w:val="24"/>
        </w:rPr>
      </w:pPr>
    </w:p>
    <w:p w:rsidR="2A18C7CB" w:rsidP="2A18C7CB" w:rsidRDefault="2A18C7CB" w14:paraId="148EDCFB" w14:textId="503BB492">
      <w:pPr>
        <w:pStyle w:val="Normal"/>
        <w:keepNext w:val="1"/>
        <w:keepLines w:val="1"/>
        <w:spacing w:before="261" w:beforeAutospacing="off" w:after="261" w:afterAutospacing="off" w:line="360" w:lineRule="auto"/>
        <w:rPr>
          <w:sz w:val="24"/>
          <w:szCs w:val="24"/>
        </w:rPr>
      </w:pPr>
    </w:p>
    <w:p xmlns:wp14="http://schemas.microsoft.com/office/word/2010/wordml" w:rsidP="64AA5A18" wp14:paraId="18404549" wp14:textId="58224113">
      <w:pPr>
        <w:pStyle w:val="Heading2"/>
        <w:keepNext w:val="1"/>
        <w:keepLines w:val="1"/>
        <w:spacing w:before="261" w:beforeAutospacing="off" w:after="261" w:afterAutospacing="off" w:line="360" w:lineRule="auto"/>
        <w:rPr>
          <w:rFonts w:ascii="Segoe UI" w:hAnsi="Segoe UI" w:eastAsia="Segoe UI" w:cs="Segoe UI"/>
          <w:b w:val="1"/>
          <w:bCs w:val="1"/>
          <w:i w:val="0"/>
          <w:iCs w:val="0"/>
          <w:caps w:val="0"/>
          <w:smallCaps w:val="0"/>
          <w:noProof w:val="0"/>
          <w:color w:val="0F4761" w:themeColor="accent1" w:themeTint="FF" w:themeShade="BF"/>
          <w:sz w:val="24"/>
          <w:szCs w:val="24"/>
          <w:lang w:val="en-GB"/>
        </w:rPr>
      </w:pPr>
    </w:p>
    <w:p xmlns:wp14="http://schemas.microsoft.com/office/word/2010/wordml" w:rsidP="64AA5A18" wp14:paraId="73553AFE" wp14:textId="5EDB842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27750B1C" wp14:textId="16777ECA">
      <w:pPr>
        <w:pStyle w:val="Heading2"/>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US"/>
        </w:rPr>
      </w:pPr>
      <w:bookmarkStart w:name="_Toc429791653" w:id="1893034111"/>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Conclusion</w:t>
      </w:r>
      <w:bookmarkEnd w:id="1893034111"/>
    </w:p>
    <w:p xmlns:wp14="http://schemas.microsoft.com/office/word/2010/wordml" w:rsidP="64AA5A18" wp14:paraId="31F7431A" wp14:textId="41518C2C">
      <w:pPr>
        <w:spacing w:before="240" w:beforeAutospacing="off" w:after="240" w:afterAutospacing="off" w:line="360" w:lineRule="auto"/>
        <w:rPr>
          <w:rFonts w:ascii="Arial" w:hAnsi="Arial" w:eastAsia="Arial" w:cs="Arial"/>
          <w:noProof w:val="0"/>
          <w:sz w:val="24"/>
          <w:szCs w:val="24"/>
          <w:lang w:val="en-GB"/>
        </w:rPr>
      </w:pPr>
      <w:r w:rsidRPr="64AA5A18" w:rsidR="19872AB1">
        <w:rPr>
          <w:rFonts w:ascii="Arial" w:hAnsi="Arial" w:eastAsia="Arial" w:cs="Arial"/>
          <w:noProof w:val="0"/>
          <w:sz w:val="24"/>
          <w:szCs w:val="24"/>
          <w:lang w:val="en-GB"/>
        </w:rPr>
        <w:t>Regulation is embedding sustainability into formal, enforceable systems rather than leaving it as a voluntary branding exercise.</w:t>
      </w:r>
    </w:p>
    <w:p xmlns:wp14="http://schemas.microsoft.com/office/word/2010/wordml" w:rsidP="64AA5A18" wp14:paraId="3D9D4589" wp14:textId="0DB28E2E">
      <w:pPr>
        <w:spacing w:before="240" w:beforeAutospacing="off" w:after="240" w:afterAutospacing="off" w:line="360" w:lineRule="auto"/>
        <w:rPr>
          <w:rFonts w:ascii="Arial" w:hAnsi="Arial" w:eastAsia="Arial" w:cs="Arial"/>
          <w:noProof w:val="0"/>
          <w:sz w:val="24"/>
          <w:szCs w:val="24"/>
          <w:lang w:val="en-GB"/>
        </w:rPr>
      </w:pPr>
      <w:r w:rsidRPr="64AA5A18" w:rsidR="19872AB1">
        <w:rPr>
          <w:rFonts w:ascii="Arial" w:hAnsi="Arial" w:eastAsia="Arial" w:cs="Arial"/>
          <w:noProof w:val="0"/>
          <w:sz w:val="24"/>
          <w:szCs w:val="24"/>
          <w:lang w:val="en-GB"/>
        </w:rPr>
        <w:t>Zara’s vertically integrated, nearshored operating model aligns closely with ESPR’s anti-waste requirements and Digital Product Passport (DPP) traceability rules. Because its model already minimizes overproduction and supports item-level tracking, compliance is less disruptive and may even reinforce its existing advantages in speed, inventory control, and margin performance.</w:t>
      </w:r>
    </w:p>
    <w:p xmlns:wp14="http://schemas.microsoft.com/office/word/2010/wordml" w:rsidP="64AA5A18" wp14:paraId="4D5653A0" wp14:textId="1066F42D">
      <w:pPr>
        <w:pStyle w:val="Normal"/>
        <w:spacing w:before="240" w:beforeAutospacing="off" w:after="240" w:afterAutospacing="off" w:line="360" w:lineRule="auto"/>
        <w:rPr>
          <w:rFonts w:ascii="Roboto" w:hAnsi="Roboto" w:eastAsia="Roboto" w:cs="Roboto"/>
          <w:b w:val="0"/>
          <w:bCs w:val="0"/>
          <w:i w:val="0"/>
          <w:iCs w:val="0"/>
          <w:caps w:val="0"/>
          <w:smallCaps w:val="0"/>
          <w:noProof w:val="0"/>
          <w:color w:val="2C3E50"/>
          <w:sz w:val="24"/>
          <w:szCs w:val="24"/>
          <w:lang w:val="en-GB"/>
        </w:rPr>
      </w:pPr>
      <w:r w:rsidRPr="64AA5A18" w:rsidR="19872AB1">
        <w:rPr>
          <w:rFonts w:ascii="Arial" w:hAnsi="Arial" w:eastAsia="Arial" w:cs="Arial"/>
          <w:noProof w:val="0"/>
          <w:sz w:val="24"/>
          <w:szCs w:val="24"/>
          <w:lang w:val="en-GB"/>
        </w:rPr>
        <w:t xml:space="preserve">H&amp;M, by contrast, has </w:t>
      </w:r>
      <w:r w:rsidRPr="64AA5A18" w:rsidR="19872AB1">
        <w:rPr>
          <w:rFonts w:ascii="Arial" w:hAnsi="Arial" w:eastAsia="Arial" w:cs="Arial"/>
          <w:noProof w:val="0"/>
          <w:sz w:val="24"/>
          <w:szCs w:val="24"/>
          <w:lang w:val="en-GB"/>
        </w:rPr>
        <w:t>demonstrated</w:t>
      </w:r>
      <w:r w:rsidRPr="64AA5A18" w:rsidR="19872AB1">
        <w:rPr>
          <w:rFonts w:ascii="Arial" w:hAnsi="Arial" w:eastAsia="Arial" w:cs="Arial"/>
          <w:noProof w:val="0"/>
          <w:sz w:val="24"/>
          <w:szCs w:val="24"/>
          <w:lang w:val="en-GB"/>
        </w:rPr>
        <w:t xml:space="preserve"> leadership in sustainability communication and has made measurable progress in materials innovation and emissions reduction. However, to prevent rising regulatory obligations from eroding profitability, it must further adapt its sourcing, production, and inventory systems so that compliance becomes operationally embedded rather than an </w:t>
      </w:r>
      <w:r w:rsidRPr="64AA5A18" w:rsidR="19872AB1">
        <w:rPr>
          <w:rFonts w:ascii="Arial" w:hAnsi="Arial" w:eastAsia="Arial" w:cs="Arial"/>
          <w:noProof w:val="0"/>
          <w:sz w:val="24"/>
          <w:szCs w:val="24"/>
          <w:lang w:val="en-GB"/>
        </w:rPr>
        <w:t>additional</w:t>
      </w:r>
      <w:r w:rsidRPr="64AA5A18" w:rsidR="19872AB1">
        <w:rPr>
          <w:rFonts w:ascii="Arial" w:hAnsi="Arial" w:eastAsia="Arial" w:cs="Arial"/>
          <w:noProof w:val="0"/>
          <w:sz w:val="24"/>
          <w:szCs w:val="24"/>
          <w:lang w:val="en-GB"/>
        </w:rPr>
        <w:t xml:space="preserve"> cost layer.</w:t>
      </w:r>
      <w:r w:rsidRPr="64AA5A18" w:rsidR="4E16E19D">
        <w:rPr>
          <w:rFonts w:ascii="Arial" w:hAnsi="Arial" w:eastAsia="Arial" w:cs="Arial"/>
          <w:noProof w:val="0"/>
          <w:sz w:val="24"/>
          <w:szCs w:val="24"/>
          <w:lang w:val="en-GB"/>
        </w:rPr>
        <w:t xml:space="preserve"> </w:t>
      </w:r>
      <w:r w:rsidRPr="64AA5A18" w:rsidR="4E16E19D">
        <w:rPr>
          <w:rFonts w:ascii="Roboto" w:hAnsi="Roboto" w:eastAsia="Roboto" w:cs="Roboto"/>
          <w:b w:val="0"/>
          <w:bCs w:val="0"/>
          <w:i w:val="0"/>
          <w:iCs w:val="0"/>
          <w:caps w:val="0"/>
          <w:smallCaps w:val="0"/>
          <w:noProof w:val="0"/>
          <w:color w:val="2C3E50"/>
          <w:sz w:val="24"/>
          <w:szCs w:val="24"/>
          <w:lang w:val="en-GB"/>
        </w:rPr>
        <w:t>(De, 2016)</w:t>
      </w:r>
    </w:p>
    <w:p w:rsidR="0B651CDB" w:rsidP="64AA5A18" w:rsidRDefault="0B651CDB" w14:paraId="64D5DBD2" w14:textId="1B1AD4B4">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4AA5A18" w:rsidR="0B651CDB">
        <w:rPr>
          <w:rFonts w:ascii="Arial" w:hAnsi="Arial" w:eastAsia="Arial" w:cs="Arial" w:asciiTheme="minorAscii" w:hAnsiTheme="minorAscii" w:eastAsiaTheme="minorAscii" w:cstheme="minorAscii"/>
          <w:noProof w:val="0"/>
          <w:sz w:val="24"/>
          <w:szCs w:val="24"/>
          <w:lang w:val="en-GB"/>
        </w:rPr>
        <w:t>Technology drives the gap: Zara’s RFID/AI and nearshoring reinforce its lead, while H&amp;M can catch up if operations keep pace. Competitive advantage now requires combining compliance with data-driven agility.</w:t>
      </w:r>
    </w:p>
    <w:p xmlns:wp14="http://schemas.microsoft.com/office/word/2010/wordml" w:rsidP="64AA5A18" wp14:paraId="656877DB" wp14:textId="692D01A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70245075" wp14:textId="1A4F93D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AA5A18" w:rsidP="64AA5A18" w:rsidRDefault="64AA5A18" w14:paraId="602CD5EA" w14:textId="6797533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AA5A18" w:rsidP="64AA5A18" w:rsidRDefault="64AA5A18" w14:paraId="04C3D3C6" w14:textId="28D59955">
      <w:pPr>
        <w:pStyle w:val="Normal"/>
        <w:spacing w:before="0" w:beforeAutospacing="off" w:after="0" w:afterAutospacing="off" w:line="360" w:lineRule="auto"/>
        <w:ind w:left="42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64AA5A18" w:rsidP="64AA5A18" w:rsidRDefault="64AA5A18" w14:paraId="1BC4EE44" w14:textId="13DC6E25">
      <w:pPr>
        <w:pStyle w:val="Normal"/>
        <w:spacing w:before="0" w:beforeAutospacing="off" w:after="0" w:afterAutospacing="off" w:line="360" w:lineRule="auto"/>
        <w:ind w:left="42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64AA5A18" w:rsidP="64AA5A18" w:rsidRDefault="64AA5A18" w14:paraId="505A06D2" w14:textId="000D21E8">
      <w:pPr>
        <w:pStyle w:val="Normal"/>
        <w:spacing w:before="0" w:beforeAutospacing="off" w:after="0" w:afterAutospacing="off" w:line="360" w:lineRule="auto"/>
        <w:ind w:left="42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4AA5A18" wp14:paraId="48BDF2F3" wp14:textId="00E4BCBF">
      <w:pPr>
        <w:pStyle w:val="Heading1"/>
        <w:keepNext w:val="1"/>
        <w:keepLines w:val="1"/>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US"/>
        </w:rPr>
      </w:pPr>
      <w:bookmarkStart w:name="_Toc290630231" w:id="2048749715"/>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Strategic Responses of Zara (Pioneer) and H&amp;M (Follower): A Framework‑Led Evaluation</w:t>
      </w:r>
      <w:bookmarkEnd w:id="2048749715"/>
    </w:p>
    <w:p xmlns:wp14="http://schemas.microsoft.com/office/word/2010/wordml" w:rsidP="64AA5A18" wp14:paraId="7A021574" wp14:textId="2583D1BF">
      <w:pPr>
        <w:pStyle w:val="Heading2"/>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accent1" w:themeTint="FF" w:themeShade="BF"/>
          <w:sz w:val="24"/>
          <w:szCs w:val="24"/>
          <w:lang w:val="en-GB"/>
        </w:rPr>
      </w:pPr>
      <w:bookmarkStart w:name="_Toc810000015" w:id="1874916171"/>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Executive summary</w:t>
      </w:r>
      <w:bookmarkEnd w:id="1874916171"/>
    </w:p>
    <w:p w:rsidR="7670840F" w:rsidP="368B97FF" w:rsidRDefault="7670840F" w14:paraId="716D7C3C" w14:textId="61827B6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Zara (Inditex) continues to grow through a differentiation strategy centred on fast, nearshored production and highly </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accurate</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 item‑level stock visibility, supported by RFID and digitally integrated omnichannel operations. These capabilities not only enhance conversion and sell‑through but also align with emerging EU expectations for traceability and reduced waste (Genuine Printing 2025; The Future Factory 2025). </w:t>
      </w:r>
      <w:r>
        <w:br/>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In contrast, H&amp;M is recalibrating its cost‑focused model by embedding AI across forecasting, </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localisation</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 and pricing to reduce markdowns, while advancing measurable circularity practices that better fit stricter consumer‑claims and sustainability disclosure requirements (CTO Magazine 2025; </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Shamsuzzaman</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368B97FF" w:rsidR="7670840F">
        <w:rPr>
          <w:rFonts w:ascii="Arial" w:hAnsi="Arial" w:eastAsia="Arial" w:cs="Arial" w:asciiTheme="minorAscii" w:hAnsiTheme="minorAscii" w:eastAsiaTheme="minorAscii" w:cstheme="minorAscii"/>
          <w:b w:val="0"/>
          <w:bCs w:val="0"/>
          <w:i w:val="1"/>
          <w:iCs w:val="1"/>
          <w:noProof w:val="0"/>
          <w:sz w:val="24"/>
          <w:szCs w:val="24"/>
          <w:lang w:val="en-GB"/>
        </w:rPr>
        <w:t>et al.</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 2025). </w:t>
      </w:r>
      <w:r>
        <w:br/>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Given continued price sensitivity among UK/EU consumers, Zara’s tight integration of technology and operations provides a clear execution advantage, </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whereas</w:t>
      </w:r>
      <w:r w:rsidRPr="368B97FF" w:rsidR="7670840F">
        <w:rPr>
          <w:rFonts w:ascii="Arial" w:hAnsi="Arial" w:eastAsia="Arial" w:cs="Arial" w:asciiTheme="minorAscii" w:hAnsiTheme="minorAscii" w:eastAsiaTheme="minorAscii" w:cstheme="minorAscii"/>
          <w:b w:val="0"/>
          <w:bCs w:val="0"/>
          <w:i w:val="0"/>
          <w:iCs w:val="0"/>
          <w:noProof w:val="0"/>
          <w:sz w:val="24"/>
          <w:szCs w:val="24"/>
          <w:lang w:val="en-GB"/>
        </w:rPr>
        <w:t xml:space="preserve"> H&amp;M’s long‑term competitiveness will depend on converting AI‑driven insights into shorter lead times and lower exposure to unsold stock and regulatory liabilities as EU rules intensify.</w:t>
      </w:r>
    </w:p>
    <w:p w:rsidR="64AA5A18" w:rsidP="64AA5A18" w:rsidRDefault="64AA5A18" w14:paraId="418000FF" w14:textId="7963F83D">
      <w:pPr>
        <w:pStyle w:val="Normal"/>
        <w:keepNext w:val="1"/>
        <w:keepLines w:val="1"/>
        <w:spacing w:line="360" w:lineRule="auto"/>
        <w:rPr>
          <w:noProof w:val="0"/>
          <w:sz w:val="24"/>
          <w:szCs w:val="24"/>
          <w:lang w:val="en-GB"/>
        </w:rPr>
      </w:pPr>
    </w:p>
    <w:p xmlns:wp14="http://schemas.microsoft.com/office/word/2010/wordml" w:rsidP="64AA5A18" wp14:paraId="25BBA9FE" wp14:textId="5B153B77">
      <w:pPr>
        <w:pStyle w:val="Heading2"/>
        <w:keepNext w:val="1"/>
        <w:keepLines w:val="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themeColor="accent1" w:themeTint="FF" w:themeShade="BF"/>
          <w:sz w:val="24"/>
          <w:szCs w:val="24"/>
          <w:lang w:val="en-US"/>
        </w:rPr>
      </w:pPr>
      <w:bookmarkStart w:name="_Toc868429270" w:id="886231774"/>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Strategic context (macro factors shaping growth)</w:t>
      </w:r>
      <w:bookmarkEnd w:id="886231774"/>
    </w:p>
    <w:p w:rsidR="658BEA9F" w:rsidP="64AA5A18" w:rsidRDefault="658BEA9F" w14:paraId="68E17B52" w14:textId="689CB639">
      <w:pPr>
        <w:pStyle w:val="Normal"/>
        <w:spacing w:before="0" w:beforeAutospacing="off" w:after="0" w:afterAutospacing="off" w:line="360" w:lineRule="auto"/>
        <w:rPr>
          <w:rFonts w:ascii="Arial" w:hAnsi="Arial" w:eastAsia="Arial" w:cs="Arial"/>
          <w:noProof w:val="0"/>
          <w:sz w:val="24"/>
          <w:szCs w:val="24"/>
          <w:lang w:val="en-GB"/>
        </w:rPr>
      </w:pP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 xml:space="preserve">EU sustainability policy has moved decisively from voluntary guidance to binding regulation. The Ecodesign for Sustainable Products Regulation (ESPR), effective from July 2024, </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designates</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 xml:space="preserve"> textiles as an early priority and introduces strict requirements</w:t>
      </w:r>
      <w:r w:rsidRPr="64AA5A18" w:rsidR="6DCE13C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 xml:space="preserve">including a ban on destroying unsold clothing and footwear for large companies from July 2026, supported by delegated acts adopted in early 2026. Digital Product Passports and enhanced durability standards will follow as core compliance mechanisms. At the same time, the Empowering Consumers Directive strengthens consumer‑protection rules by amending the Unfair Commercial Practices Directive to prohibit unverified environmental claims and offset‑based messaging, making product‑level evidence mandatory from 2026. A dedicated textile Extended Producer Responsibility (EPR) framework is also progressing, mandating separate collection and eco‑modulated fees that penalise designs which are difficult to recycle, with France and the Netherlands </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demonstrating</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 xml:space="preserve"> early implementation models. Across the UK and EU, continued cost‑of‑living pressures mean households </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remain</w:t>
      </w:r>
      <w:r w:rsidRPr="64AA5A18" w:rsidR="658BEA9F">
        <w:rPr>
          <w:rFonts w:ascii="Arial" w:hAnsi="Arial" w:eastAsia="Arial" w:cs="Arial" w:asciiTheme="minorAscii" w:hAnsiTheme="minorAscii" w:eastAsiaTheme="minorAscii" w:cstheme="minorAscii"/>
          <w:b w:val="0"/>
          <w:bCs w:val="0"/>
          <w:i w:val="0"/>
          <w:iCs w:val="0"/>
          <w:noProof w:val="0"/>
          <w:sz w:val="24"/>
          <w:szCs w:val="24"/>
          <w:lang w:val="en-GB"/>
        </w:rPr>
        <w:t xml:space="preserve"> highly price‑sensitive, intensifying elasticity in apparel demand and shaping </w:t>
      </w:r>
      <w:r w:rsidRPr="64AA5A18" w:rsidR="658BEA9F">
        <w:rPr>
          <w:rFonts w:ascii="Arial" w:hAnsi="Arial" w:eastAsia="Arial" w:cs="Arial" w:asciiTheme="minorAscii" w:hAnsiTheme="minorAscii" w:eastAsiaTheme="minorAscii" w:cstheme="minorAscii"/>
          <w:b w:val="0"/>
          <w:bCs w:val="0"/>
          <w:i w:val="0"/>
          <w:iCs w:val="0"/>
          <w:noProof w:val="0"/>
          <w:color w:val="auto"/>
          <w:sz w:val="24"/>
          <w:szCs w:val="24"/>
          <w:lang w:val="en-GB"/>
        </w:rPr>
        <w:t>how brands adapt to these tightening regulatory and economic conditions.</w:t>
      </w:r>
      <w:r w:rsidRPr="64AA5A18" w:rsidR="0233DB2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(European Commission, 2024)</w:t>
      </w:r>
    </w:p>
    <w:p xmlns:wp14="http://schemas.microsoft.com/office/word/2010/wordml" w:rsidP="64AA5A18" wp14:paraId="0F227BBD" wp14:textId="3ED5DBF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4AA5A18" w:rsidP="64AA5A18" w:rsidRDefault="64AA5A18" w14:paraId="3593230A" w14:textId="1966CC8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6F20FB0" wp14:textId="2EE5AB0E">
      <w:pPr>
        <w:pStyle w:val="Heading2"/>
        <w:keepNext w:val="1"/>
        <w:keepLines w:val="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accent1" w:themeTint="FF" w:themeShade="BF"/>
          <w:sz w:val="24"/>
          <w:szCs w:val="24"/>
          <w:lang w:val="en-GB"/>
        </w:rPr>
      </w:pPr>
      <w:bookmarkStart w:name="_Toc520951877" w:id="1670840597"/>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Porter’s Generic Strategies: evaluation of responses</w:t>
      </w:r>
      <w:bookmarkEnd w:id="1670840597"/>
    </w:p>
    <w:p xmlns:wp14="http://schemas.microsoft.com/office/word/2010/wordml" w:rsidP="64AA5A18" wp14:paraId="1D7CDF19" wp14:textId="7787FB71">
      <w:pPr>
        <w:pStyle w:val="Normal"/>
        <w:keepNext w:val="1"/>
        <w:keepLines w:val="1"/>
        <w:spacing w:line="360" w:lineRule="auto"/>
        <w:rPr>
          <w:noProof w:val="0"/>
          <w:sz w:val="24"/>
          <w:szCs w:val="24"/>
          <w:lang w:val="en-GB"/>
        </w:rPr>
      </w:pPr>
      <w:r w:rsidR="14A78909">
        <w:drawing>
          <wp:inline xmlns:wp14="http://schemas.microsoft.com/office/word/2010/wordprocessingDrawing" wp14:editId="30454010" wp14:anchorId="550431F7">
            <wp:extent cx="4810125" cy="2676525"/>
            <wp:effectExtent l="0" t="0" r="0" b="0"/>
            <wp:docPr id="2052786217" name="drawing" descr="Strategy Formulation | Human Resources Managemen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2786217" name="Picture 2052786217"/>
                    <pic:cNvPicPr/>
                  </pic:nvPicPr>
                  <pic:blipFill>
                    <a:blip xmlns:r="http://schemas.openxmlformats.org/officeDocument/2006/relationships" r:embed="rId1399508815">
                      <a:extLst>
                        <a:ext uri="{28A0092B-C50C-407E-A947-70E740481C1C}">
                          <a14:useLocalDpi xmlns:a14="http://schemas.microsoft.com/office/drawing/2010/main"/>
                        </a:ext>
                      </a:extLst>
                    </a:blip>
                    <a:stretch>
                      <a:fillRect/>
                    </a:stretch>
                  </pic:blipFill>
                  <pic:spPr>
                    <a:xfrm rot="0">
                      <a:off x="0" y="0"/>
                      <a:ext cx="4810125" cy="2676525"/>
                    </a:xfrm>
                    <a:prstGeom prst="rect">
                      <a:avLst/>
                    </a:prstGeom>
                  </pic:spPr>
                </pic:pic>
              </a:graphicData>
            </a:graphic>
          </wp:inline>
        </w:drawing>
      </w:r>
    </w:p>
    <w:p xmlns:wp14="http://schemas.microsoft.com/office/word/2010/wordml" w:rsidP="64AA5A18" wp14:paraId="4EAAC8C4" wp14:textId="6870775C">
      <w:pPr>
        <w:keepNext w:val="1"/>
        <w:keepLines w:val="1"/>
        <w:bidi w:val="0"/>
        <w:spacing w:before="240" w:beforeAutospacing="off" w:after="240" w:afterAutospacing="off" w:line="360" w:lineRule="auto"/>
        <w:rPr>
          <w:rFonts w:ascii="Arial" w:hAnsi="Arial" w:eastAsia="Arial" w:cs="Arial"/>
          <w:noProof w:val="0"/>
          <w:sz w:val="24"/>
          <w:szCs w:val="24"/>
          <w:lang w:val="en-US"/>
        </w:rPr>
      </w:pPr>
      <w:r w:rsidRPr="64AA5A18" w:rsidR="5B68958C">
        <w:rPr>
          <w:rFonts w:ascii="Arial" w:hAnsi="Arial" w:eastAsia="Arial" w:cs="Arial"/>
          <w:noProof w:val="0"/>
          <w:sz w:val="24"/>
          <w:szCs w:val="24"/>
          <w:lang w:val="en-US"/>
        </w:rPr>
        <w:t xml:space="preserve">Michael Porter’s framework of competitive strategy, particularly the Five Forces model and generic strategies, </w:t>
      </w:r>
      <w:r w:rsidRPr="64AA5A18" w:rsidR="5B68958C">
        <w:rPr>
          <w:rFonts w:ascii="Arial" w:hAnsi="Arial" w:eastAsia="Arial" w:cs="Arial"/>
          <w:noProof w:val="0"/>
          <w:sz w:val="24"/>
          <w:szCs w:val="24"/>
          <w:lang w:val="en-US"/>
        </w:rPr>
        <w:t>remains</w:t>
      </w:r>
      <w:r w:rsidRPr="64AA5A18" w:rsidR="5B68958C">
        <w:rPr>
          <w:rFonts w:ascii="Arial" w:hAnsi="Arial" w:eastAsia="Arial" w:cs="Arial"/>
          <w:noProof w:val="0"/>
          <w:sz w:val="24"/>
          <w:szCs w:val="24"/>
          <w:lang w:val="en-US"/>
        </w:rPr>
        <w:t xml:space="preserve"> central to strategic management theory. Generic strategies</w:t>
      </w:r>
      <w:r w:rsidRPr="64AA5A18" w:rsidR="3F500989">
        <w:rPr>
          <w:rFonts w:ascii="Arial" w:hAnsi="Arial" w:eastAsia="Arial" w:cs="Arial"/>
          <w:noProof w:val="0"/>
          <w:sz w:val="24"/>
          <w:szCs w:val="24"/>
          <w:lang w:val="en-US"/>
        </w:rPr>
        <w:t xml:space="preserve">, </w:t>
      </w:r>
      <w:r w:rsidRPr="64AA5A18" w:rsidR="5B68958C">
        <w:rPr>
          <w:rFonts w:ascii="Arial" w:hAnsi="Arial" w:eastAsia="Arial" w:cs="Arial"/>
          <w:noProof w:val="0"/>
          <w:sz w:val="24"/>
          <w:szCs w:val="24"/>
          <w:lang w:val="en-US"/>
        </w:rPr>
        <w:t>cost leadership, differentiation, and focus</w:t>
      </w:r>
      <w:r w:rsidRPr="64AA5A18" w:rsidR="3BE07D86">
        <w:rPr>
          <w:rFonts w:ascii="Arial" w:hAnsi="Arial" w:eastAsia="Arial" w:cs="Arial"/>
          <w:noProof w:val="0"/>
          <w:sz w:val="24"/>
          <w:szCs w:val="24"/>
          <w:lang w:val="en-US"/>
        </w:rPr>
        <w:t xml:space="preserve">, </w:t>
      </w:r>
      <w:r w:rsidRPr="64AA5A18" w:rsidR="5B68958C">
        <w:rPr>
          <w:rFonts w:ascii="Arial" w:hAnsi="Arial" w:eastAsia="Arial" w:cs="Arial"/>
          <w:noProof w:val="0"/>
          <w:sz w:val="24"/>
          <w:szCs w:val="24"/>
          <w:lang w:val="en-US"/>
        </w:rPr>
        <w:t>provide firms with broad approaches to achieving sustainable competitive advantage regardless of industry structure or organi</w:t>
      </w:r>
      <w:r w:rsidRPr="64AA5A18" w:rsidR="57244BDE">
        <w:rPr>
          <w:rFonts w:ascii="Arial" w:hAnsi="Arial" w:eastAsia="Arial" w:cs="Arial"/>
          <w:noProof w:val="0"/>
          <w:sz w:val="24"/>
          <w:szCs w:val="24"/>
          <w:lang w:val="en-US"/>
        </w:rPr>
        <w:t>s</w:t>
      </w:r>
      <w:r w:rsidRPr="64AA5A18" w:rsidR="5B68958C">
        <w:rPr>
          <w:rFonts w:ascii="Arial" w:hAnsi="Arial" w:eastAsia="Arial" w:cs="Arial"/>
          <w:noProof w:val="0"/>
          <w:sz w:val="24"/>
          <w:szCs w:val="24"/>
          <w:lang w:val="en-US"/>
        </w:rPr>
        <w:t>ational size (Porter, 1980; Porter, 1985). By adopting a clear strategic position, firms can better define their market scope, align internal activities, and respond effectively to competitive pressures.</w:t>
      </w:r>
    </w:p>
    <w:p xmlns:wp14="http://schemas.microsoft.com/office/word/2010/wordml" w:rsidP="64AA5A18" wp14:paraId="1CF61E7C" wp14:textId="22B4B845">
      <w:pPr>
        <w:keepNext w:val="1"/>
        <w:keepLines w:val="1"/>
        <w:bidi w:val="0"/>
        <w:spacing w:before="240" w:beforeAutospacing="off" w:after="240" w:afterAutospacing="off" w:line="360" w:lineRule="auto"/>
        <w:rPr>
          <w:rFonts w:ascii="Arial" w:hAnsi="Arial" w:eastAsia="Arial" w:cs="Arial"/>
          <w:noProof w:val="0"/>
          <w:sz w:val="24"/>
          <w:szCs w:val="24"/>
          <w:lang w:val="en-US"/>
        </w:rPr>
      </w:pPr>
      <w:r w:rsidRPr="64AA5A18" w:rsidR="5B68958C">
        <w:rPr>
          <w:rFonts w:ascii="Arial" w:hAnsi="Arial" w:eastAsia="Arial" w:cs="Arial"/>
          <w:noProof w:val="0"/>
          <w:sz w:val="24"/>
          <w:szCs w:val="24"/>
          <w:lang w:val="en-US"/>
        </w:rPr>
        <w:t xml:space="preserve">Within the fast-fashion sector, companies such as ZARA and H&amp;M illustrate the practical application of these strategies. ZARA leverages differentiation through rapid design-to-retail cycles, vertically integrated operations, and limited production runs, enhancing responsiveness and perceived exclusivity. Conversely, H&amp;M primarily pursues cost leadership supported by global sourcing efficiencies and economies of scale, while </w:t>
      </w:r>
      <w:r w:rsidRPr="64AA5A18" w:rsidR="5B68958C">
        <w:rPr>
          <w:rFonts w:ascii="Arial" w:hAnsi="Arial" w:eastAsia="Arial" w:cs="Arial"/>
          <w:noProof w:val="0"/>
          <w:sz w:val="24"/>
          <w:szCs w:val="24"/>
          <w:lang w:val="en-US"/>
        </w:rPr>
        <w:t>maintaining</w:t>
      </w:r>
      <w:r w:rsidRPr="64AA5A18" w:rsidR="5B68958C">
        <w:rPr>
          <w:rFonts w:ascii="Arial" w:hAnsi="Arial" w:eastAsia="Arial" w:cs="Arial"/>
          <w:noProof w:val="0"/>
          <w:sz w:val="24"/>
          <w:szCs w:val="24"/>
          <w:lang w:val="en-US"/>
        </w:rPr>
        <w:t xml:space="preserve"> trend-oriented product offerings. These contrasting yet coherent strategic choices </w:t>
      </w:r>
      <w:r w:rsidRPr="64AA5A18" w:rsidR="5B68958C">
        <w:rPr>
          <w:rFonts w:ascii="Arial" w:hAnsi="Arial" w:eastAsia="Arial" w:cs="Arial"/>
          <w:noProof w:val="0"/>
          <w:sz w:val="24"/>
          <w:szCs w:val="24"/>
          <w:lang w:val="en-US"/>
        </w:rPr>
        <w:t>demonstrate</w:t>
      </w:r>
      <w:r w:rsidRPr="64AA5A18" w:rsidR="5B68958C">
        <w:rPr>
          <w:rFonts w:ascii="Arial" w:hAnsi="Arial" w:eastAsia="Arial" w:cs="Arial"/>
          <w:noProof w:val="0"/>
          <w:sz w:val="24"/>
          <w:szCs w:val="24"/>
          <w:lang w:val="en-US"/>
        </w:rPr>
        <w:t xml:space="preserve"> how Porter’s generic strategies underpin competitive positioning in the global apparel industry</w:t>
      </w:r>
      <w:r w:rsidRPr="64AA5A18" w:rsidR="79A850A1">
        <w:rPr>
          <w:rFonts w:ascii="Arial" w:hAnsi="Arial" w:eastAsia="Arial" w:cs="Arial"/>
          <w:noProof w:val="0"/>
          <w:sz w:val="24"/>
          <w:szCs w:val="24"/>
          <w:lang w:val="en-US"/>
        </w:rPr>
        <w:t>.</w:t>
      </w:r>
    </w:p>
    <w:p xmlns:wp14="http://schemas.microsoft.com/office/word/2010/wordml" w:rsidP="64AA5A18" wp14:paraId="2D9C5431" wp14:textId="14273BFB">
      <w:pPr>
        <w:pStyle w:val="Normal"/>
        <w:keepNext w:val="1"/>
        <w:keepLines w:val="1"/>
        <w:bidi w:val="0"/>
        <w:spacing w:before="261" w:beforeAutospacing="off" w:after="261" w:afterAutospacing="off" w:line="360" w:lineRule="auto"/>
        <w:rPr>
          <w:sz w:val="24"/>
          <w:szCs w:val="24"/>
        </w:rPr>
      </w:pPr>
    </w:p>
    <w:tbl>
      <w:tblPr>
        <w:tblStyle w:val="TableGrid"/>
        <w:bidiVisual w:val="0"/>
        <w:tblW w:w="0" w:type="auto"/>
        <w:tblLook w:val="06A0" w:firstRow="1" w:lastRow="0" w:firstColumn="1" w:lastColumn="0" w:noHBand="1" w:noVBand="1"/>
      </w:tblPr>
      <w:tblGrid>
        <w:gridCol w:w="3120"/>
        <w:gridCol w:w="3120"/>
        <w:gridCol w:w="3120"/>
      </w:tblGrid>
      <w:tr w:rsidR="64AA5A18" w:rsidTr="64AA5A18" w14:paraId="6D5AD370">
        <w:trPr>
          <w:trHeight w:val="300"/>
        </w:trPr>
        <w:tc>
          <w:tcPr>
            <w:tcW w:w="3120" w:type="dxa"/>
            <w:tcMar/>
          </w:tcPr>
          <w:p w:rsidR="1A55D0CF" w:rsidP="64AA5A18" w:rsidRDefault="1A55D0CF" w14:paraId="64068306" w14:textId="4320A25E">
            <w:pPr>
              <w:pStyle w:val="Normal"/>
              <w:bidi w:val="0"/>
              <w:spacing w:line="360" w:lineRule="auto"/>
              <w:rPr>
                <w:b w:val="1"/>
                <w:bCs w:val="1"/>
                <w:sz w:val="24"/>
                <w:szCs w:val="24"/>
              </w:rPr>
            </w:pPr>
            <w:r w:rsidRPr="64AA5A18" w:rsidR="1A55D0CF">
              <w:rPr>
                <w:b w:val="1"/>
                <w:bCs w:val="1"/>
                <w:sz w:val="24"/>
                <w:szCs w:val="24"/>
              </w:rPr>
              <w:t>Framework</w:t>
            </w:r>
          </w:p>
        </w:tc>
        <w:tc>
          <w:tcPr>
            <w:tcW w:w="3120" w:type="dxa"/>
            <w:tcMar/>
          </w:tcPr>
          <w:p w:rsidR="1A55D0CF" w:rsidP="64AA5A18" w:rsidRDefault="1A55D0CF" w14:paraId="1B654E77" w14:textId="26FAB8F1">
            <w:pPr>
              <w:pStyle w:val="Normal"/>
              <w:bidi w:val="0"/>
              <w:spacing w:line="360" w:lineRule="auto"/>
              <w:rPr>
                <w:b w:val="1"/>
                <w:bCs w:val="1"/>
                <w:sz w:val="24"/>
                <w:szCs w:val="24"/>
              </w:rPr>
            </w:pPr>
            <w:r w:rsidRPr="64AA5A18" w:rsidR="1A55D0CF">
              <w:rPr>
                <w:b w:val="1"/>
                <w:bCs w:val="1"/>
                <w:sz w:val="24"/>
                <w:szCs w:val="24"/>
              </w:rPr>
              <w:t>ZARA</w:t>
            </w:r>
          </w:p>
        </w:tc>
        <w:tc>
          <w:tcPr>
            <w:tcW w:w="3120" w:type="dxa"/>
            <w:tcMar/>
          </w:tcPr>
          <w:p w:rsidR="1A55D0CF" w:rsidP="64AA5A18" w:rsidRDefault="1A55D0CF" w14:paraId="34589510" w14:textId="055B6A82">
            <w:pPr>
              <w:pStyle w:val="Normal"/>
              <w:bidi w:val="0"/>
              <w:spacing w:line="360" w:lineRule="auto"/>
              <w:rPr>
                <w:b w:val="1"/>
                <w:bCs w:val="1"/>
                <w:sz w:val="24"/>
                <w:szCs w:val="24"/>
              </w:rPr>
            </w:pPr>
            <w:r w:rsidRPr="64AA5A18" w:rsidR="1A55D0CF">
              <w:rPr>
                <w:b w:val="1"/>
                <w:bCs w:val="1"/>
                <w:sz w:val="24"/>
                <w:szCs w:val="24"/>
              </w:rPr>
              <w:t>H&amp;M</w:t>
            </w:r>
          </w:p>
        </w:tc>
      </w:tr>
      <w:tr w:rsidR="64AA5A18" w:rsidTr="64AA5A18" w14:paraId="46C51458">
        <w:trPr>
          <w:trHeight w:val="300"/>
        </w:trPr>
        <w:tc>
          <w:tcPr>
            <w:tcW w:w="3120" w:type="dxa"/>
            <w:tcMar/>
          </w:tcPr>
          <w:p w:rsidR="1A55D0CF" w:rsidP="64AA5A18" w:rsidRDefault="1A55D0CF" w14:paraId="20B4DC90" w14:textId="0B71EBEE">
            <w:pPr>
              <w:pStyle w:val="Normal"/>
              <w:bidi w:val="0"/>
              <w:spacing w:line="360" w:lineRule="auto"/>
              <w:rPr>
                <w:sz w:val="24"/>
                <w:szCs w:val="24"/>
              </w:rPr>
            </w:pPr>
            <w:r w:rsidRPr="64AA5A18" w:rsidR="1A55D0CF">
              <w:rPr>
                <w:sz w:val="24"/>
                <w:szCs w:val="24"/>
              </w:rPr>
              <w:t>Competitive Strategy</w:t>
            </w:r>
          </w:p>
        </w:tc>
        <w:tc>
          <w:tcPr>
            <w:tcW w:w="3120" w:type="dxa"/>
            <w:tcMar/>
          </w:tcPr>
          <w:p w:rsidR="1A55D0CF" w:rsidP="64AA5A18" w:rsidRDefault="1A55D0CF" w14:paraId="1EBECD17" w14:textId="5D5020D8">
            <w:pPr>
              <w:pStyle w:val="Normal"/>
              <w:bidi w:val="0"/>
              <w:spacing w:line="360" w:lineRule="auto"/>
              <w:rPr>
                <w:sz w:val="24"/>
                <w:szCs w:val="24"/>
              </w:rPr>
            </w:pPr>
            <w:r w:rsidRPr="64AA5A18" w:rsidR="1A55D0CF">
              <w:rPr>
                <w:sz w:val="24"/>
                <w:szCs w:val="24"/>
              </w:rPr>
              <w:t>Differentiation through speed</w:t>
            </w:r>
          </w:p>
        </w:tc>
        <w:tc>
          <w:tcPr>
            <w:tcW w:w="3120" w:type="dxa"/>
            <w:tcMar/>
          </w:tcPr>
          <w:p w:rsidR="1A55D0CF" w:rsidP="64AA5A18" w:rsidRDefault="1A55D0CF" w14:paraId="54A5134F" w14:textId="59CC6A2D">
            <w:pPr>
              <w:pStyle w:val="Normal"/>
              <w:bidi w:val="0"/>
              <w:spacing w:line="360" w:lineRule="auto"/>
              <w:rPr>
                <w:sz w:val="24"/>
                <w:szCs w:val="24"/>
              </w:rPr>
            </w:pPr>
            <w:r w:rsidRPr="64AA5A18" w:rsidR="1A55D0CF">
              <w:rPr>
                <w:sz w:val="24"/>
                <w:szCs w:val="24"/>
              </w:rPr>
              <w:t>Cost leadership with fashion appeal</w:t>
            </w:r>
            <w:r w:rsidRPr="64AA5A18" w:rsidR="09B7962D">
              <w:rPr>
                <w:sz w:val="24"/>
                <w:szCs w:val="24"/>
              </w:rPr>
              <w:t xml:space="preserve">                      </w:t>
            </w:r>
          </w:p>
        </w:tc>
      </w:tr>
      <w:tr w:rsidR="64AA5A18" w:rsidTr="64AA5A18" w14:paraId="61B69DCB">
        <w:trPr>
          <w:trHeight w:val="300"/>
        </w:trPr>
        <w:tc>
          <w:tcPr>
            <w:tcW w:w="3120" w:type="dxa"/>
            <w:tcMar/>
          </w:tcPr>
          <w:p w:rsidR="09B7962D" w:rsidP="64AA5A18" w:rsidRDefault="09B7962D" w14:paraId="6A71FA52" w14:textId="4015A242">
            <w:pPr>
              <w:spacing w:before="0" w:beforeAutospacing="off" w:after="0" w:afterAutospacing="off" w:line="360" w:lineRule="auto"/>
              <w:rPr>
                <w:sz w:val="24"/>
                <w:szCs w:val="24"/>
              </w:rPr>
            </w:pPr>
            <w:r w:rsidRPr="64AA5A18" w:rsidR="09B7962D">
              <w:rPr>
                <w:sz w:val="24"/>
                <w:szCs w:val="24"/>
              </w:rPr>
              <w:t>Value Proposition</w:t>
            </w:r>
          </w:p>
          <w:p w:rsidR="64AA5A18" w:rsidP="64AA5A18" w:rsidRDefault="64AA5A18" w14:paraId="282C11D5" w14:textId="7BF9BBF5">
            <w:pPr>
              <w:pStyle w:val="Normal"/>
              <w:bidi w:val="0"/>
              <w:spacing w:line="360" w:lineRule="auto"/>
              <w:rPr>
                <w:sz w:val="24"/>
                <w:szCs w:val="24"/>
              </w:rPr>
            </w:pPr>
          </w:p>
        </w:tc>
        <w:tc>
          <w:tcPr>
            <w:tcW w:w="3120" w:type="dxa"/>
            <w:tcMar/>
          </w:tcPr>
          <w:p w:rsidR="23DA4454" w:rsidP="64AA5A18" w:rsidRDefault="23DA4454" w14:paraId="222A8E68" w14:textId="28B9934E">
            <w:pPr>
              <w:spacing w:before="0" w:beforeAutospacing="off" w:after="0" w:afterAutospacing="off" w:line="360" w:lineRule="auto"/>
              <w:rPr>
                <w:sz w:val="24"/>
                <w:szCs w:val="24"/>
              </w:rPr>
            </w:pPr>
            <w:r w:rsidRPr="64AA5A18" w:rsidR="23DA4454">
              <w:rPr>
                <w:sz w:val="24"/>
                <w:szCs w:val="24"/>
              </w:rPr>
              <w:t>“Latest trends, now</w:t>
            </w:r>
          </w:p>
          <w:p w:rsidR="64AA5A18" w:rsidP="64AA5A18" w:rsidRDefault="64AA5A18" w14:paraId="1A37F0BF" w14:textId="3FAF8FD4">
            <w:pPr>
              <w:pStyle w:val="Normal"/>
              <w:bidi w:val="0"/>
              <w:spacing w:line="360" w:lineRule="auto"/>
              <w:rPr>
                <w:sz w:val="24"/>
                <w:szCs w:val="24"/>
              </w:rPr>
            </w:pPr>
          </w:p>
        </w:tc>
        <w:tc>
          <w:tcPr>
            <w:tcW w:w="3120" w:type="dxa"/>
            <w:tcMar/>
          </w:tcPr>
          <w:p w:rsidR="23DA4454" w:rsidP="64AA5A18" w:rsidRDefault="23DA4454" w14:paraId="7AA037CC" w14:textId="5A68E4C7">
            <w:pPr>
              <w:spacing w:before="0" w:beforeAutospacing="off" w:after="0" w:afterAutospacing="off" w:line="360" w:lineRule="auto"/>
              <w:rPr>
                <w:sz w:val="24"/>
                <w:szCs w:val="24"/>
              </w:rPr>
            </w:pPr>
            <w:r w:rsidRPr="64AA5A18" w:rsidR="23DA4454">
              <w:rPr>
                <w:sz w:val="24"/>
                <w:szCs w:val="24"/>
              </w:rPr>
              <w:t>“Fashion and quality at the best price”</w:t>
            </w:r>
          </w:p>
          <w:p w:rsidR="64AA5A18" w:rsidP="64AA5A18" w:rsidRDefault="64AA5A18" w14:paraId="4E07B3A5" w14:textId="397E6778">
            <w:pPr>
              <w:pStyle w:val="Normal"/>
              <w:bidi w:val="0"/>
              <w:spacing w:line="360" w:lineRule="auto"/>
              <w:rPr>
                <w:sz w:val="24"/>
                <w:szCs w:val="24"/>
              </w:rPr>
            </w:pPr>
          </w:p>
        </w:tc>
      </w:tr>
      <w:tr w:rsidR="64AA5A18" w:rsidTr="64AA5A18" w14:paraId="0B0F341B">
        <w:trPr>
          <w:trHeight w:val="300"/>
        </w:trPr>
        <w:tc>
          <w:tcPr>
            <w:tcW w:w="3120" w:type="dxa"/>
            <w:tcMar/>
          </w:tcPr>
          <w:p w:rsidR="23DA4454" w:rsidP="64AA5A18" w:rsidRDefault="23DA4454" w14:paraId="047F34AD" w14:textId="022E0925">
            <w:pPr>
              <w:spacing w:before="0" w:beforeAutospacing="off" w:after="0" w:afterAutospacing="off" w:line="360" w:lineRule="auto"/>
              <w:rPr>
                <w:sz w:val="24"/>
                <w:szCs w:val="24"/>
              </w:rPr>
            </w:pPr>
            <w:r w:rsidRPr="64AA5A18" w:rsidR="23DA4454">
              <w:rPr>
                <w:sz w:val="24"/>
                <w:szCs w:val="24"/>
              </w:rPr>
              <w:t>Competitive Advantage</w:t>
            </w:r>
          </w:p>
          <w:p w:rsidR="64AA5A18" w:rsidP="64AA5A18" w:rsidRDefault="64AA5A18" w14:paraId="47BBDDED" w14:textId="23A5B552">
            <w:pPr>
              <w:pStyle w:val="Normal"/>
              <w:bidi w:val="0"/>
              <w:spacing w:line="360" w:lineRule="auto"/>
              <w:rPr>
                <w:sz w:val="24"/>
                <w:szCs w:val="24"/>
              </w:rPr>
            </w:pPr>
          </w:p>
        </w:tc>
        <w:tc>
          <w:tcPr>
            <w:tcW w:w="3120" w:type="dxa"/>
            <w:tcMar/>
          </w:tcPr>
          <w:p w:rsidR="23DA4454" w:rsidP="64AA5A18" w:rsidRDefault="23DA4454" w14:paraId="008C23A1" w14:textId="3758F57E">
            <w:pPr>
              <w:spacing w:before="0" w:beforeAutospacing="off" w:after="0" w:afterAutospacing="off" w:line="360" w:lineRule="auto"/>
              <w:rPr>
                <w:sz w:val="24"/>
                <w:szCs w:val="24"/>
              </w:rPr>
            </w:pPr>
            <w:r w:rsidRPr="64AA5A18" w:rsidR="23DA4454">
              <w:rPr>
                <w:sz w:val="24"/>
                <w:szCs w:val="24"/>
              </w:rPr>
              <w:t>Agile supply chain</w:t>
            </w:r>
          </w:p>
          <w:p w:rsidR="64AA5A18" w:rsidP="64AA5A18" w:rsidRDefault="64AA5A18" w14:paraId="0F5BD052" w14:textId="6A3A7834">
            <w:pPr>
              <w:pStyle w:val="Normal"/>
              <w:bidi w:val="0"/>
              <w:spacing w:line="360" w:lineRule="auto"/>
              <w:rPr>
                <w:sz w:val="24"/>
                <w:szCs w:val="24"/>
              </w:rPr>
            </w:pPr>
          </w:p>
        </w:tc>
        <w:tc>
          <w:tcPr>
            <w:tcW w:w="3120" w:type="dxa"/>
            <w:tcMar/>
          </w:tcPr>
          <w:p w:rsidR="23DA4454" w:rsidP="64AA5A18" w:rsidRDefault="23DA4454" w14:paraId="4419BC3D" w14:textId="197EC872">
            <w:pPr>
              <w:spacing w:before="0" w:beforeAutospacing="off" w:after="0" w:afterAutospacing="off" w:line="360" w:lineRule="auto"/>
              <w:rPr>
                <w:sz w:val="24"/>
                <w:szCs w:val="24"/>
              </w:rPr>
            </w:pPr>
            <w:r w:rsidRPr="64AA5A18" w:rsidR="23DA4454">
              <w:rPr>
                <w:sz w:val="24"/>
                <w:szCs w:val="24"/>
              </w:rPr>
              <w:t>Economies of scale</w:t>
            </w:r>
          </w:p>
          <w:p w:rsidR="64AA5A18" w:rsidP="64AA5A18" w:rsidRDefault="64AA5A18" w14:paraId="2247C0BC" w14:textId="0FF7974F">
            <w:pPr>
              <w:pStyle w:val="Normal"/>
              <w:bidi w:val="0"/>
              <w:spacing w:line="360" w:lineRule="auto"/>
              <w:rPr>
                <w:sz w:val="24"/>
                <w:szCs w:val="24"/>
              </w:rPr>
            </w:pPr>
          </w:p>
        </w:tc>
      </w:tr>
    </w:tbl>
    <w:p xmlns:wp14="http://schemas.microsoft.com/office/word/2010/wordml" w:rsidP="64AA5A18" wp14:paraId="5DD7CFA0" wp14:textId="1ECA20DE">
      <w:pPr>
        <w:pStyle w:val="Normal"/>
        <w:suppressLineNumbers w:val="0"/>
        <w:bidi w:val="0"/>
        <w:spacing w:before="0" w:beforeAutospacing="off" w:after="160" w:afterAutospacing="off" w:line="360" w:lineRule="auto"/>
        <w:ind w:left="0" w:right="0"/>
        <w:jc w:val="left"/>
        <w:rPr>
          <w:sz w:val="24"/>
          <w:szCs w:val="24"/>
        </w:rPr>
      </w:pPr>
    </w:p>
    <w:p xmlns:wp14="http://schemas.microsoft.com/office/word/2010/wordml" w:rsidP="64AA5A18" wp14:paraId="4F697929" wp14:textId="05F20066">
      <w:pPr>
        <w:pStyle w:val="Heading2"/>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bookmarkStart w:name="_Toc2130571004" w:id="1884429658"/>
      <w:r w:rsidRPr="64AA5A18" w:rsidR="5D09E766">
        <w:rPr>
          <w:rFonts w:ascii="Arial" w:hAnsi="Arial" w:eastAsia="Arial" w:cs="Arial" w:asciiTheme="minorAscii" w:hAnsiTheme="minorAscii" w:eastAsiaTheme="minorAscii" w:cstheme="minorAscii"/>
          <w:b w:val="1"/>
          <w:bCs w:val="1"/>
          <w:noProof w:val="0"/>
          <w:color w:val="auto"/>
          <w:sz w:val="24"/>
          <w:szCs w:val="24"/>
          <w:lang w:val="en-GB"/>
        </w:rPr>
        <w:t>Zara (via Inditex)</w:t>
      </w:r>
      <w:bookmarkEnd w:id="1884429658"/>
    </w:p>
    <w:p xmlns:wp14="http://schemas.microsoft.com/office/word/2010/wordml" w:rsidP="64AA5A18" wp14:paraId="002ABAB2" wp14:textId="191BC1A2">
      <w:pPr>
        <w:keepNext w:val="1"/>
        <w:keepLines w:val="1"/>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GB"/>
        </w:rPr>
      </w:pPr>
      <w:r w:rsidRPr="368B97FF" w:rsidR="5D09E766">
        <w:rPr>
          <w:rFonts w:ascii="Arial" w:hAnsi="Arial" w:eastAsia="Arial" w:cs="Arial" w:asciiTheme="minorAscii" w:hAnsiTheme="minorAscii" w:eastAsiaTheme="minorAscii" w:cstheme="minorAscii"/>
          <w:noProof w:val="0"/>
          <w:color w:val="auto"/>
          <w:sz w:val="24"/>
          <w:szCs w:val="24"/>
          <w:lang w:val="en-GB"/>
        </w:rPr>
        <w:t>Zara’s proximity sourcing (Spain/Portugal/Morocco/</w:t>
      </w:r>
      <w:r w:rsidRPr="368B97FF" w:rsidR="5D09E766">
        <w:rPr>
          <w:rFonts w:ascii="Arial" w:hAnsi="Arial" w:eastAsia="Arial" w:cs="Arial" w:asciiTheme="minorAscii" w:hAnsiTheme="minorAscii" w:eastAsiaTheme="minorAscii" w:cstheme="minorAscii"/>
          <w:noProof w:val="0"/>
          <w:color w:val="auto"/>
          <w:sz w:val="24"/>
          <w:szCs w:val="24"/>
          <w:lang w:val="en-GB"/>
        </w:rPr>
        <w:t>Turkey</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 and postponement model </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(greige fabrics; small </w:t>
      </w:r>
      <w:r w:rsidRPr="368B97FF" w:rsidR="5D09E766">
        <w:rPr>
          <w:rFonts w:ascii="Arial" w:hAnsi="Arial" w:eastAsia="Arial" w:cs="Arial" w:asciiTheme="minorAscii" w:hAnsiTheme="minorAscii" w:eastAsiaTheme="minorAscii" w:cstheme="minorAscii"/>
          <w:noProof w:val="0"/>
          <w:color w:val="auto"/>
          <w:sz w:val="24"/>
          <w:szCs w:val="24"/>
          <w:lang w:val="en-GB"/>
        </w:rPr>
        <w:t>initial</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 batches) compress lead times and limit overproduction, reducing exposure to unsold-stock bans and eco-fees. Its RFID-enabled single stock ledger (SINT), store fulfilment and frequent replenishment translate demand data into rapid inventory flow, sustaining sell-through while creating a DPP-ready traceability backbone. Digital tools (virtual fitting, AI imagery) enhance conversion and potentially lower returns with modest capex. Inditex’s recent financial outperformance suggests the model scales profitably alongside </w:t>
      </w:r>
      <w:r w:rsidRPr="368B97FF" w:rsidR="5D09E766">
        <w:rPr>
          <w:rFonts w:ascii="Arial" w:hAnsi="Arial" w:eastAsia="Arial" w:cs="Arial" w:asciiTheme="minorAscii" w:hAnsiTheme="minorAscii" w:eastAsiaTheme="minorAscii" w:cstheme="minorAscii"/>
          <w:noProof w:val="0"/>
          <w:color w:val="auto"/>
          <w:sz w:val="24"/>
          <w:szCs w:val="24"/>
          <w:lang w:val="en-GB"/>
        </w:rPr>
        <w:t>logistics</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 and forma</w:t>
      </w:r>
      <w:r w:rsidRPr="368B97FF" w:rsidR="38463CA2">
        <w:rPr>
          <w:rFonts w:ascii="Arial" w:hAnsi="Arial" w:eastAsia="Arial" w:cs="Arial" w:asciiTheme="minorAscii" w:hAnsiTheme="minorAscii" w:eastAsiaTheme="minorAscii" w:cstheme="minorAscii"/>
          <w:noProof w:val="0"/>
          <w:color w:val="auto"/>
          <w:sz w:val="24"/>
          <w:szCs w:val="24"/>
          <w:lang w:val="en-GB"/>
        </w:rPr>
        <w:t>l</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 investment.</w:t>
      </w:r>
    </w:p>
    <w:p xmlns:wp14="http://schemas.microsoft.com/office/word/2010/wordml" w:rsidP="64AA5A18" wp14:paraId="61DA88B4" wp14:textId="5B0AE737">
      <w:pPr>
        <w:keepNext w:val="1"/>
        <w:keepLines w:val="1"/>
        <w:spacing w:before="240" w:beforeAutospacing="off" w:after="240" w:afterAutospacing="off" w:line="360" w:lineRule="auto"/>
        <w:rPr>
          <w:noProof w:val="0"/>
          <w:sz w:val="24"/>
          <w:szCs w:val="24"/>
          <w:lang w:val="en-GB"/>
        </w:rPr>
      </w:pPr>
      <w:r w:rsidRPr="64AA5A18" w:rsidR="5D09E766">
        <w:rPr>
          <w:b w:val="1"/>
          <w:bCs w:val="1"/>
          <w:noProof w:val="0"/>
          <w:sz w:val="24"/>
          <w:szCs w:val="24"/>
          <w:lang w:val="en-GB"/>
        </w:rPr>
        <w:t>Risk.</w:t>
      </w:r>
      <w:r w:rsidRPr="64AA5A18" w:rsidR="5D09E766">
        <w:rPr>
          <w:noProof w:val="0"/>
          <w:sz w:val="24"/>
          <w:szCs w:val="24"/>
          <w:lang w:val="en-GB"/>
        </w:rPr>
        <w:t xml:space="preserve"> </w:t>
      </w:r>
      <w:r w:rsidRPr="64AA5A18" w:rsidR="5D09E766">
        <w:rPr>
          <w:noProof w:val="0"/>
          <w:sz w:val="24"/>
          <w:szCs w:val="24"/>
          <w:lang w:val="en-GB"/>
        </w:rPr>
        <w:t>Identified</w:t>
      </w:r>
      <w:r w:rsidRPr="64AA5A18" w:rsidR="5D09E766">
        <w:rPr>
          <w:noProof w:val="0"/>
          <w:sz w:val="24"/>
          <w:szCs w:val="24"/>
          <w:lang w:val="en-GB"/>
        </w:rPr>
        <w:t xml:space="preserve"> traceability gaps increase regulatory and reputational risk under CSDDD/DPP; remediation is essential to sustain differentiation.</w:t>
      </w:r>
    </w:p>
    <w:p xmlns:wp14="http://schemas.microsoft.com/office/word/2010/wordml" w:rsidP="64AA5A18" wp14:paraId="3B875FF8" wp14:textId="67FD5162">
      <w:pPr>
        <w:pStyle w:val="Heading2"/>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4"/>
          <w:szCs w:val="24"/>
          <w:lang w:val="en-GB"/>
        </w:rPr>
      </w:pPr>
      <w:bookmarkStart w:name="_Toc1076030370" w:id="1117278235"/>
      <w:r w:rsidRPr="64AA5A18" w:rsidR="5D09E766">
        <w:rPr>
          <w:rFonts w:ascii="Arial" w:hAnsi="Arial" w:eastAsia="Arial" w:cs="Arial" w:asciiTheme="minorAscii" w:hAnsiTheme="minorAscii" w:eastAsiaTheme="minorAscii" w:cstheme="minorAscii"/>
          <w:b w:val="1"/>
          <w:bCs w:val="1"/>
          <w:noProof w:val="0"/>
          <w:color w:val="auto"/>
          <w:sz w:val="24"/>
          <w:szCs w:val="24"/>
          <w:lang w:val="en-GB"/>
        </w:rPr>
        <w:t>H&amp;M</w:t>
      </w:r>
      <w:bookmarkEnd w:id="1117278235"/>
    </w:p>
    <w:p xmlns:wp14="http://schemas.microsoft.com/office/word/2010/wordml" w:rsidP="64AA5A18" wp14:paraId="5795BA00" wp14:textId="0D05AA24">
      <w:pPr>
        <w:keepNext w:val="1"/>
        <w:keepLines w:val="1"/>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GB"/>
        </w:rPr>
      </w:pPr>
      <w:r w:rsidRPr="64AA5A18" w:rsidR="5D09E766">
        <w:rPr>
          <w:rFonts w:ascii="Arial" w:hAnsi="Arial" w:eastAsia="Arial" w:cs="Arial" w:asciiTheme="minorAscii" w:hAnsiTheme="minorAscii" w:eastAsiaTheme="minorAscii" w:cstheme="minorAscii"/>
          <w:noProof w:val="0"/>
          <w:color w:val="auto"/>
          <w:sz w:val="24"/>
          <w:szCs w:val="24"/>
          <w:lang w:val="en-GB"/>
        </w:rPr>
        <w:t xml:space="preserve">H&amp;M is applying AI to forecasting, </w:t>
      </w:r>
      <w:r w:rsidRPr="64AA5A18" w:rsidR="5D09E766">
        <w:rPr>
          <w:rFonts w:ascii="Arial" w:hAnsi="Arial" w:eastAsia="Arial" w:cs="Arial" w:asciiTheme="minorAscii" w:hAnsiTheme="minorAscii" w:eastAsiaTheme="minorAscii" w:cstheme="minorAscii"/>
          <w:noProof w:val="0"/>
          <w:color w:val="auto"/>
          <w:sz w:val="24"/>
          <w:szCs w:val="24"/>
          <w:lang w:val="en-GB"/>
        </w:rPr>
        <w:t>locali</w:t>
      </w:r>
      <w:r w:rsidRPr="64AA5A18" w:rsidR="7F9416F7">
        <w:rPr>
          <w:rFonts w:ascii="Arial" w:hAnsi="Arial" w:eastAsia="Arial" w:cs="Arial" w:asciiTheme="minorAscii" w:hAnsiTheme="minorAscii" w:eastAsiaTheme="minorAscii" w:cstheme="minorAscii"/>
          <w:noProof w:val="0"/>
          <w:color w:val="auto"/>
          <w:sz w:val="24"/>
          <w:szCs w:val="24"/>
          <w:lang w:val="en-GB"/>
        </w:rPr>
        <w:t>s</w:t>
      </w:r>
      <w:r w:rsidRPr="64AA5A18" w:rsidR="5D09E766">
        <w:rPr>
          <w:rFonts w:ascii="Arial" w:hAnsi="Arial" w:eastAsia="Arial" w:cs="Arial" w:asciiTheme="minorAscii" w:hAnsiTheme="minorAscii" w:eastAsiaTheme="minorAscii" w:cstheme="minorAscii"/>
          <w:noProof w:val="0"/>
          <w:color w:val="auto"/>
          <w:sz w:val="24"/>
          <w:szCs w:val="24"/>
          <w:lang w:val="en-GB"/>
        </w:rPr>
        <w:t>ation</w:t>
      </w:r>
      <w:r w:rsidRPr="64AA5A18" w:rsidR="5D09E766">
        <w:rPr>
          <w:rFonts w:ascii="Arial" w:hAnsi="Arial" w:eastAsia="Arial" w:cs="Arial" w:asciiTheme="minorAscii" w:hAnsiTheme="minorAscii" w:eastAsiaTheme="minorAscii" w:cstheme="minorAscii"/>
          <w:noProof w:val="0"/>
          <w:color w:val="auto"/>
          <w:sz w:val="24"/>
          <w:szCs w:val="24"/>
          <w:lang w:val="en-GB"/>
        </w:rPr>
        <w:t xml:space="preserve"> and pricing to reduce markdowns and improve stock turns, while upgrading stores and digital channels to strengthen omnichannel performance</w:t>
      </w:r>
      <w:r w:rsidRPr="64AA5A18" w:rsidR="783C5FA1">
        <w:rPr>
          <w:rFonts w:ascii="Arial" w:hAnsi="Arial" w:eastAsia="Arial" w:cs="Arial" w:asciiTheme="minorAscii" w:hAnsiTheme="minorAscii" w:eastAsiaTheme="minorAscii" w:cstheme="minorAscii"/>
          <w:noProof w:val="0"/>
          <w:color w:val="auto"/>
          <w:sz w:val="24"/>
          <w:szCs w:val="24"/>
          <w:lang w:val="en-GB"/>
        </w:rPr>
        <w:t xml:space="preserve">, </w:t>
      </w:r>
      <w:r w:rsidRPr="64AA5A18" w:rsidR="5D09E766">
        <w:rPr>
          <w:rFonts w:ascii="Arial" w:hAnsi="Arial" w:eastAsia="Arial" w:cs="Arial" w:asciiTheme="minorAscii" w:hAnsiTheme="minorAscii" w:eastAsiaTheme="minorAscii" w:cstheme="minorAscii"/>
          <w:noProof w:val="0"/>
          <w:color w:val="auto"/>
          <w:sz w:val="24"/>
          <w:szCs w:val="24"/>
          <w:lang w:val="en-GB"/>
        </w:rPr>
        <w:t>measures aimed at margin recovery. It reports sustainability metrics (e.g., ~29.5% recycled content; ~89% recycled/sustainably sourced materials; Scope 1&amp;2 −41% vs 2019) to support claim-ready differentiation under ECGT/UCPD.</w:t>
      </w:r>
    </w:p>
    <w:p xmlns:wp14="http://schemas.microsoft.com/office/word/2010/wordml" w:rsidP="64AA5A18" wp14:paraId="0B50552B" wp14:textId="19D5124D">
      <w:pPr>
        <w:pStyle w:val="Normal"/>
        <w:keepNext w:val="1"/>
        <w:keepLines w:val="1"/>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4"/>
          <w:szCs w:val="24"/>
          <w:lang w:val="en-GB"/>
        </w:rPr>
      </w:pPr>
      <w:r w:rsidRPr="368B97FF" w:rsidR="5D09E766">
        <w:rPr>
          <w:rFonts w:ascii="Arial" w:hAnsi="Arial" w:eastAsia="Arial" w:cs="Arial" w:asciiTheme="minorAscii" w:hAnsiTheme="minorAscii" w:eastAsiaTheme="minorAscii" w:cstheme="minorAscii"/>
          <w:b w:val="1"/>
          <w:bCs w:val="1"/>
          <w:noProof w:val="0"/>
          <w:color w:val="auto"/>
          <w:sz w:val="24"/>
          <w:szCs w:val="24"/>
          <w:lang w:val="en-GB"/>
        </w:rPr>
        <w:t>Risk.</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 Without lead-time compression or nearshoring, AI may deliver limited </w:t>
      </w:r>
      <w:r w:rsidRPr="368B97FF" w:rsidR="1B785113">
        <w:rPr>
          <w:rFonts w:ascii="Arial" w:hAnsi="Arial" w:eastAsia="Arial" w:cs="Arial" w:asciiTheme="minorAscii" w:hAnsiTheme="minorAscii" w:eastAsiaTheme="minorAscii" w:cstheme="minorAscii"/>
          <w:noProof w:val="0"/>
          <w:color w:val="auto"/>
          <w:sz w:val="24"/>
          <w:szCs w:val="24"/>
          <w:lang w:val="en-GB"/>
        </w:rPr>
        <w:t>profit and loss (P&amp;L</w:t>
      </w:r>
      <w:r w:rsidRPr="368B97FF" w:rsidR="5D09E766">
        <w:rPr>
          <w:rFonts w:ascii="Arial" w:hAnsi="Arial" w:eastAsia="Arial" w:cs="Arial" w:asciiTheme="minorAscii" w:hAnsiTheme="minorAscii" w:eastAsiaTheme="minorAscii" w:cstheme="minorAscii"/>
          <w:noProof w:val="0"/>
          <w:color w:val="auto"/>
          <w:sz w:val="24"/>
          <w:szCs w:val="24"/>
          <w:lang w:val="en-GB"/>
        </w:rPr>
        <w:t xml:space="preserve"> impact, while EPR and unsold-stock rules could erode gains; ECGT heightens risk if claims lack SKU-level </w:t>
      </w:r>
      <w:r w:rsidRPr="368B97FF" w:rsidR="1B586654">
        <w:rPr>
          <w:rFonts w:ascii="Arial" w:hAnsi="Arial" w:eastAsia="Arial" w:cs="Arial" w:asciiTheme="minorAscii" w:hAnsiTheme="minorAscii" w:eastAsiaTheme="minorAscii" w:cstheme="minorAscii"/>
          <w:noProof w:val="0"/>
          <w:color w:val="auto"/>
          <w:sz w:val="24"/>
          <w:szCs w:val="24"/>
          <w:lang w:val="en-GB"/>
        </w:rPr>
        <w:t>substantiation. (The, 2019)</w:t>
      </w:r>
      <w:r>
        <w:br/>
      </w:r>
    </w:p>
    <w:p xmlns:wp14="http://schemas.microsoft.com/office/word/2010/wordml" w:rsidP="64AA5A18" wp14:paraId="7C71BD4D" wp14:textId="5622E586">
      <w:pPr>
        <w:pStyle w:val="Normal"/>
        <w:keepNext w:val="1"/>
        <w:keepLines w:val="1"/>
        <w:spacing w:before="240" w:beforeAutospacing="off" w:after="240" w:afterAutospacing="off" w:line="360" w:lineRule="auto"/>
        <w:rPr>
          <w:b w:val="1"/>
          <w:bCs w:val="1"/>
          <w:noProof w:val="0"/>
          <w:sz w:val="24"/>
          <w:szCs w:val="24"/>
          <w:lang w:val="en-GB"/>
        </w:rPr>
      </w:pPr>
      <w:r w:rsidRPr="64AA5A18" w:rsidR="5D09E766">
        <w:rPr>
          <w:b w:val="1"/>
          <w:bCs w:val="1"/>
          <w:noProof w:val="0"/>
          <w:sz w:val="24"/>
          <w:szCs w:val="24"/>
          <w:lang w:val="en-GB"/>
        </w:rPr>
        <w:t>Porter verdict</w:t>
      </w:r>
    </w:p>
    <w:p xmlns:wp14="http://schemas.microsoft.com/office/word/2010/wordml" w:rsidP="64AA5A18" wp14:paraId="7BD75107" wp14:textId="2E6E4484">
      <w:pPr>
        <w:pStyle w:val="Heading2"/>
        <w:keepNext w:val="1"/>
        <w:keepLines w:val="1"/>
        <w:spacing w:before="299" w:beforeAutospacing="off" w:after="299" w:afterAutospacing="off" w:line="360" w:lineRule="auto"/>
        <w:rPr>
          <w:rFonts w:ascii="Arial" w:hAnsi="Arial" w:eastAsia="Arial" w:cs="Arial" w:asciiTheme="minorAscii" w:hAnsiTheme="minorAscii" w:eastAsiaTheme="minorAscii" w:cstheme="minorAscii"/>
          <w:noProof w:val="0"/>
          <w:color w:val="auto"/>
          <w:sz w:val="24"/>
          <w:szCs w:val="24"/>
          <w:lang w:val="en-GB"/>
        </w:rPr>
      </w:pPr>
      <w:bookmarkStart w:name="_Toc633314242" w:id="1508623629"/>
      <w:r w:rsidRPr="64AA5A18" w:rsidR="5D09E766">
        <w:rPr>
          <w:rFonts w:ascii="Arial" w:hAnsi="Arial" w:eastAsia="Arial" w:cs="Arial" w:asciiTheme="minorAscii" w:hAnsiTheme="minorAscii" w:eastAsiaTheme="minorAscii" w:cstheme="minorAscii"/>
          <w:noProof w:val="0"/>
          <w:color w:val="auto"/>
          <w:sz w:val="24"/>
          <w:szCs w:val="24"/>
          <w:lang w:val="en-GB"/>
        </w:rPr>
        <w:t>Zara’s tech-enabled proximity model strengthens differentiation as regulation favours low waste and traceability. H&amp;M’s hybrid strategy is plausible but depends on converting analytics into sourcing agility to approach Zara’s unit economics.</w:t>
      </w:r>
      <w:bookmarkEnd w:id="1508623629"/>
      <w:r w:rsidRPr="64AA5A18" w:rsidR="5D09E766">
        <w:rPr>
          <w:rFonts w:ascii="Arial" w:hAnsi="Arial" w:eastAsia="Arial" w:cs="Arial" w:asciiTheme="minorAscii" w:hAnsiTheme="minorAscii" w:eastAsiaTheme="minorAscii" w:cstheme="minorAscii"/>
          <w:noProof w:val="0"/>
          <w:color w:val="auto"/>
          <w:sz w:val="24"/>
          <w:szCs w:val="24"/>
          <w:lang w:val="en-GB"/>
        </w:rPr>
        <w:t xml:space="preserve"> </w:t>
      </w:r>
    </w:p>
    <w:p xmlns:wp14="http://schemas.microsoft.com/office/word/2010/wordml" w:rsidP="2A18C7CB" wp14:paraId="2E196C71" wp14:textId="4AEA935A">
      <w:pPr>
        <w:pStyle w:val="Normal"/>
        <w:keepNext w:val="1"/>
        <w:keepLines w:val="1"/>
        <w:spacing w:before="210" w:beforeAutospacing="off" w:after="210" w:afterAutospacing="off" w:line="360" w:lineRule="auto"/>
        <w:rPr>
          <w:noProof w:val="0"/>
          <w:sz w:val="24"/>
          <w:szCs w:val="24"/>
          <w:lang w:val="en-GB"/>
        </w:rPr>
      </w:pPr>
    </w:p>
    <w:p xmlns:wp14="http://schemas.microsoft.com/office/word/2010/wordml" w:rsidP="64AA5A18" wp14:paraId="5ED3E29B" wp14:textId="2056B78A">
      <w:pPr>
        <w:pStyle w:val="Normal"/>
        <w:keepNext w:val="1"/>
        <w:keepLines w:val="1"/>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accent1" w:themeTint="FF" w:themeShade="BF"/>
          <w:sz w:val="24"/>
          <w:szCs w:val="24"/>
          <w:lang w:val="en-GB"/>
        </w:rPr>
      </w:pPr>
      <w:r w:rsidRPr="64AA5A18" w:rsidR="588F49B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t>Ansoff’s Growth Matrix</w:t>
      </w:r>
    </w:p>
    <w:p w:rsidR="48AF598B" w:rsidP="64AA5A18" w:rsidRDefault="48AF598B" w14:paraId="356E5FBE" w14:textId="4E5680DA">
      <w:pPr>
        <w:pStyle w:val="Normal"/>
        <w:keepNext w:val="1"/>
        <w:keepLines w:val="1"/>
        <w:spacing w:line="360" w:lineRule="auto"/>
        <w:rPr>
          <w:noProof w:val="0"/>
          <w:sz w:val="24"/>
          <w:szCs w:val="24"/>
          <w:lang w:val="en-GB"/>
        </w:rPr>
      </w:pPr>
      <w:r w:rsidR="48AF598B">
        <w:drawing>
          <wp:inline wp14:editId="04ED1D3E" wp14:anchorId="42124332">
            <wp:extent cx="5408829" cy="3371850"/>
            <wp:effectExtent l="0" t="0" r="0" b="0"/>
            <wp:docPr id="1964909906" name="drawing" descr="Ansoff matrix - Wikipedi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4909906" name="Picture 1964909906"/>
                    <pic:cNvPicPr/>
                  </pic:nvPicPr>
                  <pic:blipFill>
                    <a:blip xmlns:r="http://schemas.openxmlformats.org/officeDocument/2006/relationships" r:embed="rId2034553096">
                      <a:extLst>
                        <a:ext uri="{28A0092B-C50C-407E-A947-70E740481C1C}">
                          <a14:useLocalDpi xmlns:a14="http://schemas.microsoft.com/office/drawing/2010/main"/>
                        </a:ext>
                      </a:extLst>
                    </a:blip>
                    <a:stretch>
                      <a:fillRect/>
                    </a:stretch>
                  </pic:blipFill>
                  <pic:spPr>
                    <a:xfrm rot="0">
                      <a:off x="0" y="0"/>
                      <a:ext cx="5408829" cy="3371850"/>
                    </a:xfrm>
                    <a:prstGeom prst="rect">
                      <a:avLst/>
                    </a:prstGeom>
                  </pic:spPr>
                </pic:pic>
              </a:graphicData>
            </a:graphic>
          </wp:inline>
        </w:drawing>
      </w:r>
    </w:p>
    <w:p w:rsidR="5A15992A" w:rsidP="64AA5A18" w:rsidRDefault="5A15992A" w14:paraId="4F9AD261" w14:textId="35022B32">
      <w:pPr>
        <w:pStyle w:val="Normal"/>
        <w:keepNext w:val="1"/>
        <w:keepLines w:val="1"/>
        <w:spacing w:line="360" w:lineRule="auto"/>
        <w:rPr>
          <w:b w:val="1"/>
          <w:bCs w:val="1"/>
          <w:noProof w:val="0"/>
          <w:sz w:val="24"/>
          <w:szCs w:val="24"/>
          <w:lang w:val="en-GB"/>
        </w:rPr>
      </w:pPr>
      <w:r w:rsidRPr="64AA5A18" w:rsidR="5A15992A">
        <w:rPr>
          <w:b w:val="1"/>
          <w:bCs w:val="1"/>
          <w:noProof w:val="0"/>
          <w:sz w:val="24"/>
          <w:szCs w:val="24"/>
          <w:lang w:val="en-GB"/>
        </w:rPr>
        <w:t>Definition</w:t>
      </w:r>
    </w:p>
    <w:p w:rsidR="5A6242C1" w:rsidP="64AA5A18" w:rsidRDefault="5A6242C1" w14:paraId="3A457B62" w14:textId="6CFD0D77">
      <w:pPr>
        <w:pStyle w:val="Normal"/>
        <w:keepNext w:val="1"/>
        <w:keepLines w:val="1"/>
        <w:spacing w:line="360" w:lineRule="auto"/>
        <w:rPr>
          <w:rFonts w:ascii="Arial" w:hAnsi="Arial" w:eastAsia="Arial" w:cs="Arial" w:asciiTheme="minorAscii" w:hAnsiTheme="minorAscii" w:eastAsiaTheme="minorAscii" w:cstheme="minorAscii"/>
          <w:noProof w:val="0"/>
          <w:sz w:val="24"/>
          <w:szCs w:val="24"/>
          <w:lang w:val="en-GB"/>
        </w:rPr>
      </w:pPr>
      <w:r w:rsidRPr="64AA5A18" w:rsidR="5A6242C1">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 xml:space="preserve">The Ansoff strategic opportunity matrix, often referred to as the </w:t>
      </w:r>
      <w:r w:rsidRPr="64AA5A18" w:rsidR="5A6242C1">
        <w:rPr>
          <w:rFonts w:ascii="Arial" w:hAnsi="Arial" w:eastAsia="Arial" w:cs="Arial" w:asciiTheme="minorAscii" w:hAnsiTheme="minorAscii" w:eastAsiaTheme="minorAscii" w:cstheme="minorAscii"/>
          <w:b w:val="0"/>
          <w:bCs w:val="0"/>
          <w:i w:val="1"/>
          <w:iCs w:val="1"/>
          <w:caps w:val="0"/>
          <w:smallCaps w:val="0"/>
          <w:noProof w:val="0"/>
          <w:color w:val="2E2E2E"/>
          <w:sz w:val="24"/>
          <w:szCs w:val="24"/>
          <w:lang w:val="en-GB"/>
        </w:rPr>
        <w:t>Ansoff matrix</w:t>
      </w:r>
      <w:r w:rsidRPr="64AA5A18" w:rsidR="5A6242C1">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 xml:space="preserve">, is a tool for managers to </w:t>
      </w:r>
      <w:r w:rsidRPr="64AA5A18" w:rsidR="5A6242C1">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identify</w:t>
      </w:r>
      <w:r w:rsidRPr="64AA5A18" w:rsidR="5A6242C1">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 xml:space="preserve"> various strategies for business growth. The tool helps Managers to </w:t>
      </w:r>
      <w:r w:rsidRPr="64AA5A18" w:rsidR="5A6242C1">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identify</w:t>
      </w:r>
      <w:r w:rsidRPr="64AA5A18" w:rsidR="5A6242C1">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 xml:space="preserve"> </w:t>
      </w:r>
      <w:r w:rsidRPr="64AA5A18" w:rsidR="1673C39E">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strategies for growth management.</w:t>
      </w:r>
      <w:r w:rsidRPr="64AA5A18" w:rsidR="1B287E97">
        <w:rPr>
          <w:rFonts w:ascii="Arial" w:hAnsi="Arial" w:eastAsia="Arial" w:cs="Arial" w:asciiTheme="minorAscii" w:hAnsiTheme="minorAscii" w:eastAsiaTheme="minorAscii" w:cstheme="minorAscii"/>
          <w:b w:val="0"/>
          <w:bCs w:val="0"/>
          <w:i w:val="0"/>
          <w:iCs w:val="0"/>
          <w:caps w:val="0"/>
          <w:smallCaps w:val="0"/>
          <w:noProof w:val="0"/>
          <w:color w:val="2E2E2E"/>
          <w:sz w:val="24"/>
          <w:szCs w:val="24"/>
          <w:lang w:val="en-GB"/>
        </w:rPr>
        <w:t xml:space="preserve"> </w:t>
      </w:r>
      <w:r w:rsidRPr="64AA5A18" w:rsidR="1B287E97">
        <w:rPr>
          <w:rFonts w:ascii="Arial" w:hAnsi="Arial" w:eastAsia="Arial" w:cs="Arial" w:asciiTheme="minorAscii" w:hAnsiTheme="minorAscii" w:eastAsiaTheme="minorAscii" w:cstheme="minorAscii"/>
          <w:b w:val="0"/>
          <w:bCs w:val="0"/>
          <w:i w:val="0"/>
          <w:iCs w:val="0"/>
          <w:caps w:val="0"/>
          <w:smallCaps w:val="0"/>
          <w:noProof w:val="0"/>
          <w:color w:val="2C3E50"/>
          <w:sz w:val="24"/>
          <w:szCs w:val="24"/>
          <w:lang w:val="en-GB"/>
        </w:rPr>
        <w:t>(Zugay and Zakaria, 2023)</w:t>
      </w:r>
    </w:p>
    <w:p w:rsidR="26D4F7EA" w:rsidP="64AA5A18" w:rsidRDefault="26D4F7EA" w14:paraId="0E7C87CA" w14:textId="70ED60B0">
      <w:pPr>
        <w:pStyle w:val="Heading1"/>
        <w:spacing w:before="281" w:beforeAutospacing="off" w:after="281"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bookmarkStart w:name="_Toc319847098" w:id="1884099682"/>
      <w:r w:rsidRPr="64AA5A18" w:rsidR="26D4F7EA">
        <w:rPr>
          <w:rFonts w:ascii="Arial" w:hAnsi="Arial" w:eastAsia="Arial" w:cs="Arial" w:asciiTheme="minorAscii" w:hAnsiTheme="minorAscii" w:eastAsiaTheme="minorAscii" w:cstheme="minorAscii"/>
          <w:b w:val="1"/>
          <w:bCs w:val="1"/>
          <w:i w:val="0"/>
          <w:iCs w:val="0"/>
          <w:noProof w:val="0"/>
          <w:color w:val="auto"/>
          <w:sz w:val="24"/>
          <w:szCs w:val="24"/>
          <w:lang w:val="en-GB"/>
        </w:rPr>
        <w:t>Ansoff’s Matrix linked to Zara and H&amp;M</w:t>
      </w:r>
      <w:bookmarkEnd w:id="1884099682"/>
    </w:p>
    <w:p w:rsidR="5921333D" w:rsidP="64AA5A18" w:rsidRDefault="5921333D" w14:paraId="3CDE7311" w14:textId="62C59646">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In the fast‑fashion sector, strategic growth depends on a brand’s ability to balance speed, innovation and market responsiveness, pressures that make the Ansoff Matrix a particularly valuable framework for examining how leading retailers such as Zara and H&amp;M pursue expansion. The model’s four pathways</w:t>
      </w:r>
      <w:r w:rsidRPr="64AA5A18" w:rsidR="5D07CDAB">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4AA5A18" w:rsidR="5921333D">
        <w:rPr>
          <w:rFonts w:ascii="Arial" w:hAnsi="Arial" w:eastAsia="Arial" w:cs="Arial" w:asciiTheme="minorAscii" w:hAnsiTheme="minorAscii" w:eastAsiaTheme="minorAscii" w:cstheme="minorAscii"/>
          <w:b w:val="1"/>
          <w:bCs w:val="1"/>
          <w:i w:val="0"/>
          <w:iCs w:val="0"/>
          <w:noProof w:val="0"/>
          <w:sz w:val="24"/>
          <w:szCs w:val="24"/>
          <w:lang w:val="en-GB"/>
        </w:rPr>
        <w:t xml:space="preserve">market penetration, product development, market </w:t>
      </w:r>
      <w:r w:rsidRPr="64AA5A18" w:rsidR="5921333D">
        <w:rPr>
          <w:rFonts w:ascii="Arial" w:hAnsi="Arial" w:eastAsia="Arial" w:cs="Arial" w:asciiTheme="minorAscii" w:hAnsiTheme="minorAscii" w:eastAsiaTheme="minorAscii" w:cstheme="minorAscii"/>
          <w:b w:val="1"/>
          <w:bCs w:val="1"/>
          <w:i w:val="0"/>
          <w:iCs w:val="0"/>
          <w:noProof w:val="0"/>
          <w:sz w:val="24"/>
          <w:szCs w:val="24"/>
          <w:lang w:val="en-GB"/>
        </w:rPr>
        <w:t>development</w:t>
      </w:r>
      <w:r w:rsidRPr="64AA5A18" w:rsidR="5921333D">
        <w:rPr>
          <w:rFonts w:ascii="Arial" w:hAnsi="Arial" w:eastAsia="Arial" w:cs="Arial" w:asciiTheme="minorAscii" w:hAnsiTheme="minorAscii" w:eastAsiaTheme="minorAscii" w:cstheme="minorAscii"/>
          <w:b w:val="1"/>
          <w:bCs w:val="1"/>
          <w:i w:val="0"/>
          <w:iCs w:val="0"/>
          <w:noProof w:val="0"/>
          <w:sz w:val="24"/>
          <w:szCs w:val="24"/>
          <w:lang w:val="en-GB"/>
        </w:rPr>
        <w:t xml:space="preserve"> and diversification</w:t>
      </w:r>
      <w:r w:rsidRPr="64AA5A18" w:rsidR="7FD2DD7F">
        <w:rPr>
          <w:rFonts w:ascii="Arial" w:hAnsi="Arial" w:eastAsia="Arial" w:cs="Arial" w:asciiTheme="minorAscii" w:hAnsiTheme="minorAscii" w:eastAsiaTheme="minorAscii" w:cstheme="minorAscii"/>
          <w:b w:val="1"/>
          <w:bCs w:val="1"/>
          <w:i w:val="0"/>
          <w:iCs w:val="0"/>
          <w:noProof w:val="0"/>
          <w:sz w:val="24"/>
          <w:szCs w:val="24"/>
          <w:lang w:val="en-GB"/>
        </w:rPr>
        <w:t xml:space="preserve">, </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offer a structured lens for comparing how each company </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leverages</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 technology, supply‑chain </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design</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 and sustainability initiatives to </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maintain</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 competitiveness.</w:t>
      </w:r>
    </w:p>
    <w:p w:rsidR="5921333D" w:rsidP="64AA5A18" w:rsidRDefault="5921333D" w14:paraId="7617197F" w14:textId="3AC9B33B">
      <w:pPr>
        <w:pStyle w:val="Normal"/>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Zara’s strategy exemplifies a </w:t>
      </w:r>
      <w:r w:rsidRPr="64AA5A18" w:rsidR="5921333D">
        <w:rPr>
          <w:rFonts w:ascii="Arial" w:hAnsi="Arial" w:eastAsia="Arial" w:cs="Arial" w:asciiTheme="minorAscii" w:hAnsiTheme="minorAscii" w:eastAsiaTheme="minorAscii" w:cstheme="minorAscii"/>
          <w:b w:val="1"/>
          <w:bCs w:val="1"/>
          <w:i w:val="0"/>
          <w:iCs w:val="0"/>
          <w:noProof w:val="0"/>
          <w:sz w:val="24"/>
          <w:szCs w:val="24"/>
          <w:lang w:val="en-GB"/>
        </w:rPr>
        <w:t>tech‑enabled penetration–product development approach</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 driven by real‑time inventory accuracy and agile, nearshored production. Its deployment of RFID across inventory systems enhances visibility and reduces overstock, supporting rapid in‑season flows and higher conversion rates, while nearshored manufacturing enables faster product refresh cycles and </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lower unsold risk</w:t>
      </w:r>
      <w:r w:rsidRPr="64AA5A18" w:rsidR="153A48B2">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64AA5A18" w:rsidR="153A48B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(Ethan, 2025)</w:t>
      </w:r>
    </w:p>
    <w:p w:rsidR="35201A82" w:rsidP="64AA5A18" w:rsidRDefault="35201A82" w14:paraId="09F1501D" w14:textId="6431BF48">
      <w:pPr>
        <w:spacing w:before="240" w:beforeAutospacing="off" w:after="240" w:afterAutospacing="off" w:line="360" w:lineRule="auto"/>
        <w:rPr>
          <w:rFonts w:ascii="Arial" w:hAnsi="Arial" w:eastAsia="Arial" w:cs="Arial"/>
          <w:noProof w:val="0"/>
          <w:color w:val="auto"/>
          <w:sz w:val="24"/>
          <w:szCs w:val="24"/>
          <w:lang w:val="en-GB"/>
        </w:rPr>
      </w:pPr>
      <w:r w:rsidRPr="64AA5A18" w:rsidR="35201A82">
        <w:rPr>
          <w:rFonts w:ascii="Arial" w:hAnsi="Arial" w:eastAsia="Arial" w:cs="Arial"/>
          <w:noProof w:val="0"/>
          <w:color w:val="auto"/>
          <w:sz w:val="24"/>
          <w:szCs w:val="24"/>
          <w:lang w:val="en-GB"/>
        </w:rPr>
        <w:t>H&amp;M follows a data-driven penetration strategy and circular-led product development, using AI to optimise assortments and reduce markdowns while integrating recycled materials and resale to meet rising sustainability expectations.</w:t>
      </w:r>
    </w:p>
    <w:p w:rsidR="35201A82" w:rsidP="64AA5A18" w:rsidRDefault="35201A82" w14:paraId="14F1DBF6" w14:textId="655D0D90">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r w:rsidRPr="64AA5A18" w:rsidR="35201A82">
        <w:rPr>
          <w:rFonts w:ascii="Arial" w:hAnsi="Arial" w:eastAsia="Arial" w:cs="Arial"/>
          <w:noProof w:val="0"/>
          <w:color w:val="auto"/>
          <w:sz w:val="24"/>
          <w:szCs w:val="24"/>
          <w:lang w:val="en-GB"/>
        </w:rPr>
        <w:t xml:space="preserve">Positioned within the Igor Ansoff Matrix, both brands rely on digital transformation but differ in emphasis: Zara prioritises speed and nearshoring, </w:t>
      </w:r>
      <w:r w:rsidRPr="64AA5A18" w:rsidR="35201A82">
        <w:rPr>
          <w:rFonts w:ascii="Arial" w:hAnsi="Arial" w:eastAsia="Arial" w:cs="Arial"/>
          <w:noProof w:val="0"/>
          <w:color w:val="auto"/>
          <w:sz w:val="24"/>
          <w:szCs w:val="24"/>
          <w:lang w:val="en-GB"/>
        </w:rPr>
        <w:t>whereas</w:t>
      </w:r>
      <w:r w:rsidRPr="64AA5A18" w:rsidR="35201A82">
        <w:rPr>
          <w:rFonts w:ascii="Arial" w:hAnsi="Arial" w:eastAsia="Arial" w:cs="Arial"/>
          <w:noProof w:val="0"/>
          <w:color w:val="auto"/>
          <w:sz w:val="24"/>
          <w:szCs w:val="24"/>
          <w:lang w:val="en-GB"/>
        </w:rPr>
        <w:t xml:space="preserve"> H&amp;M focuses on AI optimisation and circular expansion, </w:t>
      </w:r>
      <w:r w:rsidRPr="64AA5A18" w:rsidR="35201A82">
        <w:rPr>
          <w:rFonts w:ascii="Arial" w:hAnsi="Arial" w:eastAsia="Arial" w:cs="Arial"/>
          <w:noProof w:val="0"/>
          <w:color w:val="auto"/>
          <w:sz w:val="24"/>
          <w:szCs w:val="24"/>
          <w:lang w:val="en-GB"/>
        </w:rPr>
        <w:t>demonstrating</w:t>
      </w:r>
      <w:r w:rsidRPr="64AA5A18" w:rsidR="35201A82">
        <w:rPr>
          <w:rFonts w:ascii="Arial" w:hAnsi="Arial" w:eastAsia="Arial" w:cs="Arial"/>
          <w:noProof w:val="0"/>
          <w:color w:val="auto"/>
          <w:sz w:val="24"/>
          <w:szCs w:val="24"/>
          <w:lang w:val="en-GB"/>
        </w:rPr>
        <w:t xml:space="preserve"> distinct yet effective growth paths in global fast fashion.</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 (CTO Magazine 2025; </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Shamsuzzaman</w:t>
      </w:r>
      <w:r w:rsidRPr="64AA5A18" w:rsidR="5921333D">
        <w:rPr>
          <w:rFonts w:ascii="Arial" w:hAnsi="Arial" w:eastAsia="Arial" w:cs="Arial" w:asciiTheme="minorAscii" w:hAnsiTheme="minorAscii" w:eastAsiaTheme="minorAscii" w:cstheme="minorAscii"/>
          <w:b w:val="0"/>
          <w:bCs w:val="0"/>
          <w:i w:val="0"/>
          <w:iCs w:val="0"/>
          <w:noProof w:val="0"/>
          <w:sz w:val="24"/>
          <w:szCs w:val="24"/>
          <w:lang w:val="en-GB"/>
        </w:rPr>
        <w:t xml:space="preserve"> et al. 2025). </w:t>
      </w:r>
    </w:p>
    <w:tbl>
      <w:tblPr>
        <w:tblStyle w:val="TableGrid"/>
        <w:tblW w:w="0" w:type="auto"/>
        <w:tblLook w:val="06A0" w:firstRow="1" w:lastRow="0" w:firstColumn="1" w:lastColumn="0" w:noHBand="1" w:noVBand="1"/>
      </w:tblPr>
      <w:tblGrid>
        <w:gridCol w:w="3120"/>
        <w:gridCol w:w="3120"/>
        <w:gridCol w:w="3222"/>
      </w:tblGrid>
      <w:tr w:rsidR="64AA5A18" w:rsidTr="64AA5A18" w14:paraId="4A5B059E">
        <w:trPr>
          <w:trHeight w:val="300"/>
        </w:trPr>
        <w:tc>
          <w:tcPr>
            <w:tcW w:w="3120" w:type="dxa"/>
            <w:tcMar/>
          </w:tcPr>
          <w:p w:rsidR="349DD98B" w:rsidP="64AA5A18" w:rsidRDefault="349DD98B" w14:paraId="3D38DDD0" w14:textId="4C5991CC">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349DD98B">
              <w:rPr>
                <w:rFonts w:ascii="Arial" w:hAnsi="Arial" w:eastAsia="Arial" w:cs="Arial" w:asciiTheme="minorAscii" w:hAnsiTheme="minorAscii" w:eastAsiaTheme="minorAscii" w:cstheme="minorAscii"/>
                <w:b w:val="1"/>
                <w:bCs w:val="1"/>
                <w:i w:val="0"/>
                <w:iCs w:val="0"/>
                <w:noProof w:val="0"/>
                <w:sz w:val="24"/>
                <w:szCs w:val="24"/>
                <w:lang w:val="en-GB"/>
              </w:rPr>
              <w:t>Ansoff’s Comparison (via Ansoff’s Matrix)</w:t>
            </w:r>
          </w:p>
          <w:p w:rsidR="64AA5A18" w:rsidP="64AA5A18" w:rsidRDefault="64AA5A18" w14:paraId="4C6CCF07" w14:textId="045422C5">
            <w:pPr>
              <w:pStyle w:val="Normal"/>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tc>
        <w:tc>
          <w:tcPr>
            <w:tcW w:w="3120" w:type="dxa"/>
            <w:tcMar/>
          </w:tcPr>
          <w:p w:rsidR="0AB2FB9C" w:rsidP="64AA5A18" w:rsidRDefault="0AB2FB9C" w14:paraId="20602FF5" w14:textId="22A988B0">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0AB2FB9C">
              <w:rPr>
                <w:rFonts w:ascii="Arial" w:hAnsi="Arial" w:eastAsia="Arial" w:cs="Arial" w:asciiTheme="minorAscii" w:hAnsiTheme="minorAscii" w:eastAsiaTheme="minorAscii" w:cstheme="minorAscii"/>
                <w:b w:val="1"/>
                <w:bCs w:val="1"/>
                <w:i w:val="0"/>
                <w:iCs w:val="0"/>
                <w:noProof w:val="0"/>
                <w:sz w:val="24"/>
                <w:szCs w:val="24"/>
                <w:lang w:val="en-GB"/>
              </w:rPr>
              <w:t>Zara</w:t>
            </w:r>
          </w:p>
        </w:tc>
        <w:tc>
          <w:tcPr>
            <w:tcW w:w="3222" w:type="dxa"/>
            <w:tcMar/>
          </w:tcPr>
          <w:p w:rsidR="0AB2FB9C" w:rsidP="64AA5A18" w:rsidRDefault="0AB2FB9C" w14:paraId="5A5BC6C2" w14:textId="7EDFB7C0">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0AB2FB9C">
              <w:rPr>
                <w:rFonts w:ascii="Arial" w:hAnsi="Arial" w:eastAsia="Arial" w:cs="Arial" w:asciiTheme="minorAscii" w:hAnsiTheme="minorAscii" w:eastAsiaTheme="minorAscii" w:cstheme="minorAscii"/>
                <w:b w:val="1"/>
                <w:bCs w:val="1"/>
                <w:i w:val="0"/>
                <w:iCs w:val="0"/>
                <w:noProof w:val="0"/>
                <w:sz w:val="24"/>
                <w:szCs w:val="24"/>
                <w:lang w:val="en-GB"/>
              </w:rPr>
              <w:t>H&amp;M</w:t>
            </w:r>
          </w:p>
        </w:tc>
      </w:tr>
      <w:tr w:rsidR="64AA5A18" w:rsidTr="64AA5A18" w14:paraId="0F935ABD">
        <w:trPr>
          <w:trHeight w:val="300"/>
        </w:trPr>
        <w:tc>
          <w:tcPr>
            <w:tcW w:w="3120" w:type="dxa"/>
            <w:tcMar/>
          </w:tcPr>
          <w:p w:rsidR="767FCC51" w:rsidP="64AA5A18" w:rsidRDefault="767FCC51" w14:paraId="2481D86D" w14:textId="6DE28CBC">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767FCC51">
              <w:rPr>
                <w:rFonts w:ascii="Arial" w:hAnsi="Arial" w:eastAsia="Arial" w:cs="Arial" w:asciiTheme="minorAscii" w:hAnsiTheme="minorAscii" w:eastAsiaTheme="minorAscii" w:cstheme="minorAscii"/>
                <w:b w:val="1"/>
                <w:bCs w:val="1"/>
                <w:i w:val="0"/>
                <w:iCs w:val="0"/>
                <w:noProof w:val="0"/>
                <w:sz w:val="24"/>
                <w:szCs w:val="24"/>
                <w:lang w:val="en-GB"/>
              </w:rPr>
              <w:t xml:space="preserve">Market </w:t>
            </w:r>
            <w:r w:rsidRPr="64AA5A18" w:rsidR="2773A0E2">
              <w:rPr>
                <w:rFonts w:ascii="Arial" w:hAnsi="Arial" w:eastAsia="Arial" w:cs="Arial" w:asciiTheme="minorAscii" w:hAnsiTheme="minorAscii" w:eastAsiaTheme="minorAscii" w:cstheme="minorAscii"/>
                <w:b w:val="1"/>
                <w:bCs w:val="1"/>
                <w:i w:val="0"/>
                <w:iCs w:val="0"/>
                <w:noProof w:val="0"/>
                <w:sz w:val="24"/>
                <w:szCs w:val="24"/>
                <w:lang w:val="en-GB"/>
              </w:rPr>
              <w:t>Penetration</w:t>
            </w:r>
          </w:p>
        </w:tc>
        <w:tc>
          <w:tcPr>
            <w:tcW w:w="3120" w:type="dxa"/>
            <w:tcMar/>
          </w:tcPr>
          <w:p w:rsidR="64AA5A18" w:rsidP="64AA5A18" w:rsidRDefault="64AA5A18" w14:paraId="042FD0C0" w14:textId="2DB50CD9">
            <w:pPr>
              <w:pStyle w:val="Normal"/>
              <w:spacing w:line="360" w:lineRule="auto"/>
              <w:rPr>
                <w:rFonts w:ascii="Arial" w:hAnsi="Arial" w:eastAsia="Arial" w:cs="Arial"/>
                <w:noProof w:val="0"/>
                <w:sz w:val="24"/>
                <w:szCs w:val="24"/>
                <w:lang w:val="en-GB"/>
              </w:rPr>
            </w:pPr>
          </w:p>
          <w:p w:rsidR="0AB2FB9C" w:rsidP="64AA5A18" w:rsidRDefault="0AB2FB9C" w14:paraId="3D450CEA" w14:textId="7C14F947">
            <w:pPr>
              <w:pStyle w:val="Normal"/>
              <w:spacing w:line="360" w:lineRule="auto"/>
              <w:rPr>
                <w:rFonts w:ascii="Arial" w:hAnsi="Arial" w:eastAsia="Arial" w:cs="Arial"/>
                <w:noProof w:val="0"/>
                <w:sz w:val="24"/>
                <w:szCs w:val="24"/>
                <w:lang w:val="en-GB"/>
              </w:rPr>
            </w:pPr>
            <w:r w:rsidRPr="64AA5A18" w:rsidR="0AB2FB9C">
              <w:rPr>
                <w:rFonts w:ascii="Arial" w:hAnsi="Arial" w:eastAsia="Arial" w:cs="Arial"/>
                <w:noProof w:val="0"/>
                <w:sz w:val="24"/>
                <w:szCs w:val="24"/>
                <w:lang w:val="en-GB"/>
              </w:rPr>
              <w:t xml:space="preserve">Expands RFID-based unified inventory and virtual try-on to raise conversion, improve replenishment accuracy, and cut </w:t>
            </w:r>
            <w:r w:rsidRPr="64AA5A18" w:rsidR="042BAB17">
              <w:rPr>
                <w:rFonts w:ascii="Arial" w:hAnsi="Arial" w:eastAsia="Arial" w:cs="Arial"/>
                <w:noProof w:val="0"/>
                <w:sz w:val="24"/>
                <w:szCs w:val="24"/>
                <w:lang w:val="en-GB"/>
              </w:rPr>
              <w:t>returns, growing</w:t>
            </w:r>
            <w:r w:rsidRPr="64AA5A18" w:rsidR="0AB2FB9C">
              <w:rPr>
                <w:rFonts w:ascii="Arial" w:hAnsi="Arial" w:eastAsia="Arial" w:cs="Arial"/>
                <w:noProof w:val="0"/>
                <w:sz w:val="24"/>
                <w:szCs w:val="24"/>
                <w:lang w:val="en-GB"/>
              </w:rPr>
              <w:t xml:space="preserve"> share without heavy discounting.</w:t>
            </w:r>
          </w:p>
        </w:tc>
        <w:tc>
          <w:tcPr>
            <w:tcW w:w="3222" w:type="dxa"/>
            <w:tcMar/>
          </w:tcPr>
          <w:p w:rsidR="56C5218D" w:rsidP="64AA5A18" w:rsidRDefault="56C5218D" w14:paraId="40853FBC" w14:textId="57B6868A">
            <w:pPr>
              <w:pStyle w:val="Normal"/>
              <w:spacing w:before="240" w:beforeAutospacing="off" w:after="240" w:afterAutospacing="off" w:line="360" w:lineRule="auto"/>
              <w:ind w:left="0"/>
              <w:rPr>
                <w:rFonts w:ascii="Arial" w:hAnsi="Arial" w:eastAsia="Arial" w:cs="Arial"/>
                <w:noProof w:val="0"/>
                <w:sz w:val="24"/>
                <w:szCs w:val="24"/>
                <w:lang w:val="en-GB"/>
              </w:rPr>
            </w:pPr>
            <w:r w:rsidRPr="64AA5A18" w:rsidR="56C5218D">
              <w:rPr>
                <w:rFonts w:ascii="Arial" w:hAnsi="Arial" w:eastAsia="Arial" w:cs="Arial"/>
                <w:noProof w:val="0"/>
                <w:sz w:val="24"/>
                <w:szCs w:val="24"/>
                <w:lang w:val="en-GB"/>
              </w:rPr>
              <w:t>Uses AI-driven demand forecasting and store-level assortment optimisation to reduce markdowns and improve size/colour availability across existing stores.</w:t>
            </w:r>
          </w:p>
          <w:p w:rsidR="64AA5A18" w:rsidP="64AA5A18" w:rsidRDefault="64AA5A18" w14:paraId="40DA48AF" w14:textId="3C41A5C1">
            <w:pPr>
              <w:pStyle w:val="Normal"/>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tc>
      </w:tr>
      <w:tr w:rsidR="64AA5A18" w:rsidTr="64AA5A18" w14:paraId="648FC0C1">
        <w:trPr>
          <w:trHeight w:val="300"/>
        </w:trPr>
        <w:tc>
          <w:tcPr>
            <w:tcW w:w="3120" w:type="dxa"/>
            <w:tcMar/>
          </w:tcPr>
          <w:p w:rsidR="2133D4FC" w:rsidP="64AA5A18" w:rsidRDefault="2133D4FC" w14:paraId="454D3860" w14:textId="296738D2">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2133D4FC">
              <w:rPr>
                <w:rFonts w:ascii="Arial" w:hAnsi="Arial" w:eastAsia="Arial" w:cs="Arial" w:asciiTheme="minorAscii" w:hAnsiTheme="minorAscii" w:eastAsiaTheme="minorAscii" w:cstheme="minorAscii"/>
                <w:b w:val="1"/>
                <w:bCs w:val="1"/>
                <w:i w:val="0"/>
                <w:iCs w:val="0"/>
                <w:noProof w:val="0"/>
                <w:sz w:val="24"/>
                <w:szCs w:val="24"/>
                <w:lang w:val="en-GB"/>
              </w:rPr>
              <w:t>Product Development</w:t>
            </w:r>
          </w:p>
        </w:tc>
        <w:tc>
          <w:tcPr>
            <w:tcW w:w="3120" w:type="dxa"/>
            <w:tcMar/>
          </w:tcPr>
          <w:p w:rsidR="2133D4FC" w:rsidP="64AA5A18" w:rsidRDefault="2133D4FC" w14:paraId="4E6EF884" w14:textId="7EDF714E">
            <w:pPr>
              <w:pStyle w:val="Normal"/>
              <w:spacing w:line="360" w:lineRule="auto"/>
              <w:rPr>
                <w:rFonts w:ascii="Arial" w:hAnsi="Arial" w:eastAsia="Arial" w:cs="Arial"/>
                <w:noProof w:val="0"/>
                <w:sz w:val="24"/>
                <w:szCs w:val="24"/>
                <w:lang w:val="en-GB"/>
              </w:rPr>
            </w:pPr>
            <w:r w:rsidRPr="64AA5A18" w:rsidR="2133D4FC">
              <w:rPr>
                <w:rFonts w:ascii="Arial" w:hAnsi="Arial" w:eastAsia="Arial" w:cs="Arial"/>
                <w:noProof w:val="0"/>
                <w:sz w:val="24"/>
                <w:szCs w:val="24"/>
                <w:lang w:val="en-GB"/>
              </w:rPr>
              <w:t>Nearshore, agile production enables rapid capsule launches and in-season design updates, lowering overstock risk and waste.</w:t>
            </w:r>
          </w:p>
        </w:tc>
        <w:tc>
          <w:tcPr>
            <w:tcW w:w="3222" w:type="dxa"/>
            <w:tcMar/>
          </w:tcPr>
          <w:p w:rsidR="2133D4FC" w:rsidP="64AA5A18" w:rsidRDefault="2133D4FC" w14:paraId="46BD297D" w14:textId="77C1A1F2">
            <w:pPr>
              <w:pStyle w:val="Normal"/>
              <w:spacing w:line="360" w:lineRule="auto"/>
              <w:rPr>
                <w:rFonts w:ascii="Arial" w:hAnsi="Arial" w:eastAsia="Arial" w:cs="Arial"/>
                <w:noProof w:val="0"/>
                <w:sz w:val="24"/>
                <w:szCs w:val="24"/>
                <w:lang w:val="en-GB"/>
              </w:rPr>
            </w:pPr>
            <w:r w:rsidRPr="64AA5A18" w:rsidR="2133D4FC">
              <w:rPr>
                <w:rFonts w:ascii="Arial" w:hAnsi="Arial" w:eastAsia="Arial" w:cs="Arial"/>
                <w:noProof w:val="0"/>
                <w:sz w:val="24"/>
                <w:szCs w:val="24"/>
                <w:lang w:val="en-GB"/>
              </w:rPr>
              <w:t>Focuses on circular products, recycled inputs, resale integration, and traceability, aligned with circular-economy design principles.</w:t>
            </w:r>
          </w:p>
        </w:tc>
      </w:tr>
      <w:tr w:rsidR="64AA5A18" w:rsidTr="64AA5A18" w14:paraId="36DED5C4">
        <w:trPr>
          <w:trHeight w:val="300"/>
        </w:trPr>
        <w:tc>
          <w:tcPr>
            <w:tcW w:w="3120" w:type="dxa"/>
            <w:tcMar/>
          </w:tcPr>
          <w:p w:rsidR="2133D4FC" w:rsidP="64AA5A18" w:rsidRDefault="2133D4FC" w14:paraId="40A6D0ED" w14:textId="3724C6CC">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2133D4FC">
              <w:rPr>
                <w:rFonts w:ascii="Arial" w:hAnsi="Arial" w:eastAsia="Arial" w:cs="Arial" w:asciiTheme="minorAscii" w:hAnsiTheme="minorAscii" w:eastAsiaTheme="minorAscii" w:cstheme="minorAscii"/>
                <w:b w:val="1"/>
                <w:bCs w:val="1"/>
                <w:i w:val="0"/>
                <w:iCs w:val="0"/>
                <w:noProof w:val="0"/>
                <w:sz w:val="24"/>
                <w:szCs w:val="24"/>
                <w:lang w:val="en-GB"/>
              </w:rPr>
              <w:t>Market Development</w:t>
            </w:r>
          </w:p>
          <w:p w:rsidR="64AA5A18" w:rsidP="64AA5A18" w:rsidRDefault="64AA5A18" w14:paraId="6D483DEA" w14:textId="024C886A">
            <w:pPr>
              <w:pStyle w:val="Normal"/>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tc>
        <w:tc>
          <w:tcPr>
            <w:tcW w:w="3120" w:type="dxa"/>
            <w:tcMar/>
          </w:tcPr>
          <w:p w:rsidR="2133D4FC" w:rsidP="64AA5A18" w:rsidRDefault="2133D4FC" w14:paraId="0C62E62C" w14:textId="46CD8F84">
            <w:pPr>
              <w:pStyle w:val="Normal"/>
              <w:spacing w:line="360" w:lineRule="auto"/>
              <w:rPr>
                <w:rFonts w:ascii="Arial" w:hAnsi="Arial" w:eastAsia="Arial" w:cs="Arial"/>
                <w:noProof w:val="0"/>
                <w:sz w:val="24"/>
                <w:szCs w:val="24"/>
                <w:lang w:val="en-GB"/>
              </w:rPr>
            </w:pPr>
            <w:r w:rsidRPr="64AA5A18" w:rsidR="2133D4FC">
              <w:rPr>
                <w:rFonts w:ascii="Arial" w:hAnsi="Arial" w:eastAsia="Arial" w:cs="Arial"/>
                <w:noProof w:val="0"/>
                <w:sz w:val="24"/>
                <w:szCs w:val="24"/>
                <w:lang w:val="en-GB"/>
              </w:rPr>
              <w:t xml:space="preserve">Invests in large flagship formats supported by omnichannel fulfilment and centralised </w:t>
            </w:r>
            <w:r w:rsidRPr="64AA5A18" w:rsidR="2133D4FC">
              <w:rPr>
                <w:rFonts w:ascii="Arial" w:hAnsi="Arial" w:eastAsia="Arial" w:cs="Arial"/>
                <w:noProof w:val="0"/>
                <w:sz w:val="24"/>
                <w:szCs w:val="24"/>
                <w:lang w:val="en-GB"/>
              </w:rPr>
              <w:t>logistics</w:t>
            </w:r>
            <w:r w:rsidRPr="64AA5A18" w:rsidR="2133D4FC">
              <w:rPr>
                <w:rFonts w:ascii="Arial" w:hAnsi="Arial" w:eastAsia="Arial" w:cs="Arial"/>
                <w:noProof w:val="0"/>
                <w:sz w:val="24"/>
                <w:szCs w:val="24"/>
                <w:lang w:val="en-GB"/>
              </w:rPr>
              <w:t xml:space="preserve"> to scale efficiently in global cities</w:t>
            </w:r>
          </w:p>
        </w:tc>
        <w:tc>
          <w:tcPr>
            <w:tcW w:w="3222" w:type="dxa"/>
            <w:tcMar/>
          </w:tcPr>
          <w:p w:rsidR="2133D4FC" w:rsidP="64AA5A18" w:rsidRDefault="2133D4FC" w14:paraId="6DAB2C9D" w14:textId="0C453DC6">
            <w:pPr>
              <w:pStyle w:val="Normal"/>
              <w:spacing w:line="360" w:lineRule="auto"/>
              <w:rPr>
                <w:rFonts w:ascii="Arial" w:hAnsi="Arial" w:eastAsia="Arial" w:cs="Arial"/>
                <w:noProof w:val="0"/>
                <w:sz w:val="24"/>
                <w:szCs w:val="24"/>
                <w:lang w:val="en-GB"/>
              </w:rPr>
            </w:pPr>
            <w:r w:rsidRPr="64AA5A18" w:rsidR="2133D4FC">
              <w:rPr>
                <w:rFonts w:ascii="Arial" w:hAnsi="Arial" w:eastAsia="Arial" w:cs="Arial"/>
                <w:noProof w:val="0"/>
                <w:sz w:val="24"/>
                <w:szCs w:val="24"/>
                <w:lang w:val="en-GB"/>
              </w:rPr>
              <w:t>Expands selectively through new-market entry and store upgrades, using AI to limit working-capital risk and excess inventory.</w:t>
            </w:r>
          </w:p>
        </w:tc>
      </w:tr>
      <w:tr w:rsidR="64AA5A18" w:rsidTr="64AA5A18" w14:paraId="46111BF1">
        <w:trPr>
          <w:trHeight w:val="300"/>
        </w:trPr>
        <w:tc>
          <w:tcPr>
            <w:tcW w:w="3120" w:type="dxa"/>
            <w:tcMar/>
          </w:tcPr>
          <w:p w:rsidR="2133D4FC" w:rsidP="64AA5A18" w:rsidRDefault="2133D4FC" w14:paraId="29498884" w14:textId="74C459EA">
            <w:pPr>
              <w:pStyle w:val="Normal"/>
              <w:spacing w:line="360" w:lineRule="auto"/>
              <w:rPr>
                <w:rFonts w:ascii="Arial" w:hAnsi="Arial" w:eastAsia="Arial" w:cs="Arial" w:asciiTheme="minorAscii" w:hAnsiTheme="minorAscii" w:eastAsiaTheme="minorAscii" w:cstheme="minorAscii"/>
                <w:b w:val="1"/>
                <w:bCs w:val="1"/>
                <w:i w:val="0"/>
                <w:iCs w:val="0"/>
                <w:noProof w:val="0"/>
                <w:sz w:val="24"/>
                <w:szCs w:val="24"/>
                <w:lang w:val="en-GB"/>
              </w:rPr>
            </w:pPr>
            <w:r w:rsidRPr="64AA5A18" w:rsidR="2133D4FC">
              <w:rPr>
                <w:rFonts w:ascii="Arial" w:hAnsi="Arial" w:eastAsia="Arial" w:cs="Arial" w:asciiTheme="minorAscii" w:hAnsiTheme="minorAscii" w:eastAsiaTheme="minorAscii" w:cstheme="minorAscii"/>
                <w:b w:val="1"/>
                <w:bCs w:val="1"/>
                <w:i w:val="0"/>
                <w:iCs w:val="0"/>
                <w:noProof w:val="0"/>
                <w:sz w:val="24"/>
                <w:szCs w:val="24"/>
                <w:lang w:val="en-GB"/>
              </w:rPr>
              <w:t>Diversification</w:t>
            </w:r>
          </w:p>
          <w:p w:rsidR="64AA5A18" w:rsidP="64AA5A18" w:rsidRDefault="64AA5A18" w14:paraId="0723A277" w14:textId="6F88B366">
            <w:pPr>
              <w:pStyle w:val="Normal"/>
              <w:spacing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tc>
        <w:tc>
          <w:tcPr>
            <w:tcW w:w="3120" w:type="dxa"/>
            <w:tcMar/>
          </w:tcPr>
          <w:p w:rsidR="2133D4FC" w:rsidP="64AA5A18" w:rsidRDefault="2133D4FC" w14:paraId="1711129B" w14:textId="3B60BE62">
            <w:pPr>
              <w:pStyle w:val="Normal"/>
              <w:spacing w:line="360" w:lineRule="auto"/>
              <w:rPr>
                <w:rFonts w:ascii="Arial" w:hAnsi="Arial" w:eastAsia="Arial" w:cs="Arial"/>
                <w:noProof w:val="0"/>
                <w:sz w:val="24"/>
                <w:szCs w:val="24"/>
                <w:lang w:val="en-GB"/>
              </w:rPr>
            </w:pPr>
            <w:r w:rsidRPr="64AA5A18" w:rsidR="2133D4FC">
              <w:rPr>
                <w:rFonts w:ascii="Arial" w:hAnsi="Arial" w:eastAsia="Arial" w:cs="Arial"/>
                <w:noProof w:val="0"/>
                <w:sz w:val="24"/>
                <w:szCs w:val="24"/>
                <w:lang w:val="en-GB"/>
              </w:rPr>
              <w:t>Develops adjacent digital tools (e.g., advanced imagery, virtual services) to enhance efficiency and customer experience rather than enter distant sectors.</w:t>
            </w:r>
          </w:p>
        </w:tc>
        <w:tc>
          <w:tcPr>
            <w:tcW w:w="3222" w:type="dxa"/>
            <w:tcMar/>
          </w:tcPr>
          <w:p w:rsidR="2133D4FC" w:rsidP="64AA5A18" w:rsidRDefault="2133D4FC" w14:paraId="0A403BEB" w14:textId="6E2C7EBE">
            <w:pPr>
              <w:pStyle w:val="Normal"/>
              <w:spacing w:line="360" w:lineRule="auto"/>
              <w:rPr>
                <w:rFonts w:ascii="Arial" w:hAnsi="Arial" w:eastAsia="Arial" w:cs="Arial"/>
                <w:noProof w:val="0"/>
                <w:sz w:val="24"/>
                <w:szCs w:val="24"/>
                <w:lang w:val="en-GB"/>
              </w:rPr>
            </w:pPr>
            <w:r w:rsidRPr="64AA5A18" w:rsidR="2133D4FC">
              <w:rPr>
                <w:rFonts w:ascii="Arial" w:hAnsi="Arial" w:eastAsia="Arial" w:cs="Arial"/>
                <w:noProof w:val="0"/>
                <w:sz w:val="24"/>
                <w:szCs w:val="24"/>
                <w:lang w:val="en-GB"/>
              </w:rPr>
              <w:t>Diversifies via venture investments and resale platforms to broaden revenue streams and offset sustainability-related costs.</w:t>
            </w:r>
          </w:p>
        </w:tc>
      </w:tr>
    </w:tbl>
    <w:p w:rsidR="64AA5A18" w:rsidP="64AA5A18" w:rsidRDefault="64AA5A18" w14:paraId="2BF7AB6C" w14:textId="0C9A90A1">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sz w:val="24"/>
          <w:szCs w:val="24"/>
          <w:lang w:val="en-GB"/>
        </w:rPr>
      </w:pPr>
    </w:p>
    <w:p w:rsidR="64AA5A18" w:rsidP="64AA5A18" w:rsidRDefault="64AA5A18" w14:paraId="472E6C8C" w14:textId="63E6616C">
      <w:pPr>
        <w:spacing w:before="0" w:beforeAutospacing="off" w:after="0" w:afterAutospacing="off" w:line="360" w:lineRule="auto"/>
        <w:rPr>
          <w:sz w:val="24"/>
          <w:szCs w:val="24"/>
        </w:rPr>
      </w:pPr>
    </w:p>
    <w:p w:rsidR="64AA5A18" w:rsidP="64AA5A18" w:rsidRDefault="64AA5A18" w14:paraId="365926C4" w14:textId="5ECD44F9">
      <w:pPr>
        <w:spacing w:before="0" w:beforeAutospacing="off" w:after="0" w:afterAutospacing="off" w:line="360" w:lineRule="auto"/>
        <w:rPr>
          <w:sz w:val="24"/>
          <w:szCs w:val="24"/>
        </w:rPr>
      </w:pPr>
    </w:p>
    <w:p w:rsidR="64AA5A18" w:rsidP="64AA5A18" w:rsidRDefault="64AA5A18" w14:paraId="6999AD92" w14:textId="5E117964">
      <w:pPr>
        <w:spacing w:before="0" w:beforeAutospacing="off" w:after="0" w:afterAutospacing="off" w:line="360" w:lineRule="auto"/>
        <w:rPr>
          <w:sz w:val="24"/>
          <w:szCs w:val="24"/>
        </w:rPr>
      </w:pPr>
    </w:p>
    <w:p w:rsidR="64AA5A18" w:rsidP="64AA5A18" w:rsidRDefault="64AA5A18" w14:paraId="6361A924" w14:textId="7D681FC4">
      <w:pPr>
        <w:spacing w:before="0" w:beforeAutospacing="off" w:after="0" w:afterAutospacing="off" w:line="360" w:lineRule="auto"/>
        <w:rPr>
          <w:sz w:val="24"/>
          <w:szCs w:val="24"/>
        </w:rPr>
      </w:pPr>
    </w:p>
    <w:p w:rsidR="13613689" w:rsidP="64AA5A18" w:rsidRDefault="13613689" w14:paraId="6A53FBA3" w14:textId="5B610D7A">
      <w:pPr>
        <w:pStyle w:val="Heading3"/>
        <w:spacing w:before="246" w:beforeAutospacing="off" w:after="246"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bookmarkStart w:name="_Toc1020283712" w:id="1687973107"/>
      <w:r w:rsidRPr="64AA5A18" w:rsidR="13613689">
        <w:rPr>
          <w:rFonts w:ascii="Arial" w:hAnsi="Arial" w:eastAsia="Arial" w:cs="Arial" w:asciiTheme="minorAscii" w:hAnsiTheme="minorAscii" w:eastAsiaTheme="minorAscii" w:cstheme="minorAscii"/>
          <w:b w:val="1"/>
          <w:bCs w:val="1"/>
          <w:i w:val="0"/>
          <w:iCs w:val="0"/>
          <w:noProof w:val="0"/>
          <w:color w:val="auto"/>
          <w:sz w:val="24"/>
          <w:szCs w:val="24"/>
          <w:lang w:val="en-GB"/>
        </w:rPr>
        <w:t>Conclusion using</w:t>
      </w:r>
      <w:r w:rsidRPr="64AA5A18" w:rsidR="13613689">
        <w:rPr>
          <w:rFonts w:ascii="Arial" w:hAnsi="Arial" w:eastAsia="Arial" w:cs="Arial" w:asciiTheme="minorAscii" w:hAnsiTheme="minorAscii" w:eastAsiaTheme="minorAscii" w:cstheme="minorAscii"/>
          <w:b w:val="1"/>
          <w:bCs w:val="1"/>
          <w:i w:val="0"/>
          <w:iCs w:val="0"/>
          <w:noProof w:val="0"/>
          <w:color w:val="auto"/>
          <w:sz w:val="24"/>
          <w:szCs w:val="24"/>
          <w:lang w:val="en-GB"/>
        </w:rPr>
        <w:t xml:space="preserve"> </w:t>
      </w:r>
      <w:r w:rsidRPr="64AA5A18" w:rsidR="7527EB87">
        <w:rPr>
          <w:rFonts w:ascii="Arial" w:hAnsi="Arial" w:eastAsia="Arial" w:cs="Arial" w:asciiTheme="minorAscii" w:hAnsiTheme="minorAscii" w:eastAsiaTheme="minorAscii" w:cstheme="minorAscii"/>
          <w:b w:val="1"/>
          <w:bCs w:val="1"/>
          <w:i w:val="0"/>
          <w:iCs w:val="0"/>
          <w:noProof w:val="0"/>
          <w:color w:val="auto"/>
          <w:sz w:val="24"/>
          <w:szCs w:val="24"/>
          <w:lang w:val="en-GB"/>
        </w:rPr>
        <w:t>Ansoff verdict</w:t>
      </w:r>
      <w:bookmarkEnd w:id="1687973107"/>
    </w:p>
    <w:p w:rsidR="7527EB87" w:rsidP="64AA5A18" w:rsidRDefault="7527EB87" w14:paraId="11488A35" w14:textId="61BA16BD">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Overall, Zara’s growth profile </w:t>
      </w:r>
      <w:r w:rsidRPr="64AA5A18" w:rsidR="4726D4DC">
        <w:rPr>
          <w:rFonts w:ascii="Arial" w:hAnsi="Arial" w:eastAsia="Arial" w:cs="Arial" w:asciiTheme="minorAscii" w:hAnsiTheme="minorAscii" w:eastAsiaTheme="minorAscii" w:cstheme="minorAscii"/>
          <w:b w:val="0"/>
          <w:bCs w:val="0"/>
          <w:i w:val="0"/>
          <w:iCs w:val="0"/>
          <w:noProof w:val="0"/>
          <w:color w:val="auto"/>
          <w:sz w:val="24"/>
          <w:szCs w:val="24"/>
          <w:lang w:val="en-GB"/>
        </w:rPr>
        <w:t>relies</w:t>
      </w: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heavily on market penetration coupled with product development, reinforced by a tightly integrated technology‑operations model that accelerates speed and inventory visibility. </w:t>
      </w:r>
      <w:r>
        <w:br/>
      </w: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H&amp;M’s growth mix </w:t>
      </w: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largely centres</w:t>
      </w: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on AI‑enabled penetration and circular product development, using diversification</w:t>
      </w:r>
      <w:r w:rsidRPr="64AA5A18" w:rsidR="055975CD">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particularly resale ventures</w:t>
      </w:r>
      <w:r w:rsidRPr="64AA5A18" w:rsidR="40D05643">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64AA5A18" w:rsidR="7527EB87">
        <w:rPr>
          <w:rFonts w:ascii="Arial" w:hAnsi="Arial" w:eastAsia="Arial" w:cs="Arial" w:asciiTheme="minorAscii" w:hAnsiTheme="minorAscii" w:eastAsiaTheme="minorAscii" w:cstheme="minorAscii"/>
          <w:b w:val="0"/>
          <w:bCs w:val="0"/>
          <w:i w:val="0"/>
          <w:iCs w:val="0"/>
          <w:noProof w:val="0"/>
          <w:color w:val="auto"/>
          <w:sz w:val="24"/>
          <w:szCs w:val="24"/>
          <w:lang w:val="en-GB"/>
        </w:rPr>
        <w:t>as a supplementary hedge rather than a primary expansion engine</w:t>
      </w:r>
      <w:r w:rsidRPr="64AA5A18" w:rsidR="67BF973B">
        <w:rPr>
          <w:rFonts w:ascii="Arial" w:hAnsi="Arial" w:eastAsia="Arial" w:cs="Arial" w:asciiTheme="minorAscii" w:hAnsiTheme="minorAscii" w:eastAsiaTheme="minorAscii" w:cstheme="minorAscii"/>
          <w:b w:val="0"/>
          <w:bCs w:val="0"/>
          <w:i w:val="0"/>
          <w:iCs w:val="0"/>
          <w:noProof w:val="0"/>
          <w:color w:val="auto"/>
          <w:sz w:val="24"/>
          <w:szCs w:val="24"/>
          <w:lang w:val="en-GB"/>
        </w:rPr>
        <w:t>.</w:t>
      </w:r>
    </w:p>
    <w:p w:rsidR="64AA5A18" w:rsidP="64AA5A18" w:rsidRDefault="64AA5A18" w14:paraId="120523D0" w14:textId="56797A47">
      <w:pPr>
        <w:pStyle w:val="Normal"/>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p>
    <w:p w:rsidR="64AA5A18" w:rsidP="64AA5A18" w:rsidRDefault="64AA5A18" w14:paraId="21D20C41" w14:textId="5282FEA1">
      <w:pPr>
        <w:pStyle w:val="Normal"/>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p>
    <w:p w:rsidR="67BF973B" w:rsidP="64AA5A18" w:rsidRDefault="67BF973B" w14:paraId="645AC03A" w14:textId="39859047">
      <w:pPr>
        <w:pStyle w:val="Normal"/>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4AA5A18" w:rsidR="67BF973B">
        <w:rPr>
          <w:rFonts w:ascii="Arial" w:hAnsi="Arial" w:eastAsia="Arial" w:cs="Arial" w:asciiTheme="minorAscii" w:hAnsiTheme="minorAscii" w:eastAsiaTheme="minorAscii" w:cstheme="minorAscii"/>
          <w:b w:val="1"/>
          <w:bCs w:val="1"/>
          <w:i w:val="0"/>
          <w:iCs w:val="0"/>
          <w:noProof w:val="0"/>
          <w:color w:val="auto"/>
          <w:sz w:val="24"/>
          <w:szCs w:val="24"/>
          <w:lang w:val="en-GB"/>
        </w:rPr>
        <w:t>Recommendations</w:t>
      </w:r>
    </w:p>
    <w:tbl>
      <w:tblPr>
        <w:tblStyle w:val="TableGrid"/>
        <w:tblW w:w="0" w:type="auto"/>
        <w:tblLook w:val="06A0" w:firstRow="1" w:lastRow="0" w:firstColumn="1" w:lastColumn="0" w:noHBand="1" w:noVBand="1"/>
      </w:tblPr>
      <w:tblGrid>
        <w:gridCol w:w="4680"/>
        <w:gridCol w:w="4680"/>
      </w:tblGrid>
      <w:tr w:rsidR="64AA5A18" w:rsidTr="368B97FF" w14:paraId="32880C8F">
        <w:trPr>
          <w:trHeight w:val="300"/>
        </w:trPr>
        <w:tc>
          <w:tcPr>
            <w:tcW w:w="4680" w:type="dxa"/>
            <w:tcMar/>
          </w:tcPr>
          <w:p w:rsidR="67BF973B" w:rsidP="64AA5A18" w:rsidRDefault="67BF973B" w14:paraId="3C029E64" w14:textId="1E62A2B1">
            <w:pPr>
              <w:pStyle w:val="Normal"/>
              <w:spacing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4AA5A18" w:rsidR="67BF973B">
              <w:rPr>
                <w:rFonts w:ascii="Arial" w:hAnsi="Arial" w:eastAsia="Arial" w:cs="Arial" w:asciiTheme="minorAscii" w:hAnsiTheme="minorAscii" w:eastAsiaTheme="minorAscii" w:cstheme="minorAscii"/>
                <w:b w:val="1"/>
                <w:bCs w:val="1"/>
                <w:i w:val="0"/>
                <w:iCs w:val="0"/>
                <w:noProof w:val="0"/>
                <w:color w:val="auto"/>
                <w:sz w:val="24"/>
                <w:szCs w:val="24"/>
                <w:lang w:val="en-GB"/>
              </w:rPr>
              <w:t>ZARA</w:t>
            </w:r>
          </w:p>
        </w:tc>
        <w:tc>
          <w:tcPr>
            <w:tcW w:w="4680" w:type="dxa"/>
            <w:tcMar/>
          </w:tcPr>
          <w:p w:rsidR="67BF973B" w:rsidP="64AA5A18" w:rsidRDefault="67BF973B" w14:paraId="0467F559" w14:textId="57A13780">
            <w:pPr>
              <w:pStyle w:val="Normal"/>
              <w:spacing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r w:rsidRPr="64AA5A18" w:rsidR="67BF973B">
              <w:rPr>
                <w:rFonts w:ascii="Arial" w:hAnsi="Arial" w:eastAsia="Arial" w:cs="Arial" w:asciiTheme="minorAscii" w:hAnsiTheme="minorAscii" w:eastAsiaTheme="minorAscii" w:cstheme="minorAscii"/>
                <w:b w:val="1"/>
                <w:bCs w:val="1"/>
                <w:i w:val="0"/>
                <w:iCs w:val="0"/>
                <w:noProof w:val="0"/>
                <w:color w:val="auto"/>
                <w:sz w:val="24"/>
                <w:szCs w:val="24"/>
                <w:lang w:val="en-GB"/>
              </w:rPr>
              <w:t>H&amp;M</w:t>
            </w:r>
          </w:p>
        </w:tc>
      </w:tr>
      <w:tr w:rsidR="64AA5A18" w:rsidTr="368B97FF" w14:paraId="20615061">
        <w:trPr>
          <w:trHeight w:val="300"/>
        </w:trPr>
        <w:tc>
          <w:tcPr>
            <w:tcW w:w="4680" w:type="dxa"/>
            <w:tcMar/>
          </w:tcPr>
          <w:p w:rsidR="67BF973B" w:rsidP="64AA5A18" w:rsidRDefault="67BF973B" w14:paraId="623C490C" w14:textId="23516BF9">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67BF973B">
              <w:rPr>
                <w:rFonts w:ascii="Arial" w:hAnsi="Arial" w:eastAsia="Arial" w:cs="Arial"/>
                <w:noProof w:val="0"/>
                <w:sz w:val="24"/>
                <w:szCs w:val="24"/>
                <w:lang w:val="en-GB"/>
              </w:rPr>
              <w:t xml:space="preserve">Short production cycles, small-batch experimentation, and unified inventory management allow regulatory compliance (e.g., ESPR/ECGT) to be </w:t>
            </w:r>
            <w:r w:rsidRPr="64AA5A18" w:rsidR="67BF973B">
              <w:rPr>
                <w:rFonts w:ascii="Arial" w:hAnsi="Arial" w:eastAsia="Arial" w:cs="Arial"/>
                <w:noProof w:val="0"/>
                <w:sz w:val="24"/>
                <w:szCs w:val="24"/>
                <w:lang w:val="en-GB"/>
              </w:rPr>
              <w:t>leveraged</w:t>
            </w:r>
            <w:r w:rsidRPr="64AA5A18" w:rsidR="67BF973B">
              <w:rPr>
                <w:rFonts w:ascii="Arial" w:hAnsi="Arial" w:eastAsia="Arial" w:cs="Arial"/>
                <w:noProof w:val="0"/>
                <w:sz w:val="24"/>
                <w:szCs w:val="24"/>
                <w:lang w:val="en-GB"/>
              </w:rPr>
              <w:t xml:space="preserve"> as a commercial advantage.</w:t>
            </w:r>
          </w:p>
          <w:p w:rsidR="67BF973B" w:rsidP="64AA5A18" w:rsidRDefault="67BF973B" w14:paraId="63712003" w14:textId="532AAF22">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67BF973B">
              <w:rPr>
                <w:rFonts w:ascii="Arial" w:hAnsi="Arial" w:eastAsia="Arial" w:cs="Arial"/>
                <w:noProof w:val="0"/>
                <w:sz w:val="24"/>
                <w:szCs w:val="24"/>
                <w:lang w:val="en-GB"/>
              </w:rPr>
              <w:t>Supports differentiation and margin protection while sustaining fast-fashion responsiveness under waste and durability-focused regulations.</w:t>
            </w:r>
          </w:p>
          <w:p w:rsidR="1B3A4E8C" w:rsidP="368B97FF" w:rsidRDefault="1B3A4E8C" w14:paraId="3A1153AC" w14:textId="7ACAED7E">
            <w:pPr>
              <w:pStyle w:val="ListParagraph"/>
              <w:numPr>
                <w:ilvl w:val="0"/>
                <w:numId w:val="2"/>
              </w:numPr>
              <w:spacing w:before="240" w:beforeAutospacing="off" w:after="240" w:afterAutospacing="off" w:line="360" w:lineRule="auto"/>
              <w:rPr>
                <w:rFonts w:ascii="Segoe UI" w:hAnsi="Segoe UI" w:eastAsia="Segoe UI" w:cs="Segoe UI"/>
                <w:b w:val="0"/>
                <w:bCs w:val="0"/>
                <w:i w:val="0"/>
                <w:iCs w:val="0"/>
                <w:caps w:val="0"/>
                <w:smallCaps w:val="0"/>
                <w:strike w:val="0"/>
                <w:dstrike w:val="0"/>
                <w:noProof w:val="0"/>
                <w:sz w:val="24"/>
                <w:szCs w:val="24"/>
                <w:lang w:val="en-GB"/>
              </w:rPr>
            </w:pPr>
            <w:r w:rsidRPr="368B97FF" w:rsidR="337143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Institutionalise supplier‑level transparency to pre‑empt CSDDD risk; </w:t>
            </w:r>
            <w:r w:rsidRPr="368B97FF" w:rsidR="19A400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include</w:t>
            </w:r>
            <w:r w:rsidRPr="368B97FF" w:rsidR="337143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DPP/QR as a </w:t>
            </w:r>
            <w:r w:rsidRPr="368B97FF" w:rsidR="337143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service layer</w:t>
            </w:r>
            <w:r w:rsidRPr="368B97FF" w:rsidR="337143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(care/repair guidance, verified durability) to extend differentiation as ECGT tightens claims</w:t>
            </w:r>
            <w:r w:rsidRPr="368B97FF" w:rsidR="33714363">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64AA5A18" w:rsidP="64AA5A18" w:rsidRDefault="64AA5A18" w14:paraId="32D65645" w14:textId="1E8F1FC3">
            <w:pPr>
              <w:pStyle w:val="Normal"/>
              <w:spacing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p>
        </w:tc>
        <w:tc>
          <w:tcPr>
            <w:tcW w:w="4680" w:type="dxa"/>
            <w:tcMar/>
          </w:tcPr>
          <w:p w:rsidR="64AA5A18" w:rsidP="64AA5A18" w:rsidRDefault="64AA5A18" w14:paraId="4BD109C0" w14:textId="414546D0">
            <w:pPr>
              <w:pStyle w:val="Normal"/>
              <w:spacing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p>
          <w:p w:rsidR="67BF973B" w:rsidP="64AA5A18" w:rsidRDefault="67BF973B" w14:paraId="0E490A82" w14:textId="42E8A532">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67BF973B">
              <w:rPr>
                <w:rFonts w:ascii="Arial" w:hAnsi="Arial" w:eastAsia="Arial" w:cs="Arial"/>
                <w:noProof w:val="0"/>
                <w:sz w:val="24"/>
                <w:szCs w:val="24"/>
                <w:lang w:val="en-GB"/>
              </w:rPr>
              <w:t>Strengths lie in group-wide AI deployment and demonstrable ESG progress.</w:t>
            </w:r>
          </w:p>
          <w:p w:rsidR="67BF973B" w:rsidP="64AA5A18" w:rsidRDefault="67BF973B" w14:paraId="3DBDB88E" w14:textId="0BD4A2F5">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67BF973B">
              <w:rPr>
                <w:rFonts w:ascii="Arial" w:hAnsi="Arial" w:eastAsia="Arial" w:cs="Arial"/>
                <w:noProof w:val="0"/>
                <w:sz w:val="24"/>
                <w:szCs w:val="24"/>
                <w:lang w:val="en-GB"/>
              </w:rPr>
              <w:t>Sustainable growth requires:</w:t>
            </w:r>
          </w:p>
          <w:p w:rsidR="67BF973B" w:rsidP="64AA5A18" w:rsidRDefault="67BF973B" w14:paraId="0202D285" w14:textId="5BFED1D9">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67BF973B">
              <w:rPr>
                <w:rFonts w:ascii="Arial" w:hAnsi="Arial" w:eastAsia="Arial" w:cs="Arial"/>
                <w:noProof w:val="0"/>
                <w:sz w:val="24"/>
                <w:szCs w:val="24"/>
                <w:lang w:val="en-GB"/>
              </w:rPr>
              <w:t>Lead-time compression to accelerate responsiveness.</w:t>
            </w:r>
          </w:p>
          <w:p w:rsidR="67BF973B" w:rsidP="64AA5A18" w:rsidRDefault="67BF973B" w14:paraId="2B8D4C27" w14:textId="592F2647">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64AA5A18" w:rsidR="67BF973B">
              <w:rPr>
                <w:rFonts w:ascii="Arial" w:hAnsi="Arial" w:eastAsia="Arial" w:cs="Arial"/>
                <w:noProof w:val="0"/>
                <w:sz w:val="24"/>
                <w:szCs w:val="24"/>
                <w:lang w:val="en-GB"/>
              </w:rPr>
              <w:t>SKU-level DPP-ready data to translate planning insights and marketing claims into economic gains under EPR and destruction-ban rules.</w:t>
            </w:r>
          </w:p>
          <w:p w:rsidR="411FD512" w:rsidP="64AA5A18" w:rsidRDefault="411FD512" w14:paraId="037EAA62" w14:textId="7411270D">
            <w:pPr>
              <w:pStyle w:val="ListParagraph"/>
              <w:numPr>
                <w:ilvl w:val="0"/>
                <w:numId w:val="2"/>
              </w:numPr>
              <w:spacing w:before="240" w:beforeAutospacing="off" w:after="240" w:afterAutospacing="off" w:line="360" w:lineRule="auto"/>
              <w:rPr>
                <w:rFonts w:ascii="Segoe UI" w:hAnsi="Segoe UI" w:eastAsia="Segoe UI" w:cs="Segoe UI"/>
                <w:b w:val="0"/>
                <w:bCs w:val="0"/>
                <w:i w:val="0"/>
                <w:iCs w:val="0"/>
                <w:caps w:val="0"/>
                <w:smallCaps w:val="0"/>
                <w:strike w:val="0"/>
                <w:dstrike w:val="0"/>
                <w:noProof w:val="0"/>
                <w:sz w:val="24"/>
                <w:szCs w:val="24"/>
                <w:lang w:val="en-GB"/>
              </w:rPr>
            </w:pPr>
            <w:r w:rsidRPr="64AA5A18" w:rsidR="411FD51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Pair AI with </w:t>
            </w:r>
            <w:r w:rsidRPr="64AA5A18" w:rsidR="411FD51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nearshoring/late‑stage finishing pilots</w:t>
            </w:r>
            <w:r w:rsidRPr="64AA5A18" w:rsidR="411FD51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make buys more reversible in‑season; implement </w:t>
            </w:r>
            <w:r w:rsidRPr="64AA5A18" w:rsidR="411FD51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claim‑to‑SKU mapping</w:t>
            </w:r>
            <w:r w:rsidRPr="64AA5A18" w:rsidR="411FD51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4AA5A18" w:rsidR="411FD51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eco‑modulated design</w:t>
            </w:r>
            <w:r w:rsidRPr="64AA5A18" w:rsidR="411FD51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curb EPR fees and protect margin while communicating progress credibly.</w:t>
            </w:r>
          </w:p>
          <w:p w:rsidR="64AA5A18" w:rsidP="64AA5A18" w:rsidRDefault="64AA5A18" w14:paraId="02702ACE" w14:textId="528044CD">
            <w:pPr>
              <w:pStyle w:val="Normal"/>
              <w:spacing w:line="360" w:lineRule="auto"/>
              <w:rPr>
                <w:rFonts w:ascii="Arial" w:hAnsi="Arial" w:eastAsia="Arial" w:cs="Arial" w:asciiTheme="minorAscii" w:hAnsiTheme="minorAscii" w:eastAsiaTheme="minorAscii" w:cstheme="minorAscii"/>
                <w:b w:val="1"/>
                <w:bCs w:val="1"/>
                <w:i w:val="0"/>
                <w:iCs w:val="0"/>
                <w:noProof w:val="0"/>
                <w:color w:val="auto"/>
                <w:sz w:val="24"/>
                <w:szCs w:val="24"/>
                <w:lang w:val="en-GB"/>
              </w:rPr>
            </w:pPr>
          </w:p>
        </w:tc>
      </w:tr>
    </w:tbl>
    <w:p w:rsidR="64AA5A18" w:rsidP="64AA5A18" w:rsidRDefault="64AA5A18" w14:paraId="48572E91" w14:textId="2879DB22">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p>
    <w:p xmlns:wp14="http://schemas.microsoft.com/office/word/2010/wordml" w:rsidP="64AA5A18" wp14:paraId="65E0BE82" wp14:textId="669334F6">
      <w:pPr>
        <w:spacing w:before="210" w:beforeAutospacing="off" w:after="210" w:afterAutospacing="off" w:line="36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2A18C7CB" w:rsidP="2A18C7CB" w:rsidRDefault="2A18C7CB" w14:paraId="412F1402" w14:textId="004D48E0">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568363D1" w14:textId="2E0EF310">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0BCDD72F" w14:textId="559C8128">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68B15366" w14:textId="74DAFED9">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6E7E9C4D" w14:textId="567E5A42">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2056DAE7" w14:textId="4CCCBFA0">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3F8CA11F" w14:textId="18810DFD">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57291129" w14:textId="73E433EA">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79BC24A5" w14:textId="23A12BEA">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4EFC4C47" w14:textId="123C4512">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73C507D7" w14:textId="07AD63F0">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36231692" w14:textId="2091F81F">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2E4BA659" w14:textId="48EE2EDA">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6449EE2B" w14:textId="7AB03C7C">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6A53042E" w14:textId="29E75820">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3CB821AE" w14:textId="235397E5">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09D2CFBD" w14:textId="1B94D07A">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541A0691" w14:textId="793970A9">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7D854E52" w14:textId="47FFAA57">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40644D4E" w14:textId="243DCEBA">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13587FDD" w14:textId="7306A3E9">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02F63DB1" w14:textId="45254A5E">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48F8338F" w14:textId="62FCA53A">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397CD965" w14:textId="25F89FA5">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447FBF2B" w14:textId="2FBD06B4">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0543B559" w14:textId="6B6D5FFC">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4EA07858" w14:textId="33B13D96">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06F03261" w14:textId="399199A5">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1B9741B5" w14:textId="5587E901">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331CC96F" w14:textId="400276BF">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761B0EFD" w14:textId="5FA3B740">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w:rsidR="2A18C7CB" w:rsidP="2A18C7CB" w:rsidRDefault="2A18C7CB" w14:paraId="38048045" w14:textId="7E6E55DC">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p>
    <w:p xmlns:wp14="http://schemas.microsoft.com/office/word/2010/wordml" w:rsidP="2A18C7CB" wp14:paraId="7967AFBF" wp14:textId="66FA2B5D">
      <w:pPr>
        <w:pStyle w:val="Heading2"/>
        <w:keepNext w:val="1"/>
        <w:keepLines w:val="1"/>
        <w:bidi w:val="0"/>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auto" w:themeColor="accent1" w:themeTint="FF" w:themeShade="BF"/>
          <w:sz w:val="32"/>
          <w:szCs w:val="32"/>
          <w:lang w:val="en-GB"/>
        </w:rPr>
      </w:pPr>
      <w:bookmarkStart w:name="_Toc1357154226" w:id="821513595"/>
      <w:r w:rsidRPr="2A18C7CB" w:rsidR="588F49B2">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References</w:t>
      </w:r>
      <w:bookmarkEnd w:id="821513595"/>
      <w:r w:rsidRPr="2A18C7CB" w:rsidR="588F49B2">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GB"/>
        </w:rPr>
        <w:t xml:space="preserve"> </w:t>
      </w:r>
    </w:p>
    <w:p w:rsidR="2A18C7CB" w:rsidP="2A18C7CB" w:rsidRDefault="2A18C7CB" w14:paraId="2B54A224" w14:textId="1ED1E8C9">
      <w:pPr>
        <w:pStyle w:val="Normal"/>
        <w:keepNext w:val="1"/>
        <w:keepLines w:val="1"/>
        <w:bidi w:val="0"/>
        <w:rPr>
          <w:noProof w:val="0"/>
          <w:lang w:val="en-GB"/>
        </w:rPr>
      </w:pPr>
    </w:p>
    <w:p w:rsidR="2A18C7CB" w:rsidRDefault="2A18C7CB" w14:paraId="2C1D76E1" w14:textId="14B661E3"/>
    <w:p w:rsidR="0FF77F7B" w:rsidP="2A18C7CB" w:rsidRDefault="0FF77F7B" w14:paraId="7373106F" w14:textId="182B08D7">
      <w:pPr>
        <w:bidi w:val="0"/>
        <w:spacing w:before="240" w:beforeAutospacing="off" w:after="240" w:afterAutospacing="off"/>
      </w:pPr>
      <w:r w:rsidRPr="2A18C7CB" w:rsidR="0FF77F7B">
        <w:rPr>
          <w:rFonts w:ascii="Arial" w:hAnsi="Arial" w:eastAsia="Arial" w:cs="Arial"/>
          <w:noProof w:val="0"/>
          <w:sz w:val="24"/>
          <w:szCs w:val="24"/>
          <w:lang w:val="en-GB"/>
        </w:rPr>
        <w:t xml:space="preserve">Addleshaw Goddard (2025) </w:t>
      </w:r>
      <w:r w:rsidRPr="2A18C7CB" w:rsidR="0FF77F7B">
        <w:rPr>
          <w:rFonts w:ascii="Arial" w:hAnsi="Arial" w:eastAsia="Arial" w:cs="Arial"/>
          <w:i w:val="1"/>
          <w:iCs w:val="1"/>
          <w:noProof w:val="0"/>
          <w:sz w:val="24"/>
          <w:szCs w:val="24"/>
          <w:lang w:val="en-GB"/>
        </w:rPr>
        <w:t>EU &amp; UK: 5 key legal sustainability developments for the fashion industry</w:t>
      </w:r>
      <w:r w:rsidRPr="2A18C7CB" w:rsidR="0FF77F7B">
        <w:rPr>
          <w:rFonts w:ascii="Arial" w:hAnsi="Arial" w:eastAsia="Arial" w:cs="Arial"/>
          <w:noProof w:val="0"/>
          <w:sz w:val="24"/>
          <w:szCs w:val="24"/>
          <w:lang w:val="en-GB"/>
        </w:rPr>
        <w:t xml:space="preserve">. Available at: </w:t>
      </w:r>
      <w:hyperlink r:id="Rc73939947bef4b96">
        <w:r w:rsidRPr="2A18C7CB" w:rsidR="0FF77F7B">
          <w:rPr>
            <w:rStyle w:val="Hyperlink"/>
            <w:rFonts w:ascii="Arial" w:hAnsi="Arial" w:eastAsia="Arial" w:cs="Arial"/>
            <w:noProof w:val="0"/>
            <w:sz w:val="24"/>
            <w:szCs w:val="24"/>
            <w:lang w:val="en-GB"/>
          </w:rPr>
          <w:t>https://www.addleshawgoddard.com/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C2C0E79" w14:textId="754E30B6">
      <w:pPr>
        <w:bidi w:val="0"/>
        <w:spacing w:before="240" w:beforeAutospacing="off" w:after="240" w:afterAutospacing="off"/>
      </w:pPr>
      <w:r w:rsidRPr="2A18C7CB" w:rsidR="0FF77F7B">
        <w:rPr>
          <w:rFonts w:ascii="Arial" w:hAnsi="Arial" w:eastAsia="Arial" w:cs="Arial"/>
          <w:noProof w:val="0"/>
          <w:sz w:val="24"/>
          <w:szCs w:val="24"/>
          <w:lang w:val="en-GB"/>
        </w:rPr>
        <w:t xml:space="preserve">admin (2023) ‘Zara SWOT analysis – The Strategy Story’. Available at: </w:t>
      </w:r>
      <w:hyperlink r:id="Ra7dcdae026bf4a6a">
        <w:r w:rsidRPr="2A18C7CB" w:rsidR="0FF77F7B">
          <w:rPr>
            <w:rStyle w:val="Hyperlink"/>
            <w:rFonts w:ascii="Arial" w:hAnsi="Arial" w:eastAsia="Arial" w:cs="Arial"/>
            <w:noProof w:val="0"/>
            <w:sz w:val="24"/>
            <w:szCs w:val="24"/>
            <w:lang w:val="en-GB"/>
          </w:rPr>
          <w:t>https://thestrategystory.com/blog/zara-swot-analysis</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EBBC8CC" w14:textId="5E24A9AC">
      <w:pPr>
        <w:bidi w:val="0"/>
        <w:spacing w:before="240" w:beforeAutospacing="off" w:after="240" w:afterAutospacing="off"/>
      </w:pPr>
      <w:r w:rsidRPr="2A18C7CB" w:rsidR="0FF77F7B">
        <w:rPr>
          <w:rFonts w:ascii="Arial" w:hAnsi="Arial" w:eastAsia="Arial" w:cs="Arial"/>
          <w:noProof w:val="0"/>
          <w:sz w:val="24"/>
          <w:szCs w:val="24"/>
          <w:lang w:val="en-GB"/>
        </w:rPr>
        <w:t xml:space="preserve">Bergmann, E. (2025) ‘EU textile EPR: Timeline, member state progress &amp; requirements’, </w:t>
      </w:r>
      <w:r w:rsidRPr="2A18C7CB" w:rsidR="0FF77F7B">
        <w:rPr>
          <w:rFonts w:ascii="Arial" w:hAnsi="Arial" w:eastAsia="Arial" w:cs="Arial"/>
          <w:i w:val="1"/>
          <w:iCs w:val="1"/>
          <w:noProof w:val="0"/>
          <w:sz w:val="24"/>
          <w:szCs w:val="24"/>
          <w:lang w:val="en-GB"/>
        </w:rPr>
        <w:t>H2 Compliance</w:t>
      </w:r>
      <w:r w:rsidRPr="2A18C7CB" w:rsidR="0FF77F7B">
        <w:rPr>
          <w:rFonts w:ascii="Arial" w:hAnsi="Arial" w:eastAsia="Arial" w:cs="Arial"/>
          <w:noProof w:val="0"/>
          <w:sz w:val="24"/>
          <w:szCs w:val="24"/>
          <w:lang w:val="en-GB"/>
        </w:rPr>
        <w:t xml:space="preserve">. Available at: </w:t>
      </w:r>
      <w:hyperlink r:id="R8b6cbef8dd9242b0">
        <w:r w:rsidRPr="2A18C7CB" w:rsidR="0FF77F7B">
          <w:rPr>
            <w:rStyle w:val="Hyperlink"/>
            <w:rFonts w:ascii="Arial" w:hAnsi="Arial" w:eastAsia="Arial" w:cs="Arial"/>
            <w:noProof w:val="0"/>
            <w:sz w:val="24"/>
            <w:szCs w:val="24"/>
            <w:lang w:val="en-GB"/>
          </w:rPr>
          <w:t>https://h2compliance.com/eu-textile-epr-legislation-member-states-update/</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407050BC" w14:textId="3B4E89EC">
      <w:pPr>
        <w:bidi w:val="0"/>
        <w:spacing w:before="240" w:beforeAutospacing="off" w:after="240" w:afterAutospacing="off"/>
      </w:pPr>
      <w:r w:rsidRPr="2A18C7CB" w:rsidR="0FF77F7B">
        <w:rPr>
          <w:rFonts w:ascii="Arial" w:hAnsi="Arial" w:eastAsia="Arial" w:cs="Arial"/>
          <w:noProof w:val="0"/>
          <w:sz w:val="24"/>
          <w:szCs w:val="24"/>
          <w:lang w:val="en-GB"/>
        </w:rPr>
        <w:t xml:space="preserve">Biswas, A. (2025) </w:t>
      </w:r>
      <w:r w:rsidRPr="2A18C7CB" w:rsidR="0FF77F7B">
        <w:rPr>
          <w:rFonts w:ascii="Arial" w:hAnsi="Arial" w:eastAsia="Arial" w:cs="Arial"/>
          <w:i w:val="1"/>
          <w:iCs w:val="1"/>
          <w:noProof w:val="0"/>
          <w:sz w:val="24"/>
          <w:szCs w:val="24"/>
          <w:lang w:val="en-GB"/>
        </w:rPr>
        <w:t>AI-driven industrial innovation: Transforming fashion, textile, and advanced manufacturing for the digital economy</w:t>
      </w:r>
      <w:r w:rsidRPr="2A18C7CB" w:rsidR="0FF77F7B">
        <w:rPr>
          <w:rFonts w:ascii="Arial" w:hAnsi="Arial" w:eastAsia="Arial" w:cs="Arial"/>
          <w:noProof w:val="0"/>
          <w:sz w:val="24"/>
          <w:szCs w:val="24"/>
          <w:lang w:val="en-GB"/>
        </w:rPr>
        <w:t xml:space="preserve">. Antispublisher.my.id. Available at: </w:t>
      </w:r>
      <w:hyperlink r:id="R06366499c3c74ce7">
        <w:r w:rsidRPr="2A18C7CB" w:rsidR="0FF77F7B">
          <w:rPr>
            <w:rStyle w:val="Hyperlink"/>
            <w:rFonts w:ascii="Arial" w:hAnsi="Arial" w:eastAsia="Arial" w:cs="Arial"/>
            <w:noProof w:val="0"/>
            <w:sz w:val="24"/>
            <w:szCs w:val="24"/>
            <w:lang w:val="en-GB"/>
          </w:rPr>
          <w:t>http://repository.antispublisher.my.id/id/eprint/560/1/newAJTA_2858_Anik%2BBiswas_AI-Driven%2BIndustrial.pdf</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07B8CFB1" w14:textId="39E0BD63">
      <w:pPr>
        <w:bidi w:val="0"/>
        <w:spacing w:before="240" w:beforeAutospacing="off" w:after="240" w:afterAutospacing="off"/>
      </w:pPr>
      <w:r w:rsidRPr="2A18C7CB" w:rsidR="0FF77F7B">
        <w:rPr>
          <w:rFonts w:ascii="Arial" w:hAnsi="Arial" w:eastAsia="Arial" w:cs="Arial"/>
          <w:noProof w:val="0"/>
          <w:sz w:val="24"/>
          <w:szCs w:val="24"/>
          <w:lang w:val="en-GB"/>
        </w:rPr>
        <w:t xml:space="preserve">Carbonfact (2026) </w:t>
      </w:r>
      <w:r w:rsidRPr="2A18C7CB" w:rsidR="0FF77F7B">
        <w:rPr>
          <w:rFonts w:ascii="Arial" w:hAnsi="Arial" w:eastAsia="Arial" w:cs="Arial"/>
          <w:i w:val="1"/>
          <w:iCs w:val="1"/>
          <w:noProof w:val="0"/>
          <w:sz w:val="24"/>
          <w:szCs w:val="24"/>
          <w:lang w:val="en-GB"/>
        </w:rPr>
        <w:t>UCPD &amp; ECGT: Practical guide to EU green claims rules for fashion</w:t>
      </w:r>
      <w:r w:rsidRPr="2A18C7CB" w:rsidR="0FF77F7B">
        <w:rPr>
          <w:rFonts w:ascii="Arial" w:hAnsi="Arial" w:eastAsia="Arial" w:cs="Arial"/>
          <w:noProof w:val="0"/>
          <w:sz w:val="24"/>
          <w:szCs w:val="24"/>
          <w:lang w:val="en-GB"/>
        </w:rPr>
        <w:t xml:space="preserve">. Available at: </w:t>
      </w:r>
      <w:hyperlink r:id="R594eb4e55e9543dc">
        <w:r w:rsidRPr="2A18C7CB" w:rsidR="0FF77F7B">
          <w:rPr>
            <w:rStyle w:val="Hyperlink"/>
            <w:rFonts w:ascii="Arial" w:hAnsi="Arial" w:eastAsia="Arial" w:cs="Arial"/>
            <w:noProof w:val="0"/>
            <w:sz w:val="24"/>
            <w:szCs w:val="24"/>
            <w:lang w:val="en-GB"/>
          </w:rPr>
          <w:t>https://www.carbonfact.com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7A32C8F" w14:textId="779688B1">
      <w:pPr>
        <w:bidi w:val="0"/>
        <w:spacing w:before="240" w:beforeAutospacing="off" w:after="240" w:afterAutospacing="off"/>
      </w:pPr>
      <w:r w:rsidRPr="2A18C7CB" w:rsidR="0FF77F7B">
        <w:rPr>
          <w:rFonts w:ascii="Arial" w:hAnsi="Arial" w:eastAsia="Arial" w:cs="Arial"/>
          <w:noProof w:val="0"/>
          <w:sz w:val="24"/>
          <w:szCs w:val="24"/>
          <w:lang w:val="en-GB"/>
        </w:rPr>
        <w:t xml:space="preserve">Chain, S. (2025) ‘The Future Factory®: Business transformation training’. </w:t>
      </w:r>
      <w:r w:rsidRPr="2A18C7CB" w:rsidR="0FF77F7B">
        <w:rPr>
          <w:rFonts w:ascii="Arial" w:hAnsi="Arial" w:eastAsia="Arial" w:cs="Arial"/>
          <w:i w:val="1"/>
          <w:iCs w:val="1"/>
          <w:noProof w:val="0"/>
          <w:sz w:val="24"/>
          <w:szCs w:val="24"/>
          <w:lang w:val="en-GB"/>
        </w:rPr>
        <w:t>The Future Factory®</w:t>
      </w:r>
      <w:r w:rsidRPr="2A18C7CB" w:rsidR="0FF77F7B">
        <w:rPr>
          <w:rFonts w:ascii="Arial" w:hAnsi="Arial" w:eastAsia="Arial" w:cs="Arial"/>
          <w:noProof w:val="0"/>
          <w:sz w:val="24"/>
          <w:szCs w:val="24"/>
          <w:lang w:val="en-GB"/>
        </w:rPr>
        <w:t xml:space="preserve">. Available at: </w:t>
      </w:r>
      <w:hyperlink r:id="Re34a637c65f3407a">
        <w:r w:rsidRPr="2A18C7CB" w:rsidR="0FF77F7B">
          <w:rPr>
            <w:rStyle w:val="Hyperlink"/>
            <w:rFonts w:ascii="Arial" w:hAnsi="Arial" w:eastAsia="Arial" w:cs="Arial"/>
            <w:noProof w:val="0"/>
            <w:sz w:val="24"/>
            <w:szCs w:val="24"/>
            <w:lang w:val="en-GB"/>
          </w:rPr>
          <w:t>https://www.thefuturefactory.com/insights/zara-lean-supply-chain-agility</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03D439E9" w14:textId="3C35BFCA">
      <w:pPr>
        <w:bidi w:val="0"/>
        <w:spacing w:before="240" w:beforeAutospacing="off" w:after="240" w:afterAutospacing="off"/>
      </w:pPr>
      <w:r w:rsidRPr="2A18C7CB" w:rsidR="0FF77F7B">
        <w:rPr>
          <w:rFonts w:ascii="Arial" w:hAnsi="Arial" w:eastAsia="Arial" w:cs="Arial"/>
          <w:noProof w:val="0"/>
          <w:sz w:val="24"/>
          <w:szCs w:val="24"/>
          <w:lang w:val="en-GB"/>
        </w:rPr>
        <w:t xml:space="preserve">CMS Law-Now (2026) </w:t>
      </w:r>
      <w:r w:rsidRPr="2A18C7CB" w:rsidR="0FF77F7B">
        <w:rPr>
          <w:rFonts w:ascii="Arial" w:hAnsi="Arial" w:eastAsia="Arial" w:cs="Arial"/>
          <w:i w:val="1"/>
          <w:iCs w:val="1"/>
          <w:noProof w:val="0"/>
          <w:sz w:val="24"/>
          <w:szCs w:val="24"/>
          <w:lang w:val="en-GB"/>
        </w:rPr>
        <w:t>New EU rules to prevent the destruction of unsold textiles</w:t>
      </w:r>
      <w:r w:rsidRPr="2A18C7CB" w:rsidR="0FF77F7B">
        <w:rPr>
          <w:rFonts w:ascii="Arial" w:hAnsi="Arial" w:eastAsia="Arial" w:cs="Arial"/>
          <w:noProof w:val="0"/>
          <w:sz w:val="24"/>
          <w:szCs w:val="24"/>
          <w:lang w:val="en-GB"/>
        </w:rPr>
        <w:t xml:space="preserve">. Available at: </w:t>
      </w:r>
      <w:hyperlink r:id="Rd632752d8dc84f56">
        <w:r w:rsidRPr="2A18C7CB" w:rsidR="0FF77F7B">
          <w:rPr>
            <w:rStyle w:val="Hyperlink"/>
            <w:rFonts w:ascii="Arial" w:hAnsi="Arial" w:eastAsia="Arial" w:cs="Arial"/>
            <w:noProof w:val="0"/>
            <w:sz w:val="24"/>
            <w:szCs w:val="24"/>
            <w:lang w:val="en-GB"/>
          </w:rPr>
          <w:t>https://cms-lawnow.com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64926699" w14:textId="25E269E8">
      <w:pPr>
        <w:bidi w:val="0"/>
        <w:spacing w:before="240" w:beforeAutospacing="off" w:after="240" w:afterAutospacing="off"/>
      </w:pPr>
      <w:r w:rsidRPr="2A18C7CB" w:rsidR="0FF77F7B">
        <w:rPr>
          <w:rFonts w:ascii="Arial" w:hAnsi="Arial" w:eastAsia="Arial" w:cs="Arial"/>
          <w:noProof w:val="0"/>
          <w:sz w:val="24"/>
          <w:szCs w:val="24"/>
          <w:lang w:val="en-GB"/>
        </w:rPr>
        <w:t xml:space="preserve">CSO Futures (2024) </w:t>
      </w:r>
      <w:r w:rsidRPr="2A18C7CB" w:rsidR="0FF77F7B">
        <w:rPr>
          <w:rFonts w:ascii="Arial" w:hAnsi="Arial" w:eastAsia="Arial" w:cs="Arial"/>
          <w:i w:val="1"/>
          <w:iCs w:val="1"/>
          <w:noProof w:val="0"/>
          <w:sz w:val="24"/>
          <w:szCs w:val="24"/>
          <w:lang w:val="en-GB"/>
        </w:rPr>
        <w:t>Inditex pushed for supply chain transparency</w:t>
      </w:r>
      <w:r w:rsidRPr="2A18C7CB" w:rsidR="0FF77F7B">
        <w:rPr>
          <w:rFonts w:ascii="Arial" w:hAnsi="Arial" w:eastAsia="Arial" w:cs="Arial"/>
          <w:noProof w:val="0"/>
          <w:sz w:val="24"/>
          <w:szCs w:val="24"/>
          <w:lang w:val="en-GB"/>
        </w:rPr>
        <w:t xml:space="preserve">. Available at: </w:t>
      </w:r>
      <w:hyperlink r:id="R4f56363c5f914f0b">
        <w:r w:rsidRPr="2A18C7CB" w:rsidR="0FF77F7B">
          <w:rPr>
            <w:rStyle w:val="Hyperlink"/>
            <w:rFonts w:ascii="Arial" w:hAnsi="Arial" w:eastAsia="Arial" w:cs="Arial"/>
            <w:noProof w:val="0"/>
            <w:sz w:val="24"/>
            <w:szCs w:val="24"/>
            <w:lang w:val="en-GB"/>
          </w:rPr>
          <w:t>https://www.csofutures.com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28478D32" w14:textId="4BB6819B">
      <w:pPr>
        <w:bidi w:val="0"/>
        <w:spacing w:before="240" w:beforeAutospacing="off" w:after="240" w:afterAutospacing="off"/>
      </w:pPr>
      <w:r w:rsidRPr="2A18C7CB" w:rsidR="0FF77F7B">
        <w:rPr>
          <w:rFonts w:ascii="Arial" w:hAnsi="Arial" w:eastAsia="Arial" w:cs="Arial"/>
          <w:noProof w:val="0"/>
          <w:sz w:val="24"/>
          <w:szCs w:val="24"/>
          <w:lang w:val="en-GB"/>
        </w:rPr>
        <w:t xml:space="preserve">CTO Magazine (2025) </w:t>
      </w:r>
      <w:r w:rsidRPr="2A18C7CB" w:rsidR="0FF77F7B">
        <w:rPr>
          <w:rFonts w:ascii="Arial" w:hAnsi="Arial" w:eastAsia="Arial" w:cs="Arial"/>
          <w:i w:val="1"/>
          <w:iCs w:val="1"/>
          <w:noProof w:val="0"/>
          <w:sz w:val="24"/>
          <w:szCs w:val="24"/>
          <w:lang w:val="en-GB"/>
        </w:rPr>
        <w:t>H&amp;M’s AI playbook</w:t>
      </w:r>
      <w:r w:rsidRPr="2A18C7CB" w:rsidR="0FF77F7B">
        <w:rPr>
          <w:rFonts w:ascii="Arial" w:hAnsi="Arial" w:eastAsia="Arial" w:cs="Arial"/>
          <w:noProof w:val="0"/>
          <w:sz w:val="24"/>
          <w:szCs w:val="24"/>
          <w:lang w:val="en-GB"/>
        </w:rPr>
        <w:t xml:space="preserve">. Available at: </w:t>
      </w:r>
      <w:hyperlink r:id="R70543f5f9f6645d0">
        <w:r w:rsidRPr="2A18C7CB" w:rsidR="0FF77F7B">
          <w:rPr>
            <w:rStyle w:val="Hyperlink"/>
            <w:rFonts w:ascii="Arial" w:hAnsi="Arial" w:eastAsia="Arial" w:cs="Arial"/>
            <w:noProof w:val="0"/>
            <w:sz w:val="24"/>
            <w:szCs w:val="24"/>
            <w:lang w:val="en-GB"/>
          </w:rPr>
          <w:t>https://ctomagazine.com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6D4447C4" w14:textId="09F43F1B">
      <w:pPr>
        <w:bidi w:val="0"/>
        <w:spacing w:before="240" w:beforeAutospacing="off" w:after="240" w:afterAutospacing="off"/>
      </w:pPr>
      <w:r w:rsidRPr="2A18C7CB" w:rsidR="0FF77F7B">
        <w:rPr>
          <w:rFonts w:ascii="Arial" w:hAnsi="Arial" w:eastAsia="Arial" w:cs="Arial"/>
          <w:noProof w:val="0"/>
          <w:sz w:val="24"/>
          <w:szCs w:val="24"/>
          <w:lang w:val="en-GB"/>
        </w:rPr>
        <w:t xml:space="preserve">De, A.F. (2016) </w:t>
      </w:r>
      <w:r w:rsidRPr="2A18C7CB" w:rsidR="0FF77F7B">
        <w:rPr>
          <w:rFonts w:ascii="Arial" w:hAnsi="Arial" w:eastAsia="Arial" w:cs="Arial"/>
          <w:i w:val="1"/>
          <w:iCs w:val="1"/>
          <w:noProof w:val="0"/>
          <w:sz w:val="24"/>
          <w:szCs w:val="24"/>
          <w:lang w:val="en-GB"/>
        </w:rPr>
        <w:t>International operations management</w:t>
      </w:r>
      <w:r w:rsidRPr="2A18C7CB" w:rsidR="0FF77F7B">
        <w:rPr>
          <w:rFonts w:ascii="Arial" w:hAnsi="Arial" w:eastAsia="Arial" w:cs="Arial"/>
          <w:noProof w:val="0"/>
          <w:sz w:val="24"/>
          <w:szCs w:val="24"/>
          <w:lang w:val="en-GB"/>
        </w:rPr>
        <w:t>. Boca Raton: CRC Press.</w:t>
      </w:r>
    </w:p>
    <w:p w:rsidR="0FF77F7B" w:rsidP="2A18C7CB" w:rsidRDefault="0FF77F7B" w14:paraId="6CFD0FF9" w14:textId="41E41DEC">
      <w:pPr>
        <w:bidi w:val="0"/>
        <w:spacing w:before="240" w:beforeAutospacing="off" w:after="240" w:afterAutospacing="off"/>
      </w:pPr>
      <w:r w:rsidRPr="2A18C7CB" w:rsidR="0FF77F7B">
        <w:rPr>
          <w:rFonts w:ascii="Arial" w:hAnsi="Arial" w:eastAsia="Arial" w:cs="Arial"/>
          <w:noProof w:val="0"/>
          <w:sz w:val="24"/>
          <w:szCs w:val="24"/>
          <w:lang w:val="en-GB"/>
        </w:rPr>
        <w:t xml:space="preserve">Ethan (2025) ‘How did Zara slash $400 million in excess inventory? The RFID revolution behind fast fashion’s leaner supply chain’, </w:t>
      </w:r>
      <w:r w:rsidRPr="2A18C7CB" w:rsidR="0FF77F7B">
        <w:rPr>
          <w:rFonts w:ascii="Arial" w:hAnsi="Arial" w:eastAsia="Arial" w:cs="Arial"/>
          <w:i w:val="1"/>
          <w:iCs w:val="1"/>
          <w:noProof w:val="0"/>
          <w:sz w:val="24"/>
          <w:szCs w:val="24"/>
          <w:lang w:val="en-GB"/>
        </w:rPr>
        <w:t>Security Printing</w:t>
      </w:r>
      <w:r w:rsidRPr="2A18C7CB" w:rsidR="0FF77F7B">
        <w:rPr>
          <w:rFonts w:ascii="Arial" w:hAnsi="Arial" w:eastAsia="Arial" w:cs="Arial"/>
          <w:noProof w:val="0"/>
          <w:sz w:val="24"/>
          <w:szCs w:val="24"/>
          <w:lang w:val="en-GB"/>
        </w:rPr>
        <w:t xml:space="preserve">. Available at: </w:t>
      </w:r>
      <w:hyperlink r:id="Rfe92eeaed8544139">
        <w:r w:rsidRPr="2A18C7CB" w:rsidR="0FF77F7B">
          <w:rPr>
            <w:rStyle w:val="Hyperlink"/>
            <w:rFonts w:ascii="Arial" w:hAnsi="Arial" w:eastAsia="Arial" w:cs="Arial"/>
            <w:noProof w:val="0"/>
            <w:sz w:val="24"/>
            <w:szCs w:val="24"/>
            <w:lang w:val="en-GB"/>
          </w:rPr>
          <w:t>https://genuine-printing.com/zara-rfid-inventory-revolution/</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329DA1A7" w14:textId="0C6DF2DA">
      <w:pPr>
        <w:bidi w:val="0"/>
        <w:spacing w:before="240" w:beforeAutospacing="off" w:after="240" w:afterAutospacing="off"/>
      </w:pPr>
      <w:r w:rsidRPr="2A18C7CB" w:rsidR="0FF77F7B">
        <w:rPr>
          <w:rFonts w:ascii="Arial" w:hAnsi="Arial" w:eastAsia="Arial" w:cs="Arial"/>
          <w:noProof w:val="0"/>
          <w:sz w:val="24"/>
          <w:szCs w:val="24"/>
          <w:lang w:val="en-GB"/>
        </w:rPr>
        <w:t xml:space="preserve">European Commission (2022) </w:t>
      </w:r>
      <w:r w:rsidRPr="2A18C7CB" w:rsidR="0FF77F7B">
        <w:rPr>
          <w:rFonts w:ascii="Arial" w:hAnsi="Arial" w:eastAsia="Arial" w:cs="Arial"/>
          <w:i w:val="1"/>
          <w:iCs w:val="1"/>
          <w:noProof w:val="0"/>
          <w:sz w:val="24"/>
          <w:szCs w:val="24"/>
          <w:lang w:val="en-GB"/>
        </w:rPr>
        <w:t>EU strategy for sustainable and circular textiles</w:t>
      </w:r>
      <w:r w:rsidRPr="2A18C7CB" w:rsidR="0FF77F7B">
        <w:rPr>
          <w:rFonts w:ascii="Arial" w:hAnsi="Arial" w:eastAsia="Arial" w:cs="Arial"/>
          <w:noProof w:val="0"/>
          <w:sz w:val="24"/>
          <w:szCs w:val="24"/>
          <w:lang w:val="en-GB"/>
        </w:rPr>
        <w:t xml:space="preserve">. Available at: </w:t>
      </w:r>
      <w:hyperlink r:id="Rbb68914bb09d490c">
        <w:r w:rsidRPr="2A18C7CB" w:rsidR="0FF77F7B">
          <w:rPr>
            <w:rStyle w:val="Hyperlink"/>
            <w:rFonts w:ascii="Arial" w:hAnsi="Arial" w:eastAsia="Arial" w:cs="Arial"/>
            <w:noProof w:val="0"/>
            <w:sz w:val="24"/>
            <w:szCs w:val="24"/>
            <w:lang w:val="en-GB"/>
          </w:rPr>
          <w:t>https://environment.ec.europa.eu/strategy/textiles-strategy_en</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2E0177ED" w14:textId="10F408EE">
      <w:pPr>
        <w:bidi w:val="0"/>
        <w:spacing w:before="240" w:beforeAutospacing="off" w:after="240" w:afterAutospacing="off"/>
      </w:pPr>
      <w:r w:rsidRPr="2A18C7CB" w:rsidR="0FF77F7B">
        <w:rPr>
          <w:rFonts w:ascii="Arial" w:hAnsi="Arial" w:eastAsia="Arial" w:cs="Arial"/>
          <w:noProof w:val="0"/>
          <w:sz w:val="24"/>
          <w:szCs w:val="24"/>
          <w:lang w:val="en-GB"/>
        </w:rPr>
        <w:t xml:space="preserve">European Commission (2024) </w:t>
      </w:r>
      <w:r w:rsidRPr="2A18C7CB" w:rsidR="0FF77F7B">
        <w:rPr>
          <w:rFonts w:ascii="Arial" w:hAnsi="Arial" w:eastAsia="Arial" w:cs="Arial"/>
          <w:i w:val="1"/>
          <w:iCs w:val="1"/>
          <w:noProof w:val="0"/>
          <w:sz w:val="24"/>
          <w:szCs w:val="24"/>
          <w:lang w:val="en-GB"/>
        </w:rPr>
        <w:t>Ecodesign for Sustainable Products Regulation (ESPR)</w:t>
      </w:r>
      <w:r w:rsidRPr="2A18C7CB" w:rsidR="0FF77F7B">
        <w:rPr>
          <w:rFonts w:ascii="Arial" w:hAnsi="Arial" w:eastAsia="Arial" w:cs="Arial"/>
          <w:noProof w:val="0"/>
          <w:sz w:val="24"/>
          <w:szCs w:val="24"/>
          <w:lang w:val="en-GB"/>
        </w:rPr>
        <w:t xml:space="preserve">. Available at: </w:t>
      </w:r>
      <w:hyperlink r:id="Rcbd6d174e37f4fd0">
        <w:r w:rsidRPr="2A18C7CB" w:rsidR="0FF77F7B">
          <w:rPr>
            <w:rStyle w:val="Hyperlink"/>
            <w:rFonts w:ascii="Arial" w:hAnsi="Arial" w:eastAsia="Arial" w:cs="Arial"/>
            <w:noProof w:val="0"/>
            <w:sz w:val="24"/>
            <w:szCs w:val="24"/>
            <w:lang w:val="en-GB"/>
          </w:rPr>
          <w:t>https://commission.europa.eu</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0C87FD4D" w14:textId="430C5929">
      <w:pPr>
        <w:bidi w:val="0"/>
        <w:spacing w:before="240" w:beforeAutospacing="off" w:after="240" w:afterAutospacing="off"/>
      </w:pPr>
      <w:r w:rsidRPr="2A18C7CB" w:rsidR="0FF77F7B">
        <w:rPr>
          <w:rFonts w:ascii="Arial" w:hAnsi="Arial" w:eastAsia="Arial" w:cs="Arial"/>
          <w:noProof w:val="0"/>
          <w:sz w:val="24"/>
          <w:szCs w:val="24"/>
          <w:lang w:val="en-GB"/>
        </w:rPr>
        <w:t xml:space="preserve">European Parliament and Council (2024) </w:t>
      </w:r>
      <w:r w:rsidRPr="2A18C7CB" w:rsidR="0FF77F7B">
        <w:rPr>
          <w:rFonts w:ascii="Arial" w:hAnsi="Arial" w:eastAsia="Arial" w:cs="Arial"/>
          <w:i w:val="1"/>
          <w:iCs w:val="1"/>
          <w:noProof w:val="0"/>
          <w:sz w:val="24"/>
          <w:szCs w:val="24"/>
          <w:lang w:val="en-GB"/>
        </w:rPr>
        <w:t>Directive (EU) 2024/825 on empowering consumers for the green transition</w:t>
      </w:r>
      <w:r w:rsidRPr="2A18C7CB" w:rsidR="0FF77F7B">
        <w:rPr>
          <w:rFonts w:ascii="Arial" w:hAnsi="Arial" w:eastAsia="Arial" w:cs="Arial"/>
          <w:noProof w:val="0"/>
          <w:sz w:val="24"/>
          <w:szCs w:val="24"/>
          <w:lang w:val="en-GB"/>
        </w:rPr>
        <w:t xml:space="preserve">. Available at: </w:t>
      </w:r>
      <w:hyperlink r:id="R42432bb4d5e34e0c">
        <w:r w:rsidRPr="2A18C7CB" w:rsidR="0FF77F7B">
          <w:rPr>
            <w:rStyle w:val="Hyperlink"/>
            <w:rFonts w:ascii="Arial" w:hAnsi="Arial" w:eastAsia="Arial" w:cs="Arial"/>
            <w:noProof w:val="0"/>
            <w:sz w:val="24"/>
            <w:szCs w:val="24"/>
            <w:lang w:val="en-GB"/>
          </w:rPr>
          <w:t>https://eur-lex.europa.eu</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C01C781" w14:textId="2EB766AC">
      <w:pPr>
        <w:bidi w:val="0"/>
        <w:spacing w:before="240" w:beforeAutospacing="off" w:after="240" w:afterAutospacing="off"/>
      </w:pPr>
      <w:r w:rsidRPr="2A18C7CB" w:rsidR="0FF77F7B">
        <w:rPr>
          <w:rFonts w:ascii="Arial" w:hAnsi="Arial" w:eastAsia="Arial" w:cs="Arial"/>
          <w:noProof w:val="0"/>
          <w:sz w:val="24"/>
          <w:szCs w:val="24"/>
          <w:lang w:val="en-GB"/>
        </w:rPr>
        <w:t xml:space="preserve">European Union (2024) </w:t>
      </w:r>
      <w:r w:rsidRPr="2A18C7CB" w:rsidR="0FF77F7B">
        <w:rPr>
          <w:rFonts w:ascii="Arial" w:hAnsi="Arial" w:eastAsia="Arial" w:cs="Arial"/>
          <w:i w:val="1"/>
          <w:iCs w:val="1"/>
          <w:noProof w:val="0"/>
          <w:sz w:val="24"/>
          <w:szCs w:val="24"/>
          <w:lang w:val="en-GB"/>
        </w:rPr>
        <w:t>Directive (EU) 2024/1760</w:t>
      </w:r>
      <w:r w:rsidRPr="2A18C7CB" w:rsidR="0FF77F7B">
        <w:rPr>
          <w:rFonts w:ascii="Arial" w:hAnsi="Arial" w:eastAsia="Arial" w:cs="Arial"/>
          <w:noProof w:val="0"/>
          <w:sz w:val="24"/>
          <w:szCs w:val="24"/>
          <w:lang w:val="en-GB"/>
        </w:rPr>
        <w:t xml:space="preserve">. Available at: </w:t>
      </w:r>
      <w:hyperlink r:id="R2f23943caaff42e4">
        <w:r w:rsidRPr="2A18C7CB" w:rsidR="0FF77F7B">
          <w:rPr>
            <w:rStyle w:val="Hyperlink"/>
            <w:rFonts w:ascii="Arial" w:hAnsi="Arial" w:eastAsia="Arial" w:cs="Arial"/>
            <w:noProof w:val="0"/>
            <w:sz w:val="24"/>
            <w:szCs w:val="24"/>
            <w:lang w:val="en-GB"/>
          </w:rPr>
          <w:t>https://eur-lex.europa.eu/eli/dir/2024/1760/oj/eng</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BCDE66F" w14:textId="04D94D38">
      <w:pPr>
        <w:bidi w:val="0"/>
        <w:spacing w:before="240" w:beforeAutospacing="off" w:after="240" w:afterAutospacing="off"/>
      </w:pPr>
      <w:r w:rsidRPr="2A18C7CB" w:rsidR="0FF77F7B">
        <w:rPr>
          <w:rFonts w:ascii="Arial" w:hAnsi="Arial" w:eastAsia="Arial" w:cs="Arial"/>
          <w:noProof w:val="0"/>
          <w:sz w:val="24"/>
          <w:szCs w:val="24"/>
          <w:lang w:val="en-GB"/>
        </w:rPr>
        <w:t xml:space="preserve">Faraca, G. et al. (2024) </w:t>
      </w:r>
      <w:r w:rsidRPr="2A18C7CB" w:rsidR="0FF77F7B">
        <w:rPr>
          <w:rFonts w:ascii="Arial" w:hAnsi="Arial" w:eastAsia="Arial" w:cs="Arial"/>
          <w:i w:val="1"/>
          <w:iCs w:val="1"/>
          <w:noProof w:val="0"/>
          <w:sz w:val="24"/>
          <w:szCs w:val="24"/>
          <w:lang w:val="en-GB"/>
        </w:rPr>
        <w:t>Ecodesign for Sustainable Products Regulation: Study on new product priorities</w:t>
      </w:r>
      <w:r w:rsidRPr="2A18C7CB" w:rsidR="0FF77F7B">
        <w:rPr>
          <w:rFonts w:ascii="Arial" w:hAnsi="Arial" w:eastAsia="Arial" w:cs="Arial"/>
          <w:noProof w:val="0"/>
          <w:sz w:val="24"/>
          <w:szCs w:val="24"/>
          <w:lang w:val="en-GB"/>
        </w:rPr>
        <w:t xml:space="preserve">. JRC Publications Repository. Available at: </w:t>
      </w:r>
      <w:hyperlink r:id="R4aa6d0e1427648a7">
        <w:r w:rsidRPr="2A18C7CB" w:rsidR="0FF77F7B">
          <w:rPr>
            <w:rStyle w:val="Hyperlink"/>
            <w:rFonts w:ascii="Arial" w:hAnsi="Arial" w:eastAsia="Arial" w:cs="Arial"/>
            <w:noProof w:val="0"/>
            <w:sz w:val="24"/>
            <w:szCs w:val="24"/>
            <w:lang w:val="en-GB"/>
          </w:rPr>
          <w:t>https://doi.org/10.2760/7400680</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1D90CF7B" w14:textId="26666C2A">
      <w:pPr>
        <w:bidi w:val="0"/>
        <w:spacing w:before="240" w:beforeAutospacing="off" w:after="240" w:afterAutospacing="off"/>
      </w:pPr>
      <w:r w:rsidRPr="2A18C7CB" w:rsidR="0FF77F7B">
        <w:rPr>
          <w:rFonts w:ascii="Arial" w:hAnsi="Arial" w:eastAsia="Arial" w:cs="Arial"/>
          <w:noProof w:val="0"/>
          <w:sz w:val="24"/>
          <w:szCs w:val="24"/>
          <w:lang w:val="en-GB"/>
        </w:rPr>
        <w:t xml:space="preserve">Ha, J. (2021) ‘Zara strategic analysis’. Available at: </w:t>
      </w:r>
      <w:hyperlink r:id="Rc7e0a4195e014d79">
        <w:r w:rsidRPr="2A18C7CB" w:rsidR="0FF77F7B">
          <w:rPr>
            <w:rStyle w:val="Hyperlink"/>
            <w:rFonts w:ascii="Arial" w:hAnsi="Arial" w:eastAsia="Arial" w:cs="Arial"/>
            <w:noProof w:val="0"/>
            <w:sz w:val="24"/>
            <w:szCs w:val="24"/>
            <w:lang w:val="en-GB"/>
          </w:rPr>
          <w:t>https://digitalcommons.unl.edu/cgi/viewcontent.cgi?article=1368&amp;context=honorstheses</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2ED9C73F" w14:textId="45DAF8E1">
      <w:pPr>
        <w:bidi w:val="0"/>
        <w:spacing w:before="240" w:beforeAutospacing="off" w:after="240" w:afterAutospacing="off"/>
      </w:pPr>
      <w:r w:rsidRPr="2A18C7CB" w:rsidR="0FF77F7B">
        <w:rPr>
          <w:rFonts w:ascii="Arial" w:hAnsi="Arial" w:eastAsia="Arial" w:cs="Arial"/>
          <w:noProof w:val="0"/>
          <w:sz w:val="24"/>
          <w:szCs w:val="24"/>
          <w:lang w:val="en-GB"/>
        </w:rPr>
        <w:t xml:space="preserve">H &amp; M Hennes &amp; Mauritz AB (2025) </w:t>
      </w:r>
      <w:r w:rsidRPr="2A18C7CB" w:rsidR="0FF77F7B">
        <w:rPr>
          <w:rFonts w:ascii="Arial" w:hAnsi="Arial" w:eastAsia="Arial" w:cs="Arial"/>
          <w:i w:val="1"/>
          <w:iCs w:val="1"/>
          <w:noProof w:val="0"/>
          <w:sz w:val="24"/>
          <w:szCs w:val="24"/>
          <w:lang w:val="en-GB"/>
        </w:rPr>
        <w:t>Annual report and sustainability report 2024</w:t>
      </w:r>
      <w:r w:rsidRPr="2A18C7CB" w:rsidR="0FF77F7B">
        <w:rPr>
          <w:rFonts w:ascii="Arial" w:hAnsi="Arial" w:eastAsia="Arial" w:cs="Arial"/>
          <w:noProof w:val="0"/>
          <w:sz w:val="24"/>
          <w:szCs w:val="24"/>
          <w:lang w:val="en-GB"/>
        </w:rPr>
        <w:t>. Stockholm: H &amp; M Hennes &amp; Mauritz AB.</w:t>
      </w:r>
    </w:p>
    <w:p w:rsidR="0FF77F7B" w:rsidP="2A18C7CB" w:rsidRDefault="0FF77F7B" w14:paraId="0C7BF4E6" w14:textId="15209D59">
      <w:pPr>
        <w:bidi w:val="0"/>
        <w:spacing w:before="240" w:beforeAutospacing="off" w:after="240" w:afterAutospacing="off"/>
      </w:pPr>
      <w:r w:rsidRPr="2A18C7CB" w:rsidR="0FF77F7B">
        <w:rPr>
          <w:rFonts w:ascii="Arial" w:hAnsi="Arial" w:eastAsia="Arial" w:cs="Arial"/>
          <w:noProof w:val="0"/>
          <w:sz w:val="24"/>
          <w:szCs w:val="24"/>
          <w:lang w:val="en-GB"/>
        </w:rPr>
        <w:t xml:space="preserve">H2 Compliance (2025) </w:t>
      </w:r>
      <w:r w:rsidRPr="2A18C7CB" w:rsidR="0FF77F7B">
        <w:rPr>
          <w:rFonts w:ascii="Arial" w:hAnsi="Arial" w:eastAsia="Arial" w:cs="Arial"/>
          <w:i w:val="1"/>
          <w:iCs w:val="1"/>
          <w:noProof w:val="0"/>
          <w:sz w:val="24"/>
          <w:szCs w:val="24"/>
          <w:lang w:val="en-GB"/>
        </w:rPr>
        <w:t>EU textile EPR – timeline and member state progress</w:t>
      </w:r>
      <w:r w:rsidRPr="2A18C7CB" w:rsidR="0FF77F7B">
        <w:rPr>
          <w:rFonts w:ascii="Arial" w:hAnsi="Arial" w:eastAsia="Arial" w:cs="Arial"/>
          <w:noProof w:val="0"/>
          <w:sz w:val="24"/>
          <w:szCs w:val="24"/>
          <w:lang w:val="en-GB"/>
        </w:rPr>
        <w:t xml:space="preserve">. Available at: </w:t>
      </w:r>
      <w:hyperlink r:id="R4e9cede204fa4e32">
        <w:r w:rsidRPr="2A18C7CB" w:rsidR="0FF77F7B">
          <w:rPr>
            <w:rStyle w:val="Hyperlink"/>
            <w:rFonts w:ascii="Arial" w:hAnsi="Arial" w:eastAsia="Arial" w:cs="Arial"/>
            <w:noProof w:val="0"/>
            <w:sz w:val="24"/>
            <w:szCs w:val="24"/>
            <w:lang w:val="en-GB"/>
          </w:rPr>
          <w:t>https://h2compliance.com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23489D2B" w14:textId="6E4A5A18">
      <w:pPr>
        <w:bidi w:val="0"/>
        <w:spacing w:before="240" w:beforeAutospacing="off" w:after="240" w:afterAutospacing="off"/>
      </w:pPr>
      <w:r w:rsidRPr="2A18C7CB" w:rsidR="0FF77F7B">
        <w:rPr>
          <w:rFonts w:ascii="Arial" w:hAnsi="Arial" w:eastAsia="Arial" w:cs="Arial"/>
          <w:noProof w:val="0"/>
          <w:sz w:val="24"/>
          <w:szCs w:val="24"/>
          <w:lang w:val="en-GB"/>
        </w:rPr>
        <w:t xml:space="preserve">H&amp;M Group (2025a) </w:t>
      </w:r>
      <w:r w:rsidRPr="2A18C7CB" w:rsidR="0FF77F7B">
        <w:rPr>
          <w:rFonts w:ascii="Arial" w:hAnsi="Arial" w:eastAsia="Arial" w:cs="Arial"/>
          <w:i w:val="1"/>
          <w:iCs w:val="1"/>
          <w:noProof w:val="0"/>
          <w:sz w:val="24"/>
          <w:szCs w:val="24"/>
          <w:lang w:val="en-GB"/>
        </w:rPr>
        <w:t>Annual &amp; sustainability report 2024</w:t>
      </w:r>
      <w:r w:rsidRPr="2A18C7CB" w:rsidR="0FF77F7B">
        <w:rPr>
          <w:rFonts w:ascii="Arial" w:hAnsi="Arial" w:eastAsia="Arial" w:cs="Arial"/>
          <w:noProof w:val="0"/>
          <w:sz w:val="24"/>
          <w:szCs w:val="24"/>
          <w:lang w:val="en-GB"/>
        </w:rPr>
        <w:t xml:space="preserve">. Available at: </w:t>
      </w:r>
      <w:hyperlink r:id="R1a3cdb506a6b4bda">
        <w:r w:rsidRPr="2A18C7CB" w:rsidR="0FF77F7B">
          <w:rPr>
            <w:rStyle w:val="Hyperlink"/>
            <w:rFonts w:ascii="Arial" w:hAnsi="Arial" w:eastAsia="Arial" w:cs="Arial"/>
            <w:noProof w:val="0"/>
            <w:sz w:val="24"/>
            <w:szCs w:val="24"/>
            <w:lang w:val="en-GB"/>
          </w:rPr>
          <w:t>https://hmgroup.com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1494F706" w14:textId="3F224F34">
      <w:pPr>
        <w:bidi w:val="0"/>
        <w:spacing w:before="240" w:beforeAutospacing="off" w:after="240" w:afterAutospacing="off"/>
      </w:pPr>
      <w:r w:rsidRPr="2A18C7CB" w:rsidR="0FF77F7B">
        <w:rPr>
          <w:rFonts w:ascii="Arial" w:hAnsi="Arial" w:eastAsia="Arial" w:cs="Arial"/>
          <w:noProof w:val="0"/>
          <w:sz w:val="24"/>
          <w:szCs w:val="24"/>
          <w:lang w:val="en-GB"/>
        </w:rPr>
        <w:t xml:space="preserve">H&amp;M Group (2025b) </w:t>
      </w:r>
      <w:r w:rsidRPr="2A18C7CB" w:rsidR="0FF77F7B">
        <w:rPr>
          <w:rFonts w:ascii="Arial" w:hAnsi="Arial" w:eastAsia="Arial" w:cs="Arial"/>
          <w:i w:val="1"/>
          <w:iCs w:val="1"/>
          <w:noProof w:val="0"/>
          <w:sz w:val="24"/>
          <w:szCs w:val="24"/>
          <w:lang w:val="en-GB"/>
        </w:rPr>
        <w:t>Press release: Annual &amp; sustainability report 2024</w:t>
      </w:r>
      <w:r w:rsidRPr="2A18C7CB" w:rsidR="0FF77F7B">
        <w:rPr>
          <w:rFonts w:ascii="Arial" w:hAnsi="Arial" w:eastAsia="Arial" w:cs="Arial"/>
          <w:noProof w:val="0"/>
          <w:sz w:val="24"/>
          <w:szCs w:val="24"/>
          <w:lang w:val="en-GB"/>
        </w:rPr>
        <w:t xml:space="preserve">. Available at: </w:t>
      </w:r>
      <w:hyperlink r:id="R15cf81a87979483d">
        <w:r w:rsidRPr="2A18C7CB" w:rsidR="0FF77F7B">
          <w:rPr>
            <w:rStyle w:val="Hyperlink"/>
            <w:rFonts w:ascii="Arial" w:hAnsi="Arial" w:eastAsia="Arial" w:cs="Arial"/>
            <w:noProof w:val="0"/>
            <w:sz w:val="24"/>
            <w:szCs w:val="24"/>
            <w:lang w:val="en-GB"/>
          </w:rPr>
          <w:t>https://mb.cision.com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8D9EF4C" w14:textId="51FC360B">
      <w:pPr>
        <w:bidi w:val="0"/>
        <w:spacing w:before="240" w:beforeAutospacing="off" w:after="240" w:afterAutospacing="off"/>
      </w:pPr>
      <w:r w:rsidRPr="2A18C7CB" w:rsidR="0FF77F7B">
        <w:rPr>
          <w:rFonts w:ascii="Arial" w:hAnsi="Arial" w:eastAsia="Arial" w:cs="Arial"/>
          <w:noProof w:val="0"/>
          <w:sz w:val="24"/>
          <w:szCs w:val="24"/>
          <w:lang w:val="en-GB"/>
        </w:rPr>
        <w:t xml:space="preserve">H&amp;M Group (2025c) </w:t>
      </w:r>
      <w:r w:rsidRPr="2A18C7CB" w:rsidR="0FF77F7B">
        <w:rPr>
          <w:rFonts w:ascii="Arial" w:hAnsi="Arial" w:eastAsia="Arial" w:cs="Arial"/>
          <w:i w:val="1"/>
          <w:iCs w:val="1"/>
          <w:noProof w:val="0"/>
          <w:sz w:val="24"/>
          <w:szCs w:val="24"/>
          <w:lang w:val="en-GB"/>
        </w:rPr>
        <w:t>Full-year report deck 2024</w:t>
      </w:r>
      <w:r w:rsidRPr="2A18C7CB" w:rsidR="0FF77F7B">
        <w:rPr>
          <w:rFonts w:ascii="Arial" w:hAnsi="Arial" w:eastAsia="Arial" w:cs="Arial"/>
          <w:noProof w:val="0"/>
          <w:sz w:val="24"/>
          <w:szCs w:val="24"/>
          <w:lang w:val="en-GB"/>
        </w:rPr>
        <w:t xml:space="preserve">. Available at: </w:t>
      </w:r>
      <w:hyperlink r:id="R774a11dfcf0e42af">
        <w:r w:rsidRPr="2A18C7CB" w:rsidR="0FF77F7B">
          <w:rPr>
            <w:rStyle w:val="Hyperlink"/>
            <w:rFonts w:ascii="Arial" w:hAnsi="Arial" w:eastAsia="Arial" w:cs="Arial"/>
            <w:noProof w:val="0"/>
            <w:sz w:val="24"/>
            <w:szCs w:val="24"/>
            <w:lang w:val="en-GB"/>
          </w:rPr>
          <w:t>https://publicnow.com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42DED269" w14:textId="73F63178">
      <w:pPr>
        <w:bidi w:val="0"/>
        <w:spacing w:before="240" w:beforeAutospacing="off" w:after="240" w:afterAutospacing="off"/>
      </w:pPr>
      <w:r w:rsidRPr="2A18C7CB" w:rsidR="0FF77F7B">
        <w:rPr>
          <w:rFonts w:ascii="Arial" w:hAnsi="Arial" w:eastAsia="Arial" w:cs="Arial"/>
          <w:noProof w:val="0"/>
          <w:sz w:val="24"/>
          <w:szCs w:val="24"/>
          <w:lang w:val="en-GB"/>
        </w:rPr>
        <w:t xml:space="preserve">H&amp;M Group Press Release (n.d.) Available at: </w:t>
      </w:r>
      <w:hyperlink r:id="R1c2e0724678948c1">
        <w:r w:rsidRPr="2A18C7CB" w:rsidR="0FF77F7B">
          <w:rPr>
            <w:rStyle w:val="Hyperlink"/>
            <w:rFonts w:ascii="Arial" w:hAnsi="Arial" w:eastAsia="Arial" w:cs="Arial"/>
            <w:noProof w:val="0"/>
            <w:sz w:val="24"/>
            <w:szCs w:val="24"/>
            <w:lang w:val="en-GB"/>
          </w:rPr>
          <w:t>https://mb.cision.com/Public/769/4124752/ba12515f3f75952a.pdf</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481C4C90" w14:textId="0FFF9DC2">
      <w:pPr>
        <w:bidi w:val="0"/>
        <w:spacing w:before="240" w:beforeAutospacing="off" w:after="240" w:afterAutospacing="off"/>
      </w:pPr>
      <w:r w:rsidRPr="2A18C7CB" w:rsidR="0FF77F7B">
        <w:rPr>
          <w:rFonts w:ascii="Arial" w:hAnsi="Arial" w:eastAsia="Arial" w:cs="Arial"/>
          <w:noProof w:val="0"/>
          <w:sz w:val="24"/>
          <w:szCs w:val="24"/>
          <w:lang w:val="en-GB"/>
        </w:rPr>
        <w:t xml:space="preserve">House of Commons Library (2026) </w:t>
      </w:r>
      <w:r w:rsidRPr="2A18C7CB" w:rsidR="0FF77F7B">
        <w:rPr>
          <w:rFonts w:ascii="Arial" w:hAnsi="Arial" w:eastAsia="Arial" w:cs="Arial"/>
          <w:i w:val="1"/>
          <w:iCs w:val="1"/>
          <w:noProof w:val="0"/>
          <w:sz w:val="24"/>
          <w:szCs w:val="24"/>
          <w:lang w:val="en-GB"/>
        </w:rPr>
        <w:t>High cost of living: Impact on households</w:t>
      </w:r>
      <w:r w:rsidRPr="2A18C7CB" w:rsidR="0FF77F7B">
        <w:rPr>
          <w:rFonts w:ascii="Arial" w:hAnsi="Arial" w:eastAsia="Arial" w:cs="Arial"/>
          <w:noProof w:val="0"/>
          <w:sz w:val="24"/>
          <w:szCs w:val="24"/>
          <w:lang w:val="en-GB"/>
        </w:rPr>
        <w:t xml:space="preserve">. Available at: </w:t>
      </w:r>
      <w:hyperlink r:id="Rb96b7e141e114c73">
        <w:r w:rsidRPr="2A18C7CB" w:rsidR="0FF77F7B">
          <w:rPr>
            <w:rStyle w:val="Hyperlink"/>
            <w:rFonts w:ascii="Arial" w:hAnsi="Arial" w:eastAsia="Arial" w:cs="Arial"/>
            <w:noProof w:val="0"/>
            <w:sz w:val="24"/>
            <w:szCs w:val="24"/>
            <w:lang w:val="en-GB"/>
          </w:rPr>
          <w:t>https://commonslibrary.parliament.uk</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2FC45260" w14:textId="7F5D13D6">
      <w:pPr>
        <w:bidi w:val="0"/>
        <w:spacing w:before="240" w:beforeAutospacing="off" w:after="240" w:afterAutospacing="off"/>
      </w:pPr>
      <w:r w:rsidRPr="2A18C7CB" w:rsidR="0FF77F7B">
        <w:rPr>
          <w:rFonts w:ascii="Arial" w:hAnsi="Arial" w:eastAsia="Arial" w:cs="Arial"/>
          <w:noProof w:val="0"/>
          <w:sz w:val="24"/>
          <w:szCs w:val="24"/>
          <w:lang w:val="en-GB"/>
        </w:rPr>
        <w:t xml:space="preserve">Hunt, S.D. (1976) ‘The nature and scope of marketing’, </w:t>
      </w:r>
      <w:r w:rsidRPr="2A18C7CB" w:rsidR="0FF77F7B">
        <w:rPr>
          <w:rFonts w:ascii="Arial" w:hAnsi="Arial" w:eastAsia="Arial" w:cs="Arial"/>
          <w:i w:val="1"/>
          <w:iCs w:val="1"/>
          <w:noProof w:val="0"/>
          <w:sz w:val="24"/>
          <w:szCs w:val="24"/>
          <w:lang w:val="en-GB"/>
        </w:rPr>
        <w:t>Journal of Marketing</w:t>
      </w:r>
      <w:r w:rsidRPr="2A18C7CB" w:rsidR="0FF77F7B">
        <w:rPr>
          <w:rFonts w:ascii="Arial" w:hAnsi="Arial" w:eastAsia="Arial" w:cs="Arial"/>
          <w:noProof w:val="0"/>
          <w:sz w:val="24"/>
          <w:szCs w:val="24"/>
          <w:lang w:val="en-GB"/>
        </w:rPr>
        <w:t xml:space="preserve">, 40(3), pp. 17–28. </w:t>
      </w:r>
      <w:hyperlink r:id="R0a7115e15de34d93">
        <w:r w:rsidRPr="2A18C7CB" w:rsidR="0FF77F7B">
          <w:rPr>
            <w:rStyle w:val="Hyperlink"/>
            <w:rFonts w:ascii="Arial" w:hAnsi="Arial" w:eastAsia="Arial" w:cs="Arial"/>
            <w:noProof w:val="0"/>
            <w:sz w:val="24"/>
            <w:szCs w:val="24"/>
            <w:lang w:val="en-GB"/>
          </w:rPr>
          <w:t>https://doi.org/10.1177/002224297604000304</w:t>
        </w:r>
      </w:hyperlink>
      <w:r w:rsidRPr="2A18C7CB" w:rsidR="0FF77F7B">
        <w:rPr>
          <w:rFonts w:ascii="Arial" w:hAnsi="Arial" w:eastAsia="Arial" w:cs="Arial"/>
          <w:noProof w:val="0"/>
          <w:sz w:val="24"/>
          <w:szCs w:val="24"/>
          <w:lang w:val="en-GB"/>
        </w:rPr>
        <w:t>.</w:t>
      </w:r>
    </w:p>
    <w:p w:rsidR="0FF77F7B" w:rsidP="2A18C7CB" w:rsidRDefault="0FF77F7B" w14:paraId="7767C045" w14:textId="7350D6BC">
      <w:pPr>
        <w:bidi w:val="0"/>
        <w:spacing w:before="240" w:beforeAutospacing="off" w:after="240" w:afterAutospacing="off"/>
      </w:pPr>
      <w:r w:rsidRPr="2A18C7CB" w:rsidR="0FF77F7B">
        <w:rPr>
          <w:rFonts w:ascii="Arial" w:hAnsi="Arial" w:eastAsia="Arial" w:cs="Arial"/>
          <w:noProof w:val="0"/>
          <w:sz w:val="24"/>
          <w:szCs w:val="24"/>
          <w:lang w:val="en-GB"/>
        </w:rPr>
        <w:t xml:space="preserve">Islami, X., Mustafa, N. and Latkovikj, M.T. (2020) ‘Linking Porter’s generic strategies to firm performance’, </w:t>
      </w:r>
      <w:r w:rsidRPr="2A18C7CB" w:rsidR="0FF77F7B">
        <w:rPr>
          <w:rFonts w:ascii="Arial" w:hAnsi="Arial" w:eastAsia="Arial" w:cs="Arial"/>
          <w:i w:val="1"/>
          <w:iCs w:val="1"/>
          <w:noProof w:val="0"/>
          <w:sz w:val="24"/>
          <w:szCs w:val="24"/>
          <w:lang w:val="en-GB"/>
        </w:rPr>
        <w:t>Future Business Journal</w:t>
      </w:r>
      <w:r w:rsidRPr="2A18C7CB" w:rsidR="0FF77F7B">
        <w:rPr>
          <w:rFonts w:ascii="Arial" w:hAnsi="Arial" w:eastAsia="Arial" w:cs="Arial"/>
          <w:noProof w:val="0"/>
          <w:sz w:val="24"/>
          <w:szCs w:val="24"/>
          <w:lang w:val="en-GB"/>
        </w:rPr>
        <w:t xml:space="preserve">, 6(1), pp. 1–15. </w:t>
      </w:r>
      <w:hyperlink r:id="R9e227447008d4058">
        <w:r w:rsidRPr="2A18C7CB" w:rsidR="0FF77F7B">
          <w:rPr>
            <w:rStyle w:val="Hyperlink"/>
            <w:rFonts w:ascii="Arial" w:hAnsi="Arial" w:eastAsia="Arial" w:cs="Arial"/>
            <w:noProof w:val="0"/>
            <w:sz w:val="24"/>
            <w:szCs w:val="24"/>
            <w:lang w:val="en-GB"/>
          </w:rPr>
          <w:t>https://doi.org/10.1186/s43093-020-0009-1</w:t>
        </w:r>
      </w:hyperlink>
      <w:r w:rsidRPr="2A18C7CB" w:rsidR="0FF77F7B">
        <w:rPr>
          <w:rFonts w:ascii="Arial" w:hAnsi="Arial" w:eastAsia="Arial" w:cs="Arial"/>
          <w:noProof w:val="0"/>
          <w:sz w:val="24"/>
          <w:szCs w:val="24"/>
          <w:lang w:val="en-GB"/>
        </w:rPr>
        <w:t>.</w:t>
      </w:r>
    </w:p>
    <w:p w:rsidR="0FF77F7B" w:rsidP="2A18C7CB" w:rsidRDefault="0FF77F7B" w14:paraId="0E34B2E7" w14:textId="5C3F874D">
      <w:pPr>
        <w:bidi w:val="0"/>
        <w:spacing w:before="240" w:beforeAutospacing="off" w:after="240" w:afterAutospacing="off"/>
      </w:pPr>
      <w:r w:rsidRPr="2A18C7CB" w:rsidR="0FF77F7B">
        <w:rPr>
          <w:rFonts w:ascii="Arial" w:hAnsi="Arial" w:eastAsia="Arial" w:cs="Arial"/>
          <w:noProof w:val="0"/>
          <w:sz w:val="24"/>
          <w:szCs w:val="24"/>
          <w:lang w:val="en-GB"/>
        </w:rPr>
        <w:t xml:space="preserve">Kontosakou, A. (2025) ‘Goodwin antitrust &amp; regulatory shorts: Fashion faux pas; misleading green and social responsibility claims’. Available at: </w:t>
      </w:r>
      <w:hyperlink r:id="R109a9144fbb6497b">
        <w:r w:rsidRPr="2A18C7CB" w:rsidR="0FF77F7B">
          <w:rPr>
            <w:rStyle w:val="Hyperlink"/>
            <w:rFonts w:ascii="Arial" w:hAnsi="Arial" w:eastAsia="Arial" w:cs="Arial"/>
            <w:noProof w:val="0"/>
            <w:sz w:val="24"/>
            <w:szCs w:val="24"/>
            <w:lang w:val="en-GB"/>
          </w:rPr>
          <w:t>https://www.goodwinlaw.com/en/insights/publications/2025/07/alerts-practices-antc-fashion-faux-pas-misleading-green</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4EC3C5D5" w14:textId="7E0FD2BD">
      <w:pPr>
        <w:bidi w:val="0"/>
        <w:spacing w:before="240" w:beforeAutospacing="off" w:after="240" w:afterAutospacing="off"/>
      </w:pPr>
      <w:r w:rsidRPr="2A18C7CB" w:rsidR="0FF77F7B">
        <w:rPr>
          <w:rFonts w:ascii="Arial" w:hAnsi="Arial" w:eastAsia="Arial" w:cs="Arial"/>
          <w:noProof w:val="0"/>
          <w:sz w:val="24"/>
          <w:szCs w:val="24"/>
          <w:lang w:val="en-GB"/>
        </w:rPr>
        <w:t xml:space="preserve">Leigh, D. (2009) ‘SWOT analysis’, in </w:t>
      </w:r>
      <w:r w:rsidRPr="2A18C7CB" w:rsidR="0FF77F7B">
        <w:rPr>
          <w:rFonts w:ascii="Arial" w:hAnsi="Arial" w:eastAsia="Arial" w:cs="Arial"/>
          <w:i w:val="1"/>
          <w:iCs w:val="1"/>
          <w:noProof w:val="0"/>
          <w:sz w:val="24"/>
          <w:szCs w:val="24"/>
          <w:lang w:val="en-GB"/>
        </w:rPr>
        <w:t>Handbook of improving performance in the workplace: Volumes 1–3</w:t>
      </w:r>
      <w:r w:rsidRPr="2A18C7CB" w:rsidR="0FF77F7B">
        <w:rPr>
          <w:rFonts w:ascii="Arial" w:hAnsi="Arial" w:eastAsia="Arial" w:cs="Arial"/>
          <w:noProof w:val="0"/>
          <w:sz w:val="24"/>
          <w:szCs w:val="24"/>
          <w:lang w:val="en-GB"/>
        </w:rPr>
        <w:t xml:space="preserve">. Hoboken: Wiley, pp. 115–140. </w:t>
      </w:r>
      <w:hyperlink r:id="R7142cadfb1b84247">
        <w:r w:rsidRPr="2A18C7CB" w:rsidR="0FF77F7B">
          <w:rPr>
            <w:rStyle w:val="Hyperlink"/>
            <w:rFonts w:ascii="Arial" w:hAnsi="Arial" w:eastAsia="Arial" w:cs="Arial"/>
            <w:noProof w:val="0"/>
            <w:sz w:val="24"/>
            <w:szCs w:val="24"/>
            <w:lang w:val="en-GB"/>
          </w:rPr>
          <w:t>https://doi.org/10.1002/9780470592663.ch24</w:t>
        </w:r>
      </w:hyperlink>
      <w:r w:rsidRPr="2A18C7CB" w:rsidR="0FF77F7B">
        <w:rPr>
          <w:rFonts w:ascii="Arial" w:hAnsi="Arial" w:eastAsia="Arial" w:cs="Arial"/>
          <w:noProof w:val="0"/>
          <w:sz w:val="24"/>
          <w:szCs w:val="24"/>
          <w:lang w:val="en-GB"/>
        </w:rPr>
        <w:t>.</w:t>
      </w:r>
    </w:p>
    <w:p w:rsidR="0FF77F7B" w:rsidP="2A18C7CB" w:rsidRDefault="0FF77F7B" w14:paraId="18780326" w14:textId="6AC70C58">
      <w:pPr>
        <w:bidi w:val="0"/>
        <w:spacing w:before="240" w:beforeAutospacing="off" w:after="240" w:afterAutospacing="off"/>
      </w:pPr>
      <w:r w:rsidRPr="2A18C7CB" w:rsidR="0FF77F7B">
        <w:rPr>
          <w:rFonts w:ascii="Arial" w:hAnsi="Arial" w:eastAsia="Arial" w:cs="Arial"/>
          <w:noProof w:val="0"/>
          <w:sz w:val="24"/>
          <w:szCs w:val="24"/>
          <w:lang w:val="en-GB"/>
        </w:rPr>
        <w:t xml:space="preserve">Lüttin, L. (2025) ‘EU’s Unfair Commercial Practices Directive (UCPD) and Empowering Consumers for the Green Transition Directive’. Available at: </w:t>
      </w:r>
      <w:hyperlink r:id="R05fba1eeb0194550">
        <w:r w:rsidRPr="2A18C7CB" w:rsidR="0FF77F7B">
          <w:rPr>
            <w:rStyle w:val="Hyperlink"/>
            <w:rFonts w:ascii="Arial" w:hAnsi="Arial" w:eastAsia="Arial" w:cs="Arial"/>
            <w:noProof w:val="0"/>
            <w:sz w:val="24"/>
            <w:szCs w:val="24"/>
            <w:lang w:val="en-GB"/>
          </w:rPr>
          <w:t>https://www.carbonfact.com/blog/policy/ucpd-fashion</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1351CEB" w14:textId="4CC0CB66">
      <w:pPr>
        <w:bidi w:val="0"/>
        <w:spacing w:before="240" w:beforeAutospacing="off" w:after="240" w:afterAutospacing="off"/>
      </w:pPr>
      <w:r w:rsidRPr="2A18C7CB" w:rsidR="0FF77F7B">
        <w:rPr>
          <w:rFonts w:ascii="Arial" w:hAnsi="Arial" w:eastAsia="Arial" w:cs="Arial"/>
          <w:noProof w:val="0"/>
          <w:sz w:val="24"/>
          <w:szCs w:val="24"/>
          <w:lang w:val="en-GB"/>
        </w:rPr>
        <w:t xml:space="preserve">Mexico Business News (2025) </w:t>
      </w:r>
      <w:r w:rsidRPr="2A18C7CB" w:rsidR="0FF77F7B">
        <w:rPr>
          <w:rFonts w:ascii="Arial" w:hAnsi="Arial" w:eastAsia="Arial" w:cs="Arial"/>
          <w:i w:val="1"/>
          <w:iCs w:val="1"/>
          <w:noProof w:val="0"/>
          <w:sz w:val="24"/>
          <w:szCs w:val="24"/>
          <w:lang w:val="en-GB"/>
        </w:rPr>
        <w:t>Zara deploys generative AI for models and virtual fitting rooms</w:t>
      </w:r>
      <w:r w:rsidRPr="2A18C7CB" w:rsidR="0FF77F7B">
        <w:rPr>
          <w:rFonts w:ascii="Arial" w:hAnsi="Arial" w:eastAsia="Arial" w:cs="Arial"/>
          <w:noProof w:val="0"/>
          <w:sz w:val="24"/>
          <w:szCs w:val="24"/>
          <w:lang w:val="en-GB"/>
        </w:rPr>
        <w:t xml:space="preserve">. Available at: </w:t>
      </w:r>
      <w:hyperlink r:id="R2c97f7f487c14f2a">
        <w:r w:rsidRPr="2A18C7CB" w:rsidR="0FF77F7B">
          <w:rPr>
            <w:rStyle w:val="Hyperlink"/>
            <w:rFonts w:ascii="Arial" w:hAnsi="Arial" w:eastAsia="Arial" w:cs="Arial"/>
            <w:noProof w:val="0"/>
            <w:sz w:val="24"/>
            <w:szCs w:val="24"/>
            <w:lang w:val="en-GB"/>
          </w:rPr>
          <w:t>https://mexicobusiness.news</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03C51D5F" w14:textId="24BDB2AD">
      <w:pPr>
        <w:bidi w:val="0"/>
        <w:spacing w:before="240" w:beforeAutospacing="off" w:after="240" w:afterAutospacing="off"/>
      </w:pPr>
      <w:r w:rsidRPr="2A18C7CB" w:rsidR="0FF77F7B">
        <w:rPr>
          <w:rFonts w:ascii="Arial" w:hAnsi="Arial" w:eastAsia="Arial" w:cs="Arial"/>
          <w:noProof w:val="0"/>
          <w:sz w:val="24"/>
          <w:szCs w:val="24"/>
          <w:lang w:val="en-GB"/>
        </w:rPr>
        <w:t xml:space="preserve">Muratore, A.P. and Marques, L. (2021) ‘Fashion supply chain transparency: Do as I say, not as I do’, </w:t>
      </w:r>
      <w:r w:rsidRPr="2A18C7CB" w:rsidR="0FF77F7B">
        <w:rPr>
          <w:rFonts w:ascii="Arial" w:hAnsi="Arial" w:eastAsia="Arial" w:cs="Arial"/>
          <w:i w:val="1"/>
          <w:iCs w:val="1"/>
          <w:noProof w:val="0"/>
          <w:sz w:val="24"/>
          <w:szCs w:val="24"/>
          <w:lang w:val="en-GB"/>
        </w:rPr>
        <w:t>International Journal of Productivity and Performance Management</w:t>
      </w:r>
      <w:r w:rsidRPr="2A18C7CB" w:rsidR="0FF77F7B">
        <w:rPr>
          <w:rFonts w:ascii="Arial" w:hAnsi="Arial" w:eastAsia="Arial" w:cs="Arial"/>
          <w:noProof w:val="0"/>
          <w:sz w:val="24"/>
          <w:szCs w:val="24"/>
          <w:lang w:val="en-GB"/>
        </w:rPr>
        <w:t xml:space="preserve">, ahead-of-print. </w:t>
      </w:r>
      <w:hyperlink r:id="Raafcc8f2e25f423b">
        <w:r w:rsidRPr="2A18C7CB" w:rsidR="0FF77F7B">
          <w:rPr>
            <w:rStyle w:val="Hyperlink"/>
            <w:rFonts w:ascii="Arial" w:hAnsi="Arial" w:eastAsia="Arial" w:cs="Arial"/>
            <w:noProof w:val="0"/>
            <w:sz w:val="24"/>
            <w:szCs w:val="24"/>
            <w:lang w:val="en-GB"/>
          </w:rPr>
          <w:t>https://doi.org/10.1108/IJPPM-02-2021-0110</w:t>
        </w:r>
      </w:hyperlink>
      <w:r w:rsidRPr="2A18C7CB" w:rsidR="0FF77F7B">
        <w:rPr>
          <w:rFonts w:ascii="Arial" w:hAnsi="Arial" w:eastAsia="Arial" w:cs="Arial"/>
          <w:noProof w:val="0"/>
          <w:sz w:val="24"/>
          <w:szCs w:val="24"/>
          <w:lang w:val="en-GB"/>
        </w:rPr>
        <w:t>.</w:t>
      </w:r>
    </w:p>
    <w:p w:rsidR="0FF77F7B" w:rsidP="2A18C7CB" w:rsidRDefault="0FF77F7B" w14:paraId="48B70FD8" w14:textId="0BEC67C8">
      <w:pPr>
        <w:bidi w:val="0"/>
        <w:spacing w:before="240" w:beforeAutospacing="off" w:after="240" w:afterAutospacing="off"/>
      </w:pPr>
      <w:r w:rsidRPr="2A18C7CB" w:rsidR="0FF77F7B">
        <w:rPr>
          <w:rFonts w:ascii="Arial" w:hAnsi="Arial" w:eastAsia="Arial" w:cs="Arial"/>
          <w:noProof w:val="0"/>
          <w:sz w:val="24"/>
          <w:szCs w:val="24"/>
          <w:lang w:val="en-GB"/>
        </w:rPr>
        <w:t xml:space="preserve">nss magazine (2026) </w:t>
      </w:r>
      <w:r w:rsidRPr="2A18C7CB" w:rsidR="0FF77F7B">
        <w:rPr>
          <w:rFonts w:ascii="Arial" w:hAnsi="Arial" w:eastAsia="Arial" w:cs="Arial"/>
          <w:i w:val="1"/>
          <w:iCs w:val="1"/>
          <w:noProof w:val="0"/>
          <w:sz w:val="24"/>
          <w:szCs w:val="24"/>
          <w:lang w:val="en-GB"/>
        </w:rPr>
        <w:t>Inditex: 2024 performance context</w:t>
      </w:r>
      <w:r w:rsidRPr="2A18C7CB" w:rsidR="0FF77F7B">
        <w:rPr>
          <w:rFonts w:ascii="Arial" w:hAnsi="Arial" w:eastAsia="Arial" w:cs="Arial"/>
          <w:noProof w:val="0"/>
          <w:sz w:val="24"/>
          <w:szCs w:val="24"/>
          <w:lang w:val="en-GB"/>
        </w:rPr>
        <w:t xml:space="preserve">. Available at: </w:t>
      </w:r>
      <w:hyperlink r:id="Rd789da5e37da4bf9">
        <w:r w:rsidRPr="2A18C7CB" w:rsidR="0FF77F7B">
          <w:rPr>
            <w:rStyle w:val="Hyperlink"/>
            <w:rFonts w:ascii="Arial" w:hAnsi="Arial" w:eastAsia="Arial" w:cs="Arial"/>
            <w:noProof w:val="0"/>
            <w:sz w:val="24"/>
            <w:szCs w:val="24"/>
            <w:lang w:val="en-GB"/>
          </w:rPr>
          <w:t>https://www.nssmag.com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5CC8C33B" w14:textId="4A5895A1">
      <w:pPr>
        <w:bidi w:val="0"/>
        <w:spacing w:before="240" w:beforeAutospacing="off" w:after="240" w:afterAutospacing="off"/>
      </w:pPr>
      <w:r w:rsidRPr="2A18C7CB" w:rsidR="0FF77F7B">
        <w:rPr>
          <w:rFonts w:ascii="Arial" w:hAnsi="Arial" w:eastAsia="Arial" w:cs="Arial"/>
          <w:noProof w:val="0"/>
          <w:sz w:val="24"/>
          <w:szCs w:val="24"/>
          <w:lang w:val="en-GB"/>
        </w:rPr>
        <w:t xml:space="preserve">Roshan Viknesh SV (2026) ‘SWOT analysis of Zara’. Available at: </w:t>
      </w:r>
      <w:hyperlink r:id="R43b2e3f8462c450f">
        <w:r w:rsidRPr="2A18C7CB" w:rsidR="0FF77F7B">
          <w:rPr>
            <w:rStyle w:val="Hyperlink"/>
            <w:rFonts w:ascii="Arial" w:hAnsi="Arial" w:eastAsia="Arial" w:cs="Arial"/>
            <w:noProof w:val="0"/>
            <w:sz w:val="24"/>
            <w:szCs w:val="24"/>
            <w:lang w:val="en-GB"/>
          </w:rPr>
          <w:t>https://prezi.com/p/hn9-ve7tbxkm/swot-analysis-of-zara</w:t>
        </w:r>
      </w:hyperlink>
      <w:r w:rsidRPr="2A18C7CB" w:rsidR="0FF77F7B">
        <w:rPr>
          <w:rFonts w:ascii="Arial" w:hAnsi="Arial" w:eastAsia="Arial" w:cs="Arial"/>
          <w:noProof w:val="0"/>
          <w:sz w:val="24"/>
          <w:szCs w:val="24"/>
          <w:lang w:val="en-GB"/>
        </w:rPr>
        <w:t xml:space="preserve"> (Accessed: 18 February 2026).</w:t>
      </w:r>
    </w:p>
    <w:p w:rsidR="0FF77F7B" w:rsidP="2A18C7CB" w:rsidRDefault="0FF77F7B" w14:paraId="2BF89EA4" w14:textId="729F6B1C">
      <w:pPr>
        <w:bidi w:val="0"/>
        <w:spacing w:before="240" w:beforeAutospacing="off" w:after="240" w:afterAutospacing="off"/>
      </w:pPr>
      <w:r w:rsidRPr="2A18C7CB" w:rsidR="0FF77F7B">
        <w:rPr>
          <w:rFonts w:ascii="Arial" w:hAnsi="Arial" w:eastAsia="Arial" w:cs="Arial"/>
          <w:noProof w:val="0"/>
          <w:sz w:val="24"/>
          <w:szCs w:val="24"/>
          <w:lang w:val="en-GB"/>
        </w:rPr>
        <w:t xml:space="preserve">Shen, Y. and Chen, Y. (2024) ‘Research on Zara digital marketing strategy’, </w:t>
      </w:r>
      <w:r w:rsidRPr="2A18C7CB" w:rsidR="0FF77F7B">
        <w:rPr>
          <w:rFonts w:ascii="Arial" w:hAnsi="Arial" w:eastAsia="Arial" w:cs="Arial"/>
          <w:i w:val="1"/>
          <w:iCs w:val="1"/>
          <w:noProof w:val="0"/>
          <w:sz w:val="24"/>
          <w:szCs w:val="24"/>
          <w:lang w:val="en-GB"/>
        </w:rPr>
        <w:t>Academic Journal of Business &amp; Management</w:t>
      </w:r>
      <w:r w:rsidRPr="2A18C7CB" w:rsidR="0FF77F7B">
        <w:rPr>
          <w:rFonts w:ascii="Arial" w:hAnsi="Arial" w:eastAsia="Arial" w:cs="Arial"/>
          <w:noProof w:val="0"/>
          <w:sz w:val="24"/>
          <w:szCs w:val="24"/>
          <w:lang w:val="en-GB"/>
        </w:rPr>
        <w:t xml:space="preserve">, 6(8), pp. 101–108. Available at: </w:t>
      </w:r>
      <w:hyperlink r:id="Rfd14e35a126340ad">
        <w:r w:rsidRPr="2A18C7CB" w:rsidR="0FF77F7B">
          <w:rPr>
            <w:rStyle w:val="Hyperlink"/>
            <w:rFonts w:ascii="Arial" w:hAnsi="Arial" w:eastAsia="Arial" w:cs="Arial"/>
            <w:noProof w:val="0"/>
            <w:sz w:val="24"/>
            <w:szCs w:val="24"/>
            <w:lang w:val="en-GB"/>
          </w:rPr>
          <w:t>https://www.francis-press.com/uploads/papers/GTCSf6yeoF5cvoHaB0wSVrEqID7P4vvu5dsnGnqi.pdf</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610A1D84" w14:textId="60CAFC1D">
      <w:pPr>
        <w:bidi w:val="0"/>
        <w:spacing w:before="240" w:beforeAutospacing="off" w:after="240" w:afterAutospacing="off"/>
      </w:pPr>
      <w:r w:rsidRPr="2A18C7CB" w:rsidR="0FF77F7B">
        <w:rPr>
          <w:rFonts w:ascii="Arial" w:hAnsi="Arial" w:eastAsia="Arial" w:cs="Arial"/>
          <w:noProof w:val="0"/>
          <w:sz w:val="24"/>
          <w:szCs w:val="24"/>
          <w:lang w:val="en-GB"/>
        </w:rPr>
        <w:t>Sourceready</w:t>
      </w:r>
      <w:r w:rsidRPr="2A18C7CB" w:rsidR="0FF77F7B">
        <w:rPr>
          <w:rFonts w:ascii="Arial" w:hAnsi="Arial" w:eastAsia="Arial" w:cs="Arial"/>
          <w:noProof w:val="0"/>
          <w:sz w:val="24"/>
          <w:szCs w:val="24"/>
          <w:lang w:val="en-GB"/>
        </w:rPr>
        <w:t xml:space="preserve"> (2026) </w:t>
      </w:r>
      <w:r w:rsidRPr="2A18C7CB" w:rsidR="0FF77F7B">
        <w:rPr>
          <w:rFonts w:ascii="Arial" w:hAnsi="Arial" w:eastAsia="Arial" w:cs="Arial"/>
          <w:i w:val="1"/>
          <w:iCs w:val="1"/>
          <w:noProof w:val="0"/>
          <w:sz w:val="24"/>
          <w:szCs w:val="24"/>
          <w:lang w:val="en-GB"/>
        </w:rPr>
        <w:t>Zara’s supply chain analysis (nearshoring/postponement)</w:t>
      </w:r>
      <w:r w:rsidRPr="2A18C7CB" w:rsidR="0FF77F7B">
        <w:rPr>
          <w:rFonts w:ascii="Arial" w:hAnsi="Arial" w:eastAsia="Arial" w:cs="Arial"/>
          <w:noProof w:val="0"/>
          <w:sz w:val="24"/>
          <w:szCs w:val="24"/>
          <w:lang w:val="en-GB"/>
        </w:rPr>
        <w:t xml:space="preserve">. Available at: </w:t>
      </w:r>
      <w:hyperlink r:id="R3cebdc4600a8404f">
        <w:r w:rsidRPr="2A18C7CB" w:rsidR="0FF77F7B">
          <w:rPr>
            <w:rStyle w:val="Hyperlink"/>
            <w:rFonts w:ascii="Arial" w:hAnsi="Arial" w:eastAsia="Arial" w:cs="Arial"/>
            <w:noProof w:val="0"/>
            <w:sz w:val="24"/>
            <w:szCs w:val="24"/>
            <w:lang w:val="en-GB"/>
          </w:rPr>
          <w:t>https://www.sourceready.com</w:t>
        </w:r>
      </w:hyperlink>
      <w:r w:rsidRPr="2A18C7CB" w:rsidR="0FF77F7B">
        <w:rPr>
          <w:rFonts w:ascii="Arial" w:hAnsi="Arial" w:eastAsia="Arial" w:cs="Arial"/>
          <w:noProof w:val="0"/>
          <w:sz w:val="24"/>
          <w:szCs w:val="24"/>
          <w:lang w:val="en-GB"/>
        </w:rPr>
        <w:t xml:space="preserve"> (Accessed: 17 February 2026).</w:t>
      </w:r>
    </w:p>
    <w:p w:rsidR="0FF77F7B" w:rsidP="2A18C7CB" w:rsidRDefault="0FF77F7B" w14:paraId="7018B8C6" w14:textId="08BAD615">
      <w:pPr>
        <w:pStyle w:val="Normal"/>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2A18C7CB" w:rsidR="0FF77F7B">
        <w:rPr>
          <w:rFonts w:ascii="Arial" w:hAnsi="Arial" w:eastAsia="Arial" w:cs="Arial" w:asciiTheme="minorAscii" w:hAnsiTheme="minorAscii" w:eastAsiaTheme="minorAscii" w:cstheme="minorAscii"/>
          <w:b w:val="0"/>
          <w:bCs w:val="0"/>
          <w:i w:val="0"/>
          <w:iCs w:val="0"/>
          <w:caps w:val="0"/>
          <w:smallCaps w:val="0"/>
          <w:noProof w:val="0"/>
          <w:color w:val="2C3E50"/>
          <w:sz w:val="24"/>
          <w:szCs w:val="24"/>
          <w:lang w:val="en-GB"/>
        </w:rPr>
        <w:t xml:space="preserve">Team, M. (2025). </w:t>
      </w:r>
      <w:r w:rsidRPr="2A18C7CB" w:rsidR="0FF77F7B">
        <w:rPr>
          <w:rFonts w:ascii="Arial" w:hAnsi="Arial" w:eastAsia="Arial" w:cs="Arial" w:asciiTheme="minorAscii" w:hAnsiTheme="minorAscii" w:eastAsiaTheme="minorAscii" w:cstheme="minorAscii"/>
          <w:b w:val="0"/>
          <w:bCs w:val="0"/>
          <w:i w:val="1"/>
          <w:iCs w:val="1"/>
          <w:caps w:val="0"/>
          <w:smallCaps w:val="0"/>
          <w:noProof w:val="0"/>
          <w:color w:val="2C3E50"/>
          <w:sz w:val="24"/>
          <w:szCs w:val="24"/>
          <w:lang w:val="en-GB"/>
        </w:rPr>
        <w:t xml:space="preserve">What </w:t>
      </w:r>
      <w:r w:rsidRPr="2A18C7CB" w:rsidR="0FF77F7B">
        <w:rPr>
          <w:rFonts w:ascii="Arial" w:hAnsi="Arial" w:eastAsia="Arial" w:cs="Arial" w:asciiTheme="minorAscii" w:hAnsiTheme="minorAscii" w:eastAsiaTheme="minorAscii" w:cstheme="minorAscii"/>
          <w:b w:val="0"/>
          <w:bCs w:val="0"/>
          <w:i w:val="1"/>
          <w:iCs w:val="1"/>
          <w:caps w:val="0"/>
          <w:smallCaps w:val="0"/>
          <w:noProof w:val="0"/>
          <w:color w:val="2C3E50"/>
          <w:sz w:val="24"/>
          <w:szCs w:val="24"/>
          <w:lang w:val="en-GB"/>
        </w:rPr>
        <w:t>are</w:t>
      </w:r>
      <w:r w:rsidRPr="2A18C7CB" w:rsidR="0FF77F7B">
        <w:rPr>
          <w:rFonts w:ascii="Arial" w:hAnsi="Arial" w:eastAsia="Arial" w:cs="Arial" w:asciiTheme="minorAscii" w:hAnsiTheme="minorAscii" w:eastAsiaTheme="minorAscii" w:cstheme="minorAscii"/>
          <w:b w:val="0"/>
          <w:bCs w:val="0"/>
          <w:i w:val="1"/>
          <w:iCs w:val="1"/>
          <w:caps w:val="0"/>
          <w:smallCaps w:val="0"/>
          <w:noProof w:val="0"/>
          <w:color w:val="2C3E50"/>
          <w:sz w:val="24"/>
          <w:szCs w:val="24"/>
          <w:lang w:val="en-GB"/>
        </w:rPr>
        <w:t xml:space="preserve"> Mission Vision &amp; Core Values of H&amp;M - Hennes &amp; Mauritz Company?</w:t>
      </w:r>
      <w:r w:rsidRPr="2A18C7CB" w:rsidR="0FF77F7B">
        <w:rPr>
          <w:rFonts w:ascii="Arial" w:hAnsi="Arial" w:eastAsia="Arial" w:cs="Arial" w:asciiTheme="minorAscii" w:hAnsiTheme="minorAscii" w:eastAsiaTheme="minorAscii" w:cstheme="minorAscii"/>
          <w:b w:val="0"/>
          <w:bCs w:val="0"/>
          <w:i w:val="0"/>
          <w:iCs w:val="0"/>
          <w:caps w:val="0"/>
          <w:smallCaps w:val="0"/>
          <w:noProof w:val="0"/>
          <w:color w:val="2C3E50"/>
          <w:sz w:val="24"/>
          <w:szCs w:val="24"/>
          <w:lang w:val="en-GB"/>
        </w:rPr>
        <w:t xml:space="preserve"> [online] matrixbcg.com. Available at: https://matrixbcg.com/blogs/mission/hm.</w:t>
      </w:r>
    </w:p>
    <w:p w:rsidR="0FF77F7B" w:rsidP="2A18C7CB" w:rsidRDefault="0FF77F7B" w14:paraId="0BEF0781" w14:textId="756A0DA4">
      <w:pPr>
        <w:bidi w:val="0"/>
        <w:spacing w:before="240" w:beforeAutospacing="off" w:after="240" w:afterAutospacing="off"/>
      </w:pPr>
      <w:r w:rsidRPr="2A18C7CB" w:rsidR="0FF77F7B">
        <w:rPr>
          <w:rFonts w:ascii="Arial" w:hAnsi="Arial" w:eastAsia="Arial" w:cs="Arial"/>
          <w:noProof w:val="0"/>
          <w:sz w:val="24"/>
          <w:szCs w:val="24"/>
          <w:lang w:val="en-GB"/>
        </w:rPr>
        <w:t xml:space="preserve">The Future Factory (2025) </w:t>
      </w:r>
      <w:r w:rsidRPr="2A18C7CB" w:rsidR="0FF77F7B">
        <w:rPr>
          <w:rFonts w:ascii="Arial" w:hAnsi="Arial" w:eastAsia="Arial" w:cs="Arial"/>
          <w:i w:val="1"/>
          <w:iCs w:val="1"/>
          <w:noProof w:val="0"/>
          <w:sz w:val="24"/>
          <w:szCs w:val="24"/>
          <w:lang w:val="en-GB"/>
        </w:rPr>
        <w:t>How Zara’s supply chain delivers speed and agility at scale</w:t>
      </w:r>
      <w:r w:rsidRPr="2A18C7CB" w:rsidR="0FF77F7B">
        <w:rPr>
          <w:rFonts w:ascii="Arial" w:hAnsi="Arial" w:eastAsia="Arial" w:cs="Arial"/>
          <w:noProof w:val="0"/>
          <w:sz w:val="24"/>
          <w:szCs w:val="24"/>
          <w:lang w:val="en-GB"/>
        </w:rPr>
        <w:t xml:space="preserve">. Available at: </w:t>
      </w:r>
      <w:hyperlink r:id="R7e2d45ed511e4b5c">
        <w:r w:rsidRPr="2A18C7CB" w:rsidR="0FF77F7B">
          <w:rPr>
            <w:rStyle w:val="Hyperlink"/>
            <w:rFonts w:ascii="Arial" w:hAnsi="Arial" w:eastAsia="Arial" w:cs="Arial"/>
            <w:noProof w:val="0"/>
            <w:sz w:val="24"/>
            <w:szCs w:val="24"/>
            <w:lang w:val="en-GB"/>
          </w:rPr>
          <w:t>https://www.thefuturefactory.com</w:t>
        </w:r>
      </w:hyperlink>
      <w:r w:rsidRPr="2A18C7CB" w:rsidR="0FF77F7B">
        <w:rPr>
          <w:rFonts w:ascii="Arial" w:hAnsi="Arial" w:eastAsia="Arial" w:cs="Arial"/>
          <w:noProof w:val="0"/>
          <w:sz w:val="24"/>
          <w:szCs w:val="24"/>
          <w:lang w:val="en-GB"/>
        </w:rPr>
        <w:t xml:space="preserve"> (Accessed: 17 February 2026).</w:t>
      </w:r>
    </w:p>
    <w:p w:rsidR="2A18C7CB" w:rsidP="2A18C7CB" w:rsidRDefault="2A18C7CB" w14:paraId="4F287FBB" w14:textId="1BC91091">
      <w:pPr>
        <w:pStyle w:val="Normal"/>
        <w:keepNext w:val="1"/>
        <w:keepLines w:val="1"/>
        <w:bidi w:val="0"/>
        <w:rPr>
          <w:noProof w:val="0"/>
          <w:lang w:val="en-GB"/>
        </w:rPr>
      </w:pPr>
    </w:p>
    <w:p xmlns:wp14="http://schemas.microsoft.com/office/word/2010/wordml" w:rsidP="64AA5A18" wp14:paraId="17EFD053" wp14:textId="42C8C184">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0A4720D5" wp14:textId="1DD77496">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5969BF61" wp14:textId="09366605">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BA6CCEB" wp14:textId="53A6CB46">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49E8C46" wp14:textId="5D12BB11">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22E6391B" wp14:textId="0BB28F27">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3C01A0F7" wp14:textId="0E3001D6">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79DD0E9F" wp14:textId="774616D0">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33639247" wp14:textId="5A558389">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2142A5C0" wp14:textId="645DF270">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39724BBB" wp14:textId="5825E8B6">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7A0AA806" wp14:textId="28C67654">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2E9DE7D1" wp14:textId="50A6866F">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4B1818AD" wp14:textId="43173664">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7786AD07" wp14:textId="0959745D">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861CC58" wp14:textId="7D6C958C">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4A76BC75" wp14:textId="2838FB7B">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2C1B3D15" wp14:textId="517CB428">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40E37F74" wp14:textId="7D1BB3A2">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68E9ABC8" wp14:textId="2843F344">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0A0B376" wp14:textId="180872D1">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3A7A6D40" wp14:textId="55D87790">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69F4396" wp14:textId="63CAA98D">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51672756" wp14:textId="3055FFE3">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62061022" wp14:textId="22F3A448">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19137AEA" wp14:textId="386A2B94">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0E046C04" wp14:textId="6A800937">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2F99E14D" wp14:textId="2A5CD0CF">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0C9CF4EE" wp14:textId="5768F883">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31BE59A9" wp14:textId="7C7E7F72">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6D9342DA" wp14:textId="4B8F1E4F">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4AA5A18" wp14:paraId="436705BA" wp14:textId="0546F63A">
      <w:pPr>
        <w:bidi w:val="0"/>
        <w:spacing w:before="0" w:beforeAutospacing="off" w:after="0" w:afterAutospacing="off" w:line="360" w:lineRule="auto"/>
        <w:ind w:left="426" w:right="248"/>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1F11C5A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9">
    <w:nsid w:val="37dd8f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be2e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9ed3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4e682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caed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0b08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84f1e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0ddd0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e2754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767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ff63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d2a0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153a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780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68a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e97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eb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243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d078f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E26AFA"/>
    <w:rsid w:val="0056AC16"/>
    <w:rsid w:val="00C000A0"/>
    <w:rsid w:val="00C890C9"/>
    <w:rsid w:val="00F2641E"/>
    <w:rsid w:val="011AE3B8"/>
    <w:rsid w:val="011FE66F"/>
    <w:rsid w:val="012A22ED"/>
    <w:rsid w:val="013D622F"/>
    <w:rsid w:val="017B3D69"/>
    <w:rsid w:val="01B16281"/>
    <w:rsid w:val="01B16281"/>
    <w:rsid w:val="01B83246"/>
    <w:rsid w:val="01F60EF4"/>
    <w:rsid w:val="01F9F3C4"/>
    <w:rsid w:val="01F9F3C4"/>
    <w:rsid w:val="01FA963A"/>
    <w:rsid w:val="0233DB2E"/>
    <w:rsid w:val="02546C60"/>
    <w:rsid w:val="0269F4D3"/>
    <w:rsid w:val="02A4B76B"/>
    <w:rsid w:val="03166EC0"/>
    <w:rsid w:val="0325EA03"/>
    <w:rsid w:val="036E0788"/>
    <w:rsid w:val="037D2E79"/>
    <w:rsid w:val="03CB13CE"/>
    <w:rsid w:val="03E965FA"/>
    <w:rsid w:val="03F1D9EF"/>
    <w:rsid w:val="042BAB17"/>
    <w:rsid w:val="047E0F44"/>
    <w:rsid w:val="04871D34"/>
    <w:rsid w:val="0497A167"/>
    <w:rsid w:val="04A9F8CC"/>
    <w:rsid w:val="04BA5C86"/>
    <w:rsid w:val="04C68327"/>
    <w:rsid w:val="04FEE6E8"/>
    <w:rsid w:val="050E5162"/>
    <w:rsid w:val="055975CD"/>
    <w:rsid w:val="059F127D"/>
    <w:rsid w:val="05A44456"/>
    <w:rsid w:val="05C3ECD9"/>
    <w:rsid w:val="060452C7"/>
    <w:rsid w:val="060452C7"/>
    <w:rsid w:val="060A766F"/>
    <w:rsid w:val="060D9EF2"/>
    <w:rsid w:val="06248E6E"/>
    <w:rsid w:val="06248E6E"/>
    <w:rsid w:val="0639068A"/>
    <w:rsid w:val="066530A2"/>
    <w:rsid w:val="071F28E6"/>
    <w:rsid w:val="0776E1B5"/>
    <w:rsid w:val="07F83550"/>
    <w:rsid w:val="08AA673D"/>
    <w:rsid w:val="08E0F1C0"/>
    <w:rsid w:val="093D3AB9"/>
    <w:rsid w:val="0955FD47"/>
    <w:rsid w:val="0981CBBC"/>
    <w:rsid w:val="0984D7CA"/>
    <w:rsid w:val="09947A5B"/>
    <w:rsid w:val="09B7962D"/>
    <w:rsid w:val="09CE89E6"/>
    <w:rsid w:val="09D69DC7"/>
    <w:rsid w:val="09E174ED"/>
    <w:rsid w:val="09E9DB10"/>
    <w:rsid w:val="0A0DE082"/>
    <w:rsid w:val="0A397157"/>
    <w:rsid w:val="0A5CC486"/>
    <w:rsid w:val="0A61123A"/>
    <w:rsid w:val="0A6162AC"/>
    <w:rsid w:val="0A6162AC"/>
    <w:rsid w:val="0A8A6AF6"/>
    <w:rsid w:val="0AB2FB9C"/>
    <w:rsid w:val="0AEA1596"/>
    <w:rsid w:val="0B651CDB"/>
    <w:rsid w:val="0B8D1B28"/>
    <w:rsid w:val="0BD60401"/>
    <w:rsid w:val="0C38A0CE"/>
    <w:rsid w:val="0CD96AD4"/>
    <w:rsid w:val="0D0487CE"/>
    <w:rsid w:val="0D233EDB"/>
    <w:rsid w:val="0D681AFB"/>
    <w:rsid w:val="0D91E6AD"/>
    <w:rsid w:val="0DD5005D"/>
    <w:rsid w:val="0E03F74F"/>
    <w:rsid w:val="0E03F74F"/>
    <w:rsid w:val="0E13E5EA"/>
    <w:rsid w:val="0E16FE78"/>
    <w:rsid w:val="0E660250"/>
    <w:rsid w:val="0E660250"/>
    <w:rsid w:val="0EAB14D8"/>
    <w:rsid w:val="0ED76452"/>
    <w:rsid w:val="0F831DAC"/>
    <w:rsid w:val="0FBE0087"/>
    <w:rsid w:val="0FD29CD1"/>
    <w:rsid w:val="0FE0BF84"/>
    <w:rsid w:val="0FF05EC6"/>
    <w:rsid w:val="0FF77F7B"/>
    <w:rsid w:val="0FFDE50D"/>
    <w:rsid w:val="0FFDE50D"/>
    <w:rsid w:val="100424E8"/>
    <w:rsid w:val="100FE81E"/>
    <w:rsid w:val="106C920A"/>
    <w:rsid w:val="11229BE9"/>
    <w:rsid w:val="1123B169"/>
    <w:rsid w:val="11575B4D"/>
    <w:rsid w:val="11575B4D"/>
    <w:rsid w:val="117D02C7"/>
    <w:rsid w:val="118CB36B"/>
    <w:rsid w:val="11969108"/>
    <w:rsid w:val="119925D1"/>
    <w:rsid w:val="11CF5FD8"/>
    <w:rsid w:val="11CF5FD8"/>
    <w:rsid w:val="12015C60"/>
    <w:rsid w:val="1238F88C"/>
    <w:rsid w:val="12684A86"/>
    <w:rsid w:val="126E2147"/>
    <w:rsid w:val="126E2147"/>
    <w:rsid w:val="12FDE691"/>
    <w:rsid w:val="133FFE09"/>
    <w:rsid w:val="13613689"/>
    <w:rsid w:val="1364AF1F"/>
    <w:rsid w:val="1379D846"/>
    <w:rsid w:val="137D8849"/>
    <w:rsid w:val="13D91F4E"/>
    <w:rsid w:val="13D91F4E"/>
    <w:rsid w:val="13E12893"/>
    <w:rsid w:val="146FCE92"/>
    <w:rsid w:val="146FCE92"/>
    <w:rsid w:val="147C9EAB"/>
    <w:rsid w:val="14A78909"/>
    <w:rsid w:val="14F34B6A"/>
    <w:rsid w:val="15220554"/>
    <w:rsid w:val="15220554"/>
    <w:rsid w:val="153A48B2"/>
    <w:rsid w:val="15A7B681"/>
    <w:rsid w:val="161A7F77"/>
    <w:rsid w:val="16723FAC"/>
    <w:rsid w:val="1673C39E"/>
    <w:rsid w:val="176E68F9"/>
    <w:rsid w:val="176E68F9"/>
    <w:rsid w:val="177BD2E5"/>
    <w:rsid w:val="177DA8C3"/>
    <w:rsid w:val="177DA8C3"/>
    <w:rsid w:val="17B5DF5C"/>
    <w:rsid w:val="180FEACC"/>
    <w:rsid w:val="182D3AAE"/>
    <w:rsid w:val="18407A07"/>
    <w:rsid w:val="184486C5"/>
    <w:rsid w:val="184C27CC"/>
    <w:rsid w:val="184F4018"/>
    <w:rsid w:val="18F18EE4"/>
    <w:rsid w:val="191DE25C"/>
    <w:rsid w:val="19588E74"/>
    <w:rsid w:val="19655C07"/>
    <w:rsid w:val="19691435"/>
    <w:rsid w:val="19691435"/>
    <w:rsid w:val="19872AB1"/>
    <w:rsid w:val="19A1B586"/>
    <w:rsid w:val="19A3DC08"/>
    <w:rsid w:val="19A400CC"/>
    <w:rsid w:val="19D7036A"/>
    <w:rsid w:val="19F1C7B5"/>
    <w:rsid w:val="1A014385"/>
    <w:rsid w:val="1A31E7A2"/>
    <w:rsid w:val="1A3C5A9F"/>
    <w:rsid w:val="1A403D58"/>
    <w:rsid w:val="1A5132D6"/>
    <w:rsid w:val="1A55D0CF"/>
    <w:rsid w:val="1A780504"/>
    <w:rsid w:val="1A7D5CD0"/>
    <w:rsid w:val="1A87FFF3"/>
    <w:rsid w:val="1AB1B773"/>
    <w:rsid w:val="1AD80867"/>
    <w:rsid w:val="1AEEE15F"/>
    <w:rsid w:val="1B013C46"/>
    <w:rsid w:val="1B0446FF"/>
    <w:rsid w:val="1B287E97"/>
    <w:rsid w:val="1B2EF139"/>
    <w:rsid w:val="1B3A4E8C"/>
    <w:rsid w:val="1B586654"/>
    <w:rsid w:val="1B72CF6C"/>
    <w:rsid w:val="1B785113"/>
    <w:rsid w:val="1BB06DE2"/>
    <w:rsid w:val="1BB8419E"/>
    <w:rsid w:val="1BC5E97A"/>
    <w:rsid w:val="1C6BD492"/>
    <w:rsid w:val="1C72F481"/>
    <w:rsid w:val="1C88B37A"/>
    <w:rsid w:val="1CD204A1"/>
    <w:rsid w:val="1CD204A1"/>
    <w:rsid w:val="1D1231C5"/>
    <w:rsid w:val="1D151D6C"/>
    <w:rsid w:val="1DC4D76F"/>
    <w:rsid w:val="1DC4D76F"/>
    <w:rsid w:val="1DC687BE"/>
    <w:rsid w:val="1DD44E2D"/>
    <w:rsid w:val="1DE38243"/>
    <w:rsid w:val="1E268DA6"/>
    <w:rsid w:val="1E49F3C1"/>
    <w:rsid w:val="1EB7F2ED"/>
    <w:rsid w:val="1ED4D753"/>
    <w:rsid w:val="1ED883A3"/>
    <w:rsid w:val="1ED883A3"/>
    <w:rsid w:val="1ED8DD3F"/>
    <w:rsid w:val="1EF17FDE"/>
    <w:rsid w:val="1F141193"/>
    <w:rsid w:val="1F468AB9"/>
    <w:rsid w:val="1F751578"/>
    <w:rsid w:val="1F751578"/>
    <w:rsid w:val="1F816933"/>
    <w:rsid w:val="1F8AD708"/>
    <w:rsid w:val="1FAABB64"/>
    <w:rsid w:val="1FDB9FE4"/>
    <w:rsid w:val="1FEF8587"/>
    <w:rsid w:val="203B0AAA"/>
    <w:rsid w:val="2042D61A"/>
    <w:rsid w:val="20CCE946"/>
    <w:rsid w:val="20D0A6F6"/>
    <w:rsid w:val="21034A88"/>
    <w:rsid w:val="2133D4FC"/>
    <w:rsid w:val="21980C85"/>
    <w:rsid w:val="21B0454B"/>
    <w:rsid w:val="21BCD325"/>
    <w:rsid w:val="21D80AD3"/>
    <w:rsid w:val="21D80AD3"/>
    <w:rsid w:val="21FC9404"/>
    <w:rsid w:val="21FC9404"/>
    <w:rsid w:val="2230D003"/>
    <w:rsid w:val="226F25A5"/>
    <w:rsid w:val="22CC5264"/>
    <w:rsid w:val="23175D86"/>
    <w:rsid w:val="236E5E17"/>
    <w:rsid w:val="23D7941C"/>
    <w:rsid w:val="23DA4454"/>
    <w:rsid w:val="240FD1AD"/>
    <w:rsid w:val="24667A8C"/>
    <w:rsid w:val="246E5847"/>
    <w:rsid w:val="246E5847"/>
    <w:rsid w:val="2489B178"/>
    <w:rsid w:val="249EC832"/>
    <w:rsid w:val="24C30812"/>
    <w:rsid w:val="25488946"/>
    <w:rsid w:val="257AEC36"/>
    <w:rsid w:val="257D98AA"/>
    <w:rsid w:val="25C40B5F"/>
    <w:rsid w:val="25D14EBD"/>
    <w:rsid w:val="260197D3"/>
    <w:rsid w:val="262D9F63"/>
    <w:rsid w:val="26338FF7"/>
    <w:rsid w:val="2659A09D"/>
    <w:rsid w:val="2666F129"/>
    <w:rsid w:val="2666F129"/>
    <w:rsid w:val="26D4F7EA"/>
    <w:rsid w:val="2719DCCF"/>
    <w:rsid w:val="2720AAE6"/>
    <w:rsid w:val="27276472"/>
    <w:rsid w:val="27701B64"/>
    <w:rsid w:val="2773A0E2"/>
    <w:rsid w:val="279C4270"/>
    <w:rsid w:val="27B06A1A"/>
    <w:rsid w:val="27C8C8C9"/>
    <w:rsid w:val="27C8C8C9"/>
    <w:rsid w:val="2811E92F"/>
    <w:rsid w:val="2811E92F"/>
    <w:rsid w:val="28207807"/>
    <w:rsid w:val="282D44BC"/>
    <w:rsid w:val="282D44BC"/>
    <w:rsid w:val="283C06CC"/>
    <w:rsid w:val="288015AE"/>
    <w:rsid w:val="2892874D"/>
    <w:rsid w:val="28F3C145"/>
    <w:rsid w:val="29067461"/>
    <w:rsid w:val="2965FDBF"/>
    <w:rsid w:val="29A3B06E"/>
    <w:rsid w:val="29C0A126"/>
    <w:rsid w:val="29C0B766"/>
    <w:rsid w:val="29C93E5D"/>
    <w:rsid w:val="2A18C7CB"/>
    <w:rsid w:val="2B070B20"/>
    <w:rsid w:val="2B1486A1"/>
    <w:rsid w:val="2B7E0338"/>
    <w:rsid w:val="2BB869CA"/>
    <w:rsid w:val="2BFEB6B1"/>
    <w:rsid w:val="2C1180E9"/>
    <w:rsid w:val="2C34F4DC"/>
    <w:rsid w:val="2C3D7FFA"/>
    <w:rsid w:val="2C7C75F2"/>
    <w:rsid w:val="2C9C8526"/>
    <w:rsid w:val="2CD38A7E"/>
    <w:rsid w:val="2CF81658"/>
    <w:rsid w:val="2D4E9E0E"/>
    <w:rsid w:val="2D4E9E0E"/>
    <w:rsid w:val="2D718876"/>
    <w:rsid w:val="2D718876"/>
    <w:rsid w:val="2D959153"/>
    <w:rsid w:val="2DE498B4"/>
    <w:rsid w:val="2E11B014"/>
    <w:rsid w:val="2E7CF5B6"/>
    <w:rsid w:val="2E90C4BF"/>
    <w:rsid w:val="2ECEBE8C"/>
    <w:rsid w:val="2ECEBE8C"/>
    <w:rsid w:val="2ED34879"/>
    <w:rsid w:val="2F06DB5D"/>
    <w:rsid w:val="2F3395A4"/>
    <w:rsid w:val="2F73394B"/>
    <w:rsid w:val="2F73394B"/>
    <w:rsid w:val="2F9FABDA"/>
    <w:rsid w:val="2FABA6C1"/>
    <w:rsid w:val="2FB5461A"/>
    <w:rsid w:val="2FB5461A"/>
    <w:rsid w:val="3013EFC2"/>
    <w:rsid w:val="308BC2FC"/>
    <w:rsid w:val="30B076FB"/>
    <w:rsid w:val="30D397A3"/>
    <w:rsid w:val="30DCBBB0"/>
    <w:rsid w:val="310487A1"/>
    <w:rsid w:val="3104FD81"/>
    <w:rsid w:val="3112C88C"/>
    <w:rsid w:val="3139E382"/>
    <w:rsid w:val="3139E382"/>
    <w:rsid w:val="3182A7B9"/>
    <w:rsid w:val="31E00DB2"/>
    <w:rsid w:val="3219117F"/>
    <w:rsid w:val="329B8DEA"/>
    <w:rsid w:val="332544BE"/>
    <w:rsid w:val="33714363"/>
    <w:rsid w:val="3388684A"/>
    <w:rsid w:val="33B02E82"/>
    <w:rsid w:val="33BF84A0"/>
    <w:rsid w:val="33D3B1DF"/>
    <w:rsid w:val="33E7661E"/>
    <w:rsid w:val="33FC49AD"/>
    <w:rsid w:val="33FC49AD"/>
    <w:rsid w:val="342C24A6"/>
    <w:rsid w:val="3468B7A4"/>
    <w:rsid w:val="3474E4D3"/>
    <w:rsid w:val="349DD98B"/>
    <w:rsid w:val="35201A82"/>
    <w:rsid w:val="3556CEEB"/>
    <w:rsid w:val="358FA444"/>
    <w:rsid w:val="3629C586"/>
    <w:rsid w:val="36502745"/>
    <w:rsid w:val="368B97FF"/>
    <w:rsid w:val="369475C1"/>
    <w:rsid w:val="36B4DFEF"/>
    <w:rsid w:val="36E18327"/>
    <w:rsid w:val="36F92CA1"/>
    <w:rsid w:val="370320B7"/>
    <w:rsid w:val="371EC115"/>
    <w:rsid w:val="371EC115"/>
    <w:rsid w:val="3767E520"/>
    <w:rsid w:val="376BB2D2"/>
    <w:rsid w:val="376D5F09"/>
    <w:rsid w:val="376D5F09"/>
    <w:rsid w:val="37A50E63"/>
    <w:rsid w:val="37A50E63"/>
    <w:rsid w:val="37F22EFC"/>
    <w:rsid w:val="38463CA2"/>
    <w:rsid w:val="385C95FD"/>
    <w:rsid w:val="38B36D64"/>
    <w:rsid w:val="38BB4187"/>
    <w:rsid w:val="391F01E2"/>
    <w:rsid w:val="399D915D"/>
    <w:rsid w:val="39EA7914"/>
    <w:rsid w:val="39F6C143"/>
    <w:rsid w:val="3A2FC148"/>
    <w:rsid w:val="3A332416"/>
    <w:rsid w:val="3AC325DF"/>
    <w:rsid w:val="3AD15208"/>
    <w:rsid w:val="3AD37989"/>
    <w:rsid w:val="3AD37989"/>
    <w:rsid w:val="3B0D3666"/>
    <w:rsid w:val="3BE07D86"/>
    <w:rsid w:val="3C0FAF37"/>
    <w:rsid w:val="3C614C5B"/>
    <w:rsid w:val="3C73C21B"/>
    <w:rsid w:val="3C8A760B"/>
    <w:rsid w:val="3CE8DA6D"/>
    <w:rsid w:val="3CE8DA6D"/>
    <w:rsid w:val="3D0244AE"/>
    <w:rsid w:val="3D2A63BF"/>
    <w:rsid w:val="3D2A63BF"/>
    <w:rsid w:val="3D36566E"/>
    <w:rsid w:val="3D36566E"/>
    <w:rsid w:val="3D6825C4"/>
    <w:rsid w:val="3D797AD1"/>
    <w:rsid w:val="3D9618EC"/>
    <w:rsid w:val="3D9CA192"/>
    <w:rsid w:val="3DC02663"/>
    <w:rsid w:val="3DC02663"/>
    <w:rsid w:val="3E3843BB"/>
    <w:rsid w:val="3E57CB25"/>
    <w:rsid w:val="3ECB5CA7"/>
    <w:rsid w:val="3ECD6B89"/>
    <w:rsid w:val="3ECD6B89"/>
    <w:rsid w:val="3ED38D09"/>
    <w:rsid w:val="3EDC85FE"/>
    <w:rsid w:val="3EFD94AD"/>
    <w:rsid w:val="3F46F328"/>
    <w:rsid w:val="3F46F328"/>
    <w:rsid w:val="3F4F14D0"/>
    <w:rsid w:val="3F4F14D0"/>
    <w:rsid w:val="3F4FF1F7"/>
    <w:rsid w:val="3F4FF1F7"/>
    <w:rsid w:val="3F500989"/>
    <w:rsid w:val="3F745234"/>
    <w:rsid w:val="3F9EBCAF"/>
    <w:rsid w:val="3FD75D5B"/>
    <w:rsid w:val="3FFE7003"/>
    <w:rsid w:val="40267A2C"/>
    <w:rsid w:val="4049A0D4"/>
    <w:rsid w:val="404CE47C"/>
    <w:rsid w:val="404CE47C"/>
    <w:rsid w:val="4073B6AF"/>
    <w:rsid w:val="4091A809"/>
    <w:rsid w:val="40D05643"/>
    <w:rsid w:val="40D6E56E"/>
    <w:rsid w:val="40ED72C5"/>
    <w:rsid w:val="41027550"/>
    <w:rsid w:val="410ADA47"/>
    <w:rsid w:val="410E3710"/>
    <w:rsid w:val="411FD512"/>
    <w:rsid w:val="4161C075"/>
    <w:rsid w:val="4170A14C"/>
    <w:rsid w:val="4172AE17"/>
    <w:rsid w:val="417B9ADE"/>
    <w:rsid w:val="417B9ADE"/>
    <w:rsid w:val="41974203"/>
    <w:rsid w:val="41C6AAC0"/>
    <w:rsid w:val="42516796"/>
    <w:rsid w:val="42D04A05"/>
    <w:rsid w:val="42E447D3"/>
    <w:rsid w:val="4316DC65"/>
    <w:rsid w:val="4316DC65"/>
    <w:rsid w:val="43955443"/>
    <w:rsid w:val="43DA977B"/>
    <w:rsid w:val="43DA977B"/>
    <w:rsid w:val="4430A367"/>
    <w:rsid w:val="44537CE6"/>
    <w:rsid w:val="449EB6F3"/>
    <w:rsid w:val="45240B47"/>
    <w:rsid w:val="45435742"/>
    <w:rsid w:val="45830C43"/>
    <w:rsid w:val="458A19B6"/>
    <w:rsid w:val="45C4F1BF"/>
    <w:rsid w:val="46049C46"/>
    <w:rsid w:val="46049C46"/>
    <w:rsid w:val="4618DCD7"/>
    <w:rsid w:val="46502278"/>
    <w:rsid w:val="4651BA08"/>
    <w:rsid w:val="46820F4B"/>
    <w:rsid w:val="468E65D6"/>
    <w:rsid w:val="46E91E81"/>
    <w:rsid w:val="46F6BE17"/>
    <w:rsid w:val="46F6BE17"/>
    <w:rsid w:val="4726D4DC"/>
    <w:rsid w:val="47A610BF"/>
    <w:rsid w:val="48AF598B"/>
    <w:rsid w:val="48E5F974"/>
    <w:rsid w:val="48E5F974"/>
    <w:rsid w:val="48E88C2D"/>
    <w:rsid w:val="48F8F239"/>
    <w:rsid w:val="49126CE8"/>
    <w:rsid w:val="4991D56A"/>
    <w:rsid w:val="49BD8C5D"/>
    <w:rsid w:val="49FCB10D"/>
    <w:rsid w:val="4A2901E9"/>
    <w:rsid w:val="4A362A0B"/>
    <w:rsid w:val="4A38E888"/>
    <w:rsid w:val="4A7ADCD1"/>
    <w:rsid w:val="4A99EF8C"/>
    <w:rsid w:val="4A9B82C4"/>
    <w:rsid w:val="4B180A6D"/>
    <w:rsid w:val="4B65FE28"/>
    <w:rsid w:val="4B9F4684"/>
    <w:rsid w:val="4BBB2659"/>
    <w:rsid w:val="4BE4646D"/>
    <w:rsid w:val="4BE5A470"/>
    <w:rsid w:val="4C1307B4"/>
    <w:rsid w:val="4C61FCA0"/>
    <w:rsid w:val="4DC335D6"/>
    <w:rsid w:val="4DE4B483"/>
    <w:rsid w:val="4DFA374A"/>
    <w:rsid w:val="4E108370"/>
    <w:rsid w:val="4E16E19D"/>
    <w:rsid w:val="4E7863B2"/>
    <w:rsid w:val="4EB5B5A8"/>
    <w:rsid w:val="4EB5B5A8"/>
    <w:rsid w:val="4EC21E0C"/>
    <w:rsid w:val="4ECE2D16"/>
    <w:rsid w:val="4EF774F2"/>
    <w:rsid w:val="4EF7FCC5"/>
    <w:rsid w:val="4F091552"/>
    <w:rsid w:val="4F51525A"/>
    <w:rsid w:val="4F790B1F"/>
    <w:rsid w:val="4F92613E"/>
    <w:rsid w:val="4FD7B7D3"/>
    <w:rsid w:val="4FE26D39"/>
    <w:rsid w:val="4FFD5404"/>
    <w:rsid w:val="4FFD5404"/>
    <w:rsid w:val="5063E58A"/>
    <w:rsid w:val="506990BA"/>
    <w:rsid w:val="506E27A0"/>
    <w:rsid w:val="50EDE656"/>
    <w:rsid w:val="50FCE304"/>
    <w:rsid w:val="5145E78D"/>
    <w:rsid w:val="515C34AC"/>
    <w:rsid w:val="51989E9A"/>
    <w:rsid w:val="51B3AF61"/>
    <w:rsid w:val="51B3AF61"/>
    <w:rsid w:val="51C929B5"/>
    <w:rsid w:val="5255F827"/>
    <w:rsid w:val="52765160"/>
    <w:rsid w:val="52765160"/>
    <w:rsid w:val="52C663DC"/>
    <w:rsid w:val="52CCBA66"/>
    <w:rsid w:val="52FB254C"/>
    <w:rsid w:val="53742873"/>
    <w:rsid w:val="537AE597"/>
    <w:rsid w:val="53EF5248"/>
    <w:rsid w:val="53FD9AB2"/>
    <w:rsid w:val="545C09F8"/>
    <w:rsid w:val="54AC5327"/>
    <w:rsid w:val="550FD47E"/>
    <w:rsid w:val="55375BA8"/>
    <w:rsid w:val="556EF616"/>
    <w:rsid w:val="55DC98F3"/>
    <w:rsid w:val="562E4E22"/>
    <w:rsid w:val="564ED2AA"/>
    <w:rsid w:val="5665F2BD"/>
    <w:rsid w:val="5665F2BD"/>
    <w:rsid w:val="567EFD66"/>
    <w:rsid w:val="56977FC1"/>
    <w:rsid w:val="56B937BB"/>
    <w:rsid w:val="56C032EC"/>
    <w:rsid w:val="56C5218D"/>
    <w:rsid w:val="57018DF9"/>
    <w:rsid w:val="57244BDE"/>
    <w:rsid w:val="5753429A"/>
    <w:rsid w:val="5758C713"/>
    <w:rsid w:val="5771F938"/>
    <w:rsid w:val="5771F938"/>
    <w:rsid w:val="5885C105"/>
    <w:rsid w:val="588F49B2"/>
    <w:rsid w:val="58D84B81"/>
    <w:rsid w:val="58E4C3DC"/>
    <w:rsid w:val="58F0CD44"/>
    <w:rsid w:val="58FB1788"/>
    <w:rsid w:val="5901888B"/>
    <w:rsid w:val="5912453B"/>
    <w:rsid w:val="5921333D"/>
    <w:rsid w:val="592A34F5"/>
    <w:rsid w:val="59756BFF"/>
    <w:rsid w:val="5989CA8B"/>
    <w:rsid w:val="59A0ABDB"/>
    <w:rsid w:val="59F3FF7C"/>
    <w:rsid w:val="59F3FF7C"/>
    <w:rsid w:val="5A15992A"/>
    <w:rsid w:val="5A6242C1"/>
    <w:rsid w:val="5AB2D4DB"/>
    <w:rsid w:val="5AE8E242"/>
    <w:rsid w:val="5AFC7FCD"/>
    <w:rsid w:val="5AFC7FCD"/>
    <w:rsid w:val="5AFE258F"/>
    <w:rsid w:val="5B68958C"/>
    <w:rsid w:val="5BB73CD8"/>
    <w:rsid w:val="5BD5D67C"/>
    <w:rsid w:val="5BD914B6"/>
    <w:rsid w:val="5BE8B3A7"/>
    <w:rsid w:val="5BFBD64C"/>
    <w:rsid w:val="5C0D149E"/>
    <w:rsid w:val="5C2EA8CB"/>
    <w:rsid w:val="5CBD5C3B"/>
    <w:rsid w:val="5D07CDAB"/>
    <w:rsid w:val="5D09E766"/>
    <w:rsid w:val="5D7DD7F8"/>
    <w:rsid w:val="5DD5A8B3"/>
    <w:rsid w:val="5DE26AFA"/>
    <w:rsid w:val="5DE2844A"/>
    <w:rsid w:val="5DE2844A"/>
    <w:rsid w:val="5E103BBB"/>
    <w:rsid w:val="5E502DBD"/>
    <w:rsid w:val="5E8D4763"/>
    <w:rsid w:val="5EF38965"/>
    <w:rsid w:val="5F1500BD"/>
    <w:rsid w:val="5F252D22"/>
    <w:rsid w:val="5F252D22"/>
    <w:rsid w:val="5F3549A8"/>
    <w:rsid w:val="5F4F5D32"/>
    <w:rsid w:val="5F7FA026"/>
    <w:rsid w:val="5F7FA026"/>
    <w:rsid w:val="5FB372C7"/>
    <w:rsid w:val="5FE86EAB"/>
    <w:rsid w:val="606DA4D0"/>
    <w:rsid w:val="6074414F"/>
    <w:rsid w:val="610F138B"/>
    <w:rsid w:val="61ACD408"/>
    <w:rsid w:val="61ACD408"/>
    <w:rsid w:val="61D4AE55"/>
    <w:rsid w:val="6203BDCC"/>
    <w:rsid w:val="6203BDCC"/>
    <w:rsid w:val="62525E57"/>
    <w:rsid w:val="62631112"/>
    <w:rsid w:val="6279FF9B"/>
    <w:rsid w:val="62C52B2F"/>
    <w:rsid w:val="62EA359C"/>
    <w:rsid w:val="6300F5DF"/>
    <w:rsid w:val="63036117"/>
    <w:rsid w:val="6327384D"/>
    <w:rsid w:val="6358CF03"/>
    <w:rsid w:val="63666D22"/>
    <w:rsid w:val="636C876D"/>
    <w:rsid w:val="6383DF04"/>
    <w:rsid w:val="6394B257"/>
    <w:rsid w:val="63A55DA5"/>
    <w:rsid w:val="63CC2CB9"/>
    <w:rsid w:val="641D99B7"/>
    <w:rsid w:val="641D99B7"/>
    <w:rsid w:val="645BA5AF"/>
    <w:rsid w:val="64AA5A18"/>
    <w:rsid w:val="6525CF50"/>
    <w:rsid w:val="658BEA9F"/>
    <w:rsid w:val="65AA40F5"/>
    <w:rsid w:val="65D03B00"/>
    <w:rsid w:val="65E0AF9A"/>
    <w:rsid w:val="66235F0A"/>
    <w:rsid w:val="66235F0A"/>
    <w:rsid w:val="663DB1C8"/>
    <w:rsid w:val="6653AE6A"/>
    <w:rsid w:val="66768A5D"/>
    <w:rsid w:val="66805B36"/>
    <w:rsid w:val="66893E9F"/>
    <w:rsid w:val="66893E9F"/>
    <w:rsid w:val="670FD219"/>
    <w:rsid w:val="678D59D5"/>
    <w:rsid w:val="67AE2DCE"/>
    <w:rsid w:val="67AE2DCE"/>
    <w:rsid w:val="67BEC316"/>
    <w:rsid w:val="67BF973B"/>
    <w:rsid w:val="67F39DE7"/>
    <w:rsid w:val="681D552A"/>
    <w:rsid w:val="683FF93F"/>
    <w:rsid w:val="68FEC0DF"/>
    <w:rsid w:val="693670CF"/>
    <w:rsid w:val="698B9A72"/>
    <w:rsid w:val="69BA08D7"/>
    <w:rsid w:val="69C3094C"/>
    <w:rsid w:val="6A7328A9"/>
    <w:rsid w:val="6B16F32A"/>
    <w:rsid w:val="6B57A13B"/>
    <w:rsid w:val="6B6DAB5D"/>
    <w:rsid w:val="6BAA15B7"/>
    <w:rsid w:val="6BAB074B"/>
    <w:rsid w:val="6BAB074B"/>
    <w:rsid w:val="6BB7171C"/>
    <w:rsid w:val="6BF75683"/>
    <w:rsid w:val="6BF82D28"/>
    <w:rsid w:val="6C150F5C"/>
    <w:rsid w:val="6C150F5C"/>
    <w:rsid w:val="6C1A5EAE"/>
    <w:rsid w:val="6C791F0A"/>
    <w:rsid w:val="6C7A8419"/>
    <w:rsid w:val="6C7D5428"/>
    <w:rsid w:val="6CAC1417"/>
    <w:rsid w:val="6CB5640A"/>
    <w:rsid w:val="6CE6CC7E"/>
    <w:rsid w:val="6D0CAE15"/>
    <w:rsid w:val="6D0CAE15"/>
    <w:rsid w:val="6D9E8570"/>
    <w:rsid w:val="6D9E8570"/>
    <w:rsid w:val="6DBF9D13"/>
    <w:rsid w:val="6DCE13CF"/>
    <w:rsid w:val="6DF9A2A4"/>
    <w:rsid w:val="6E1640E8"/>
    <w:rsid w:val="6E3E3634"/>
    <w:rsid w:val="6E693CF6"/>
    <w:rsid w:val="6E693CF6"/>
    <w:rsid w:val="6E887F7D"/>
    <w:rsid w:val="6EA92514"/>
    <w:rsid w:val="6EED0684"/>
    <w:rsid w:val="6F834A40"/>
    <w:rsid w:val="6F9B456C"/>
    <w:rsid w:val="6FA0303E"/>
    <w:rsid w:val="70BA51A0"/>
    <w:rsid w:val="7133C6DB"/>
    <w:rsid w:val="71466CCD"/>
    <w:rsid w:val="71539324"/>
    <w:rsid w:val="71984840"/>
    <w:rsid w:val="71984840"/>
    <w:rsid w:val="71B134E9"/>
    <w:rsid w:val="71BC1C2F"/>
    <w:rsid w:val="71C1E3DB"/>
    <w:rsid w:val="71D80BD3"/>
    <w:rsid w:val="71D80BD3"/>
    <w:rsid w:val="71F3AA96"/>
    <w:rsid w:val="72084A57"/>
    <w:rsid w:val="722B01A5"/>
    <w:rsid w:val="7242FFE8"/>
    <w:rsid w:val="72B8D2BF"/>
    <w:rsid w:val="72FEB5B9"/>
    <w:rsid w:val="730766AE"/>
    <w:rsid w:val="731B89E5"/>
    <w:rsid w:val="733655AB"/>
    <w:rsid w:val="733B82FE"/>
    <w:rsid w:val="734D2932"/>
    <w:rsid w:val="734D2932"/>
    <w:rsid w:val="73AD6A77"/>
    <w:rsid w:val="74000CAB"/>
    <w:rsid w:val="740674B0"/>
    <w:rsid w:val="7430F2D1"/>
    <w:rsid w:val="7430F2D1"/>
    <w:rsid w:val="743D9755"/>
    <w:rsid w:val="74A99AC0"/>
    <w:rsid w:val="74CF0072"/>
    <w:rsid w:val="7527EB87"/>
    <w:rsid w:val="756E1C79"/>
    <w:rsid w:val="757F6A97"/>
    <w:rsid w:val="75A9389F"/>
    <w:rsid w:val="75A9389F"/>
    <w:rsid w:val="75B2EC8F"/>
    <w:rsid w:val="75C00A21"/>
    <w:rsid w:val="75DB54F0"/>
    <w:rsid w:val="75DB54F0"/>
    <w:rsid w:val="762493CB"/>
    <w:rsid w:val="7670840F"/>
    <w:rsid w:val="767FCC51"/>
    <w:rsid w:val="768B4F76"/>
    <w:rsid w:val="7708D883"/>
    <w:rsid w:val="77A4A9E5"/>
    <w:rsid w:val="77AA671B"/>
    <w:rsid w:val="77AA671B"/>
    <w:rsid w:val="77C4E073"/>
    <w:rsid w:val="77C4E073"/>
    <w:rsid w:val="77DBC10F"/>
    <w:rsid w:val="7807093D"/>
    <w:rsid w:val="7807093D"/>
    <w:rsid w:val="782BD2CE"/>
    <w:rsid w:val="783C5FA1"/>
    <w:rsid w:val="78573A6D"/>
    <w:rsid w:val="7892EC8B"/>
    <w:rsid w:val="78A07D42"/>
    <w:rsid w:val="78E87F79"/>
    <w:rsid w:val="7919F944"/>
    <w:rsid w:val="7919F944"/>
    <w:rsid w:val="79A850A1"/>
    <w:rsid w:val="79D592A4"/>
    <w:rsid w:val="79D69E90"/>
    <w:rsid w:val="7A544FF1"/>
    <w:rsid w:val="7A54FD6E"/>
    <w:rsid w:val="7A83F84E"/>
    <w:rsid w:val="7ABB8A91"/>
    <w:rsid w:val="7AFF0D33"/>
    <w:rsid w:val="7B407205"/>
    <w:rsid w:val="7B6C921C"/>
    <w:rsid w:val="7B6C921C"/>
    <w:rsid w:val="7BBAF42E"/>
    <w:rsid w:val="7C0366AB"/>
    <w:rsid w:val="7C4F34FF"/>
    <w:rsid w:val="7C685133"/>
    <w:rsid w:val="7C685133"/>
    <w:rsid w:val="7C960F6E"/>
    <w:rsid w:val="7CAE6D6D"/>
    <w:rsid w:val="7CD93F4B"/>
    <w:rsid w:val="7D2EC35E"/>
    <w:rsid w:val="7D2F64BB"/>
    <w:rsid w:val="7D5BCFDF"/>
    <w:rsid w:val="7D8895BB"/>
    <w:rsid w:val="7D8FC1F7"/>
    <w:rsid w:val="7DAFB380"/>
    <w:rsid w:val="7DAFB380"/>
    <w:rsid w:val="7DB30D57"/>
    <w:rsid w:val="7DDA00C0"/>
    <w:rsid w:val="7DDDBBAD"/>
    <w:rsid w:val="7DF6B9EF"/>
    <w:rsid w:val="7DF6B9EF"/>
    <w:rsid w:val="7E2A728F"/>
    <w:rsid w:val="7E4DA5DF"/>
    <w:rsid w:val="7E4DA5DF"/>
    <w:rsid w:val="7EA24D43"/>
    <w:rsid w:val="7EEE5F64"/>
    <w:rsid w:val="7EEE5F64"/>
    <w:rsid w:val="7EF90C93"/>
    <w:rsid w:val="7F119E32"/>
    <w:rsid w:val="7F2A38F6"/>
    <w:rsid w:val="7F499054"/>
    <w:rsid w:val="7F499054"/>
    <w:rsid w:val="7F9416F7"/>
    <w:rsid w:val="7FD0027E"/>
    <w:rsid w:val="7FD2DD7F"/>
    <w:rsid w:val="7FFC5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26AFA"/>
  <w15:chartTrackingRefBased/>
  <w15:docId w15:val="{D8063A80-C7E9-41F1-A667-B79AD460EF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5A7B6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5A7B68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5A7B68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5A7B681"/>
    <w:pPr>
      <w:spacing/>
      <w:ind w:left="720"/>
      <w:contextualSpacing/>
    </w:pPr>
  </w:style>
  <w:style w:type="character" w:styleId="Hyperlink">
    <w:uiPriority w:val="99"/>
    <w:name w:val="Hyperlink"/>
    <w:basedOn w:val="DefaultParagraphFont"/>
    <w:unhideWhenUsed/>
    <w:rsid w:val="15A7B68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64AA5A18"/>
    <w:pPr>
      <w:spacing w:after="100"/>
    </w:pPr>
  </w:style>
  <w:style w:type="paragraph" w:styleId="TOC2">
    <w:uiPriority w:val="39"/>
    <w:name w:val="toc 2"/>
    <w:basedOn w:val="Normal"/>
    <w:next w:val="Normal"/>
    <w:unhideWhenUsed/>
    <w:rsid w:val="64AA5A18"/>
    <w:pPr>
      <w:spacing w:after="100"/>
      <w:ind w:left="220"/>
    </w:pPr>
  </w:style>
  <w:style w:type="paragraph" w:styleId="TOC3">
    <w:uiPriority w:val="39"/>
    <w:name w:val="toc 3"/>
    <w:basedOn w:val="Normal"/>
    <w:next w:val="Normal"/>
    <w:unhideWhenUsed/>
    <w:rsid w:val="64AA5A1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06620214" /><Relationship Type="http://schemas.openxmlformats.org/officeDocument/2006/relationships/image" Target="/media/image.jpg" Id="rId1702228249" /><Relationship Type="http://schemas.openxmlformats.org/officeDocument/2006/relationships/image" Target="/media/image2.jpg" Id="rId749528169" /><Relationship Type="http://schemas.openxmlformats.org/officeDocument/2006/relationships/numbering" Target="numbering.xml" Id="Radd7aae3b86c4ccb" /><Relationship Type="http://schemas.openxmlformats.org/officeDocument/2006/relationships/image" Target="/media/image2.png" Id="rId1399508815" /><Relationship Type="http://schemas.openxmlformats.org/officeDocument/2006/relationships/image" Target="/media/image3.jpg" Id="rId2034553096" /><Relationship Type="http://schemas.openxmlformats.org/officeDocument/2006/relationships/hyperlink" Target="https://www.addleshawgoddard.com/" TargetMode="External" Id="Rc73939947bef4b96" /><Relationship Type="http://schemas.openxmlformats.org/officeDocument/2006/relationships/hyperlink" Target="https://thestrategystory.com/blog/zara-swot-analysis" TargetMode="External" Id="Ra7dcdae026bf4a6a" /><Relationship Type="http://schemas.openxmlformats.org/officeDocument/2006/relationships/hyperlink" Target="https://h2compliance.com/eu-textile-epr-legislation-member-states-update/" TargetMode="External" Id="R8b6cbef8dd9242b0" /><Relationship Type="http://schemas.openxmlformats.org/officeDocument/2006/relationships/hyperlink" Target="http://repository.antispublisher.my.id/id/eprint/560/1/newAJTA_2858_Anik%2BBiswas_AI-Driven%2BIndustrial.pdf" TargetMode="External" Id="R06366499c3c74ce7" /><Relationship Type="http://schemas.openxmlformats.org/officeDocument/2006/relationships/hyperlink" Target="https://www.carbonfact.com/" TargetMode="External" Id="R594eb4e55e9543dc" /><Relationship Type="http://schemas.openxmlformats.org/officeDocument/2006/relationships/hyperlink" Target="https://www.thefuturefactory.com/insights/zara-lean-supply-chain-agility" TargetMode="External" Id="Re34a637c65f3407a" /><Relationship Type="http://schemas.openxmlformats.org/officeDocument/2006/relationships/hyperlink" Target="https://cms-lawnow.com/" TargetMode="External" Id="Rd632752d8dc84f56" /><Relationship Type="http://schemas.openxmlformats.org/officeDocument/2006/relationships/hyperlink" Target="https://www.csofutures.com/" TargetMode="External" Id="R4f56363c5f914f0b" /><Relationship Type="http://schemas.openxmlformats.org/officeDocument/2006/relationships/hyperlink" Target="https://ctomagazine.com/" TargetMode="External" Id="R70543f5f9f6645d0" /><Relationship Type="http://schemas.openxmlformats.org/officeDocument/2006/relationships/hyperlink" Target="https://genuine-printing.com/zara-rfid-inventory-revolution/" TargetMode="External" Id="Rfe92eeaed8544139" /><Relationship Type="http://schemas.openxmlformats.org/officeDocument/2006/relationships/hyperlink" Target="https://environment.ec.europa.eu/strategy/textiles-strategy_en" TargetMode="External" Id="Rbb68914bb09d490c" /><Relationship Type="http://schemas.openxmlformats.org/officeDocument/2006/relationships/hyperlink" Target="https://commission.europa.eu/" TargetMode="External" Id="Rcbd6d174e37f4fd0" /><Relationship Type="http://schemas.openxmlformats.org/officeDocument/2006/relationships/hyperlink" Target="https://eur-lex.europa.eu/" TargetMode="External" Id="R42432bb4d5e34e0c" /><Relationship Type="http://schemas.openxmlformats.org/officeDocument/2006/relationships/hyperlink" Target="https://eur-lex.europa.eu/eli/dir/2024/1760/oj/eng" TargetMode="External" Id="R2f23943caaff42e4" /><Relationship Type="http://schemas.openxmlformats.org/officeDocument/2006/relationships/hyperlink" Target="https://doi.org/10.2760/7400680" TargetMode="External" Id="R4aa6d0e1427648a7" /><Relationship Type="http://schemas.openxmlformats.org/officeDocument/2006/relationships/hyperlink" Target="https://digitalcommons.unl.edu/cgi/viewcontent.cgi?article=1368&amp;context=honorstheses" TargetMode="External" Id="Rc7e0a4195e014d79" /><Relationship Type="http://schemas.openxmlformats.org/officeDocument/2006/relationships/hyperlink" Target="https://h2compliance.com/" TargetMode="External" Id="R4e9cede204fa4e32" /><Relationship Type="http://schemas.openxmlformats.org/officeDocument/2006/relationships/hyperlink" Target="https://hmgroup.com/" TargetMode="External" Id="R1a3cdb506a6b4bda" /><Relationship Type="http://schemas.openxmlformats.org/officeDocument/2006/relationships/hyperlink" Target="https://mb.cision.com/" TargetMode="External" Id="R15cf81a87979483d" /><Relationship Type="http://schemas.openxmlformats.org/officeDocument/2006/relationships/hyperlink" Target="https://publicnow.com/" TargetMode="External" Id="R774a11dfcf0e42af" /><Relationship Type="http://schemas.openxmlformats.org/officeDocument/2006/relationships/hyperlink" Target="https://mb.cision.com/Public/769/4124752/ba12515f3f75952a.pdf" TargetMode="External" Id="R1c2e0724678948c1" /><Relationship Type="http://schemas.openxmlformats.org/officeDocument/2006/relationships/hyperlink" Target="https://commonslibrary.parliament.uk/" TargetMode="External" Id="Rb96b7e141e114c73" /><Relationship Type="http://schemas.openxmlformats.org/officeDocument/2006/relationships/hyperlink" Target="https://doi.org/10.1177/002224297604000304" TargetMode="External" Id="R0a7115e15de34d93" /><Relationship Type="http://schemas.openxmlformats.org/officeDocument/2006/relationships/hyperlink" Target="https://doi.org/10.1186/s43093-020-0009-1" TargetMode="External" Id="R9e227447008d4058" /><Relationship Type="http://schemas.openxmlformats.org/officeDocument/2006/relationships/hyperlink" Target="https://www.goodwinlaw.com/en/insights/publications/2025/07/alerts-practices-antc-fashion-faux-pas-misleading-green" TargetMode="External" Id="R109a9144fbb6497b" /><Relationship Type="http://schemas.openxmlformats.org/officeDocument/2006/relationships/hyperlink" Target="https://doi.org/10.1002/9780470592663.ch24" TargetMode="External" Id="R7142cadfb1b84247" /><Relationship Type="http://schemas.openxmlformats.org/officeDocument/2006/relationships/hyperlink" Target="https://www.carbonfact.com/blog/policy/ucpd-fashion" TargetMode="External" Id="R05fba1eeb0194550" /><Relationship Type="http://schemas.openxmlformats.org/officeDocument/2006/relationships/hyperlink" Target="https://mexicobusiness.news/" TargetMode="External" Id="R2c97f7f487c14f2a" /><Relationship Type="http://schemas.openxmlformats.org/officeDocument/2006/relationships/hyperlink" Target="https://doi.org/10.1108/IJPPM-02-2021-0110" TargetMode="External" Id="Raafcc8f2e25f423b" /><Relationship Type="http://schemas.openxmlformats.org/officeDocument/2006/relationships/hyperlink" Target="https://www.nssmag.com/" TargetMode="External" Id="Rd789da5e37da4bf9" /><Relationship Type="http://schemas.openxmlformats.org/officeDocument/2006/relationships/hyperlink" Target="https://prezi.com/p/hn9-ve7tbxkm/swot-analysis-of-zara" TargetMode="External" Id="R43b2e3f8462c450f" /><Relationship Type="http://schemas.openxmlformats.org/officeDocument/2006/relationships/hyperlink" Target="https://www.francis-press.com/uploads/papers/GTCSf6yeoF5cvoHaB0wSVrEqID7P4vvu5dsnGnqi.pdf" TargetMode="External" Id="Rfd14e35a126340ad" /><Relationship Type="http://schemas.openxmlformats.org/officeDocument/2006/relationships/hyperlink" Target="https://www.sourceready.com/" TargetMode="External" Id="R3cebdc4600a8404f" /><Relationship Type="http://schemas.openxmlformats.org/officeDocument/2006/relationships/hyperlink" Target="https://www.thefuturefactory.com/" TargetMode="External" Id="R7e2d45ed511e4b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2026-02-18T10:23:10.6582307Z</dcterms:created>
  <dcterms:modified xsi:type="dcterms:W3CDTF">2026-02-23T17:02:34.4760571Z</dcterms:modified>
  <dc:creator>Maxine Morris (2213032)</dc:creator>
  <lastModifiedBy>Maxine Morris (2213032)</lastModifiedBy>
</coreProperties>
</file>